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CellMar>
          <w:left w:w="0" w:type="dxa"/>
          <w:right w:w="0" w:type="dxa"/>
        </w:tblCellMar>
        <w:tblLook w:val="0000" w:firstRow="0" w:lastRow="0" w:firstColumn="0" w:lastColumn="0" w:noHBand="0" w:noVBand="0"/>
      </w:tblPr>
      <w:tblGrid>
        <w:gridCol w:w="4111"/>
      </w:tblGrid>
      <w:tr w:rsidR="005D3140" w:rsidRPr="00827721" w14:paraId="0763B88A" w14:textId="77777777" w:rsidTr="002B4250">
        <w:trPr>
          <w:jc w:val="right"/>
        </w:trPr>
        <w:tc>
          <w:tcPr>
            <w:tcW w:w="4111" w:type="dxa"/>
          </w:tcPr>
          <w:p w14:paraId="2006B703" w14:textId="77777777" w:rsidR="005D3140" w:rsidRPr="00827721" w:rsidRDefault="005D3140" w:rsidP="002B4250">
            <w:pPr>
              <w:jc w:val="right"/>
              <w:rPr>
                <w:b/>
                <w:szCs w:val="28"/>
              </w:rPr>
            </w:pPr>
            <w:r w:rsidRPr="00827721">
              <w:rPr>
                <w:b/>
                <w:szCs w:val="28"/>
              </w:rPr>
              <w:t xml:space="preserve">                  UE</w:t>
            </w:r>
          </w:p>
          <w:p w14:paraId="3CA7AB4F" w14:textId="77777777" w:rsidR="005D3140" w:rsidRPr="00827721" w:rsidRDefault="005D3140" w:rsidP="002B4250">
            <w:pPr>
              <w:jc w:val="right"/>
              <w:rPr>
                <w:b/>
                <w:i/>
                <w:sz w:val="36"/>
                <w:u w:val="single"/>
              </w:rPr>
            </w:pPr>
            <w:r w:rsidRPr="00827721">
              <w:rPr>
                <w:b/>
                <w:i/>
                <w:szCs w:val="28"/>
                <w:u w:val="single"/>
              </w:rPr>
              <w:t>Proiect</w:t>
            </w:r>
            <w:r w:rsidRPr="00827721">
              <w:rPr>
                <w:b/>
                <w:i/>
                <w:sz w:val="36"/>
                <w:u w:val="single"/>
              </w:rPr>
              <w:t xml:space="preserve"> </w:t>
            </w:r>
          </w:p>
        </w:tc>
      </w:tr>
    </w:tbl>
    <w:p w14:paraId="17AB3A83" w14:textId="77777777" w:rsidR="005D3140" w:rsidRPr="00827721" w:rsidRDefault="005D3140" w:rsidP="005D3140">
      <w:pPr>
        <w:pStyle w:val="BodyText"/>
        <w:ind w:left="4197"/>
      </w:pPr>
      <w:r w:rsidRPr="00827721">
        <w:rPr>
          <w:noProof/>
        </w:rPr>
        <w:drawing>
          <wp:inline distT="0" distB="0" distL="0" distR="0" wp14:anchorId="1D5F6A56" wp14:editId="707F2647">
            <wp:extent cx="619770" cy="743711"/>
            <wp:effectExtent l="0" t="0" r="0" b="0"/>
            <wp:docPr id="2111838853" name="image1.png" descr="A black and white drawing of a eagle with a shield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white drawing of a eagle with a shield and a flower&#10;&#10;AI-generated content may be incorrect."/>
                    <pic:cNvPicPr/>
                  </pic:nvPicPr>
                  <pic:blipFill>
                    <a:blip r:embed="rId8" cstate="print"/>
                    <a:stretch>
                      <a:fillRect/>
                    </a:stretch>
                  </pic:blipFill>
                  <pic:spPr>
                    <a:xfrm>
                      <a:off x="0" y="0"/>
                      <a:ext cx="619770" cy="743711"/>
                    </a:xfrm>
                    <a:prstGeom prst="rect">
                      <a:avLst/>
                    </a:prstGeom>
                  </pic:spPr>
                </pic:pic>
              </a:graphicData>
            </a:graphic>
          </wp:inline>
        </w:drawing>
      </w:r>
    </w:p>
    <w:p w14:paraId="1EF065CB" w14:textId="77777777" w:rsidR="005D3140" w:rsidRPr="00827721" w:rsidRDefault="005D3140" w:rsidP="005D3140">
      <w:pPr>
        <w:pStyle w:val="BodyText"/>
      </w:pPr>
    </w:p>
    <w:p w14:paraId="077DEB0D" w14:textId="77777777" w:rsidR="005D3140" w:rsidRPr="00827721" w:rsidRDefault="005D3140" w:rsidP="00EB069C">
      <w:pPr>
        <w:pStyle w:val="Title"/>
        <w:tabs>
          <w:tab w:val="left" w:pos="3494"/>
          <w:tab w:val="left" w:pos="6306"/>
        </w:tabs>
        <w:ind w:left="0" w:firstLine="0"/>
        <w:jc w:val="center"/>
        <w:rPr>
          <w:sz w:val="28"/>
          <w:szCs w:val="28"/>
        </w:rPr>
      </w:pPr>
      <w:r w:rsidRPr="00827721">
        <w:rPr>
          <w:spacing w:val="16"/>
          <w:sz w:val="28"/>
          <w:szCs w:val="28"/>
        </w:rPr>
        <w:t xml:space="preserve">GUVERNUL   REPUBLICII   </w:t>
      </w:r>
      <w:r w:rsidRPr="00827721">
        <w:rPr>
          <w:spacing w:val="15"/>
          <w:sz w:val="28"/>
          <w:szCs w:val="28"/>
        </w:rPr>
        <w:t>MOLDOVA</w:t>
      </w:r>
    </w:p>
    <w:p w14:paraId="04AEFE16" w14:textId="77777777" w:rsidR="005D3140" w:rsidRPr="00827721" w:rsidRDefault="005D3140" w:rsidP="005D3140">
      <w:pPr>
        <w:tabs>
          <w:tab w:val="left" w:pos="3535"/>
        </w:tabs>
        <w:spacing w:before="229"/>
        <w:ind w:left="87"/>
        <w:jc w:val="center"/>
        <w:rPr>
          <w:b/>
          <w:szCs w:val="28"/>
        </w:rPr>
      </w:pPr>
      <w:r w:rsidRPr="00827721">
        <w:rPr>
          <w:b/>
          <w:spacing w:val="26"/>
          <w:w w:val="95"/>
          <w:szCs w:val="28"/>
        </w:rPr>
        <w:t>HOT</w:t>
      </w:r>
      <w:r w:rsidRPr="00827721">
        <w:rPr>
          <w:b/>
          <w:spacing w:val="-26"/>
          <w:w w:val="95"/>
          <w:szCs w:val="28"/>
        </w:rPr>
        <w:t xml:space="preserve"> </w:t>
      </w:r>
      <w:r w:rsidRPr="00827721">
        <w:rPr>
          <w:b/>
          <w:w w:val="95"/>
          <w:szCs w:val="28"/>
        </w:rPr>
        <w:t>Ă</w:t>
      </w:r>
      <w:r w:rsidRPr="00827721">
        <w:rPr>
          <w:b/>
          <w:spacing w:val="-26"/>
          <w:w w:val="95"/>
          <w:szCs w:val="28"/>
        </w:rPr>
        <w:t xml:space="preserve"> </w:t>
      </w:r>
      <w:r w:rsidRPr="00827721">
        <w:rPr>
          <w:b/>
          <w:w w:val="95"/>
          <w:szCs w:val="28"/>
        </w:rPr>
        <w:t>R</w:t>
      </w:r>
      <w:r w:rsidRPr="00827721">
        <w:rPr>
          <w:b/>
          <w:spacing w:val="-27"/>
          <w:w w:val="95"/>
          <w:szCs w:val="28"/>
        </w:rPr>
        <w:t xml:space="preserve"> </w:t>
      </w:r>
      <w:r w:rsidRPr="00827721">
        <w:rPr>
          <w:b/>
          <w:w w:val="95"/>
          <w:szCs w:val="28"/>
        </w:rPr>
        <w:t>Â</w:t>
      </w:r>
      <w:r w:rsidRPr="00827721">
        <w:rPr>
          <w:b/>
          <w:spacing w:val="-26"/>
          <w:w w:val="95"/>
          <w:szCs w:val="28"/>
        </w:rPr>
        <w:t xml:space="preserve"> </w:t>
      </w:r>
      <w:r w:rsidRPr="00827721">
        <w:rPr>
          <w:b/>
          <w:w w:val="95"/>
          <w:szCs w:val="28"/>
        </w:rPr>
        <w:t>R</w:t>
      </w:r>
      <w:r w:rsidRPr="00827721">
        <w:rPr>
          <w:b/>
          <w:spacing w:val="-27"/>
          <w:w w:val="95"/>
          <w:szCs w:val="28"/>
        </w:rPr>
        <w:t xml:space="preserve"> </w:t>
      </w:r>
      <w:r w:rsidRPr="00827721">
        <w:rPr>
          <w:b/>
          <w:w w:val="95"/>
          <w:szCs w:val="28"/>
        </w:rPr>
        <w:t>E</w:t>
      </w:r>
      <w:r w:rsidRPr="00827721">
        <w:rPr>
          <w:b/>
          <w:spacing w:val="10"/>
          <w:w w:val="95"/>
          <w:szCs w:val="28"/>
        </w:rPr>
        <w:t xml:space="preserve"> </w:t>
      </w:r>
      <w:r w:rsidRPr="00827721">
        <w:rPr>
          <w:b/>
          <w:w w:val="95"/>
          <w:szCs w:val="28"/>
        </w:rPr>
        <w:t>nr.</w:t>
      </w:r>
      <w:r w:rsidRPr="00827721">
        <w:rPr>
          <w:spacing w:val="-2"/>
          <w:szCs w:val="28"/>
        </w:rPr>
        <w:t>-_________</w:t>
      </w:r>
    </w:p>
    <w:p w14:paraId="4856337C" w14:textId="5975402A" w:rsidR="005D3140" w:rsidRPr="00827721" w:rsidRDefault="005D3140" w:rsidP="005D3140">
      <w:pPr>
        <w:tabs>
          <w:tab w:val="left" w:pos="3202"/>
        </w:tabs>
        <w:spacing w:before="231"/>
        <w:ind w:left="15"/>
        <w:jc w:val="center"/>
        <w:rPr>
          <w:b/>
          <w:szCs w:val="28"/>
          <w:u w:val="single"/>
        </w:rPr>
      </w:pPr>
      <w:r w:rsidRPr="00827721">
        <w:rPr>
          <w:b/>
          <w:szCs w:val="28"/>
          <w:u w:val="single"/>
        </w:rPr>
        <w:t>din</w:t>
      </w:r>
      <w:r w:rsidRPr="00827721">
        <w:rPr>
          <w:b/>
          <w:szCs w:val="28"/>
          <w:u w:val="single"/>
        </w:rPr>
        <w:tab/>
        <w:t>202</w:t>
      </w:r>
      <w:r w:rsidR="00BD4CC4">
        <w:rPr>
          <w:b/>
          <w:szCs w:val="28"/>
          <w:u w:val="single"/>
        </w:rPr>
        <w:t>6</w:t>
      </w:r>
    </w:p>
    <w:p w14:paraId="2E01FD4E" w14:textId="77777777" w:rsidR="005D3140" w:rsidRPr="00827721" w:rsidRDefault="005D3140" w:rsidP="005D3140">
      <w:pPr>
        <w:spacing w:before="118"/>
        <w:ind w:left="14"/>
        <w:jc w:val="center"/>
        <w:rPr>
          <w:b/>
          <w:szCs w:val="28"/>
        </w:rPr>
      </w:pPr>
      <w:r w:rsidRPr="00827721">
        <w:rPr>
          <w:b/>
          <w:szCs w:val="28"/>
        </w:rPr>
        <w:t>Chișinău</w:t>
      </w:r>
    </w:p>
    <w:p w14:paraId="2A917AA8" w14:textId="77777777" w:rsidR="005D3140" w:rsidRPr="00827721" w:rsidRDefault="005D3140">
      <w:pPr>
        <w:pStyle w:val="cn"/>
        <w:spacing w:before="0" w:beforeAutospacing="0" w:after="0" w:afterAutospacing="0"/>
        <w:rPr>
          <w:sz w:val="24"/>
        </w:rPr>
      </w:pPr>
    </w:p>
    <w:p w14:paraId="709C54BD" w14:textId="230EFE5D" w:rsidR="00F44B37" w:rsidRPr="00827721" w:rsidRDefault="00F44B37" w:rsidP="00F44B37">
      <w:pPr>
        <w:pStyle w:val="tt"/>
        <w:spacing w:before="0" w:beforeAutospacing="0" w:after="0" w:afterAutospacing="0"/>
      </w:pPr>
      <w:r w:rsidRPr="00827721">
        <w:t xml:space="preserve">privind </w:t>
      </w:r>
      <w:r w:rsidR="00E61AAD" w:rsidRPr="00827721">
        <w:t xml:space="preserve">aprobarea Regulamentului cu privire la normele de verificare a biocarburanților, biolichidelor și combustibililor din biomasă, precum și recunoașterea schemelor voluntare </w:t>
      </w:r>
      <w:r w:rsidR="00E61AAD">
        <w:t xml:space="preserve">și </w:t>
      </w:r>
      <w:r w:rsidR="00975132" w:rsidRPr="00827721">
        <w:t>modificarea unor acte normative</w:t>
      </w:r>
    </w:p>
    <w:p w14:paraId="3B160F5D" w14:textId="0380BA21" w:rsidR="007D3771" w:rsidRPr="00827721" w:rsidRDefault="005D27D0" w:rsidP="00C471C2">
      <w:pPr>
        <w:jc w:val="center"/>
      </w:pPr>
      <w:r w:rsidRPr="00827721">
        <w:rPr>
          <w:b/>
          <w:szCs w:val="28"/>
        </w:rPr>
        <w:t>---------------------------------------------------------</w:t>
      </w:r>
    </w:p>
    <w:p w14:paraId="01E09662" w14:textId="30D4077D" w:rsidR="00216DAA" w:rsidRPr="008A66F9" w:rsidRDefault="00F82A1E" w:rsidP="00C471C2">
      <w:r w:rsidRPr="00827721">
        <w:t>În</w:t>
      </w:r>
      <w:r w:rsidRPr="00827721">
        <w:rPr>
          <w:spacing w:val="40"/>
        </w:rPr>
        <w:t xml:space="preserve"> </w:t>
      </w:r>
      <w:r w:rsidRPr="00827721">
        <w:t>temeiul</w:t>
      </w:r>
      <w:r w:rsidRPr="00827721">
        <w:rPr>
          <w:spacing w:val="40"/>
        </w:rPr>
        <w:t xml:space="preserve"> </w:t>
      </w:r>
      <w:r w:rsidRPr="00827721">
        <w:t>art.</w:t>
      </w:r>
      <w:r w:rsidRPr="00827721">
        <w:rPr>
          <w:spacing w:val="40"/>
        </w:rPr>
        <w:t xml:space="preserve"> </w:t>
      </w:r>
      <w:r w:rsidRPr="00827721">
        <w:t>10</w:t>
      </w:r>
      <w:r w:rsidR="003A4DF9">
        <w:t xml:space="preserve"> alin. (1)</w:t>
      </w:r>
      <w:r w:rsidRPr="00827721">
        <w:rPr>
          <w:spacing w:val="40"/>
        </w:rPr>
        <w:t xml:space="preserve"> </w:t>
      </w:r>
      <w:r w:rsidRPr="00827721">
        <w:t>lit.</w:t>
      </w:r>
      <w:r w:rsidR="009259A5">
        <w:t xml:space="preserve"> d</w:t>
      </w:r>
      <w:r w:rsidR="009259A5">
        <w:rPr>
          <w:vertAlign w:val="superscript"/>
        </w:rPr>
        <w:t>1</w:t>
      </w:r>
      <w:r w:rsidR="009259A5">
        <w:t>)</w:t>
      </w:r>
      <w:r w:rsidR="00936F9F">
        <w:t>, k</w:t>
      </w:r>
      <w:r w:rsidR="00936F9F">
        <w:rPr>
          <w:vertAlign w:val="superscript"/>
        </w:rPr>
        <w:t>1</w:t>
      </w:r>
      <w:r w:rsidR="00936F9F">
        <w:t>)</w:t>
      </w:r>
      <w:r w:rsidR="009259A5">
        <w:t xml:space="preserve"> și</w:t>
      </w:r>
      <w:r w:rsidRPr="00827721">
        <w:rPr>
          <w:spacing w:val="40"/>
        </w:rPr>
        <w:t xml:space="preserve"> </w:t>
      </w:r>
      <w:r w:rsidRPr="00827721">
        <w:t>k</w:t>
      </w:r>
      <w:r w:rsidRPr="00827721">
        <w:rPr>
          <w:vertAlign w:val="superscript"/>
        </w:rPr>
        <w:t>2</w:t>
      </w:r>
      <w:r w:rsidRPr="00827721">
        <w:t>)</w:t>
      </w:r>
      <w:r w:rsidR="0017412B">
        <w:rPr>
          <w:spacing w:val="40"/>
        </w:rPr>
        <w:t xml:space="preserve"> și </w:t>
      </w:r>
      <w:r w:rsidRPr="00827721">
        <w:t>art.</w:t>
      </w:r>
      <w:r w:rsidRPr="00827721">
        <w:rPr>
          <w:spacing w:val="40"/>
        </w:rPr>
        <w:t xml:space="preserve"> </w:t>
      </w:r>
      <w:r w:rsidRPr="00827721">
        <w:t>12</w:t>
      </w:r>
      <w:r w:rsidRPr="00827721">
        <w:rPr>
          <w:spacing w:val="40"/>
        </w:rPr>
        <w:t xml:space="preserve"> </w:t>
      </w:r>
      <w:r w:rsidRPr="00827721">
        <w:t>lit.</w:t>
      </w:r>
      <w:r w:rsidRPr="00827721">
        <w:rPr>
          <w:spacing w:val="40"/>
        </w:rPr>
        <w:t xml:space="preserve"> </w:t>
      </w:r>
      <w:r w:rsidRPr="00827721">
        <w:t>a)</w:t>
      </w:r>
      <w:r w:rsidR="0017412B">
        <w:t xml:space="preserve"> </w:t>
      </w:r>
      <w:r w:rsidRPr="00827721">
        <w:t>din</w:t>
      </w:r>
      <w:r w:rsidRPr="00827721">
        <w:rPr>
          <w:spacing w:val="40"/>
        </w:rPr>
        <w:t xml:space="preserve"> </w:t>
      </w:r>
      <w:r w:rsidRPr="00827721">
        <w:t>Legea</w:t>
      </w:r>
      <w:r w:rsidRPr="00827721">
        <w:rPr>
          <w:spacing w:val="80"/>
        </w:rPr>
        <w:t xml:space="preserve"> </w:t>
      </w:r>
      <w:r w:rsidRPr="00827721">
        <w:t xml:space="preserve">nr. 10/2016 privind promovarea utilizării energiei din surse regenerabile (Monitorul Oficial al Republicii Moldova, 2016, nr. 69-77, art. 117), </w:t>
      </w:r>
      <w:r w:rsidR="00E61AAD">
        <w:t xml:space="preserve">cu modificările ulterioare, </w:t>
      </w:r>
      <w:r w:rsidRPr="00827721">
        <w:t>Guvernul</w:t>
      </w:r>
    </w:p>
    <w:p w14:paraId="61765D41" w14:textId="31029EE4" w:rsidR="00B12F70" w:rsidRPr="00827721" w:rsidRDefault="00B12F70" w:rsidP="00B12F70">
      <w:pPr>
        <w:pStyle w:val="NormalWeb"/>
      </w:pPr>
    </w:p>
    <w:p w14:paraId="56C8809B" w14:textId="77777777" w:rsidR="007D3771" w:rsidRPr="00827721" w:rsidRDefault="007D3771">
      <w:pPr>
        <w:pStyle w:val="cb"/>
        <w:spacing w:before="0" w:beforeAutospacing="0" w:after="0" w:afterAutospacing="0"/>
      </w:pPr>
      <w:r w:rsidRPr="00827721">
        <w:t>HOTĂRĂŞTE:</w:t>
      </w:r>
    </w:p>
    <w:p w14:paraId="0886DB1D" w14:textId="0338B5E5" w:rsidR="00E61AAD" w:rsidRDefault="00E61AAD" w:rsidP="00E61AAD">
      <w:pPr>
        <w:pStyle w:val="Anexapct1"/>
      </w:pPr>
      <w:r w:rsidRPr="00827721">
        <w:t>Se aprobă Regulamentul cu privire la normele de verificare a biocarburanților, biolichidelor și combustibililor din biomasă</w:t>
      </w:r>
      <w:r w:rsidR="00781676">
        <w:t xml:space="preserve"> (se anexează)</w:t>
      </w:r>
      <w:r w:rsidRPr="00827721">
        <w:t>.</w:t>
      </w:r>
    </w:p>
    <w:p w14:paraId="4B27D997" w14:textId="77777777" w:rsidR="00E61AAD" w:rsidRPr="00827721" w:rsidRDefault="00E61AAD" w:rsidP="00E61AAD">
      <w:pPr>
        <w:pStyle w:val="Anexapct1"/>
      </w:pPr>
      <w:r w:rsidRPr="00827721">
        <w:t>Guvernul recunoaște de drept, în temeiul art. 10 alin. (1) lit. d</w:t>
      </w:r>
      <w:r w:rsidRPr="00827721">
        <w:rPr>
          <w:vertAlign w:val="superscript"/>
        </w:rPr>
        <w:t>1</w:t>
      </w:r>
      <w:r w:rsidRPr="00827721">
        <w:t>), schemele voluntare și naționale de certificare aprobate de Comisia Europeană, inclusiv actualizările ulterioare ale listei acestor scheme, fără a fi necesară o procedură suplimentară de validare la nivel național.</w:t>
      </w:r>
    </w:p>
    <w:p w14:paraId="67F85002" w14:textId="77777777" w:rsidR="007449C0" w:rsidRDefault="007449C0" w:rsidP="007449C0">
      <w:pPr>
        <w:pStyle w:val="Anexapct1"/>
      </w:pPr>
      <w:r w:rsidRPr="00827721">
        <w:t>Hotărârea Guvernului nr. 53/2025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seră (Monitorul Oficial al Republicii Moldova, 2025, nr.</w:t>
      </w:r>
      <w:r w:rsidRPr="003D120E">
        <w:rPr>
          <w:rFonts w:ascii="Georgia" w:eastAsia="Times New Roman" w:hAnsi="Georgia"/>
          <w:i/>
          <w:iCs/>
          <w:sz w:val="24"/>
          <w:lang w:eastAsia="ro-RO"/>
        </w:rPr>
        <w:t xml:space="preserve"> </w:t>
      </w:r>
      <w:r w:rsidRPr="00827721">
        <w:t>43-46 art. 68), se modifică după cum urmează:</w:t>
      </w:r>
    </w:p>
    <w:p w14:paraId="3C224447" w14:textId="64107874" w:rsidR="007449C0" w:rsidRDefault="007449C0" w:rsidP="00102D08">
      <w:pPr>
        <w:pStyle w:val="Anexapct11"/>
      </w:pPr>
      <w:r w:rsidRPr="00975132">
        <w:lastRenderedPageBreak/>
        <w:t>în Regulament</w:t>
      </w:r>
      <w:r w:rsidR="008C01FD">
        <w:t>ul</w:t>
      </w:r>
      <w:r w:rsidR="00102D08">
        <w:t xml:space="preserve"> cu privire la criteriile de durabilitate și de reducere a emisiilor de gaze cu efect de seră pentru biocarburanți, biolichide și combustibili din biomasă</w:t>
      </w:r>
      <w:r w:rsidRPr="00975132">
        <w:t>:</w:t>
      </w:r>
      <w:r>
        <w:t xml:space="preserve"> </w:t>
      </w:r>
    </w:p>
    <w:p w14:paraId="09A232AF" w14:textId="596983B6" w:rsidR="007449C0" w:rsidRDefault="009614F8" w:rsidP="007449C0">
      <w:pPr>
        <w:pStyle w:val="Anexapct111"/>
      </w:pPr>
      <w:r>
        <w:t>c</w:t>
      </w:r>
      <w:r w:rsidR="007449C0">
        <w:t xml:space="preserve">lauza de armonizare </w:t>
      </w:r>
      <w:r w:rsidR="000C1EF1">
        <w:t>se completează cu</w:t>
      </w:r>
      <w:r w:rsidR="007449C0">
        <w:t xml:space="preserve"> următorul cuprins:</w:t>
      </w:r>
    </w:p>
    <w:p w14:paraId="2E7F23B7" w14:textId="3E1BB5F2" w:rsidR="007449C0" w:rsidRDefault="007449C0" w:rsidP="00671F38">
      <w:r>
        <w:t>- transpune parțial, art. 2 alin. (46) și (47), art. 30 alin. (5)</w:t>
      </w:r>
      <w:r w:rsidR="000C1EF1">
        <w:t xml:space="preserve">, </w:t>
      </w:r>
      <w:r>
        <w:t>(7), (9) și (10) din 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p>
    <w:p w14:paraId="38AA88BF" w14:textId="6E38A742" w:rsidR="007449C0" w:rsidRPr="00DF16AD" w:rsidRDefault="007449C0" w:rsidP="007449C0">
      <w:pPr>
        <w:pStyle w:val="Anexapct111"/>
      </w:pPr>
      <w:r w:rsidRPr="00975132">
        <w:t>p</w:t>
      </w:r>
      <w:r>
        <w:t>ct. 2 după textul „</w:t>
      </w:r>
      <w:r w:rsidRPr="00DF16AD">
        <w:t>Legea nr.10/2016 privind promovarea utilizării energiei din surse regenerabile</w:t>
      </w:r>
      <w:r>
        <w:t>” se completează cu textul „</w:t>
      </w:r>
      <w:r w:rsidRPr="00DF16AD">
        <w:rPr>
          <w:w w:val="105"/>
        </w:rPr>
        <w:t xml:space="preserve">în </w:t>
      </w:r>
      <w:r w:rsidRPr="00BB0A9A">
        <w:t xml:space="preserve">Regulamentul privind normele de verificare a biocarburanților, biolichidelor </w:t>
      </w:r>
      <w:r w:rsidRPr="00DF16AD">
        <w:t>și combustibililor din biomasă”;</w:t>
      </w:r>
    </w:p>
    <w:p w14:paraId="014CE31A" w14:textId="77777777" w:rsidR="007449C0" w:rsidRPr="00F74A6B" w:rsidRDefault="007449C0" w:rsidP="007449C0">
      <w:pPr>
        <w:pStyle w:val="Anexapct111"/>
      </w:pPr>
      <w:r w:rsidRPr="00F74A6B">
        <w:t xml:space="preserve">se exclude subpct. 2.3. „biocarburanți avansați” </w:t>
      </w:r>
    </w:p>
    <w:p w14:paraId="7DB11C81" w14:textId="77777777" w:rsidR="007449C0" w:rsidRPr="00F74A6B" w:rsidRDefault="007449C0" w:rsidP="007449C0">
      <w:pPr>
        <w:pStyle w:val="Anexapct111"/>
      </w:pPr>
      <w:r w:rsidRPr="00F74A6B">
        <w:t xml:space="preserve">să completează cu următoarele noțiuni: </w:t>
      </w:r>
    </w:p>
    <w:p w14:paraId="0E9F8CAF" w14:textId="77777777" w:rsidR="007449C0" w:rsidRPr="00F74A6B" w:rsidRDefault="007449C0" w:rsidP="007449C0">
      <w:pPr>
        <w:pStyle w:val="Anexapct111"/>
        <w:numPr>
          <w:ilvl w:val="0"/>
          <w:numId w:val="0"/>
        </w:numPr>
        <w:ind w:firstLine="431"/>
      </w:pPr>
      <w:r w:rsidRPr="00F74A6B">
        <w:t xml:space="preserve">„2.16. </w:t>
      </w:r>
      <w:r w:rsidRPr="00F74A6B">
        <w:rPr>
          <w:i/>
        </w:rPr>
        <w:t>valoare tipică</w:t>
      </w:r>
      <w:r w:rsidRPr="00F74A6B">
        <w:t xml:space="preserve"> - o estimare a emisiilor și a reducerilor emisiilor de gaze cu efect de seră pentru o anumită filieră de producție a bioc</w:t>
      </w:r>
      <w:r>
        <w:t>arburanților</w:t>
      </w:r>
      <w:r w:rsidRPr="00F74A6B">
        <w:t>, a biolichidelor sau a combustibililor din biomasă, care este reprezentativă pentru consumul pe teritoriul Republicii Moldova;”</w:t>
      </w:r>
    </w:p>
    <w:p w14:paraId="19E4D258" w14:textId="77777777" w:rsidR="007449C0" w:rsidRPr="00F74A6B" w:rsidRDefault="007449C0" w:rsidP="007449C0">
      <w:pPr>
        <w:pStyle w:val="Anexapct111"/>
        <w:numPr>
          <w:ilvl w:val="0"/>
          <w:numId w:val="0"/>
        </w:numPr>
        <w:ind w:firstLine="431"/>
      </w:pPr>
      <w:r w:rsidRPr="00F74A6B">
        <w:t xml:space="preserve">„2.17. </w:t>
      </w:r>
      <w:r w:rsidRPr="00F74A6B">
        <w:rPr>
          <w:i/>
        </w:rPr>
        <w:t>valoare implicită</w:t>
      </w:r>
      <w:r w:rsidRPr="00F74A6B">
        <w:t xml:space="preserve"> - o valoare derivată dintr-o valoare tipică prin aplicarea unor factori predeterminați, care poate, în anumite condiții specificate de prezentul Regulament, să fie utilizată în locul unei valori efective.”</w:t>
      </w:r>
    </w:p>
    <w:p w14:paraId="7A66395B" w14:textId="77777777" w:rsidR="007449C0" w:rsidRPr="00827721" w:rsidRDefault="007449C0" w:rsidP="007449C0">
      <w:pPr>
        <w:pStyle w:val="Anexapct111"/>
      </w:pPr>
      <w:r>
        <w:t xml:space="preserve"> pct. 6 va avea următorul cuprins:</w:t>
      </w:r>
    </w:p>
    <w:p w14:paraId="3EB34B86" w14:textId="03AABD9C" w:rsidR="007449C0" w:rsidRDefault="007449C0" w:rsidP="00671F38">
      <w:r>
        <w:t>„</w:t>
      </w:r>
      <w:r w:rsidR="00171B09">
        <w:t xml:space="preserve">6. </w:t>
      </w:r>
      <w:r w:rsidRPr="00017D3C">
        <w:t xml:space="preserve">În vederea reducerii la minimum a riscului ca loturile unice să fie revendicate mai mult de o singură dată, </w:t>
      </w:r>
      <w:r w:rsidRPr="00671F38">
        <w:rPr>
          <w:i/>
          <w:iCs/>
        </w:rPr>
        <w:t>organul central de specialitate al administrației publice în domeniul energeticii</w:t>
      </w:r>
      <w:r w:rsidRPr="00017D3C">
        <w:t xml:space="preserve">, </w:t>
      </w:r>
      <w:r w:rsidRPr="00671F38">
        <w:rPr>
          <w:i/>
          <w:iCs/>
        </w:rPr>
        <w:t>cu suportul</w:t>
      </w:r>
      <w:r w:rsidRPr="00017D3C">
        <w:t xml:space="preserve"> Instituție</w:t>
      </w:r>
      <w:r>
        <w:t>i</w:t>
      </w:r>
      <w:r w:rsidRPr="00017D3C">
        <w:t xml:space="preserve"> Public</w:t>
      </w:r>
      <w:r>
        <w:t>e</w:t>
      </w:r>
      <w:r w:rsidRPr="00017D3C">
        <w:t xml:space="preserve"> Centrul Național pentru Energie Durabilă </w:t>
      </w:r>
      <w:r w:rsidRPr="00671F38">
        <w:rPr>
          <w:i/>
          <w:iCs/>
        </w:rPr>
        <w:t>(în continuare – IP CNED)</w:t>
      </w:r>
      <w:r w:rsidRPr="00017D3C">
        <w:t xml:space="preserve">, și Secretariatul Comunității Energetice consolidează cooperarea dintre </w:t>
      </w:r>
      <w:r w:rsidRPr="00671F38">
        <w:rPr>
          <w:i/>
          <w:iCs/>
        </w:rPr>
        <w:t>schemele</w:t>
      </w:r>
      <w:r w:rsidRPr="00017D3C">
        <w:t xml:space="preserve"> naționale și factorii voluntari de verificare stabiliți în temeiul secțiunii a 2-a din capitolul III, inclusiv, dacă este cazul, schimbul de date. În cazul în care IP CNED va suspecta că s-a comis o fraudă sau va depista o astfel de fraudă, </w:t>
      </w:r>
      <w:r w:rsidRPr="00671F38">
        <w:rPr>
          <w:i/>
          <w:iCs/>
        </w:rPr>
        <w:t>organul central de specialitate al administrației publice în domeniul energeticii</w:t>
      </w:r>
      <w:r w:rsidRPr="00017D3C">
        <w:t xml:space="preserve"> informează, după caz, Secretariatul Comunității Energetice.</w:t>
      </w:r>
    </w:p>
    <w:p w14:paraId="4D747454" w14:textId="3530F141" w:rsidR="007449C0" w:rsidRDefault="007449C0" w:rsidP="007449C0">
      <w:pPr>
        <w:pStyle w:val="Anexapct111"/>
      </w:pPr>
      <w:r>
        <w:t xml:space="preserve">pe tot parcursul </w:t>
      </w:r>
      <w:r w:rsidR="00102D08">
        <w:t xml:space="preserve">Regulamentului </w:t>
      </w:r>
      <w:r>
        <w:t>textul „</w:t>
      </w:r>
      <w:r w:rsidRPr="00565E1C">
        <w:t>Instituție Publică</w:t>
      </w:r>
      <w:r w:rsidRPr="009E12F0">
        <w:rPr>
          <w:w w:val="105"/>
        </w:rPr>
        <w:t xml:space="preserve"> Centrul</w:t>
      </w:r>
      <w:r w:rsidRPr="009E12F0">
        <w:rPr>
          <w:spacing w:val="40"/>
          <w:w w:val="105"/>
        </w:rPr>
        <w:t xml:space="preserve"> </w:t>
      </w:r>
      <w:r w:rsidRPr="009E12F0">
        <w:rPr>
          <w:w w:val="105"/>
        </w:rPr>
        <w:t>Național</w:t>
      </w:r>
      <w:r w:rsidRPr="009E12F0">
        <w:rPr>
          <w:spacing w:val="40"/>
          <w:w w:val="105"/>
        </w:rPr>
        <w:t xml:space="preserve"> </w:t>
      </w:r>
      <w:r w:rsidRPr="009E12F0">
        <w:rPr>
          <w:w w:val="105"/>
        </w:rPr>
        <w:t>pentru</w:t>
      </w:r>
      <w:r w:rsidRPr="009E12F0">
        <w:rPr>
          <w:spacing w:val="40"/>
          <w:w w:val="105"/>
        </w:rPr>
        <w:t xml:space="preserve"> </w:t>
      </w:r>
      <w:r w:rsidRPr="009E12F0">
        <w:rPr>
          <w:w w:val="105"/>
        </w:rPr>
        <w:t>Energie</w:t>
      </w:r>
      <w:r w:rsidRPr="009E12F0">
        <w:rPr>
          <w:spacing w:val="40"/>
          <w:w w:val="105"/>
        </w:rPr>
        <w:t xml:space="preserve"> </w:t>
      </w:r>
      <w:r w:rsidRPr="009E12F0">
        <w:rPr>
          <w:w w:val="105"/>
        </w:rPr>
        <w:t>Durabilă</w:t>
      </w:r>
      <w:r>
        <w:t>” se substituie „</w:t>
      </w:r>
      <w:r w:rsidRPr="009E12F0">
        <w:rPr>
          <w:i/>
        </w:rPr>
        <w:t>IP</w:t>
      </w:r>
      <w:r w:rsidRPr="00565E1C">
        <w:t xml:space="preserve"> </w:t>
      </w:r>
      <w:r w:rsidRPr="009E12F0">
        <w:rPr>
          <w:i/>
        </w:rPr>
        <w:t>CNED</w:t>
      </w:r>
      <w:r>
        <w:t>”;</w:t>
      </w:r>
    </w:p>
    <w:p w14:paraId="079F9DE0" w14:textId="77777777" w:rsidR="007449C0" w:rsidRPr="00827721" w:rsidRDefault="007449C0" w:rsidP="007449C0">
      <w:pPr>
        <w:pStyle w:val="Anexapct111"/>
      </w:pPr>
      <w:r>
        <w:t>pct. 7 va avea următorul cuprins:</w:t>
      </w:r>
    </w:p>
    <w:p w14:paraId="1178484F" w14:textId="31A42D4C" w:rsidR="007449C0" w:rsidRDefault="007449C0" w:rsidP="007449C0">
      <w:pPr>
        <w:pStyle w:val="Anexapct111"/>
        <w:numPr>
          <w:ilvl w:val="0"/>
          <w:numId w:val="0"/>
        </w:numPr>
        <w:ind w:firstLine="431"/>
        <w:rPr>
          <w:w w:val="105"/>
        </w:rPr>
      </w:pPr>
      <w:r w:rsidRPr="00423888">
        <w:rPr>
          <w:w w:val="105"/>
        </w:rPr>
        <w:lastRenderedPageBreak/>
        <w:t>„</w:t>
      </w:r>
      <w:r w:rsidR="00171B09">
        <w:rPr>
          <w:w w:val="105"/>
        </w:rPr>
        <w:t>7.</w:t>
      </w:r>
      <w:r w:rsidR="00AF28ED">
        <w:rPr>
          <w:w w:val="105"/>
        </w:rPr>
        <w:t xml:space="preserve"> </w:t>
      </w:r>
      <w:r>
        <w:rPr>
          <w:w w:val="105"/>
        </w:rPr>
        <w:t>P</w:t>
      </w:r>
      <w:r w:rsidRPr="00423888">
        <w:rPr>
          <w:w w:val="105"/>
        </w:rPr>
        <w:t>entru a permite urmărirea combustibililor lichizi și gazoși utilizați în transporturi,</w:t>
      </w:r>
      <w:r w:rsidRPr="00423888">
        <w:rPr>
          <w:spacing w:val="80"/>
          <w:w w:val="105"/>
        </w:rPr>
        <w:t xml:space="preserve"> </w:t>
      </w:r>
      <w:r w:rsidRPr="00423888">
        <w:rPr>
          <w:w w:val="105"/>
        </w:rPr>
        <w:t>ce sunt eligibili pentru a fi luați în considerare la calculul cantității de energie din surse regenerabile consumată în sectorul transporturilor sau ce sunt luați în considerare în</w:t>
      </w:r>
      <w:r w:rsidRPr="00423888">
        <w:rPr>
          <w:spacing w:val="80"/>
          <w:w w:val="105"/>
        </w:rPr>
        <w:t xml:space="preserve"> </w:t>
      </w:r>
      <w:r w:rsidRPr="00423888">
        <w:rPr>
          <w:w w:val="105"/>
        </w:rPr>
        <w:t>scopurile</w:t>
      </w:r>
      <w:r w:rsidRPr="00423888">
        <w:rPr>
          <w:spacing w:val="40"/>
          <w:w w:val="105"/>
        </w:rPr>
        <w:t xml:space="preserve"> </w:t>
      </w:r>
      <w:r w:rsidRPr="00423888">
        <w:rPr>
          <w:w w:val="105"/>
        </w:rPr>
        <w:t>prevăzute</w:t>
      </w:r>
      <w:r w:rsidRPr="00423888">
        <w:rPr>
          <w:spacing w:val="40"/>
          <w:w w:val="105"/>
        </w:rPr>
        <w:t xml:space="preserve"> </w:t>
      </w:r>
      <w:r w:rsidRPr="00423888">
        <w:rPr>
          <w:w w:val="105"/>
        </w:rPr>
        <w:t>la</w:t>
      </w:r>
      <w:r w:rsidRPr="00423888">
        <w:rPr>
          <w:spacing w:val="40"/>
          <w:w w:val="105"/>
        </w:rPr>
        <w:t xml:space="preserve"> </w:t>
      </w:r>
      <w:r w:rsidRPr="00423888">
        <w:rPr>
          <w:w w:val="105"/>
        </w:rPr>
        <w:t>pct.</w:t>
      </w:r>
      <w:r w:rsidRPr="00423888">
        <w:rPr>
          <w:spacing w:val="40"/>
          <w:w w:val="105"/>
        </w:rPr>
        <w:t xml:space="preserve"> </w:t>
      </w:r>
      <w:r w:rsidRPr="00423888">
        <w:rPr>
          <w:w w:val="105"/>
        </w:rPr>
        <w:t>15,</w:t>
      </w:r>
      <w:r w:rsidRPr="00423888">
        <w:rPr>
          <w:spacing w:val="40"/>
          <w:w w:val="105"/>
        </w:rPr>
        <w:t xml:space="preserve"> </w:t>
      </w:r>
      <w:r w:rsidRPr="007F44AF">
        <w:rPr>
          <w:i/>
          <w:iCs/>
          <w:w w:val="105"/>
        </w:rPr>
        <w:t>operatorii economici</w:t>
      </w:r>
      <w:r w:rsidRPr="00423888">
        <w:rPr>
          <w:spacing w:val="40"/>
          <w:w w:val="105"/>
        </w:rPr>
        <w:t xml:space="preserve"> </w:t>
      </w:r>
      <w:r w:rsidRPr="007F44AF">
        <w:rPr>
          <w:i/>
          <w:iCs/>
          <w:w w:val="105"/>
        </w:rPr>
        <w:t>introduc în Registru de biocarburanți date exacte</w:t>
      </w:r>
      <w:r w:rsidR="00106409">
        <w:rPr>
          <w:i/>
          <w:iCs/>
          <w:w w:val="105"/>
        </w:rPr>
        <w:t xml:space="preserve"> privind</w:t>
      </w:r>
      <w:r w:rsidRPr="00423888">
        <w:rPr>
          <w:w w:val="105"/>
        </w:rPr>
        <w:t xml:space="preserve"> tranzacțiile realizate și caracteristicile de durabilitate ale combustibililor respectivi, inclusiv emisiile lor de gaze cu efect de seră generate pe durata ciclului de viață, începând de la punctul lor de producție și până la </w:t>
      </w:r>
      <w:r w:rsidRPr="007F44AF">
        <w:rPr>
          <w:i/>
          <w:iCs/>
          <w:w w:val="105"/>
        </w:rPr>
        <w:t>introducerea acestora</w:t>
      </w:r>
      <w:r w:rsidRPr="00423888">
        <w:rPr>
          <w:w w:val="105"/>
        </w:rPr>
        <w:t xml:space="preserve"> pe piață.”</w:t>
      </w:r>
    </w:p>
    <w:p w14:paraId="18F7E1DB" w14:textId="77777777" w:rsidR="007449C0" w:rsidRPr="009E12F0" w:rsidRDefault="007449C0" w:rsidP="007449C0">
      <w:pPr>
        <w:pStyle w:val="Anexapct111"/>
      </w:pPr>
      <w:r>
        <w:t>la pct. 9 textul: „vor transmite CNED” se va substituie cu textul „</w:t>
      </w:r>
      <w:r w:rsidRPr="007F44AF">
        <w:rPr>
          <w:i/>
          <w:iCs/>
          <w:w w:val="105"/>
        </w:rPr>
        <w:t>introduc în Registru de biocarburanți</w:t>
      </w:r>
      <w:r w:rsidRPr="00423888">
        <w:rPr>
          <w:w w:val="105"/>
        </w:rPr>
        <w:t xml:space="preserve"> </w:t>
      </w:r>
      <w:r w:rsidRPr="007F44AF">
        <w:rPr>
          <w:i/>
          <w:iCs/>
          <w:w w:val="105"/>
        </w:rPr>
        <w:t>datele</w:t>
      </w:r>
      <w:r>
        <w:t>”</w:t>
      </w:r>
      <w:r w:rsidRPr="009E12F0">
        <w:rPr>
          <w:spacing w:val="-2"/>
          <w:w w:val="105"/>
        </w:rPr>
        <w:t>;</w:t>
      </w:r>
    </w:p>
    <w:p w14:paraId="78A0525E" w14:textId="77777777" w:rsidR="007449C0" w:rsidRPr="007F44AF" w:rsidRDefault="007449C0" w:rsidP="007449C0">
      <w:pPr>
        <w:pStyle w:val="Anexapct111"/>
      </w:pPr>
      <w:r w:rsidRPr="007F44AF">
        <w:t xml:space="preserve">la pct. 29, 32, </w:t>
      </w:r>
      <w:r w:rsidRPr="00F74A6B">
        <w:t xml:space="preserve">32.2, </w:t>
      </w:r>
      <w:r w:rsidRPr="007F44AF">
        <w:t>33 și 35 sintagma „furnizori de combustibil” se modifică cu „operatori economici”;</w:t>
      </w:r>
    </w:p>
    <w:p w14:paraId="3616371B" w14:textId="26C4DA4B" w:rsidR="007449C0" w:rsidRPr="00565E1C" w:rsidRDefault="007449C0" w:rsidP="00671F38">
      <w:pPr>
        <w:pStyle w:val="Anexapct111"/>
      </w:pPr>
      <w:r>
        <w:t xml:space="preserve">la pct. 35 </w:t>
      </w:r>
      <w:r w:rsidR="00157371">
        <w:t>textul „</w:t>
      </w:r>
      <w:r w:rsidR="00157371" w:rsidRPr="00157371">
        <w:rPr>
          <w:w w:val="105"/>
        </w:rPr>
        <w:t>furnizorii de combustibili a certificatelor din schemele voluntare naționale sau internaționale aprobate sau recunoscute de Guvern</w:t>
      </w:r>
      <w:r w:rsidR="00F06468">
        <w:rPr>
          <w:w w:val="105"/>
        </w:rPr>
        <w:t>.</w:t>
      </w:r>
      <w:r w:rsidR="00157371">
        <w:rPr>
          <w:w w:val="105"/>
        </w:rPr>
        <w:t xml:space="preserve">” se substituie </w:t>
      </w:r>
      <w:r w:rsidR="00F06468">
        <w:rPr>
          <w:w w:val="105"/>
        </w:rPr>
        <w:t>cu textul „</w:t>
      </w:r>
      <w:r w:rsidR="00F06468" w:rsidRPr="00BB0A9A">
        <w:rPr>
          <w:w w:val="105"/>
        </w:rPr>
        <w:t>operatorii economici a certificatelor din cadrul unei scheme voluntare sau naționale recunoscut</w:t>
      </w:r>
      <w:r w:rsidR="00F06468">
        <w:rPr>
          <w:w w:val="105"/>
        </w:rPr>
        <w:t>e</w:t>
      </w:r>
      <w:r w:rsidR="00F06468" w:rsidRPr="00BB0A9A">
        <w:rPr>
          <w:w w:val="105"/>
        </w:rPr>
        <w:t xml:space="preserve"> de Guvern</w:t>
      </w:r>
      <w:r w:rsidR="00F06468">
        <w:rPr>
          <w:w w:val="105"/>
        </w:rPr>
        <w:t>.</w:t>
      </w:r>
      <w:r w:rsidR="002F5C6C" w:rsidRPr="00671F38">
        <w:rPr>
          <w:w w:val="105"/>
        </w:rPr>
        <w:t xml:space="preserve"> </w:t>
      </w:r>
      <w:r w:rsidR="002F5C6C" w:rsidRPr="00BB0A9A">
        <w:t>Certificatul emis în cadrul unei scheme</w:t>
      </w:r>
      <w:r w:rsidR="002F5C6C" w:rsidRPr="00BB0A9A">
        <w:rPr>
          <w:w w:val="105"/>
        </w:rPr>
        <w:t xml:space="preserve"> voluntare</w:t>
      </w:r>
      <w:r w:rsidR="002F5C6C" w:rsidRPr="00BB0A9A">
        <w:t xml:space="preserve"> </w:t>
      </w:r>
      <w:r w:rsidR="002F5C6C" w:rsidRPr="00BB0A9A">
        <w:rPr>
          <w:w w:val="105"/>
        </w:rPr>
        <w:t xml:space="preserve">sau naționale </w:t>
      </w:r>
      <w:r w:rsidR="002F5C6C" w:rsidRPr="00BB0A9A">
        <w:t>recunoscut</w:t>
      </w:r>
      <w:r w:rsidR="002F5C6C">
        <w:t>e</w:t>
      </w:r>
      <w:r w:rsidR="002F5C6C" w:rsidRPr="00BB0A9A">
        <w:t xml:space="preserve"> de Guvern</w:t>
      </w:r>
      <w:r w:rsidR="002F5C6C" w:rsidRPr="00D42195">
        <w:t xml:space="preserve"> </w:t>
      </w:r>
      <w:r w:rsidR="002F5C6C" w:rsidRPr="00BB0A9A">
        <w:t>confirmă respectarea elementelor prevăzute de schema</w:t>
      </w:r>
      <w:r w:rsidR="002F5C6C">
        <w:t xml:space="preserve"> respectivă</w:t>
      </w:r>
      <w:r w:rsidR="002F5C6C" w:rsidRPr="00BB0A9A">
        <w:t xml:space="preserve">, iar </w:t>
      </w:r>
      <w:r w:rsidR="002F5C6C" w:rsidRPr="002F5C6C">
        <w:t>prezentarea altor dovezi nu este necesară</w:t>
      </w:r>
      <w:r w:rsidR="002F5C6C" w:rsidRPr="00BB0A9A">
        <w:t>.</w:t>
      </w:r>
      <w:r w:rsidR="00F06468">
        <w:rPr>
          <w:w w:val="105"/>
        </w:rPr>
        <w:t>”</w:t>
      </w:r>
    </w:p>
    <w:p w14:paraId="0D4CD9FB" w14:textId="110465F9" w:rsidR="007449C0" w:rsidRPr="00975132" w:rsidRDefault="007449C0" w:rsidP="007449C0">
      <w:pPr>
        <w:pStyle w:val="Anexapct111"/>
      </w:pPr>
      <w:r>
        <w:t xml:space="preserve">se completează pct. 35 cu </w:t>
      </w:r>
      <w:r w:rsidR="003E29A5">
        <w:t>un</w:t>
      </w:r>
      <w:r w:rsidR="00F60D5C">
        <w:t xml:space="preserve"> </w:t>
      </w:r>
      <w:r w:rsidR="00AA77E0">
        <w:t>subpunct</w:t>
      </w:r>
      <w:r>
        <w:t xml:space="preserve"> </w:t>
      </w:r>
      <w:r w:rsidR="003E29A5">
        <w:t>nou</w:t>
      </w:r>
      <w:r>
        <w:t xml:space="preserve">, </w:t>
      </w:r>
      <w:r w:rsidRPr="00975132">
        <w:t>cu următorul cuprins:</w:t>
      </w:r>
    </w:p>
    <w:p w14:paraId="0C6AACF2" w14:textId="05A48DE8" w:rsidR="007449C0" w:rsidRDefault="007449C0" w:rsidP="002F5C6C">
      <w:r>
        <w:t>„</w:t>
      </w:r>
      <w:r w:rsidRPr="007F44AF">
        <w:t>35.1</w:t>
      </w:r>
      <w:r>
        <w:t>.</w:t>
      </w:r>
      <w:r w:rsidRPr="00BB0A9A">
        <w:t xml:space="preserve"> </w:t>
      </w:r>
      <w:r w:rsidRPr="00450DE0">
        <w:t xml:space="preserve">Schema voluntară poate fi instituită de persoana juridică sub orice formă </w:t>
      </w:r>
      <w:proofErr w:type="spellStart"/>
      <w:r w:rsidRPr="00450DE0">
        <w:t>organizatorico</w:t>
      </w:r>
      <w:proofErr w:type="spellEnd"/>
      <w:r w:rsidRPr="00450DE0">
        <w:t xml:space="preserve">-juridică prevăzută de Legea nr. 845/1992 cu privire la </w:t>
      </w:r>
      <w:proofErr w:type="spellStart"/>
      <w:r w:rsidRPr="00450DE0">
        <w:t>antreprenoriat</w:t>
      </w:r>
      <w:proofErr w:type="spellEnd"/>
      <w:r w:rsidRPr="00450DE0">
        <w:t xml:space="preserve"> și întreprinderi. În cazul în care </w:t>
      </w:r>
      <w:r>
        <w:t>grupul de lucru, instituit în sensul</w:t>
      </w:r>
      <w:r w:rsidRPr="00450DE0">
        <w:t xml:space="preserve"> Regulamentul</w:t>
      </w:r>
      <w:r>
        <w:t>ui</w:t>
      </w:r>
      <w:r w:rsidRPr="00450DE0">
        <w:t xml:space="preserve"> cu privire la normele de verificare a biocarburanților, biolichidelor și combustibililor din biomasă</w:t>
      </w:r>
      <w:r w:rsidRPr="00BB0A9A">
        <w:t xml:space="preserve">, </w:t>
      </w:r>
      <w:r w:rsidRPr="00450DE0">
        <w:t>confirmă respectarea elementelor prevăzute de schemă voluntară</w:t>
      </w:r>
      <w:r>
        <w:t>,</w:t>
      </w:r>
      <w:r w:rsidRPr="00450DE0">
        <w:t xml:space="preserve"> </w:t>
      </w:r>
      <w:r w:rsidRPr="00BB0A9A">
        <w:t>organul central de specialitate al administrației publice în domeniul energeticii,</w:t>
      </w:r>
      <w:r>
        <w:t xml:space="preserve"> </w:t>
      </w:r>
      <w:r w:rsidRPr="00BB0A9A">
        <w:t>în coordonare cu organul central de specialitate al administrației publice pentru resurse naturale și mediu, propune Guvernului spre aprobare proiectul schemei voluntare de certificare în temeiul art. 10 alin. (1) lit. d</w:t>
      </w:r>
      <w:r w:rsidRPr="00BB0A9A">
        <w:rPr>
          <w:vertAlign w:val="superscript"/>
        </w:rPr>
        <w:t>1</w:t>
      </w:r>
      <w:r w:rsidRPr="00BB0A9A">
        <w:t>) din Legea nr. 10/2016 privind promovarea utilizării energiei din surse regenerabile.</w:t>
      </w:r>
      <w:r>
        <w:t xml:space="preserve"> O</w:t>
      </w:r>
      <w:r w:rsidRPr="00BB0A9A">
        <w:t>rganul central de specialitate al administrației publice în domeniul energeticii</w:t>
      </w:r>
      <w:r w:rsidRPr="009600D0" w:rsidDel="001E0B6C">
        <w:t xml:space="preserve"> </w:t>
      </w:r>
      <w:r w:rsidRPr="009600D0">
        <w:t>notifică Secretariatul Comunității Energetice cu privire la intenția de a recunoaște schema voluntară aprobată de Guvern pe teritoriul Uniunii Europene și al părților contractante la Tratatul de constituire a Comunității Energetice</w:t>
      </w:r>
      <w:r>
        <w:t>.</w:t>
      </w:r>
    </w:p>
    <w:p w14:paraId="73796CCB" w14:textId="334E57AF" w:rsidR="007449C0" w:rsidRPr="00565E1C" w:rsidRDefault="00F60D5C" w:rsidP="007449C0">
      <w:pPr>
        <w:pStyle w:val="Anexapct111"/>
      </w:pPr>
      <w:r>
        <w:t>d</w:t>
      </w:r>
      <w:r w:rsidR="007449C0">
        <w:t xml:space="preserve">upă pct. 35 se completează cu </w:t>
      </w:r>
      <w:r w:rsidR="00897253">
        <w:t>trei</w:t>
      </w:r>
      <w:r w:rsidR="007449C0">
        <w:t xml:space="preserve"> pu</w:t>
      </w:r>
      <w:r w:rsidR="007A514B">
        <w:t>n</w:t>
      </w:r>
      <w:r w:rsidR="007449C0">
        <w:t>cte noi, cu următorul cuprins:</w:t>
      </w:r>
    </w:p>
    <w:p w14:paraId="521EBB9B" w14:textId="685ACB47" w:rsidR="00897253" w:rsidRDefault="00777B80" w:rsidP="007449C0">
      <w:r w:rsidRPr="00671F38">
        <w:lastRenderedPageBreak/>
        <w:t>„</w:t>
      </w:r>
      <w:r w:rsidR="00897253" w:rsidRPr="00777B80">
        <w:rPr>
          <w:b/>
          <w:bCs/>
        </w:rPr>
        <w:t>3</w:t>
      </w:r>
      <w:r w:rsidR="00897253">
        <w:rPr>
          <w:b/>
          <w:bCs/>
        </w:rPr>
        <w:t>5</w:t>
      </w:r>
      <w:r w:rsidR="00897253">
        <w:rPr>
          <w:b/>
          <w:bCs/>
          <w:vertAlign w:val="superscript"/>
        </w:rPr>
        <w:t>1</w:t>
      </w:r>
      <w:r w:rsidR="00897253">
        <w:rPr>
          <w:b/>
          <w:bCs/>
        </w:rPr>
        <w:t xml:space="preserve">. </w:t>
      </w:r>
      <w:r w:rsidR="003D31DB" w:rsidRPr="00671F38">
        <w:t xml:space="preserve">În cazul în care </w:t>
      </w:r>
      <w:r w:rsidR="003D31DB" w:rsidRPr="00BB0A9A">
        <w:t>organul central de specialitate al administrației publice în domeniul energeticii</w:t>
      </w:r>
      <w:r w:rsidR="003D31DB" w:rsidRPr="00671F38">
        <w:t xml:space="preserve"> instituie o schemă națională în temeiul art. 26</w:t>
      </w:r>
      <w:r w:rsidR="003D31DB" w:rsidRPr="00671F38">
        <w:rPr>
          <w:vertAlign w:val="superscript"/>
        </w:rPr>
        <w:t>2</w:t>
      </w:r>
      <w:r w:rsidR="003D31DB" w:rsidRPr="00671F38">
        <w:t xml:space="preserve"> alin. (7) din Legea nr. 10/2016 privind promovarea utilizării energiei din surse regenerabile, respectarea criteriilor de durabilitate și de reducere a emisiilor de gaze cu efect de seră stabilite la pct. 15-24, precum și a criteriilor de reducere a emisiilor de gaze cu efect de seră pentru combustibilii din surse regenerabile de origine nebiologică și pentru combustibilii pe bază de carbon reciclat, în conformitate cu metodologia din anexa nr. 3 la prezenta hotărâre, se verifică întregul lanț de custodie implicând autoritățile competente. Schema națională poate fi utilizată pentru a verifica exactitatea și caracterul complet al informațiilor introduse de operatorii economici în Registru de biocarburanți, pentru a demonstra respectarea pct. 35 din Regulamentului privind calculul consumului de energie din surse regenerabile aprobat prin Hotărârea Guvernului nr. 74/2025 cu privire la aprobarea Regulamentului privind calculul consumului de energie din surse regenerabile și pentru certificarea biocombustibililor, a biolichidelor și a combustibililor din biomasă care prezintă riscuri reduse din perspectiva schimbării indirecte a destinației terenurilor.</w:t>
      </w:r>
    </w:p>
    <w:p w14:paraId="3D4FA0BC" w14:textId="69D2CCB9" w:rsidR="00083F2B" w:rsidRDefault="00083F2B" w:rsidP="00083F2B">
      <w:r w:rsidRPr="00671F38">
        <w:rPr>
          <w:b/>
          <w:bCs/>
        </w:rPr>
        <w:t>35</w:t>
      </w:r>
      <w:r w:rsidRPr="00671F38">
        <w:rPr>
          <w:b/>
          <w:bCs/>
          <w:vertAlign w:val="superscript"/>
        </w:rPr>
        <w:t>1</w:t>
      </w:r>
      <w:r w:rsidRPr="00671F38">
        <w:rPr>
          <w:b/>
          <w:bCs/>
        </w:rPr>
        <w:t>.1.</w:t>
      </w:r>
      <w:r>
        <w:t xml:space="preserve"> Pentru recunoașterea reciprocă, bilaterală și/sau multilaterală a schemei naționale în raport cu schemele recunoscute de Guvern, </w:t>
      </w:r>
      <w:r w:rsidRPr="00BB0A9A">
        <w:t>organul central de specialitate al administrației publice în domeniul energeticii</w:t>
      </w:r>
      <w:r>
        <w:t xml:space="preserve"> notifică schema națională Secretariatului Comunității Energetice.</w:t>
      </w:r>
    </w:p>
    <w:p w14:paraId="41D8215B" w14:textId="09B7DE79" w:rsidR="006C4885" w:rsidRPr="00897253" w:rsidRDefault="00083F2B" w:rsidP="00083F2B">
      <w:r w:rsidRPr="00671F38">
        <w:rPr>
          <w:b/>
          <w:bCs/>
        </w:rPr>
        <w:t>35</w:t>
      </w:r>
      <w:r w:rsidRPr="00671F38">
        <w:rPr>
          <w:b/>
          <w:bCs/>
          <w:vertAlign w:val="superscript"/>
        </w:rPr>
        <w:t>1</w:t>
      </w:r>
      <w:r w:rsidRPr="00671F38">
        <w:rPr>
          <w:b/>
          <w:bCs/>
        </w:rPr>
        <w:t>.2.</w:t>
      </w:r>
      <w:r>
        <w:t xml:space="preserve"> Pentru instalațiile care produc energie electrică pentru încălzire și răcire cu o putere termică instalată totală cuprinsă între 7,5 și 20 MW, </w:t>
      </w:r>
      <w:r w:rsidRPr="00083F2B">
        <w:t xml:space="preserve">organul central de specialitate al administrației publice în domeniul energeticii </w:t>
      </w:r>
      <w:r>
        <w:t>stabilește o schemă națională de verificare simplificată pentru a asigura îndeplinirea criteriilor de durabilitate și de reducere a emisiilor de gaze cu efect de seră prevăzute la pct. 15-24.</w:t>
      </w:r>
    </w:p>
    <w:p w14:paraId="57AB8AA6" w14:textId="124CE2E1" w:rsidR="007449C0" w:rsidRPr="00BB0A9A" w:rsidRDefault="007449C0" w:rsidP="007449C0">
      <w:bookmarkStart w:id="0" w:name="_Hlk219364824"/>
      <w:r w:rsidRPr="00BB0A9A">
        <w:rPr>
          <w:b/>
          <w:bCs/>
        </w:rPr>
        <w:t>35</w:t>
      </w:r>
      <w:r w:rsidR="007A514B">
        <w:rPr>
          <w:b/>
          <w:bCs/>
          <w:vertAlign w:val="superscript"/>
        </w:rPr>
        <w:t>2</w:t>
      </w:r>
      <w:bookmarkEnd w:id="0"/>
      <w:r w:rsidRPr="00BB0A9A">
        <w:rPr>
          <w:b/>
          <w:bCs/>
        </w:rPr>
        <w:t xml:space="preserve">. </w:t>
      </w:r>
      <w:r w:rsidRPr="00565E1C">
        <w:t>Centrul Național de Acreditare</w:t>
      </w:r>
      <w:r w:rsidRPr="00BB0A9A">
        <w:t> supraveghează funcționarea organismelor de certificare care realizează audituri independente în cadrul unei scheme voluntare. Organismele de certificare furnizează, la cererea Centrului Național de Acreditare, toate informațiile relevante necesare pentru a supraveghea funcționarea acestora, inclusiv data exactă, ora și locul de desfășurare a auditurilor. În cazul în care Centrul Național de Acreditare constată probleme de neconformitate, acesta informează schema voluntară în termen de 5 zile lucrătoare de la data constatării.</w:t>
      </w:r>
    </w:p>
    <w:p w14:paraId="6AF2D938" w14:textId="2DEC2FCE" w:rsidR="007449C0" w:rsidRDefault="007449C0" w:rsidP="007449C0">
      <w:bookmarkStart w:id="1" w:name="_Hlk219364832"/>
      <w:r w:rsidRPr="00BB0A9A">
        <w:rPr>
          <w:b/>
          <w:bCs/>
        </w:rPr>
        <w:t>35</w:t>
      </w:r>
      <w:r w:rsidR="007A514B">
        <w:rPr>
          <w:b/>
          <w:bCs/>
          <w:vertAlign w:val="superscript"/>
        </w:rPr>
        <w:t>3</w:t>
      </w:r>
      <w:r w:rsidRPr="00BB0A9A">
        <w:rPr>
          <w:b/>
          <w:bCs/>
        </w:rPr>
        <w:t xml:space="preserve">. </w:t>
      </w:r>
      <w:bookmarkEnd w:id="1"/>
      <w:r w:rsidRPr="00BB0A9A">
        <w:t xml:space="preserve">La solicitarea </w:t>
      </w:r>
      <w:r w:rsidRPr="00565E1C">
        <w:t>Secretariatului Comunității Energetice</w:t>
      </w:r>
      <w:r w:rsidRPr="00BB0A9A">
        <w:t xml:space="preserve">, </w:t>
      </w:r>
      <w:r>
        <w:t>o</w:t>
      </w:r>
      <w:r w:rsidRPr="00BB0A9A">
        <w:t>rganul central de specialitate al administrației publice în domeniul energeticii</w:t>
      </w:r>
      <w:r w:rsidRPr="00BB0A9A" w:rsidDel="00E21322">
        <w:t xml:space="preserve"> </w:t>
      </w:r>
      <w:r>
        <w:t>prezintă informația necesară pentru</w:t>
      </w:r>
      <w:r w:rsidRPr="00BB0A9A" w:rsidDel="007E13E7">
        <w:t xml:space="preserve"> </w:t>
      </w:r>
      <w:r w:rsidRPr="00BB0A9A">
        <w:t>verific</w:t>
      </w:r>
      <w:r>
        <w:t>area</w:t>
      </w:r>
      <w:r w:rsidRPr="00BB0A9A">
        <w:t xml:space="preserve"> respect</w:t>
      </w:r>
      <w:r>
        <w:t>ării</w:t>
      </w:r>
      <w:r w:rsidRPr="00BB0A9A">
        <w:t xml:space="preserve"> criteriilor de durabilitate și a cerințelor privind </w:t>
      </w:r>
      <w:r w:rsidRPr="00BB0A9A">
        <w:lastRenderedPageBreak/>
        <w:t xml:space="preserve">reducerea emisiilor de gaze cu efect de seră, prevăzute la </w:t>
      </w:r>
      <w:r w:rsidRPr="00565E1C">
        <w:t>pct. 15–24</w:t>
      </w:r>
      <w:r w:rsidRPr="00BB0A9A">
        <w:t xml:space="preserve">, precum și a pragurilor de reducere a emisiilor de gaze cu efect de seră stabilite și adoptate în temeiul </w:t>
      </w:r>
      <w:r w:rsidRPr="00565E1C">
        <w:t>pct. 2</w:t>
      </w:r>
      <w:r w:rsidRPr="00BB0A9A">
        <w:t xml:space="preserve"> din prezenta hotărâre, pentru sursele de bioc</w:t>
      </w:r>
      <w:r>
        <w:t>arburanți</w:t>
      </w:r>
      <w:r w:rsidRPr="00BB0A9A">
        <w:t>, biolichide și combustibili din biomasă.</w:t>
      </w:r>
      <w:r>
        <w:t>”</w:t>
      </w:r>
    </w:p>
    <w:p w14:paraId="369EC3AC" w14:textId="27E746DD" w:rsidR="00DE3FED" w:rsidRDefault="00DE3FED" w:rsidP="00671F38">
      <w:pPr>
        <w:pStyle w:val="Anexapct111"/>
      </w:pPr>
      <w:r>
        <w:t>anexa nr. 1 și nr. 2 se abrogă;</w:t>
      </w:r>
    </w:p>
    <w:p w14:paraId="61BA86E0" w14:textId="0C938EBC" w:rsidR="008C01FD" w:rsidRDefault="00F60D5C" w:rsidP="009F26C3">
      <w:pPr>
        <w:pStyle w:val="Anexapct11"/>
      </w:pPr>
      <w:r>
        <w:t>l</w:t>
      </w:r>
      <w:r w:rsidR="008C01FD">
        <w:t xml:space="preserve">a </w:t>
      </w:r>
      <w:r w:rsidR="003E29A5">
        <w:t>M</w:t>
      </w:r>
      <w:r w:rsidR="008C01FD">
        <w:t>etodologi</w:t>
      </w:r>
      <w:r w:rsidR="00102D08">
        <w:t>a de calcul al impactului biocarburanților, biolichidelor și combustibililor din biomasă asupra emisiilor de gaze cu efect de seră,</w:t>
      </w:r>
      <w:r w:rsidR="001F2469">
        <w:t xml:space="preserve"> </w:t>
      </w:r>
      <w:r w:rsidR="00102D08">
        <w:t xml:space="preserve">aprobată prin </w:t>
      </w:r>
      <w:r>
        <w:t>a</w:t>
      </w:r>
      <w:r w:rsidR="00102D08">
        <w:t>nexa nr.</w:t>
      </w:r>
      <w:r w:rsidR="002724C1">
        <w:t xml:space="preserve"> </w:t>
      </w:r>
      <w:r w:rsidR="00102D08">
        <w:t>2</w:t>
      </w:r>
      <w:r w:rsidR="009F26C3">
        <w:t>:</w:t>
      </w:r>
    </w:p>
    <w:p w14:paraId="1E2190B0" w14:textId="759EB1EA" w:rsidR="009F26C3" w:rsidRDefault="00F60D5C" w:rsidP="009F26C3">
      <w:pPr>
        <w:pStyle w:val="Anexapct111"/>
      </w:pPr>
      <w:r>
        <w:t>c</w:t>
      </w:r>
      <w:r w:rsidR="009F26C3">
        <w:t xml:space="preserve">lauza de armonizare </w:t>
      </w:r>
      <w:r w:rsidR="000C1EF1">
        <w:t>se completează cu următorul cuprins</w:t>
      </w:r>
      <w:r w:rsidR="009F26C3">
        <w:t>:</w:t>
      </w:r>
    </w:p>
    <w:p w14:paraId="5EAAA800" w14:textId="304F07C0" w:rsidR="009F26C3" w:rsidRDefault="009F26C3" w:rsidP="00671F38">
      <w:r>
        <w:t>- transpune parțial, art. 31 alin. (2)-(4) din Directiva (UE) 2018/2001 a Parlamentului European și a Consiliului din 11 decembrie 2018 privind promovarea utilizării energiei din surse regenerabile (reformare), publicată în Jurnalul Oficial al Uniunii Europene, seria L 328 din 21 decembrie 2018 (CELEX: 32018L2001), așa cum a fost modificată ultima oară prin Directiva (UE) 2024/1711 a Parlamentului European și a Consiliului din 13 iunie 2024;</w:t>
      </w:r>
    </w:p>
    <w:p w14:paraId="65CC7648" w14:textId="01CE816E" w:rsidR="008C01FD" w:rsidRDefault="00F60D5C" w:rsidP="00671F38">
      <w:pPr>
        <w:pStyle w:val="Anexapct111"/>
      </w:pPr>
      <w:r>
        <w:t>d</w:t>
      </w:r>
      <w:r w:rsidR="008C01FD">
        <w:t>upă pct</w:t>
      </w:r>
      <w:r w:rsidR="001E328E">
        <w:t>.</w:t>
      </w:r>
      <w:r w:rsidR="008C01FD">
        <w:t xml:space="preserve"> 5, se completează cu pct. 5</w:t>
      </w:r>
      <w:r w:rsidR="008C01FD">
        <w:rPr>
          <w:vertAlign w:val="superscript"/>
        </w:rPr>
        <w:t xml:space="preserve">1 </w:t>
      </w:r>
      <w:r w:rsidR="008C01FD">
        <w:t>cu următorul cuprins:</w:t>
      </w:r>
    </w:p>
    <w:p w14:paraId="6C5FA731" w14:textId="698F32AA" w:rsidR="00102D08" w:rsidRDefault="008C01FD" w:rsidP="00671F38">
      <w:pPr>
        <w:pStyle w:val="HGpct1"/>
        <w:numPr>
          <w:ilvl w:val="0"/>
          <w:numId w:val="0"/>
        </w:numPr>
        <w:ind w:firstLine="426"/>
      </w:pPr>
      <w:r>
        <w:rPr>
          <w:rFonts w:eastAsia="Calibri"/>
          <w:bdr w:val="none" w:sz="0" w:space="0" w:color="auto" w:frame="1"/>
          <w:shd w:val="clear" w:color="auto" w:fill="FFFFFF"/>
        </w:rPr>
        <w:t>„</w:t>
      </w:r>
      <w:r w:rsidRPr="007F44AF">
        <w:rPr>
          <w:rFonts w:eastAsia="Calibri"/>
          <w:b/>
          <w:bCs/>
          <w:bdr w:val="none" w:sz="0" w:space="0" w:color="auto" w:frame="1"/>
          <w:shd w:val="clear" w:color="auto" w:fill="FFFFFF"/>
        </w:rPr>
        <w:t>5</w:t>
      </w:r>
      <w:r w:rsidRPr="007F44AF">
        <w:rPr>
          <w:rFonts w:eastAsia="Calibri"/>
          <w:b/>
          <w:bCs/>
          <w:bdr w:val="none" w:sz="0" w:space="0" w:color="auto" w:frame="1"/>
          <w:shd w:val="clear" w:color="auto" w:fill="FFFFFF"/>
          <w:vertAlign w:val="superscript"/>
        </w:rPr>
        <w:t>1</w:t>
      </w:r>
      <w:r w:rsidRPr="007F44AF">
        <w:rPr>
          <w:rFonts w:eastAsia="Calibri"/>
          <w:b/>
          <w:bCs/>
          <w:bdr w:val="none" w:sz="0" w:space="0" w:color="auto" w:frame="1"/>
          <w:shd w:val="clear" w:color="auto" w:fill="FFFFFF"/>
        </w:rPr>
        <w:t>.</w:t>
      </w:r>
      <w:r w:rsidRPr="00565E1C">
        <w:rPr>
          <w:rFonts w:eastAsia="Calibri"/>
          <w:bdr w:val="none" w:sz="0" w:space="0" w:color="auto" w:frame="1"/>
          <w:shd w:val="clear" w:color="auto" w:fill="FFFFFF"/>
        </w:rPr>
        <w:t xml:space="preserve"> În scopul măsurării emisiilor de gaze cu efect de seră asociate cultivării de materii prime de biomasă agricolă produse în zonele specifice, </w:t>
      </w:r>
      <w:r w:rsidRPr="009855E0">
        <w:rPr>
          <w:rFonts w:eastAsia="Calibri"/>
          <w:bdr w:val="none" w:sz="0" w:space="0" w:color="auto" w:frame="1"/>
          <w:shd w:val="clear" w:color="auto" w:fill="FFFFFF"/>
        </w:rPr>
        <w:t>pentru aplicarea prevederilor</w:t>
      </w:r>
      <w:r w:rsidRPr="00565E1C">
        <w:rPr>
          <w:rFonts w:eastAsia="Calibri"/>
          <w:bdr w:val="none" w:sz="0" w:space="0" w:color="auto" w:frame="1"/>
          <w:shd w:val="clear" w:color="auto" w:fill="FFFFFF"/>
        </w:rPr>
        <w:t xml:space="preserve"> pct. 22-24 din </w:t>
      </w:r>
      <w:r>
        <w:rPr>
          <w:rFonts w:eastAsia="Calibri"/>
          <w:bdr w:val="none" w:sz="0" w:space="0" w:color="auto" w:frame="1"/>
          <w:shd w:val="clear" w:color="auto" w:fill="FFFFFF"/>
        </w:rPr>
        <w:t>anexa nr. 1 a prezentei hotărâri</w:t>
      </w:r>
      <w:r w:rsidRPr="00565E1C">
        <w:rPr>
          <w:rFonts w:eastAsia="Calibri"/>
          <w:bdr w:val="none" w:sz="0" w:space="0" w:color="auto" w:frame="1"/>
          <w:shd w:val="clear" w:color="auto" w:fill="FFFFFF"/>
        </w:rPr>
        <w:t>,</w:t>
      </w:r>
      <w:r w:rsidRPr="009855E0">
        <w:rPr>
          <w:rFonts w:eastAsia="Calibri"/>
          <w:bdr w:val="none" w:sz="0" w:space="0" w:color="auto" w:frame="1"/>
          <w:shd w:val="clear" w:color="auto" w:fill="FFFFFF"/>
        </w:rPr>
        <w:t xml:space="preserve"> </w:t>
      </w:r>
      <w:r w:rsidR="008A66F9" w:rsidRPr="008A66F9">
        <w:rPr>
          <w:rFonts w:eastAsia="Calibri"/>
          <w:bdr w:val="none" w:sz="0" w:space="0" w:color="auto" w:frame="1"/>
          <w:shd w:val="clear" w:color="auto" w:fill="FFFFFF"/>
        </w:rPr>
        <w:t>organul central de specialitate al administrației publice în domeniul energeticii</w:t>
      </w:r>
      <w:r w:rsidR="008A66F9" w:rsidRPr="008A66F9" w:rsidDel="008A66F9">
        <w:rPr>
          <w:rFonts w:eastAsia="Calibri"/>
          <w:bdr w:val="none" w:sz="0" w:space="0" w:color="auto" w:frame="1"/>
          <w:shd w:val="clear" w:color="auto" w:fill="FFFFFF"/>
        </w:rPr>
        <w:t xml:space="preserve"> </w:t>
      </w:r>
      <w:r w:rsidRPr="00565E1C">
        <w:rPr>
          <w:rFonts w:eastAsia="Calibri"/>
          <w:bdr w:val="none" w:sz="0" w:space="0" w:color="auto" w:frame="1"/>
          <w:shd w:val="clear" w:color="auto" w:fill="FFFFFF"/>
        </w:rPr>
        <w:t>prez</w:t>
      </w:r>
      <w:r>
        <w:rPr>
          <w:rFonts w:eastAsia="Calibri"/>
          <w:bdr w:val="none" w:sz="0" w:space="0" w:color="auto" w:frame="1"/>
          <w:shd w:val="clear" w:color="auto" w:fill="FFFFFF"/>
        </w:rPr>
        <w:t>i</w:t>
      </w:r>
      <w:r w:rsidRPr="00565E1C">
        <w:rPr>
          <w:rFonts w:eastAsia="Calibri"/>
          <w:bdr w:val="none" w:sz="0" w:space="0" w:color="auto" w:frame="1"/>
          <w:shd w:val="clear" w:color="auto" w:fill="FFFFFF"/>
        </w:rPr>
        <w:t>ntă, la solicitare</w:t>
      </w:r>
      <w:r>
        <w:rPr>
          <w:rFonts w:eastAsia="Calibri"/>
          <w:bdr w:val="none" w:sz="0" w:space="0" w:color="auto" w:frame="1"/>
          <w:shd w:val="clear" w:color="auto" w:fill="FFFFFF"/>
        </w:rPr>
        <w:t>a</w:t>
      </w:r>
      <w:r w:rsidRPr="00565E1C">
        <w:rPr>
          <w:rFonts w:eastAsia="Calibri"/>
          <w:bdr w:val="none" w:sz="0" w:space="0" w:color="auto" w:frame="1"/>
          <w:shd w:val="clear" w:color="auto" w:fill="FFFFFF"/>
        </w:rPr>
        <w:t xml:space="preserve"> Secretariatului Comunității Energetice</w:t>
      </w:r>
      <w:r w:rsidRPr="009855E0">
        <w:rPr>
          <w:rFonts w:eastAsia="Calibri"/>
          <w:bdr w:val="none" w:sz="0" w:space="0" w:color="auto" w:frame="1"/>
          <w:shd w:val="clear" w:color="auto" w:fill="FFFFFF"/>
        </w:rPr>
        <w:t xml:space="preserve"> </w:t>
      </w:r>
      <w:r w:rsidRPr="00565E1C">
        <w:rPr>
          <w:rFonts w:eastAsia="Calibri"/>
          <w:bdr w:val="none" w:sz="0" w:space="0" w:color="auto" w:frame="1"/>
          <w:shd w:val="clear" w:color="auto" w:fill="FFFFFF"/>
        </w:rPr>
        <w:t xml:space="preserve">rapoarte care includ informații privind emisiile tipice de gaze cu efect de seră în urma cultivării de materii prime agricole aferente zonelor de pe teritoriul lor care sunt clasificate ca nivel 2 în nomenclatorul unităților teritoriale de statistică (în continuare - </w:t>
      </w:r>
      <w:r w:rsidRPr="00565E1C">
        <w:rPr>
          <w:rFonts w:eastAsia="Calibri"/>
          <w:i/>
          <w:iCs/>
          <w:bdr w:val="none" w:sz="0" w:space="0" w:color="auto" w:frame="1"/>
          <w:shd w:val="clear" w:color="auto" w:fill="FFFFFF"/>
        </w:rPr>
        <w:t>NUTS</w:t>
      </w:r>
      <w:r w:rsidRPr="00565E1C">
        <w:rPr>
          <w:rFonts w:eastAsia="Calibri"/>
          <w:bdr w:val="none" w:sz="0" w:space="0" w:color="auto" w:frame="1"/>
          <w:shd w:val="clear" w:color="auto" w:fill="FFFFFF"/>
        </w:rPr>
        <w:t xml:space="preserve">) sau la un nivel NUTS de detaliere superior în conformitate cu </w:t>
      </w:r>
      <w:r w:rsidRPr="009855E0">
        <w:rPr>
          <w:rFonts w:eastAsia="Calibri"/>
          <w:bdr w:val="none" w:sz="0" w:space="0" w:color="auto" w:frame="1"/>
          <w:shd w:val="clear" w:color="auto" w:fill="FFFFFF"/>
        </w:rPr>
        <w:t>Hotărârea Guvernului nr. 570/2017 cu privire la aprobarea Nomenclatorului unităților teritoriale de statistică al Republicii Moldova</w:t>
      </w:r>
      <w:r w:rsidRPr="00565E1C">
        <w:rPr>
          <w:rFonts w:eastAsia="Calibri"/>
          <w:bdr w:val="none" w:sz="0" w:space="0" w:color="auto" w:frame="1"/>
          <w:shd w:val="clear" w:color="auto" w:fill="FFFFFF"/>
        </w:rPr>
        <w:t>. Rapoartele respective sunt însoțite de o descriere a metodei și a surselor de date folosite pentru a calcula nivelul emisiilor. Metoda respectivă ia în considerare caracteristicile solului, clima și randamentul preconizat al materiilor prime.</w:t>
      </w:r>
      <w:r>
        <w:rPr>
          <w:rFonts w:eastAsia="Calibri"/>
          <w:bdr w:val="none" w:sz="0" w:space="0" w:color="auto" w:frame="1"/>
          <w:shd w:val="clear" w:color="auto" w:fill="FFFFFF"/>
        </w:rPr>
        <w:t>”;</w:t>
      </w:r>
    </w:p>
    <w:p w14:paraId="1674E4B7" w14:textId="047CF2FB" w:rsidR="00C65077" w:rsidRDefault="00F60D5C" w:rsidP="00671F38">
      <w:pPr>
        <w:pStyle w:val="Anexapct11"/>
      </w:pPr>
      <w:r>
        <w:t>s</w:t>
      </w:r>
      <w:r w:rsidR="00102D08">
        <w:t xml:space="preserve">e completează cu </w:t>
      </w:r>
      <w:r>
        <w:t>a</w:t>
      </w:r>
      <w:r w:rsidR="00102D08">
        <w:t>nexa nr.</w:t>
      </w:r>
      <w:r w:rsidR="00C65077">
        <w:t xml:space="preserve"> </w:t>
      </w:r>
      <w:r w:rsidR="00102D08">
        <w:t>3 „M</w:t>
      </w:r>
      <w:r w:rsidR="00102D08" w:rsidRPr="008B3E0D">
        <w:t>etodologia de determinare a reducerilor de emisii de gaze cu efect de seră generate de combustibilii lichizi și gazoși de origine nebiologică din surse regenerabile utilizați în transporturi și de combustibilii pe bază de carbon reciclat</w:t>
      </w:r>
      <w:r w:rsidR="00102D08">
        <w:t>”</w:t>
      </w:r>
      <w:r w:rsidR="003E29A5">
        <w:t xml:space="preserve"> cu </w:t>
      </w:r>
      <w:r w:rsidR="00C65077">
        <w:t>următorul cuprins</w:t>
      </w:r>
      <w:r>
        <w:t>:</w:t>
      </w:r>
    </w:p>
    <w:p w14:paraId="3D72DA53" w14:textId="77777777" w:rsidR="007449C0" w:rsidRPr="00444A00" w:rsidRDefault="007449C0" w:rsidP="007449C0">
      <w:pPr>
        <w:jc w:val="right"/>
        <w:rPr>
          <w:w w:val="105"/>
          <w:sz w:val="24"/>
        </w:rPr>
      </w:pPr>
      <w:r w:rsidRPr="00444A00">
        <w:rPr>
          <w:w w:val="105"/>
          <w:sz w:val="24"/>
        </w:rPr>
        <w:t>Anexa nr. 3</w:t>
      </w:r>
    </w:p>
    <w:p w14:paraId="7A2E7279" w14:textId="77777777" w:rsidR="007449C0" w:rsidRPr="00444A00" w:rsidRDefault="007449C0" w:rsidP="007449C0">
      <w:pPr>
        <w:jc w:val="right"/>
        <w:rPr>
          <w:sz w:val="24"/>
        </w:rPr>
      </w:pPr>
      <w:r w:rsidRPr="00444A00">
        <w:rPr>
          <w:sz w:val="24"/>
        </w:rPr>
        <w:t>la</w:t>
      </w:r>
      <w:r w:rsidRPr="00444A00">
        <w:rPr>
          <w:spacing w:val="67"/>
          <w:sz w:val="24"/>
        </w:rPr>
        <w:t xml:space="preserve"> </w:t>
      </w:r>
      <w:r w:rsidRPr="00444A00">
        <w:rPr>
          <w:sz w:val="24"/>
        </w:rPr>
        <w:t>Hotărârea</w:t>
      </w:r>
      <w:r w:rsidRPr="00444A00">
        <w:rPr>
          <w:spacing w:val="68"/>
          <w:sz w:val="24"/>
        </w:rPr>
        <w:t xml:space="preserve"> </w:t>
      </w:r>
      <w:r w:rsidRPr="00444A00">
        <w:rPr>
          <w:sz w:val="24"/>
        </w:rPr>
        <w:t>Guvernului</w:t>
      </w:r>
      <w:r w:rsidRPr="00444A00">
        <w:rPr>
          <w:spacing w:val="67"/>
          <w:sz w:val="24"/>
        </w:rPr>
        <w:t xml:space="preserve"> </w:t>
      </w:r>
      <w:r w:rsidRPr="00444A00">
        <w:rPr>
          <w:spacing w:val="-2"/>
          <w:sz w:val="24"/>
        </w:rPr>
        <w:t>nr. 53/2025</w:t>
      </w:r>
    </w:p>
    <w:p w14:paraId="62EA815E" w14:textId="77777777" w:rsidR="007449C0" w:rsidRDefault="007449C0" w:rsidP="007449C0">
      <w:pPr>
        <w:pStyle w:val="Capitol"/>
        <w:rPr>
          <w:sz w:val="24"/>
        </w:rPr>
      </w:pPr>
      <w:r w:rsidRPr="00444A00">
        <w:rPr>
          <w:sz w:val="24"/>
        </w:rPr>
        <w:lastRenderedPageBreak/>
        <w:t>Metodologia de determinare a reducerilor de emisii de gaze cu efect de seră generate de combustibilii lichizi și gazoși de origine nebiologică din surse regenerabile utilizați în transporturi și de combustibilii pe bază de carbon reciclat</w:t>
      </w:r>
    </w:p>
    <w:p w14:paraId="5D361F9A" w14:textId="3E947392" w:rsidR="003E29A5" w:rsidRDefault="003E29A5" w:rsidP="007449C0">
      <w:pPr>
        <w:pStyle w:val="Capitol"/>
        <w:rPr>
          <w:b w:val="0"/>
          <w:bCs w:val="0"/>
          <w:sz w:val="24"/>
        </w:rPr>
      </w:pPr>
    </w:p>
    <w:p w14:paraId="2284AEB8" w14:textId="02A39016" w:rsidR="003E29A5" w:rsidRPr="003E29A5" w:rsidRDefault="003E29A5" w:rsidP="00671F38">
      <w:pPr>
        <w:pStyle w:val="Capitol"/>
        <w:ind w:left="0" w:firstLine="431"/>
        <w:jc w:val="both"/>
        <w:rPr>
          <w:sz w:val="24"/>
        </w:rPr>
      </w:pPr>
      <w:r w:rsidRPr="008A66F9">
        <w:rPr>
          <w:b w:val="0"/>
          <w:bCs w:val="0"/>
          <w:sz w:val="24"/>
        </w:rPr>
        <w:t xml:space="preserve">Prezenta Metodologie transpune integral Regulamentul </w:t>
      </w:r>
      <w:r w:rsidR="00FE209E">
        <w:rPr>
          <w:b w:val="0"/>
          <w:bCs w:val="0"/>
          <w:caps w:val="0"/>
          <w:sz w:val="24"/>
        </w:rPr>
        <w:t>D</w:t>
      </w:r>
      <w:r w:rsidRPr="008A66F9">
        <w:rPr>
          <w:b w:val="0"/>
          <w:bCs w:val="0"/>
          <w:sz w:val="24"/>
        </w:rPr>
        <w:t>elegat (UE) 2023/1185 al Comisiei din 10 februarie 2023 de completare a Directivei (UE) 2018/2001 a Parlamentului European și a Consiliului prin stabilirea unui prag minim pentru reducerea emisiilor de gaze cu efect de seră generate de combustibilii pe bază de carbon reciclat și prin specificarea unei metodologii de evaluare a reducerilor de emisii de gaze cu efect de seră obținute de la combustibilii lichizi și gazoși de origine nebiologică produși din surse regenerabile și utilizați în transporturi și de la combustibilii pe bază de carbon reciclat, publicat în Jurnalul Oficial al Uniunii Europene, seria L 157 din 20 iunie 2023 (CELEX: 32023R1185)</w:t>
      </w:r>
      <w:r>
        <w:rPr>
          <w:b w:val="0"/>
          <w:bCs w:val="0"/>
          <w:caps w:val="0"/>
          <w:sz w:val="24"/>
        </w:rPr>
        <w:t>.</w:t>
      </w:r>
    </w:p>
    <w:p w14:paraId="5971E543" w14:textId="77777777" w:rsidR="007449C0" w:rsidRPr="00444A00" w:rsidRDefault="007449C0" w:rsidP="007449C0">
      <w:pPr>
        <w:pStyle w:val="Capitol"/>
        <w:rPr>
          <w:sz w:val="24"/>
        </w:rPr>
      </w:pPr>
      <w:r w:rsidRPr="00444A00">
        <w:rPr>
          <w:sz w:val="24"/>
        </w:rPr>
        <w:t>P</w:t>
      </w:r>
      <w:r w:rsidRPr="00444A00">
        <w:rPr>
          <w:caps w:val="0"/>
          <w:sz w:val="24"/>
        </w:rPr>
        <w:t xml:space="preserve">artea </w:t>
      </w:r>
      <w:r w:rsidRPr="00444A00">
        <w:rPr>
          <w:sz w:val="24"/>
        </w:rPr>
        <w:t>a</w:t>
      </w:r>
    </w:p>
    <w:p w14:paraId="01752DAF" w14:textId="77777777" w:rsidR="007449C0" w:rsidRPr="00444A00" w:rsidRDefault="007449C0" w:rsidP="007449C0">
      <w:pPr>
        <w:pStyle w:val="Capitol"/>
        <w:rPr>
          <w:caps w:val="0"/>
          <w:sz w:val="24"/>
        </w:rPr>
      </w:pPr>
      <w:r w:rsidRPr="00444A00">
        <w:rPr>
          <w:caps w:val="0"/>
          <w:sz w:val="24"/>
        </w:rPr>
        <w:t>Metodologie</w:t>
      </w:r>
    </w:p>
    <w:p w14:paraId="07664D19" w14:textId="77777777" w:rsidR="007449C0" w:rsidRPr="00CC0AAE" w:rsidRDefault="007449C0" w:rsidP="007449C0">
      <w:pPr>
        <w:pStyle w:val="Anexapct1"/>
        <w:numPr>
          <w:ilvl w:val="0"/>
          <w:numId w:val="89"/>
        </w:numPr>
        <w:rPr>
          <w:sz w:val="24"/>
        </w:rPr>
      </w:pPr>
      <w:r w:rsidRPr="00CC0AAE">
        <w:rPr>
          <w:sz w:val="24"/>
        </w:rPr>
        <w:t>Emisiile de gaze cu efect de seră provenite din producția și utilizarea combustibililor lichizi și gazoși de origine nebiologică din surse regenerabile folosiți în transporturi sau a combustibililor pe bază de carbon reciclat se calculează după cum urmează:</w:t>
      </w:r>
    </w:p>
    <w:p w14:paraId="7AA8663C" w14:textId="77777777" w:rsidR="007449C0" w:rsidRPr="00444A00" w:rsidRDefault="007449C0" w:rsidP="007449C0">
      <w:pPr>
        <w:jc w:val="center"/>
        <w:rPr>
          <w:rFonts w:eastAsia="Times New Roman"/>
          <w:sz w:val="24"/>
          <w:lang w:eastAsia="ro-RO"/>
        </w:rPr>
      </w:pPr>
      <w:r w:rsidRPr="00444A00">
        <w:rPr>
          <w:rFonts w:eastAsia="Times New Roman"/>
          <w:sz w:val="24"/>
          <w:lang w:eastAsia="ro-RO"/>
        </w:rPr>
        <w:t>E = e </w:t>
      </w:r>
      <w:r w:rsidRPr="00444A00">
        <w:rPr>
          <w:rFonts w:eastAsia="Times New Roman"/>
          <w:sz w:val="24"/>
          <w:vertAlign w:val="subscript"/>
          <w:lang w:eastAsia="ro-RO"/>
        </w:rPr>
        <w:t>i</w:t>
      </w:r>
      <w:r w:rsidRPr="00444A00">
        <w:rPr>
          <w:rFonts w:eastAsia="Times New Roman"/>
          <w:sz w:val="24"/>
          <w:lang w:eastAsia="ro-RO"/>
        </w:rPr>
        <w:t> + e </w:t>
      </w:r>
      <w:r w:rsidRPr="00444A00">
        <w:rPr>
          <w:rFonts w:eastAsia="Times New Roman"/>
          <w:sz w:val="24"/>
          <w:vertAlign w:val="subscript"/>
          <w:lang w:eastAsia="ro-RO"/>
        </w:rPr>
        <w:t>p</w:t>
      </w:r>
      <w:r w:rsidRPr="00444A00">
        <w:rPr>
          <w:rFonts w:eastAsia="Times New Roman"/>
          <w:sz w:val="24"/>
          <w:lang w:eastAsia="ro-RO"/>
        </w:rPr>
        <w:t> + e </w:t>
      </w:r>
      <w:proofErr w:type="spellStart"/>
      <w:r w:rsidRPr="00444A00">
        <w:rPr>
          <w:rFonts w:eastAsia="Times New Roman"/>
          <w:sz w:val="24"/>
          <w:vertAlign w:val="subscript"/>
          <w:lang w:eastAsia="ro-RO"/>
        </w:rPr>
        <w:t>td</w:t>
      </w:r>
      <w:proofErr w:type="spellEnd"/>
      <w:r w:rsidRPr="00444A00">
        <w:rPr>
          <w:rFonts w:eastAsia="Times New Roman"/>
          <w:sz w:val="24"/>
          <w:lang w:eastAsia="ro-RO"/>
        </w:rPr>
        <w:t> + e </w:t>
      </w:r>
      <w:r w:rsidRPr="00444A00">
        <w:rPr>
          <w:rFonts w:eastAsia="Times New Roman"/>
          <w:sz w:val="24"/>
          <w:vertAlign w:val="subscript"/>
          <w:lang w:eastAsia="ro-RO"/>
        </w:rPr>
        <w:t>u</w:t>
      </w:r>
      <w:r w:rsidRPr="00444A00">
        <w:rPr>
          <w:rFonts w:eastAsia="Times New Roman"/>
          <w:sz w:val="24"/>
          <w:lang w:eastAsia="ro-RO"/>
        </w:rPr>
        <w:t> – e </w:t>
      </w:r>
      <w:proofErr w:type="spellStart"/>
      <w:r w:rsidRPr="00444A00">
        <w:rPr>
          <w:rFonts w:eastAsia="Times New Roman"/>
          <w:sz w:val="24"/>
          <w:vertAlign w:val="subscript"/>
          <w:lang w:eastAsia="ro-RO"/>
        </w:rPr>
        <w:t>ccs</w:t>
      </w:r>
      <w:proofErr w:type="spellEnd"/>
    </w:p>
    <w:p w14:paraId="2967134E" w14:textId="77777777" w:rsidR="007449C0" w:rsidRPr="00444A00" w:rsidRDefault="007449C0" w:rsidP="007449C0">
      <w:pPr>
        <w:rPr>
          <w:rFonts w:eastAsia="Times New Roman"/>
          <w:sz w:val="24"/>
          <w:lang w:eastAsia="ro-RO"/>
        </w:rPr>
      </w:pPr>
      <w:r w:rsidRPr="00444A00">
        <w:rPr>
          <w:rFonts w:eastAsia="Times New Roman"/>
          <w:sz w:val="24"/>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692"/>
        <w:gridCol w:w="216"/>
        <w:gridCol w:w="8553"/>
      </w:tblGrid>
      <w:tr w:rsidR="007449C0" w:rsidRPr="00444A00" w14:paraId="2E835939" w14:textId="77777777" w:rsidTr="003D514F">
        <w:tc>
          <w:tcPr>
            <w:tcW w:w="366" w:type="pct"/>
            <w:shd w:val="clear" w:color="auto" w:fill="FFFFFF"/>
            <w:hideMark/>
          </w:tcPr>
          <w:p w14:paraId="725C712C" w14:textId="77777777" w:rsidR="007449C0" w:rsidRPr="00444A00" w:rsidRDefault="007449C0" w:rsidP="003D514F">
            <w:pPr>
              <w:ind w:firstLine="0"/>
              <w:jc w:val="left"/>
              <w:rPr>
                <w:sz w:val="24"/>
                <w:lang w:eastAsia="ro-RO"/>
              </w:rPr>
            </w:pPr>
            <w:r w:rsidRPr="00444A00">
              <w:rPr>
                <w:sz w:val="24"/>
                <w:lang w:eastAsia="ro-RO"/>
              </w:rPr>
              <w:t>E</w:t>
            </w:r>
          </w:p>
        </w:tc>
        <w:tc>
          <w:tcPr>
            <w:tcW w:w="114" w:type="pct"/>
            <w:shd w:val="clear" w:color="auto" w:fill="FFFFFF"/>
            <w:hideMark/>
          </w:tcPr>
          <w:p w14:paraId="5F6E9D05"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318AA25B" w14:textId="77777777" w:rsidR="007449C0" w:rsidRPr="00444A00" w:rsidRDefault="007449C0" w:rsidP="003D514F">
            <w:pPr>
              <w:ind w:firstLine="0"/>
              <w:rPr>
                <w:sz w:val="24"/>
                <w:lang w:eastAsia="ro-RO"/>
              </w:rPr>
            </w:pPr>
            <w:r w:rsidRPr="00444A00">
              <w:rPr>
                <w:sz w:val="24"/>
                <w:lang w:eastAsia="ro-RO"/>
              </w:rPr>
              <w:t>totalul emisiilor din utilizarea combustibilului (gCO</w:t>
            </w:r>
            <w:r w:rsidRPr="00444A00">
              <w:rPr>
                <w:sz w:val="24"/>
                <w:vertAlign w:val="subscript"/>
                <w:lang w:eastAsia="ro-RO"/>
              </w:rPr>
              <w:t>2</w:t>
            </w:r>
            <w:r w:rsidRPr="00444A00">
              <w:rPr>
                <w:sz w:val="24"/>
                <w:lang w:eastAsia="ro-RO"/>
              </w:rPr>
              <w:t>eq/MJ combustibil – </w:t>
            </w:r>
            <w:r w:rsidRPr="00444A00">
              <w:rPr>
                <w:i/>
                <w:iCs/>
                <w:sz w:val="24"/>
                <w:lang w:eastAsia="ro-RO"/>
              </w:rPr>
              <w:t>grame echivalent CO</w:t>
            </w:r>
            <w:r w:rsidRPr="00444A00">
              <w:rPr>
                <w:i/>
                <w:iCs/>
                <w:sz w:val="24"/>
                <w:vertAlign w:val="subscript"/>
                <w:lang w:eastAsia="ro-RO"/>
              </w:rPr>
              <w:t>2</w:t>
            </w:r>
            <w:r w:rsidRPr="00444A00">
              <w:rPr>
                <w:i/>
                <w:iCs/>
                <w:sz w:val="24"/>
                <w:lang w:eastAsia="ro-RO"/>
              </w:rPr>
              <w:t>/MJ combustibil</w:t>
            </w:r>
            <w:r w:rsidRPr="00444A00">
              <w:rPr>
                <w:sz w:val="24"/>
                <w:lang w:eastAsia="ro-RO"/>
              </w:rPr>
              <w:t>)</w:t>
            </w:r>
          </w:p>
        </w:tc>
      </w:tr>
      <w:tr w:rsidR="007449C0" w:rsidRPr="00444A00" w14:paraId="1EBEECBF" w14:textId="77777777" w:rsidTr="003D514F">
        <w:tc>
          <w:tcPr>
            <w:tcW w:w="366" w:type="pct"/>
            <w:shd w:val="clear" w:color="auto" w:fill="FFFFFF"/>
            <w:hideMark/>
          </w:tcPr>
          <w:p w14:paraId="0002A339" w14:textId="77777777" w:rsidR="007449C0" w:rsidRPr="00444A00" w:rsidRDefault="007449C0" w:rsidP="003D514F">
            <w:pPr>
              <w:ind w:firstLine="0"/>
              <w:jc w:val="left"/>
              <w:rPr>
                <w:sz w:val="24"/>
                <w:lang w:eastAsia="ro-RO"/>
              </w:rPr>
            </w:pPr>
            <w:r w:rsidRPr="00444A00">
              <w:rPr>
                <w:sz w:val="24"/>
                <w:lang w:eastAsia="ro-RO"/>
              </w:rPr>
              <w:t>e </w:t>
            </w:r>
            <w:r w:rsidRPr="00444A00">
              <w:rPr>
                <w:sz w:val="24"/>
                <w:vertAlign w:val="subscript"/>
                <w:lang w:eastAsia="ro-RO"/>
              </w:rPr>
              <w:t>i</w:t>
            </w:r>
          </w:p>
        </w:tc>
        <w:tc>
          <w:tcPr>
            <w:tcW w:w="114" w:type="pct"/>
            <w:shd w:val="clear" w:color="auto" w:fill="FFFFFF"/>
            <w:hideMark/>
          </w:tcPr>
          <w:p w14:paraId="003C6813"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28715462" w14:textId="77777777" w:rsidR="007449C0" w:rsidRPr="00444A00" w:rsidRDefault="007449C0" w:rsidP="003D514F">
            <w:pPr>
              <w:ind w:firstLine="0"/>
              <w:rPr>
                <w:sz w:val="24"/>
                <w:lang w:eastAsia="ro-RO"/>
              </w:rPr>
            </w:pPr>
            <w:r w:rsidRPr="00444A00">
              <w:rPr>
                <w:sz w:val="24"/>
                <w:lang w:eastAsia="ro-RO"/>
              </w:rPr>
              <w:t>e </w:t>
            </w:r>
            <w:r w:rsidRPr="00444A00">
              <w:rPr>
                <w:sz w:val="24"/>
                <w:vertAlign w:val="subscript"/>
                <w:lang w:eastAsia="ro-RO"/>
              </w:rPr>
              <w:t>i</w:t>
            </w:r>
            <w:r w:rsidRPr="00444A00">
              <w:rPr>
                <w:sz w:val="24"/>
                <w:lang w:eastAsia="ro-RO"/>
              </w:rPr>
              <w:t> elastic + e i rigid – e ex-uz: emisii din furnizarea intrărilor (gCO</w:t>
            </w:r>
            <w:r w:rsidRPr="00444A00">
              <w:rPr>
                <w:sz w:val="24"/>
                <w:vertAlign w:val="subscript"/>
                <w:lang w:eastAsia="ro-RO"/>
              </w:rPr>
              <w:t>2</w:t>
            </w:r>
            <w:r w:rsidRPr="00444A00">
              <w:rPr>
                <w:sz w:val="24"/>
                <w:lang w:eastAsia="ro-RO"/>
              </w:rPr>
              <w:t>eq/MJ combustibil)</w:t>
            </w:r>
          </w:p>
        </w:tc>
      </w:tr>
      <w:tr w:rsidR="007449C0" w:rsidRPr="00444A00" w14:paraId="53BE3E36" w14:textId="77777777" w:rsidTr="003D514F">
        <w:tc>
          <w:tcPr>
            <w:tcW w:w="366" w:type="pct"/>
            <w:shd w:val="clear" w:color="auto" w:fill="FFFFFF"/>
            <w:hideMark/>
          </w:tcPr>
          <w:p w14:paraId="1D8D2C89" w14:textId="77777777" w:rsidR="007449C0" w:rsidRPr="00444A00" w:rsidRDefault="007449C0" w:rsidP="003D514F">
            <w:pPr>
              <w:ind w:firstLine="0"/>
              <w:jc w:val="left"/>
              <w:rPr>
                <w:sz w:val="24"/>
                <w:lang w:eastAsia="ro-RO"/>
              </w:rPr>
            </w:pPr>
            <w:r w:rsidRPr="00444A00">
              <w:rPr>
                <w:sz w:val="24"/>
                <w:lang w:eastAsia="ro-RO"/>
              </w:rPr>
              <w:t>e </w:t>
            </w:r>
            <w:r w:rsidRPr="00444A00">
              <w:rPr>
                <w:sz w:val="24"/>
                <w:vertAlign w:val="subscript"/>
                <w:lang w:eastAsia="ro-RO"/>
              </w:rPr>
              <w:t>i</w:t>
            </w:r>
            <w:r w:rsidRPr="00444A00">
              <w:rPr>
                <w:sz w:val="24"/>
                <w:lang w:eastAsia="ro-RO"/>
              </w:rPr>
              <w:t> </w:t>
            </w:r>
            <w:r w:rsidRPr="00444A00">
              <w:rPr>
                <w:sz w:val="24"/>
                <w:vertAlign w:val="subscript"/>
                <w:lang w:eastAsia="ro-RO"/>
              </w:rPr>
              <w:t>elastic</w:t>
            </w:r>
          </w:p>
        </w:tc>
        <w:tc>
          <w:tcPr>
            <w:tcW w:w="114" w:type="pct"/>
            <w:shd w:val="clear" w:color="auto" w:fill="FFFFFF"/>
            <w:hideMark/>
          </w:tcPr>
          <w:p w14:paraId="4BF252BE"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2A5D2E19" w14:textId="77777777" w:rsidR="007449C0" w:rsidRPr="00444A00" w:rsidRDefault="007449C0" w:rsidP="003D514F">
            <w:pPr>
              <w:ind w:firstLine="0"/>
              <w:rPr>
                <w:sz w:val="24"/>
                <w:lang w:eastAsia="ro-RO"/>
              </w:rPr>
            </w:pPr>
            <w:r w:rsidRPr="00444A00">
              <w:rPr>
                <w:sz w:val="24"/>
                <w:lang w:eastAsia="ro-RO"/>
              </w:rPr>
              <w:t>emisii din intrările elastice (gCO</w:t>
            </w:r>
            <w:r w:rsidRPr="00444A00">
              <w:rPr>
                <w:sz w:val="24"/>
                <w:vertAlign w:val="subscript"/>
                <w:lang w:eastAsia="ro-RO"/>
              </w:rPr>
              <w:t>2</w:t>
            </w:r>
            <w:r w:rsidRPr="00444A00">
              <w:rPr>
                <w:sz w:val="24"/>
                <w:lang w:eastAsia="ro-RO"/>
              </w:rPr>
              <w:t>eq/MJ combustibil)</w:t>
            </w:r>
          </w:p>
        </w:tc>
      </w:tr>
      <w:tr w:rsidR="007449C0" w:rsidRPr="00444A00" w14:paraId="3DD81616" w14:textId="77777777" w:rsidTr="003D514F">
        <w:tc>
          <w:tcPr>
            <w:tcW w:w="366" w:type="pct"/>
            <w:shd w:val="clear" w:color="auto" w:fill="FFFFFF"/>
            <w:hideMark/>
          </w:tcPr>
          <w:p w14:paraId="4465823F" w14:textId="77777777" w:rsidR="007449C0" w:rsidRPr="00444A00" w:rsidRDefault="007449C0" w:rsidP="003D514F">
            <w:pPr>
              <w:ind w:firstLine="0"/>
              <w:jc w:val="left"/>
              <w:rPr>
                <w:sz w:val="24"/>
                <w:lang w:eastAsia="ro-RO"/>
              </w:rPr>
            </w:pPr>
            <w:r w:rsidRPr="00444A00">
              <w:rPr>
                <w:sz w:val="24"/>
                <w:lang w:eastAsia="ro-RO"/>
              </w:rPr>
              <w:t>e </w:t>
            </w:r>
            <w:r w:rsidRPr="00444A00">
              <w:rPr>
                <w:sz w:val="24"/>
                <w:vertAlign w:val="subscript"/>
                <w:lang w:eastAsia="ro-RO"/>
              </w:rPr>
              <w:t>i</w:t>
            </w:r>
            <w:r w:rsidRPr="00444A00">
              <w:rPr>
                <w:sz w:val="24"/>
                <w:lang w:eastAsia="ro-RO"/>
              </w:rPr>
              <w:t> </w:t>
            </w:r>
            <w:r w:rsidRPr="00444A00">
              <w:rPr>
                <w:sz w:val="24"/>
                <w:vertAlign w:val="subscript"/>
                <w:lang w:eastAsia="ro-RO"/>
              </w:rPr>
              <w:t>rigid</w:t>
            </w:r>
          </w:p>
        </w:tc>
        <w:tc>
          <w:tcPr>
            <w:tcW w:w="114" w:type="pct"/>
            <w:shd w:val="clear" w:color="auto" w:fill="FFFFFF"/>
            <w:hideMark/>
          </w:tcPr>
          <w:p w14:paraId="0542828F"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639748FE" w14:textId="77777777" w:rsidR="007449C0" w:rsidRPr="00444A00" w:rsidRDefault="007449C0" w:rsidP="003D514F">
            <w:pPr>
              <w:ind w:firstLine="0"/>
              <w:rPr>
                <w:sz w:val="24"/>
                <w:lang w:eastAsia="ro-RO"/>
              </w:rPr>
            </w:pPr>
            <w:r w:rsidRPr="00444A00">
              <w:rPr>
                <w:sz w:val="24"/>
                <w:lang w:eastAsia="ro-RO"/>
              </w:rPr>
              <w:t>emisii din intrări rigide (gCO</w:t>
            </w:r>
            <w:r w:rsidRPr="00444A00">
              <w:rPr>
                <w:sz w:val="24"/>
                <w:vertAlign w:val="subscript"/>
                <w:lang w:eastAsia="ro-RO"/>
              </w:rPr>
              <w:t>2</w:t>
            </w:r>
            <w:r w:rsidRPr="00444A00">
              <w:rPr>
                <w:sz w:val="24"/>
                <w:lang w:eastAsia="ro-RO"/>
              </w:rPr>
              <w:t>eq/MJ combustibil)</w:t>
            </w:r>
          </w:p>
        </w:tc>
      </w:tr>
      <w:tr w:rsidR="007449C0" w:rsidRPr="00444A00" w14:paraId="767159ED" w14:textId="77777777" w:rsidTr="003D514F">
        <w:tc>
          <w:tcPr>
            <w:tcW w:w="366" w:type="pct"/>
            <w:shd w:val="clear" w:color="auto" w:fill="FFFFFF"/>
            <w:hideMark/>
          </w:tcPr>
          <w:p w14:paraId="25D40D5B" w14:textId="77777777" w:rsidR="007449C0" w:rsidRPr="00444A00" w:rsidRDefault="007449C0" w:rsidP="003D514F">
            <w:pPr>
              <w:ind w:firstLine="0"/>
              <w:jc w:val="left"/>
              <w:rPr>
                <w:sz w:val="24"/>
                <w:lang w:eastAsia="ro-RO"/>
              </w:rPr>
            </w:pPr>
            <w:r w:rsidRPr="00444A00">
              <w:rPr>
                <w:sz w:val="24"/>
                <w:lang w:eastAsia="ro-RO"/>
              </w:rPr>
              <w:t xml:space="preserve">e </w:t>
            </w:r>
            <w:r w:rsidRPr="00444A00">
              <w:rPr>
                <w:sz w:val="24"/>
                <w:vertAlign w:val="subscript"/>
                <w:lang w:eastAsia="ro-RO"/>
              </w:rPr>
              <w:t>ex-uz</w:t>
            </w:r>
          </w:p>
        </w:tc>
        <w:tc>
          <w:tcPr>
            <w:tcW w:w="114" w:type="pct"/>
            <w:shd w:val="clear" w:color="auto" w:fill="FFFFFF"/>
            <w:hideMark/>
          </w:tcPr>
          <w:p w14:paraId="53111AD9"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523FD8EA" w14:textId="77777777" w:rsidR="007449C0" w:rsidRPr="00444A00" w:rsidRDefault="007449C0" w:rsidP="003D514F">
            <w:pPr>
              <w:ind w:firstLine="0"/>
              <w:rPr>
                <w:sz w:val="24"/>
                <w:lang w:eastAsia="ro-RO"/>
              </w:rPr>
            </w:pPr>
            <w:r w:rsidRPr="00444A00">
              <w:rPr>
                <w:sz w:val="24"/>
                <w:lang w:eastAsia="ro-RO"/>
              </w:rPr>
              <w:t>emisii din utilizarea sau din evoluția existentă a intrărilor (gCO</w:t>
            </w:r>
            <w:r w:rsidRPr="00444A00">
              <w:rPr>
                <w:sz w:val="24"/>
                <w:vertAlign w:val="subscript"/>
                <w:lang w:eastAsia="ro-RO"/>
              </w:rPr>
              <w:t>2</w:t>
            </w:r>
            <w:r w:rsidRPr="00444A00">
              <w:rPr>
                <w:sz w:val="24"/>
                <w:lang w:eastAsia="ro-RO"/>
              </w:rPr>
              <w:t>eq/MJ combustibil)</w:t>
            </w:r>
          </w:p>
        </w:tc>
      </w:tr>
      <w:tr w:rsidR="007449C0" w:rsidRPr="00444A00" w14:paraId="6AD07DB5" w14:textId="77777777" w:rsidTr="003D514F">
        <w:tc>
          <w:tcPr>
            <w:tcW w:w="366" w:type="pct"/>
            <w:shd w:val="clear" w:color="auto" w:fill="FFFFFF"/>
            <w:hideMark/>
          </w:tcPr>
          <w:p w14:paraId="7593DFE4" w14:textId="77777777" w:rsidR="007449C0" w:rsidRPr="00444A00" w:rsidRDefault="007449C0" w:rsidP="003D514F">
            <w:pPr>
              <w:ind w:firstLine="0"/>
              <w:jc w:val="left"/>
              <w:rPr>
                <w:sz w:val="24"/>
                <w:lang w:eastAsia="ro-RO"/>
              </w:rPr>
            </w:pPr>
            <w:r w:rsidRPr="00444A00">
              <w:rPr>
                <w:sz w:val="24"/>
                <w:lang w:eastAsia="ro-RO"/>
              </w:rPr>
              <w:t>e </w:t>
            </w:r>
            <w:r w:rsidRPr="00444A00">
              <w:rPr>
                <w:sz w:val="24"/>
                <w:vertAlign w:val="subscript"/>
                <w:lang w:eastAsia="ro-RO"/>
              </w:rPr>
              <w:t>p</w:t>
            </w:r>
          </w:p>
        </w:tc>
        <w:tc>
          <w:tcPr>
            <w:tcW w:w="114" w:type="pct"/>
            <w:shd w:val="clear" w:color="auto" w:fill="FFFFFF"/>
            <w:hideMark/>
          </w:tcPr>
          <w:p w14:paraId="45012557"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580249A7" w14:textId="77777777" w:rsidR="007449C0" w:rsidRPr="00444A00" w:rsidRDefault="007449C0" w:rsidP="003D514F">
            <w:pPr>
              <w:ind w:firstLine="0"/>
              <w:rPr>
                <w:sz w:val="24"/>
                <w:lang w:eastAsia="ro-RO"/>
              </w:rPr>
            </w:pPr>
            <w:r w:rsidRPr="00444A00">
              <w:rPr>
                <w:sz w:val="24"/>
                <w:lang w:eastAsia="ro-RO"/>
              </w:rPr>
              <w:t>emisii din prelucrare (gCO</w:t>
            </w:r>
            <w:r w:rsidRPr="00444A00">
              <w:rPr>
                <w:sz w:val="24"/>
                <w:vertAlign w:val="subscript"/>
                <w:lang w:eastAsia="ro-RO"/>
              </w:rPr>
              <w:t>2</w:t>
            </w:r>
            <w:r w:rsidRPr="00444A00">
              <w:rPr>
                <w:sz w:val="24"/>
                <w:lang w:eastAsia="ro-RO"/>
              </w:rPr>
              <w:t>eq/MJ combustibil)</w:t>
            </w:r>
          </w:p>
        </w:tc>
      </w:tr>
      <w:tr w:rsidR="007449C0" w:rsidRPr="00444A00" w14:paraId="19C4A1E9" w14:textId="77777777" w:rsidTr="003D514F">
        <w:tc>
          <w:tcPr>
            <w:tcW w:w="366" w:type="pct"/>
            <w:shd w:val="clear" w:color="auto" w:fill="FFFFFF"/>
            <w:hideMark/>
          </w:tcPr>
          <w:p w14:paraId="5B737420" w14:textId="77777777" w:rsidR="007449C0" w:rsidRPr="00444A00" w:rsidRDefault="007449C0" w:rsidP="003D514F">
            <w:pPr>
              <w:ind w:firstLine="0"/>
              <w:jc w:val="left"/>
              <w:rPr>
                <w:sz w:val="24"/>
                <w:lang w:eastAsia="ro-RO"/>
              </w:rPr>
            </w:pPr>
            <w:r w:rsidRPr="00444A00">
              <w:rPr>
                <w:sz w:val="24"/>
                <w:lang w:eastAsia="ro-RO"/>
              </w:rPr>
              <w:t>e </w:t>
            </w:r>
            <w:proofErr w:type="spellStart"/>
            <w:r w:rsidRPr="00444A00">
              <w:rPr>
                <w:sz w:val="24"/>
                <w:vertAlign w:val="subscript"/>
                <w:lang w:eastAsia="ro-RO"/>
              </w:rPr>
              <w:t>td</w:t>
            </w:r>
            <w:proofErr w:type="spellEnd"/>
          </w:p>
        </w:tc>
        <w:tc>
          <w:tcPr>
            <w:tcW w:w="114" w:type="pct"/>
            <w:shd w:val="clear" w:color="auto" w:fill="FFFFFF"/>
            <w:hideMark/>
          </w:tcPr>
          <w:p w14:paraId="773AD4B3"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26FED881" w14:textId="77777777" w:rsidR="007449C0" w:rsidRPr="00444A00" w:rsidRDefault="007449C0" w:rsidP="003D514F">
            <w:pPr>
              <w:ind w:firstLine="0"/>
              <w:rPr>
                <w:sz w:val="24"/>
                <w:lang w:eastAsia="ro-RO"/>
              </w:rPr>
            </w:pPr>
            <w:r w:rsidRPr="00444A00">
              <w:rPr>
                <w:sz w:val="24"/>
                <w:lang w:eastAsia="ro-RO"/>
              </w:rPr>
              <w:t>emisii din transport și distribuție (gCO</w:t>
            </w:r>
            <w:r w:rsidRPr="00444A00">
              <w:rPr>
                <w:sz w:val="24"/>
                <w:vertAlign w:val="subscript"/>
                <w:lang w:eastAsia="ro-RO"/>
              </w:rPr>
              <w:t>2</w:t>
            </w:r>
            <w:r w:rsidRPr="00444A00">
              <w:rPr>
                <w:sz w:val="24"/>
                <w:lang w:eastAsia="ro-RO"/>
              </w:rPr>
              <w:t>eq/MJ combustibil)</w:t>
            </w:r>
          </w:p>
        </w:tc>
      </w:tr>
      <w:tr w:rsidR="007449C0" w:rsidRPr="00444A00" w14:paraId="313CFC09" w14:textId="77777777" w:rsidTr="003D514F">
        <w:tc>
          <w:tcPr>
            <w:tcW w:w="366" w:type="pct"/>
            <w:shd w:val="clear" w:color="auto" w:fill="FFFFFF"/>
            <w:hideMark/>
          </w:tcPr>
          <w:p w14:paraId="27842157" w14:textId="77777777" w:rsidR="007449C0" w:rsidRPr="00444A00" w:rsidRDefault="007449C0" w:rsidP="003D514F">
            <w:pPr>
              <w:ind w:firstLine="0"/>
              <w:jc w:val="left"/>
              <w:rPr>
                <w:sz w:val="24"/>
                <w:lang w:eastAsia="ro-RO"/>
              </w:rPr>
            </w:pPr>
            <w:r w:rsidRPr="00444A00">
              <w:rPr>
                <w:sz w:val="24"/>
                <w:lang w:eastAsia="ro-RO"/>
              </w:rPr>
              <w:t>e </w:t>
            </w:r>
            <w:r w:rsidRPr="00444A00">
              <w:rPr>
                <w:sz w:val="24"/>
                <w:vertAlign w:val="subscript"/>
                <w:lang w:eastAsia="ro-RO"/>
              </w:rPr>
              <w:t>u</w:t>
            </w:r>
          </w:p>
        </w:tc>
        <w:tc>
          <w:tcPr>
            <w:tcW w:w="114" w:type="pct"/>
            <w:shd w:val="clear" w:color="auto" w:fill="FFFFFF"/>
            <w:hideMark/>
          </w:tcPr>
          <w:p w14:paraId="12FFDB34"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7C891023" w14:textId="77777777" w:rsidR="007449C0" w:rsidRPr="00444A00" w:rsidRDefault="007449C0" w:rsidP="003D514F">
            <w:pPr>
              <w:ind w:firstLine="0"/>
              <w:rPr>
                <w:sz w:val="24"/>
                <w:lang w:eastAsia="ro-RO"/>
              </w:rPr>
            </w:pPr>
            <w:r w:rsidRPr="00444A00">
              <w:rPr>
                <w:sz w:val="24"/>
                <w:lang w:eastAsia="ro-RO"/>
              </w:rPr>
              <w:t>emisii din arderea combustibilului în utilizarea sa finală (gCO</w:t>
            </w:r>
            <w:r w:rsidRPr="00444A00">
              <w:rPr>
                <w:sz w:val="24"/>
                <w:vertAlign w:val="subscript"/>
                <w:lang w:eastAsia="ro-RO"/>
              </w:rPr>
              <w:t>2</w:t>
            </w:r>
            <w:r w:rsidRPr="00444A00">
              <w:rPr>
                <w:sz w:val="24"/>
                <w:lang w:eastAsia="ro-RO"/>
              </w:rPr>
              <w:t>eq/MJ combustibil)</w:t>
            </w:r>
          </w:p>
        </w:tc>
      </w:tr>
      <w:tr w:rsidR="007449C0" w:rsidRPr="00444A00" w14:paraId="3C0658C5" w14:textId="77777777" w:rsidTr="003D514F">
        <w:tc>
          <w:tcPr>
            <w:tcW w:w="366" w:type="pct"/>
            <w:shd w:val="clear" w:color="auto" w:fill="FFFFFF"/>
            <w:hideMark/>
          </w:tcPr>
          <w:p w14:paraId="0B9DBFB6" w14:textId="77777777" w:rsidR="007449C0" w:rsidRPr="00444A00" w:rsidRDefault="007449C0" w:rsidP="003D514F">
            <w:pPr>
              <w:ind w:firstLine="0"/>
              <w:jc w:val="left"/>
              <w:rPr>
                <w:sz w:val="24"/>
                <w:lang w:eastAsia="ro-RO"/>
              </w:rPr>
            </w:pPr>
            <w:r w:rsidRPr="00444A00">
              <w:rPr>
                <w:sz w:val="24"/>
                <w:lang w:eastAsia="ro-RO"/>
              </w:rPr>
              <w:t>e </w:t>
            </w:r>
            <w:proofErr w:type="spellStart"/>
            <w:r w:rsidRPr="00444A00">
              <w:rPr>
                <w:sz w:val="24"/>
                <w:vertAlign w:val="subscript"/>
                <w:lang w:eastAsia="ro-RO"/>
              </w:rPr>
              <w:t>ccs</w:t>
            </w:r>
            <w:proofErr w:type="spellEnd"/>
          </w:p>
        </w:tc>
        <w:tc>
          <w:tcPr>
            <w:tcW w:w="114" w:type="pct"/>
            <w:shd w:val="clear" w:color="auto" w:fill="FFFFFF"/>
            <w:hideMark/>
          </w:tcPr>
          <w:p w14:paraId="3DD065CF" w14:textId="77777777" w:rsidR="007449C0" w:rsidRPr="00444A00" w:rsidRDefault="007449C0" w:rsidP="003D514F">
            <w:pPr>
              <w:ind w:firstLine="0"/>
              <w:rPr>
                <w:sz w:val="24"/>
                <w:lang w:eastAsia="ro-RO"/>
              </w:rPr>
            </w:pPr>
            <w:r w:rsidRPr="00444A00">
              <w:rPr>
                <w:sz w:val="24"/>
                <w:lang w:eastAsia="ro-RO"/>
              </w:rPr>
              <w:t>=</w:t>
            </w:r>
          </w:p>
        </w:tc>
        <w:tc>
          <w:tcPr>
            <w:tcW w:w="4520" w:type="pct"/>
            <w:shd w:val="clear" w:color="auto" w:fill="FFFFFF"/>
            <w:hideMark/>
          </w:tcPr>
          <w:p w14:paraId="7EDE94FB" w14:textId="77777777" w:rsidR="007449C0" w:rsidRPr="00444A00" w:rsidRDefault="007449C0" w:rsidP="003D514F">
            <w:pPr>
              <w:ind w:firstLine="0"/>
              <w:rPr>
                <w:sz w:val="24"/>
                <w:lang w:eastAsia="ro-RO"/>
              </w:rPr>
            </w:pPr>
            <w:r w:rsidRPr="00444A00">
              <w:rPr>
                <w:sz w:val="24"/>
                <w:lang w:eastAsia="ro-RO"/>
              </w:rPr>
              <w:t>reduceri de emisii din captarea carbonului și din stocarea geologică a acestuia (gCO</w:t>
            </w:r>
            <w:r w:rsidRPr="00444A00">
              <w:rPr>
                <w:sz w:val="24"/>
                <w:vertAlign w:val="subscript"/>
                <w:lang w:eastAsia="ro-RO"/>
              </w:rPr>
              <w:t>2</w:t>
            </w:r>
            <w:r w:rsidRPr="00444A00">
              <w:rPr>
                <w:sz w:val="24"/>
                <w:lang w:eastAsia="ro-RO"/>
              </w:rPr>
              <w:t>eq/MJ combustibil)</w:t>
            </w:r>
          </w:p>
        </w:tc>
      </w:tr>
    </w:tbl>
    <w:p w14:paraId="5A885382" w14:textId="77777777" w:rsidR="007449C0" w:rsidRPr="00444A00" w:rsidRDefault="007449C0" w:rsidP="007449C0">
      <w:pPr>
        <w:pStyle w:val="Anexapct11"/>
        <w:rPr>
          <w:sz w:val="24"/>
        </w:rPr>
      </w:pPr>
      <w:r w:rsidRPr="00444A00">
        <w:rPr>
          <w:sz w:val="24"/>
        </w:rPr>
        <w:t>Emisiile rezultate din producția de mașini și echipamente nu se iau în considerare.</w:t>
      </w:r>
    </w:p>
    <w:p w14:paraId="3AF8892E" w14:textId="77777777" w:rsidR="007449C0" w:rsidRPr="00444A00" w:rsidRDefault="007449C0" w:rsidP="007449C0">
      <w:pPr>
        <w:pStyle w:val="Anexapct11"/>
        <w:rPr>
          <w:sz w:val="24"/>
        </w:rPr>
      </w:pPr>
      <w:r w:rsidRPr="00444A00">
        <w:rPr>
          <w:sz w:val="24"/>
        </w:rPr>
        <w:t xml:space="preserve">Intensitatea emisiilor de gaze cu efect de seră generate de combustibilii lichizi și gazoși de origine nebiologică din surse regenerabile utilizați în transporturi sau de combustibilii pe bază de carbon reciclat se determină prin împărțirea emisiilor totale ale procesului care acoperă fiecare element al formulei la cantitatea totală de combustibil rezultată din proces și se exprimă în grame de echivalent CO2 per MJ de combustibil (gCO2eq/MJ combustibil). Dacă un combustibil este un amestec de combustibili lichizi și gazoși de origine nebiologică din surse regenerabile utilizați în </w:t>
      </w:r>
      <w:r w:rsidRPr="00444A00">
        <w:rPr>
          <w:sz w:val="24"/>
        </w:rPr>
        <w:lastRenderedPageBreak/>
        <w:t>transporturi, combustibilii pe bază de carbon reciclat și alți combustibili sunt considerați ca având aceeași intensitate a emisiilor.</w:t>
      </w:r>
    </w:p>
    <w:p w14:paraId="6BB37337" w14:textId="77777777" w:rsidR="007449C0" w:rsidRPr="00444A00" w:rsidRDefault="007449C0" w:rsidP="007449C0">
      <w:pPr>
        <w:pStyle w:val="Anexapct11"/>
        <w:rPr>
          <w:sz w:val="24"/>
        </w:rPr>
      </w:pPr>
      <w:r w:rsidRPr="00444A00">
        <w:rPr>
          <w:sz w:val="24"/>
        </w:rPr>
        <w:t xml:space="preserve">Regula generală de calcul de la subpct. 1.2 nu se aplică în cazul </w:t>
      </w:r>
      <w:proofErr w:type="spellStart"/>
      <w:r w:rsidRPr="00444A00">
        <w:rPr>
          <w:sz w:val="24"/>
        </w:rPr>
        <w:t>coprelucrării</w:t>
      </w:r>
      <w:proofErr w:type="spellEnd"/>
      <w:r w:rsidRPr="00444A00">
        <w:rPr>
          <w:sz w:val="24"/>
        </w:rPr>
        <w:t>, situație în care combustibilii lichizi și gazoși de origine nebiologică din surse regenerabile utilizați în transporturi și combustibilii pe bază de carbon reciclat înlocuiesc doar parțial un factor de producție convențional într-un proces.</w:t>
      </w:r>
    </w:p>
    <w:p w14:paraId="5E57E616" w14:textId="77777777" w:rsidR="007449C0" w:rsidRPr="00444A00" w:rsidRDefault="007449C0" w:rsidP="007449C0">
      <w:pPr>
        <w:pStyle w:val="Anexapct11"/>
        <w:rPr>
          <w:sz w:val="24"/>
        </w:rPr>
      </w:pPr>
      <w:r w:rsidRPr="00444A00">
        <w:rPr>
          <w:sz w:val="24"/>
        </w:rPr>
        <w:t xml:space="preserve">În cazul </w:t>
      </w:r>
      <w:proofErr w:type="spellStart"/>
      <w:r w:rsidRPr="00444A00">
        <w:rPr>
          <w:sz w:val="24"/>
        </w:rPr>
        <w:t>coprelucrării</w:t>
      </w:r>
      <w:proofErr w:type="spellEnd"/>
      <w:r w:rsidRPr="00444A00">
        <w:rPr>
          <w:sz w:val="24"/>
        </w:rPr>
        <w:t>, în calculul intensității emisiilor de gaze cu efect de seră se face o distincție proporțională cu valoarea energetică a intrărilor între:</w:t>
      </w:r>
    </w:p>
    <w:p w14:paraId="6D22C36A" w14:textId="77777777" w:rsidR="007449C0" w:rsidRPr="00444A00" w:rsidRDefault="007449C0" w:rsidP="007449C0">
      <w:pPr>
        <w:pStyle w:val="Anexapct111"/>
        <w:rPr>
          <w:sz w:val="24"/>
        </w:rPr>
      </w:pPr>
      <w:r w:rsidRPr="00444A00">
        <w:rPr>
          <w:sz w:val="24"/>
        </w:rPr>
        <w:t>partea din proces care se bazează pe intrarea convențională;</w:t>
      </w:r>
    </w:p>
    <w:p w14:paraId="69AFA926" w14:textId="77777777" w:rsidR="007449C0" w:rsidRPr="00444A00" w:rsidRDefault="007449C0" w:rsidP="007449C0">
      <w:pPr>
        <w:pStyle w:val="Anexapct111"/>
        <w:rPr>
          <w:sz w:val="24"/>
        </w:rPr>
      </w:pPr>
      <w:r w:rsidRPr="00444A00">
        <w:rPr>
          <w:sz w:val="24"/>
        </w:rPr>
        <w:t>partea din proces care se bazează pe combustibilii lichizi și gazoși de origine nebiologică din surse regenerabile utilizați în transporturi și pe combustibilii pe bază de carbon reciclat, în măsura în care părțile procesului sunt identice.</w:t>
      </w:r>
    </w:p>
    <w:p w14:paraId="12F90986" w14:textId="77777777" w:rsidR="007449C0" w:rsidRPr="00444A00" w:rsidRDefault="007449C0" w:rsidP="007449C0">
      <w:pPr>
        <w:pStyle w:val="Anexapct11"/>
        <w:rPr>
          <w:sz w:val="24"/>
        </w:rPr>
      </w:pPr>
      <w:r w:rsidRPr="00444A00">
        <w:rPr>
          <w:sz w:val="24"/>
        </w:rPr>
        <w:t>Se aplică o distincție similară între procese în cazul în care combustibilii lichizi și gazoși de origine nebiologică din surse regenerabile utilizați în transporturi și combustibilii pe bază de carbon reciclat sunt prelucrați împreună cu biomasa.</w:t>
      </w:r>
    </w:p>
    <w:p w14:paraId="76EF10AD" w14:textId="77777777" w:rsidR="007449C0" w:rsidRPr="00444A00" w:rsidRDefault="007449C0" w:rsidP="007449C0">
      <w:pPr>
        <w:pStyle w:val="Anexapct11"/>
        <w:rPr>
          <w:sz w:val="24"/>
        </w:rPr>
      </w:pPr>
      <w:r w:rsidRPr="00444A00">
        <w:rPr>
          <w:sz w:val="24"/>
        </w:rPr>
        <w:t>Intensitatea emisiilor de gaze cu efect de seră se calculează ca medie pentru întreaga producție de combustibili care are loc într-o perioadă de cel mult o lună calendaristică, sau pentru intervale de timp mai scurte. În cazul în care energia electrică care se califică drept energie electrică complet regenerabilă în conformitate Hotărârea Guvernului nr. 74/2025 cu privire la aprobarea Regulamentului privind calculul consumului de energie din surse regenerabile</w:t>
      </w:r>
      <w:r w:rsidRPr="00444A00" w:rsidDel="004A2196">
        <w:rPr>
          <w:sz w:val="24"/>
        </w:rPr>
        <w:t xml:space="preserve"> </w:t>
      </w:r>
      <w:r w:rsidRPr="00444A00">
        <w:rPr>
          <w:sz w:val="24"/>
        </w:rPr>
        <w:t>este utilizată ca intrare care sporește puterea calorifică a combustibilului sau a produselor intermediare, intervalul de timp trebuie să respecte cerințele aplicabile corelării temporale. După caz, valorile intensității emisiilor de gaze cu efect de seră calculate pentru intervale de timp individuale se utilizează pentru a calcula intensitatea medie a emisiilor de gaze cu efect de seră pentru o perioadă de până la o lună, cu condiția ca valorile individuale calculate pentru fiecare perioadă de timp să respecte pragul minim de reducere stabilit de Guvern.</w:t>
      </w:r>
    </w:p>
    <w:p w14:paraId="4C5FA320" w14:textId="77777777" w:rsidR="007449C0" w:rsidRPr="00444A00" w:rsidRDefault="007449C0" w:rsidP="007449C0">
      <w:pPr>
        <w:pStyle w:val="Anexapct1"/>
        <w:rPr>
          <w:sz w:val="24"/>
        </w:rPr>
      </w:pPr>
      <w:r w:rsidRPr="00444A00">
        <w:rPr>
          <w:sz w:val="24"/>
        </w:rPr>
        <w:t>Reducerile emisiilor de gaze cu efect de seră ale combustibililor lichizi și gazoși de origine nebiologică din surse regenerabile utilizați în transporturi sau ale combustibililor pe bază de carbon reciclat se calculează după cum urmează:</w:t>
      </w:r>
    </w:p>
    <w:p w14:paraId="0C01DA38" w14:textId="77777777" w:rsidR="007449C0" w:rsidRPr="00444A00" w:rsidRDefault="007449C0" w:rsidP="007449C0">
      <w:pPr>
        <w:jc w:val="center"/>
        <w:rPr>
          <w:sz w:val="24"/>
        </w:rPr>
      </w:pPr>
      <w:r w:rsidRPr="00444A00">
        <w:rPr>
          <w:sz w:val="24"/>
        </w:rPr>
        <w:t>Economii = (E F – E)/E F</w:t>
      </w:r>
    </w:p>
    <w:p w14:paraId="3E1D56C8" w14:textId="77777777" w:rsidR="007449C0" w:rsidRPr="00444A00" w:rsidRDefault="007449C0" w:rsidP="007449C0">
      <w:pPr>
        <w:rPr>
          <w:sz w:val="24"/>
        </w:rPr>
      </w:pPr>
      <w:r w:rsidRPr="00444A00">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352"/>
        <w:gridCol w:w="8626"/>
      </w:tblGrid>
      <w:tr w:rsidR="007449C0" w:rsidRPr="00444A00" w14:paraId="6CE29C0D" w14:textId="77777777" w:rsidTr="003D514F">
        <w:tc>
          <w:tcPr>
            <w:tcW w:w="488" w:type="dxa"/>
          </w:tcPr>
          <w:p w14:paraId="06971897" w14:textId="77777777" w:rsidR="007449C0" w:rsidRPr="00444A00" w:rsidRDefault="007449C0" w:rsidP="003D514F">
            <w:pPr>
              <w:ind w:firstLine="0"/>
              <w:rPr>
                <w:rFonts w:ascii="Times New Roman" w:hAnsi="Times New Roman"/>
                <w:sz w:val="24"/>
              </w:rPr>
            </w:pPr>
            <w:r w:rsidRPr="00444A00">
              <w:rPr>
                <w:rFonts w:ascii="Times New Roman" w:hAnsi="Times New Roman"/>
                <w:sz w:val="24"/>
              </w:rPr>
              <w:t xml:space="preserve">E </w:t>
            </w:r>
          </w:p>
        </w:tc>
        <w:tc>
          <w:tcPr>
            <w:tcW w:w="329" w:type="dxa"/>
          </w:tcPr>
          <w:p w14:paraId="6D971BD7" w14:textId="77777777" w:rsidR="007449C0" w:rsidRPr="00444A00" w:rsidRDefault="007449C0" w:rsidP="003D514F">
            <w:pPr>
              <w:ind w:firstLine="0"/>
              <w:rPr>
                <w:rFonts w:ascii="Times New Roman" w:hAnsi="Times New Roman"/>
                <w:sz w:val="24"/>
              </w:rPr>
            </w:pPr>
            <w:r w:rsidRPr="00444A00">
              <w:rPr>
                <w:rFonts w:ascii="Times New Roman" w:hAnsi="Times New Roman"/>
                <w:sz w:val="24"/>
              </w:rPr>
              <w:t>=</w:t>
            </w:r>
          </w:p>
        </w:tc>
        <w:tc>
          <w:tcPr>
            <w:tcW w:w="9751" w:type="dxa"/>
          </w:tcPr>
          <w:p w14:paraId="5913EFC7" w14:textId="77777777" w:rsidR="007449C0" w:rsidRPr="00444A00" w:rsidRDefault="007449C0" w:rsidP="003D514F">
            <w:pPr>
              <w:ind w:firstLine="0"/>
              <w:rPr>
                <w:rFonts w:ascii="Times New Roman" w:hAnsi="Times New Roman"/>
                <w:sz w:val="24"/>
              </w:rPr>
            </w:pPr>
            <w:r w:rsidRPr="00444A00">
              <w:rPr>
                <w:rFonts w:ascii="Times New Roman" w:hAnsi="Times New Roman"/>
                <w:sz w:val="24"/>
              </w:rPr>
              <w:t>emisiile totale provenite din utilizarea combustibililor lichizi și gazoși de origine nebiologică din surse regenerabile utilizați în transporturi sau a combustibililor pe bază de carbon reciclat;</w:t>
            </w:r>
          </w:p>
        </w:tc>
      </w:tr>
      <w:tr w:rsidR="007449C0" w:rsidRPr="00444A00" w14:paraId="4A2983E3" w14:textId="77777777" w:rsidTr="003D514F">
        <w:tc>
          <w:tcPr>
            <w:tcW w:w="488" w:type="dxa"/>
          </w:tcPr>
          <w:p w14:paraId="4C899B1A" w14:textId="77777777" w:rsidR="007449C0" w:rsidRPr="00444A00" w:rsidRDefault="007449C0" w:rsidP="003D514F">
            <w:pPr>
              <w:ind w:firstLine="0"/>
              <w:rPr>
                <w:rFonts w:ascii="Times New Roman" w:hAnsi="Times New Roman"/>
                <w:sz w:val="24"/>
              </w:rPr>
            </w:pPr>
            <w:r w:rsidRPr="00444A00">
              <w:rPr>
                <w:rFonts w:ascii="Times New Roman" w:hAnsi="Times New Roman"/>
                <w:sz w:val="24"/>
              </w:rPr>
              <w:t>E</w:t>
            </w:r>
            <w:r w:rsidRPr="00444A00">
              <w:rPr>
                <w:rFonts w:ascii="Times New Roman" w:hAnsi="Times New Roman"/>
                <w:sz w:val="24"/>
                <w:vertAlign w:val="subscript"/>
              </w:rPr>
              <w:t>F</w:t>
            </w:r>
          </w:p>
        </w:tc>
        <w:tc>
          <w:tcPr>
            <w:tcW w:w="329" w:type="dxa"/>
          </w:tcPr>
          <w:p w14:paraId="5610225D" w14:textId="77777777" w:rsidR="007449C0" w:rsidRPr="00444A00" w:rsidRDefault="007449C0" w:rsidP="003D514F">
            <w:pPr>
              <w:ind w:firstLine="0"/>
              <w:rPr>
                <w:rFonts w:ascii="Times New Roman" w:hAnsi="Times New Roman"/>
                <w:sz w:val="24"/>
              </w:rPr>
            </w:pPr>
            <w:r w:rsidRPr="00444A00">
              <w:rPr>
                <w:rFonts w:ascii="Times New Roman" w:hAnsi="Times New Roman"/>
                <w:sz w:val="24"/>
              </w:rPr>
              <w:t>=</w:t>
            </w:r>
          </w:p>
        </w:tc>
        <w:tc>
          <w:tcPr>
            <w:tcW w:w="9751" w:type="dxa"/>
          </w:tcPr>
          <w:p w14:paraId="44033588" w14:textId="77777777" w:rsidR="007449C0" w:rsidRPr="00444A00" w:rsidRDefault="007449C0" w:rsidP="003D514F">
            <w:pPr>
              <w:ind w:firstLine="0"/>
              <w:rPr>
                <w:rFonts w:ascii="Times New Roman" w:hAnsi="Times New Roman"/>
                <w:sz w:val="24"/>
              </w:rPr>
            </w:pPr>
            <w:r w:rsidRPr="00444A00">
              <w:rPr>
                <w:rFonts w:ascii="Times New Roman" w:hAnsi="Times New Roman"/>
                <w:sz w:val="24"/>
              </w:rPr>
              <w:t>emisiile totale provenite de la carburantul fosil de referință.</w:t>
            </w:r>
          </w:p>
        </w:tc>
      </w:tr>
    </w:tbl>
    <w:p w14:paraId="35B5815E" w14:textId="77777777" w:rsidR="007449C0" w:rsidRPr="00444A00" w:rsidRDefault="007449C0" w:rsidP="007449C0">
      <w:pPr>
        <w:pStyle w:val="Anexapct11"/>
        <w:rPr>
          <w:sz w:val="24"/>
        </w:rPr>
      </w:pPr>
      <w:r w:rsidRPr="00444A00">
        <w:rPr>
          <w:sz w:val="24"/>
        </w:rPr>
        <w:t>Pentru toți combustibilii lichizi și gazoși de origine nebiologică din surse regenerabile utilizați în transporturi și pentru combustibilii pe bază de carbon reciclat, emisiile totale provenite de la carburantul fosil de referință sunt de 94 gCO2eq/MJ.</w:t>
      </w:r>
    </w:p>
    <w:p w14:paraId="0F30CE31" w14:textId="77777777" w:rsidR="007449C0" w:rsidRPr="00444A00" w:rsidRDefault="007449C0" w:rsidP="007449C0">
      <w:pPr>
        <w:pStyle w:val="Anexapct1"/>
        <w:rPr>
          <w:sz w:val="24"/>
        </w:rPr>
      </w:pPr>
      <w:r w:rsidRPr="00444A00">
        <w:rPr>
          <w:sz w:val="24"/>
        </w:rPr>
        <w:t>În cazul în care rezultatul unui proces nu se califică pe deplin drept combustibili lichizi și gazoși de origine nebiologică din surse regenerabile utilizați în transporturi sau drept combustibili pe bază de carbon reciclat, ponderea lor în producția totală se determină după cum urmează:</w:t>
      </w:r>
    </w:p>
    <w:p w14:paraId="5E62D583" w14:textId="77777777" w:rsidR="007449C0" w:rsidRPr="00444A00" w:rsidRDefault="007449C0" w:rsidP="007449C0">
      <w:pPr>
        <w:pStyle w:val="Anexapct11"/>
        <w:rPr>
          <w:sz w:val="24"/>
        </w:rPr>
      </w:pPr>
      <w:r w:rsidRPr="00444A00">
        <w:rPr>
          <w:sz w:val="24"/>
        </w:rPr>
        <w:lastRenderedPageBreak/>
        <w:t>fracțiunea de combustibili lichizi și gazoși de origine nebiologică din surse regenerabile utilizați în transporturi se determină împărțind intrarea relevantă de energie din surse regenerabile în proces la totalul intrărilor de energie relevante în proces;</w:t>
      </w:r>
    </w:p>
    <w:p w14:paraId="10A5E6C6" w14:textId="77777777" w:rsidR="007449C0" w:rsidRPr="00444A00" w:rsidRDefault="007449C0" w:rsidP="007449C0">
      <w:pPr>
        <w:pStyle w:val="Anexapct11"/>
        <w:rPr>
          <w:sz w:val="24"/>
        </w:rPr>
      </w:pPr>
      <w:r w:rsidRPr="00444A00">
        <w:rPr>
          <w:sz w:val="24"/>
        </w:rPr>
        <w:t>fracțiunea de combustibil pe bază de carbon reciclat se determină prin împărțirea intrării relevante de energie care se califică drept sursă pentru producția de combustibili pe bază de carbon reciclat în proces la totalul intrărilor de energie relevante în proces.</w:t>
      </w:r>
    </w:p>
    <w:p w14:paraId="69D2EA26" w14:textId="77777777" w:rsidR="007449C0" w:rsidRPr="00444A00" w:rsidRDefault="007449C0" w:rsidP="007449C0">
      <w:pPr>
        <w:pStyle w:val="Anexapct1"/>
        <w:rPr>
          <w:sz w:val="24"/>
        </w:rPr>
      </w:pPr>
      <w:r w:rsidRPr="00444A00">
        <w:rPr>
          <w:sz w:val="24"/>
        </w:rPr>
        <w:t>Energia relevantă pentru intrările de materiale este puterea calorifică inferioară a intrării de material care trece în structura moleculară a combustibilului.</w:t>
      </w:r>
      <w:r w:rsidRPr="00444A00">
        <w:rPr>
          <w:color w:val="333333"/>
          <w:sz w:val="24"/>
          <w:shd w:val="clear" w:color="auto" w:fill="FFFFFF"/>
        </w:rPr>
        <w:t xml:space="preserve"> </w:t>
      </w:r>
      <w:r w:rsidRPr="00444A00">
        <w:rPr>
          <w:sz w:val="24"/>
        </w:rPr>
        <w:t>Pentru intrările de materiale care conțin apă, puterea calorifică inferioară se consideră drept puterea calorifică inferioară a părții uscate a intrării de material, fără a lua în considerare energia necesară evaporării apei. Combustibilii lichizi și gazoși de origine nebiologică din surse regenerabile utilizați ca produse intermediare pentru producția de combustibili convenționali nu sunt luați în considerare.</w:t>
      </w:r>
    </w:p>
    <w:p w14:paraId="5B6DB5BB" w14:textId="77777777" w:rsidR="007449C0" w:rsidRPr="00444A00" w:rsidRDefault="007449C0" w:rsidP="007449C0">
      <w:pPr>
        <w:pStyle w:val="Anexapct11"/>
        <w:rPr>
          <w:sz w:val="24"/>
        </w:rPr>
      </w:pPr>
      <w:r w:rsidRPr="00444A00">
        <w:rPr>
          <w:sz w:val="24"/>
        </w:rPr>
        <w:t>În cazul intrărilor de energie electrică utilizate pentru creșterea valorii calorifice a combustibilului sau a produselor intermediare, energia relevantă este energia electrică.</w:t>
      </w:r>
    </w:p>
    <w:p w14:paraId="1AE19F6D" w14:textId="77777777" w:rsidR="007449C0" w:rsidRPr="00444A00" w:rsidRDefault="007449C0" w:rsidP="007449C0">
      <w:pPr>
        <w:pStyle w:val="Anexapct11"/>
        <w:rPr>
          <w:sz w:val="24"/>
        </w:rPr>
      </w:pPr>
      <w:r w:rsidRPr="00444A00">
        <w:rPr>
          <w:sz w:val="24"/>
        </w:rPr>
        <w:t>Pentru gazele reziduale industriale, energia relevantă este energia din gazele reziduale bazată pe puterea calorifică inferioară a acestora. În cazul căldurii utilizate pentru a crește puterea calorifică a combustibilului sau a produsului intermediar, energia relevantă este energia utilă din căldura utilizată pentru sintetizarea combustibilului. Energia termică utilă este energia termică totală înmulțită cu randamentul ciclului Carnot, astfel cum este definit la subpct. 6.2 din anexa nr. 2 la prezenta hotărâre. Alte intrări sunt luate în considerare exclusiv la determinarea intensității emisiilor combustibilului.</w:t>
      </w:r>
    </w:p>
    <w:p w14:paraId="5CADDFEE" w14:textId="77777777" w:rsidR="007449C0" w:rsidRPr="00444A00" w:rsidRDefault="007449C0" w:rsidP="007449C0">
      <w:pPr>
        <w:pStyle w:val="Anexapct1"/>
        <w:rPr>
          <w:sz w:val="24"/>
        </w:rPr>
      </w:pPr>
      <w:r w:rsidRPr="00444A00">
        <w:rPr>
          <w:sz w:val="24"/>
        </w:rPr>
        <w:t>La determinarea emisiilor provenite din furnizarea de intrări, se face distincția între intrările elastice și intrările rigide. Intrările rigide sunt cele a căror furnizare nu poate fi extinsă pentru a satisface cererea suplimentară. Astfel, toate intrările care se califică drept sursă de carbon pentru producția de combustibili pe bază de carbon reciclat sunt rigide, precum și ieșirile produse în proporție fixă printr-un proces încorporat în sensul subpct. 5.1 și care reprezintă mai puțin de 10 % din valoarea economică a ieșirii. În cazul în care reprezintă cel puțin 10 % din valoarea economică, aceasta se consideră elastică. Intrările elastice sunt cele a căror furnizare se extinde pentru a satisface cererea suplimentară. Produsele petroliere provenite de la rafinării se încadrează în această categorie, deoarece rafinăriile pot modifica proporția produselor lor.</w:t>
      </w:r>
    </w:p>
    <w:p w14:paraId="1574844E" w14:textId="77777777" w:rsidR="007449C0" w:rsidRPr="00444A00" w:rsidRDefault="007449C0" w:rsidP="007449C0">
      <w:pPr>
        <w:pStyle w:val="Anexapct11"/>
        <w:rPr>
          <w:sz w:val="24"/>
        </w:rPr>
      </w:pPr>
      <w:r w:rsidRPr="00444A00">
        <w:rPr>
          <w:sz w:val="24"/>
        </w:rPr>
        <w:t> Procesele încorporate includ procese care au loc în același complex industrial sau care furnizează intrarea prin intermediul unei infrastructuri de furnizare dedicate sau care furnizează mai mult de jumătate din energia tuturor intrărilor pentru producția de combustibil lichid și gazos de origine nebiologică din surse regenerabile destinat transporturilor sau de combustibil pe bază de carbon reciclat.</w:t>
      </w:r>
    </w:p>
    <w:p w14:paraId="32046BD2" w14:textId="77777777" w:rsidR="007449C0" w:rsidRPr="00444A00" w:rsidRDefault="007449C0" w:rsidP="007449C0">
      <w:pPr>
        <w:pStyle w:val="Anexapct1"/>
        <w:rPr>
          <w:sz w:val="24"/>
        </w:rPr>
      </w:pPr>
      <w:r w:rsidRPr="00444A00">
        <w:rPr>
          <w:sz w:val="24"/>
        </w:rPr>
        <w:t>Energiei electrice care se califică drept complet regenerabilă în conformitate cu Hotărârea Guvernului nr. 74/2025 cu privire la aprobarea Regulamentului privind calculul consumului de energie din surse regenerabile, se atribuie emisii de gaze cu efect de seră egale cu zero.</w:t>
      </w:r>
    </w:p>
    <w:p w14:paraId="6EA915B4" w14:textId="77777777" w:rsidR="007449C0" w:rsidRPr="00444A00" w:rsidRDefault="007449C0" w:rsidP="007449C0">
      <w:pPr>
        <w:pStyle w:val="Anexapct1"/>
        <w:rPr>
          <w:sz w:val="24"/>
        </w:rPr>
      </w:pPr>
      <w:r w:rsidRPr="00444A00">
        <w:rPr>
          <w:sz w:val="24"/>
        </w:rPr>
        <w:t>În fiecare an calendaristic se aplică una dintre cele trei metode alternative de mai jos pentru a atribui valorile emisiilor de gaze cu efect de seră energiei electrice preluate din rețea care nu se califică drept complet regenerabilă în conformitate cu Hotărârea Guvernului nr. 74/2025 cu privire la aprobarea Regulamentului privind calculul consumului de energie din surse regenerabile</w:t>
      </w:r>
      <w:r w:rsidRPr="00444A00" w:rsidDel="001B47CE">
        <w:rPr>
          <w:sz w:val="24"/>
        </w:rPr>
        <w:t xml:space="preserve"> </w:t>
      </w:r>
      <w:r w:rsidRPr="00444A00">
        <w:rPr>
          <w:sz w:val="24"/>
        </w:rPr>
        <w:t xml:space="preserve">și care </w:t>
      </w:r>
      <w:r w:rsidRPr="00444A00">
        <w:rPr>
          <w:sz w:val="24"/>
        </w:rPr>
        <w:lastRenderedPageBreak/>
        <w:t>este utilizată pentru a produce combustibili lichizi și gazoși de origine nebiologică din surse regenerabile utilizați în transporturi și combustibili pe bază de carbon reciclat:</w:t>
      </w:r>
    </w:p>
    <w:p w14:paraId="67B27FFE" w14:textId="77777777" w:rsidR="007449C0" w:rsidRPr="00444A00" w:rsidRDefault="007449C0" w:rsidP="007449C0">
      <w:pPr>
        <w:pStyle w:val="Anexapct11"/>
        <w:rPr>
          <w:sz w:val="24"/>
        </w:rPr>
      </w:pPr>
      <w:r w:rsidRPr="00444A00">
        <w:rPr>
          <w:sz w:val="24"/>
        </w:rPr>
        <w:t>valorile emisiilor de gaze cu efect de seră se atribuie în conformitate cu partea C din prezenta anexă. Aplicarea prezentei prevederi nu afectează evaluarea realizată în temeiul normelor privind ajutoarele de stat;</w:t>
      </w:r>
    </w:p>
    <w:p w14:paraId="45E518CD" w14:textId="77777777" w:rsidR="007449C0" w:rsidRPr="00444A00" w:rsidRDefault="007449C0" w:rsidP="007449C0">
      <w:pPr>
        <w:pStyle w:val="Anexapct11"/>
        <w:rPr>
          <w:sz w:val="24"/>
        </w:rPr>
      </w:pPr>
      <w:r w:rsidRPr="00444A00">
        <w:rPr>
          <w:sz w:val="24"/>
        </w:rPr>
        <w:t>valorile emisiilor de gaze cu efect de seră se atribuie în funcție de numărul de ore la sarcină maximă în care funcționează instalația care produce combustibili lichizi și gazoși de origine nebiologică din surse regenerabile utilizați în transporturi și combustibili pe bază de carbon reciclat. În cazul în care numărul de ore la sarcină maximă este mai mic sau egal cu numărul de ore în care a fost stabilit prețul marginal al energiei electrice de către instalațiile care produc energie electrică din surse regenerabile sau centrale nucleare în anul calendaristic precedent pentru care sunt disponibile date fiabile, energiei electrice din rețea, utilizată în procesul de producție a combustibililor lichizi și gazoși de origine nebiologică din surse regenerabile utilizați în transporturi și a combustibililor pe bază de carbon reciclat, se atribuie o valoare a emisiilor de gaze cu efect de seră egală cu zero gCO2eq/MJ. În cazul în care acest număr de ore la sarcină maximă este depășit, energiei electrice din rețea, utilizată în procesul de producție a combustibililor lichizi și gazoși de origine nebiologică din surse regenerabile utilizați în transporturi și a combustibililor pe bază de carbon reciclat, se atribuie o valoare a emisiilor de gaze cu efect de seră de 183 gCO2eq/MJ; sau</w:t>
      </w:r>
    </w:p>
    <w:p w14:paraId="00F54F09" w14:textId="77777777" w:rsidR="007449C0" w:rsidRPr="00444A00" w:rsidRDefault="007449C0" w:rsidP="007449C0">
      <w:pPr>
        <w:pStyle w:val="Anexapct11"/>
        <w:rPr>
          <w:sz w:val="24"/>
        </w:rPr>
      </w:pPr>
      <w:r w:rsidRPr="00444A00">
        <w:rPr>
          <w:sz w:val="24"/>
        </w:rPr>
        <w:t>valoarea emisiilor de gaze cu efect de seră ale unității marginale care produce energie electrică în momentul producerii combustibililor lichizi și gazoși de origine nebiologică din surse regenerabile utilizați în transporturi în zona de ofertare, dacă aceste informații sunt puse la dispoziția publicului de către operatorul național de transport și de sistem.</w:t>
      </w:r>
    </w:p>
    <w:p w14:paraId="5DE5C896" w14:textId="77777777" w:rsidR="007449C0" w:rsidRPr="00444A00" w:rsidRDefault="007449C0" w:rsidP="007449C0">
      <w:pPr>
        <w:pStyle w:val="Anexapct1"/>
        <w:rPr>
          <w:sz w:val="24"/>
        </w:rPr>
      </w:pPr>
      <w:r w:rsidRPr="00444A00">
        <w:rPr>
          <w:sz w:val="24"/>
        </w:rPr>
        <w:t>Dacă se utilizează metoda stabilită la subpct. 7.2, aceasta se aplică și energiei electrice care este utilizată pentru a produce combustibili lichizi și gazoși de origine nebiologică din surse regenerabile utilizați în transporturi și combustibili pe bază de carbon reciclat și care se califică drept energie provenită integral din surse regenerabile în conformitate cu Hotărârea Guvernului nr. 74/2025 cu privire la aprobarea Regulamentului privind calculul consumului de energie din surse regenerabile.</w:t>
      </w:r>
    </w:p>
    <w:p w14:paraId="534D04CC" w14:textId="77777777" w:rsidR="007449C0" w:rsidRPr="00444A00" w:rsidRDefault="007449C0" w:rsidP="007449C0">
      <w:pPr>
        <w:pStyle w:val="Anexapct1"/>
        <w:rPr>
          <w:sz w:val="24"/>
        </w:rPr>
      </w:pPr>
      <w:r w:rsidRPr="00444A00">
        <w:rPr>
          <w:sz w:val="24"/>
        </w:rPr>
        <w:t>Emisiile de gaze cu efect de seră (în continuare</w:t>
      </w:r>
      <w:r w:rsidRPr="00444A00">
        <w:rPr>
          <w:i/>
          <w:iCs/>
          <w:sz w:val="24"/>
        </w:rPr>
        <w:t xml:space="preserve"> – GES</w:t>
      </w:r>
      <w:r w:rsidRPr="00444A00">
        <w:rPr>
          <w:sz w:val="24"/>
        </w:rPr>
        <w:t>) ale intrărilor elastice care sunt obținute printr-un proces încorporat se determină pe baza datelor din procesul lor real de producție. Aceste emisii includ toate emisiile generate de producția lor de-a lungul întregului lanț de aprovizionare, inclusiv emisiile rezultate din extracția energiei primare necesare pentru producerea intrării, prelucrarea intrării și transportul intrării. Aceste emisii nu includ emisiile de ardere legate de conținutul de carbon al intrărilor de combustibil. În cazul în care intensitățile carbonului sunt preluate din tabelul din partea B, emisiile de ardere nu se iau în considerare, deoarece acestea sunt luate în considerare în timpul prelucrării sau în emisiile de ardere ale combustibilului final.</w:t>
      </w:r>
    </w:p>
    <w:p w14:paraId="4CBDF767" w14:textId="77777777" w:rsidR="007449C0" w:rsidRPr="00444A00" w:rsidRDefault="007449C0" w:rsidP="007449C0">
      <w:pPr>
        <w:pStyle w:val="Anexapct11"/>
        <w:rPr>
          <w:sz w:val="24"/>
        </w:rPr>
      </w:pPr>
      <w:r w:rsidRPr="00444A00">
        <w:rPr>
          <w:sz w:val="24"/>
        </w:rPr>
        <w:t xml:space="preserve">Emisiile de </w:t>
      </w:r>
      <w:r w:rsidRPr="00444A00">
        <w:rPr>
          <w:iCs/>
          <w:sz w:val="24"/>
        </w:rPr>
        <w:t>GES</w:t>
      </w:r>
      <w:r w:rsidRPr="00444A00">
        <w:rPr>
          <w:sz w:val="24"/>
        </w:rPr>
        <w:t xml:space="preserve"> provenite de la intrările elastice care nu sunt obținute printr-un proces încorporat se determină pe baza valorilor incluse în partea B a prezentei anexe. În cazul în care datele nu sunt incluse în listă, informațiile privind intensitatea emisiilor se extrag din cea mai recentă versiune a raportului JEC-WTW, din baza de date ECOINVENT, din surse oficiale precum Grupul interguvernamental privind schimbările climatice (în continuare – </w:t>
      </w:r>
      <w:r w:rsidRPr="00444A00">
        <w:rPr>
          <w:i/>
          <w:sz w:val="24"/>
        </w:rPr>
        <w:t>IPCC</w:t>
      </w:r>
      <w:r w:rsidRPr="00444A00">
        <w:rPr>
          <w:sz w:val="24"/>
        </w:rPr>
        <w:t xml:space="preserve">), Agenția </w:t>
      </w:r>
      <w:r w:rsidRPr="00444A00">
        <w:rPr>
          <w:sz w:val="24"/>
        </w:rPr>
        <w:lastRenderedPageBreak/>
        <w:t xml:space="preserve">Internațională pentru Energie (în continuare – </w:t>
      </w:r>
      <w:r w:rsidRPr="00444A00">
        <w:rPr>
          <w:i/>
          <w:sz w:val="24"/>
        </w:rPr>
        <w:t>IEA</w:t>
      </w:r>
      <w:r w:rsidRPr="00444A00">
        <w:rPr>
          <w:sz w:val="24"/>
        </w:rPr>
        <w:t xml:space="preserve">) sau surse guvernamentale, precum și din alte surse revizuite, cum ar fi baza de date E3 și GEMIS și publicațiile evaluate inter </w:t>
      </w:r>
      <w:proofErr w:type="spellStart"/>
      <w:r w:rsidRPr="00444A00">
        <w:rPr>
          <w:sz w:val="24"/>
        </w:rPr>
        <w:t>pares</w:t>
      </w:r>
      <w:proofErr w:type="spellEnd"/>
      <w:r w:rsidRPr="00444A00">
        <w:rPr>
          <w:sz w:val="24"/>
        </w:rPr>
        <w:t>.</w:t>
      </w:r>
    </w:p>
    <w:p w14:paraId="2EC8F679" w14:textId="77777777" w:rsidR="007449C0" w:rsidRPr="00444A00" w:rsidRDefault="007449C0" w:rsidP="007449C0">
      <w:pPr>
        <w:pStyle w:val="Anexapct1"/>
        <w:rPr>
          <w:sz w:val="24"/>
        </w:rPr>
      </w:pPr>
      <w:r w:rsidRPr="00444A00">
        <w:rPr>
          <w:sz w:val="24"/>
        </w:rPr>
        <w:t>Furnizorul fiecărei intrări, cu excepția celor pentru care valorile sunt preluate din partea B a prezentei anexe, calculează intensitatea emisiilor intrării în conformitate cu procedurile din prezenta anexă și raportează valoarea următoarei etape de producție sau producătorului de combustibil final. Aceeași regulă se aplică furnizorilor de intrări situați în etapele anterioare ale lanțului de aprovizionare.</w:t>
      </w:r>
      <w:r w:rsidRPr="00444A00">
        <w:rPr>
          <w:color w:val="333333"/>
          <w:sz w:val="24"/>
          <w:shd w:val="clear" w:color="auto" w:fill="FFFFFF"/>
        </w:rPr>
        <w:t xml:space="preserve"> </w:t>
      </w:r>
      <w:r w:rsidRPr="00444A00">
        <w:rPr>
          <w:sz w:val="24"/>
        </w:rPr>
        <w:t>Intensitatea emisiilor nu include emisiile încorporate în conținutul de carbon al intrării furnizate.</w:t>
      </w:r>
    </w:p>
    <w:p w14:paraId="6EA44171" w14:textId="77777777" w:rsidR="007449C0" w:rsidRPr="00444A00" w:rsidRDefault="007449C0" w:rsidP="007449C0">
      <w:pPr>
        <w:pStyle w:val="Anexapct1"/>
        <w:rPr>
          <w:sz w:val="24"/>
        </w:rPr>
      </w:pPr>
      <w:r w:rsidRPr="00444A00">
        <w:rPr>
          <w:sz w:val="24"/>
        </w:rPr>
        <w:t>Emisiile provenite de la intrările rigide includ emisiile care rezultă din devierea acestor intrări de la o utilizare anterioară sau alternativă. Aceste emisii țin seama de pierderea producției de energie electrică, de energie termică sau de produse generate anterior utilizând materia primă, precum și de orice emisii datorate tratamentului suplimentar al intrării și al transportului. Se aplică următoarele reguli:</w:t>
      </w:r>
    </w:p>
    <w:p w14:paraId="2E6F82D0" w14:textId="77777777" w:rsidR="007449C0" w:rsidRPr="00444A00" w:rsidRDefault="007449C0" w:rsidP="007449C0">
      <w:pPr>
        <w:pStyle w:val="Anexapct11"/>
        <w:rPr>
          <w:sz w:val="24"/>
        </w:rPr>
      </w:pPr>
      <w:r w:rsidRPr="00444A00">
        <w:rPr>
          <w:sz w:val="24"/>
        </w:rPr>
        <w:t xml:space="preserve">emisiile atribuite furnizării de intrări rigide se determină înmulțind pierderea producției de energie electrică, de energie termică sau de alte produse cu factorul de emisie relevant. În cazul pierderii producției de energie electrică, factorii de emisie care se iau în considerare sunt cei aferenți producerii de energie electrică în rețea în țara în care a avut loc deplasarea, determinați în conformitate cu metodologia corespunzătoare prevăzută la punctele 6 sau 7. În cazul materialelor deturnate, emisiile care urmează să fie atribuite materialului de înlocuire se calculează ca pentru intrările de materiale în conformitate cu prezenta metodologie. În primii 20 ani de la începerea producției de combustibili lichizi și gazoși de origine nebiologică din surse regenerabile utilizați în transporturi sau de combustibili pe bază de carbon reciclat, pierderea producției de energie electrică, de energie termică și de materiale se determină pe baza cantității medii de energie electrică și termică care a fost produsă din intrarea rigidă în ultimii trei ani înainte de începerea producției de combustibili lichizi și gazoși de origine nebiologică din surse regenerabile utilizați în transporturi sau de combustibili pe bază de carbon reciclat. După 20 ani de producție, pierderea producției de energie electrică, de energie termică sau de alte produse se determină pe baza standardelor minime de performanță energetică asumate în concluziile relevante privind cele mai bune tehnologii disponibile (în continuare – </w:t>
      </w:r>
      <w:r w:rsidRPr="00444A00">
        <w:rPr>
          <w:i/>
          <w:iCs/>
          <w:sz w:val="24"/>
        </w:rPr>
        <w:t>BAT</w:t>
      </w:r>
      <w:r w:rsidRPr="00444A00">
        <w:rPr>
          <w:sz w:val="24"/>
        </w:rPr>
        <w:t>). În cazul în care procesul nu este acoperit de BAT, estimarea pierderilor de producție se bazează pe un proces comparabil care aplică tehnologia de ultimă generație;</w:t>
      </w:r>
    </w:p>
    <w:p w14:paraId="06FA3BA9" w14:textId="77777777" w:rsidR="007449C0" w:rsidRPr="00444A00" w:rsidRDefault="007449C0" w:rsidP="007449C0">
      <w:pPr>
        <w:pStyle w:val="Anexapct11"/>
        <w:rPr>
          <w:sz w:val="24"/>
        </w:rPr>
      </w:pPr>
      <w:r w:rsidRPr="00444A00">
        <w:rPr>
          <w:sz w:val="24"/>
        </w:rPr>
        <w:t>în cazul intrărilor rigide care sunt fluxuri intermediare în procesele industriale, cum ar fi gazul de cocserie, gazul de furnal din oțelării sau gazul de rafinărie din rafinăriile de petrol, dacă efectul devierii acestuia pentru producția de combustibil nu poate fi măsurat direct, emisiile datorate devierii intrărilor se determină pe baza simulărilor funcționării instalației înainte și după modificarea acesteia pentru a produce combustibili pe bază de carbon reciclat. În cazul în care modificarea instalației a cauzat o reducere a ieșirii anumitor produse, emisiile atribuite intrărilor rigide includ emisiile asociate înlocuirii produselor pierdute;</w:t>
      </w:r>
    </w:p>
    <w:p w14:paraId="48CF6A8E" w14:textId="77777777" w:rsidR="007449C0" w:rsidRPr="00444A00" w:rsidRDefault="007449C0" w:rsidP="007449C0">
      <w:pPr>
        <w:pStyle w:val="Anexapct11"/>
        <w:rPr>
          <w:sz w:val="24"/>
        </w:rPr>
      </w:pPr>
      <w:r w:rsidRPr="00444A00">
        <w:rPr>
          <w:sz w:val="24"/>
        </w:rPr>
        <w:t xml:space="preserve">în cazul în care procesul utilizează intrări rigide de la instalații noi, cum ar fi o nouă oțelărie care utilizează gazul de furnal înalt pentru a produce combustibili pe bază de carbon reciclat, se ia în considerare impactul devierii intrării de la utilizarea alternativă cea mai economică. Implicațiile emisiilor sunt calculate în conformitate cu standardele minime de performanță </w:t>
      </w:r>
      <w:r w:rsidRPr="00444A00">
        <w:rPr>
          <w:sz w:val="24"/>
        </w:rPr>
        <w:lastRenderedPageBreak/>
        <w:t>energetică prevăzute în concluziile relevante privind BAT. Pentru procesele industriale care nu sunt acoperite de BAT, economiile de emisii se calculează pe baza procesului comparabil care aplică tehnologia de ultimă generație.</w:t>
      </w:r>
    </w:p>
    <w:p w14:paraId="5837B136" w14:textId="77777777" w:rsidR="007449C0" w:rsidRPr="00444A00" w:rsidRDefault="007449C0" w:rsidP="007449C0">
      <w:pPr>
        <w:pStyle w:val="Anexapct1"/>
        <w:rPr>
          <w:sz w:val="24"/>
        </w:rPr>
      </w:pPr>
      <w:r w:rsidRPr="00444A00">
        <w:rPr>
          <w:sz w:val="24"/>
        </w:rPr>
        <w:t>Emisiile provenite din utilizarea sau evoluția existentă includ toate emisiile din utilizarea sau din evoluția existentă a intrării, care sunt evitate atunci când intrarea este utilizată pentru producția de combustibil. Aceste emisii includ echivalentul CO2 al carbonului încorporat în compoziția chimică a combustibilului care altfel ar fi fost emis în atmosferă sub formă de CO2. Se include, de asemenea, CO2 care a fost captat și încorporat în combustibil, cu condiția să fie îndeplinită cel puțin una dintre următoarele condiții:</w:t>
      </w:r>
    </w:p>
    <w:p w14:paraId="6B964679" w14:textId="77777777" w:rsidR="007449C0" w:rsidRPr="00444A00" w:rsidRDefault="007449C0" w:rsidP="007449C0">
      <w:pPr>
        <w:pStyle w:val="Anexapct11"/>
        <w:rPr>
          <w:sz w:val="24"/>
        </w:rPr>
      </w:pPr>
      <w:r w:rsidRPr="00444A00">
        <w:rPr>
          <w:sz w:val="24"/>
        </w:rPr>
        <w:t>CO2 a fost captat în urma unei activități enumerate în anexa nr. 1 la Legea nr. 74/2024 privind acțiunile climatice și a fost luat în considerare în amonte într-un sistem eficace de tarifare a carbonului și este încorporat în compoziția chimică a combustibilului înainte de 2036. Această dată se prelungește până în 2041 în alte cazuri decât CO2 rezultat din arderea combustibililor pentru producerea de energie electrică;</w:t>
      </w:r>
    </w:p>
    <w:p w14:paraId="7F1A7256" w14:textId="77777777" w:rsidR="007449C0" w:rsidRPr="00444A00" w:rsidRDefault="007449C0" w:rsidP="007449C0">
      <w:pPr>
        <w:pStyle w:val="Anexapct11"/>
        <w:rPr>
          <w:sz w:val="24"/>
        </w:rPr>
      </w:pPr>
      <w:r w:rsidRPr="00444A00">
        <w:rPr>
          <w:sz w:val="24"/>
        </w:rPr>
        <w:t xml:space="preserve">CO2 a fost captat din aer; </w:t>
      </w:r>
    </w:p>
    <w:p w14:paraId="34A13A1D" w14:textId="77777777" w:rsidR="007449C0" w:rsidRPr="00444A00" w:rsidRDefault="007449C0" w:rsidP="007449C0">
      <w:pPr>
        <w:pStyle w:val="Anexapct11"/>
        <w:rPr>
          <w:sz w:val="24"/>
        </w:rPr>
      </w:pPr>
      <w:r w:rsidRPr="00444A00">
        <w:rPr>
          <w:sz w:val="24"/>
        </w:rPr>
        <w:t xml:space="preserve">CO2 captat provine din producția sau din arderea </w:t>
      </w:r>
      <w:r w:rsidRPr="00C31339">
        <w:rPr>
          <w:sz w:val="24"/>
        </w:rPr>
        <w:t>biocarburanților</w:t>
      </w:r>
      <w:r w:rsidRPr="00444A00">
        <w:rPr>
          <w:sz w:val="24"/>
        </w:rPr>
        <w:t>, a biolichidelor sau a combustibililor pe bază de biomasă care respectă criteriile de reducere a gazelor cu efect de seră și captarea de CO2 nu a beneficiat de credite pentru reduceri ale emisiilor din captarea și din înlocuirea CO2, stabilite în anexa nr. 2 din prezenta hotărâre;</w:t>
      </w:r>
    </w:p>
    <w:p w14:paraId="283F4187" w14:textId="57DB40EE" w:rsidR="007449C0" w:rsidRPr="00444A00" w:rsidRDefault="007449C0" w:rsidP="007449C0">
      <w:pPr>
        <w:pStyle w:val="Anexapct11"/>
        <w:rPr>
          <w:sz w:val="24"/>
        </w:rPr>
      </w:pPr>
      <w:r w:rsidRPr="00444A00">
        <w:rPr>
          <w:sz w:val="24"/>
        </w:rPr>
        <w:t>CO2 captat provine din arderea combustibililor lichizi și gazoși de origine nebiologică din surse regenerabile utilizați în transporturi sau a combustibililor pe bază de carbon reciclat care respectă criteriile de reducere a emisiilor de gaze cu efect de seră prevăzute la pct. 2 din prezenta hotărâre, în anexa nr. 10 la Regulamentul</w:t>
      </w:r>
      <w:r w:rsidR="00A54608">
        <w:rPr>
          <w:sz w:val="24"/>
        </w:rPr>
        <w:t xml:space="preserve"> </w:t>
      </w:r>
      <w:r w:rsidRPr="00444A00">
        <w:rPr>
          <w:sz w:val="24"/>
        </w:rPr>
        <w:t>cu privire la normele de verificare a biocarburanților, biolichidelor și combustibililor din biomasă, precum și în prezenta anexă; sau</w:t>
      </w:r>
    </w:p>
    <w:p w14:paraId="1DC1AD77" w14:textId="77777777" w:rsidR="007449C0" w:rsidRPr="00444A00" w:rsidRDefault="007449C0" w:rsidP="007449C0">
      <w:pPr>
        <w:pStyle w:val="Anexapct11"/>
        <w:rPr>
          <w:sz w:val="24"/>
        </w:rPr>
      </w:pPr>
      <w:r w:rsidRPr="00444A00">
        <w:rPr>
          <w:sz w:val="24"/>
        </w:rPr>
        <w:t>CO2 captat provine dintr-o sursă geologică de CO2 și a fost eliberat anterior în mod natural.</w:t>
      </w:r>
    </w:p>
    <w:p w14:paraId="2A286468" w14:textId="77777777" w:rsidR="007449C0" w:rsidRPr="00444A00" w:rsidRDefault="007449C0" w:rsidP="007449C0">
      <w:pPr>
        <w:pStyle w:val="Anexapct1"/>
        <w:rPr>
          <w:sz w:val="24"/>
        </w:rPr>
      </w:pPr>
      <w:r w:rsidRPr="00444A00">
        <w:rPr>
          <w:sz w:val="24"/>
        </w:rPr>
        <w:t>Nu se include CO2 captat provenit dintr-un combustibil ars în mod deliberat în scopul specific de a produce CO2 și CO2 a cărui captare a beneficiat de un credit de emisii în temeiul altor dispoziții legale.</w:t>
      </w:r>
    </w:p>
    <w:p w14:paraId="6AA0A9C5" w14:textId="77777777" w:rsidR="007449C0" w:rsidRPr="00444A00" w:rsidRDefault="007449C0" w:rsidP="007449C0">
      <w:pPr>
        <w:pStyle w:val="Anexapct1"/>
        <w:rPr>
          <w:sz w:val="24"/>
        </w:rPr>
      </w:pPr>
      <w:r w:rsidRPr="00444A00">
        <w:rPr>
          <w:sz w:val="24"/>
        </w:rPr>
        <w:t>Emisiile asociate intrărilor, cum ar fi energia electrică și termică și materialele consumabile utilizate în procesul de captare a CO2, se includ în calculul emisiilor atribuite intrărilor.</w:t>
      </w:r>
    </w:p>
    <w:p w14:paraId="309DC90D" w14:textId="77777777" w:rsidR="007449C0" w:rsidRPr="00444A00" w:rsidRDefault="007449C0" w:rsidP="007449C0">
      <w:pPr>
        <w:pStyle w:val="Anexapct1"/>
        <w:rPr>
          <w:sz w:val="24"/>
        </w:rPr>
      </w:pPr>
      <w:r w:rsidRPr="00444A00">
        <w:rPr>
          <w:sz w:val="24"/>
        </w:rPr>
        <w:t>Datele stabilite la subpct. 12.1 vor face obiectul unei revizuiri din perspectiva punerii în aplicare, în sectoarele reglementate de Legea nr. 74/2024 privind acțiunile climatice, a obiectivului climatic la nivelul național pentru 2040, stabilit în conformitate cu Hotărârea Guvernului nr. 10/2024 pentru aprobarea Regulamentului privind mecanismul de guvernanță energetică și a acțiunilor climatice.</w:t>
      </w:r>
    </w:p>
    <w:p w14:paraId="3036D370" w14:textId="77777777" w:rsidR="007449C0" w:rsidRPr="00444A00" w:rsidRDefault="007449C0" w:rsidP="007449C0">
      <w:pPr>
        <w:pStyle w:val="Anexapct1"/>
        <w:rPr>
          <w:sz w:val="24"/>
        </w:rPr>
      </w:pPr>
      <w:r w:rsidRPr="00444A00">
        <w:rPr>
          <w:sz w:val="24"/>
        </w:rPr>
        <w:t>Emisiile provenite din prelucrare includ emisiile atmosferice directe provenite din prelucrarea propriu-zisă, din tratarea deșeurilor și din scurgeri.</w:t>
      </w:r>
    </w:p>
    <w:p w14:paraId="425A2FC0" w14:textId="77777777" w:rsidR="007449C0" w:rsidRPr="00444A00" w:rsidRDefault="007449C0" w:rsidP="007449C0">
      <w:pPr>
        <w:pStyle w:val="Anexapct1"/>
        <w:rPr>
          <w:sz w:val="24"/>
        </w:rPr>
      </w:pPr>
      <w:r w:rsidRPr="00444A00">
        <w:rPr>
          <w:sz w:val="24"/>
        </w:rPr>
        <w:t>Emisiile provenite din arderea combustibilului se referă la emisiile totale de ardere ale combustibilului utilizat.</w:t>
      </w:r>
    </w:p>
    <w:p w14:paraId="18E6BE35" w14:textId="77777777" w:rsidR="007449C0" w:rsidRPr="00444A00" w:rsidRDefault="007449C0" w:rsidP="007449C0">
      <w:pPr>
        <w:pStyle w:val="Anexapct1"/>
        <w:rPr>
          <w:sz w:val="24"/>
        </w:rPr>
      </w:pPr>
      <w:r w:rsidRPr="00444A00">
        <w:rPr>
          <w:sz w:val="24"/>
        </w:rPr>
        <w:lastRenderedPageBreak/>
        <w:t>Gazele cu efect de seră luate în considerare în calculul emisiilor și echivalentele acestora în dioxid de carbon sunt aceleași cu cele specificate la pct. 9 din anexa nr. 2 la prezenta hotărâre.</w:t>
      </w:r>
    </w:p>
    <w:p w14:paraId="671BA87B" w14:textId="77777777" w:rsidR="007449C0" w:rsidRPr="00444A00" w:rsidRDefault="007449C0" w:rsidP="007449C0">
      <w:pPr>
        <w:pStyle w:val="Anexapct1"/>
        <w:rPr>
          <w:sz w:val="24"/>
        </w:rPr>
      </w:pPr>
      <w:r w:rsidRPr="00444A00">
        <w:rPr>
          <w:sz w:val="24"/>
        </w:rPr>
        <w:t>În cazul în care un proces produce mai multe coproduse, cum ar fi combustibili sau substanțe chimice, precum și coproduse energetice, cum ar fi căldura, energia electrică sau energia mecanică exportată din instalație, emisiile de gaze cu efect de seră se alocă acestor coproduse după cum urmează:</w:t>
      </w:r>
    </w:p>
    <w:p w14:paraId="2B1B5D7D" w14:textId="77777777" w:rsidR="007449C0" w:rsidRPr="00444A00" w:rsidRDefault="007449C0" w:rsidP="007449C0">
      <w:pPr>
        <w:pStyle w:val="Anexapct11"/>
        <w:rPr>
          <w:sz w:val="24"/>
        </w:rPr>
      </w:pPr>
      <w:r w:rsidRPr="00444A00">
        <w:rPr>
          <w:sz w:val="24"/>
        </w:rPr>
        <w:t>alocarea se efectuează la sfârșitul procesului care produce coprodusele. Emisiile alocate includ emisiile provenite din acest proces, precum și emisiile atribuite intrărilor în proces;</w:t>
      </w:r>
    </w:p>
    <w:p w14:paraId="53DE3FFA" w14:textId="77777777" w:rsidR="007449C0" w:rsidRPr="00444A00" w:rsidRDefault="007449C0" w:rsidP="007449C0">
      <w:pPr>
        <w:pStyle w:val="Anexapct11"/>
        <w:rPr>
          <w:sz w:val="24"/>
        </w:rPr>
      </w:pPr>
      <w:r w:rsidRPr="00444A00">
        <w:rPr>
          <w:sz w:val="24"/>
        </w:rPr>
        <w:t xml:space="preserve">emisiile care urmează să fie alocate sunt </w:t>
      </w:r>
      <w:r w:rsidRPr="00444A00">
        <w:rPr>
          <w:i/>
          <w:iCs/>
          <w:sz w:val="24"/>
        </w:rPr>
        <w:t>e</w:t>
      </w:r>
      <w:r w:rsidRPr="00444A00">
        <w:rPr>
          <w:i/>
          <w:iCs/>
          <w:sz w:val="24"/>
          <w:vertAlign w:val="subscript"/>
        </w:rPr>
        <w:t>i</w:t>
      </w:r>
      <w:r w:rsidRPr="00444A00">
        <w:rPr>
          <w:sz w:val="24"/>
        </w:rPr>
        <w:t xml:space="preserve">, precum și orice fracții de </w:t>
      </w:r>
      <w:proofErr w:type="spellStart"/>
      <w:r w:rsidRPr="00444A00">
        <w:rPr>
          <w:sz w:val="24"/>
        </w:rPr>
        <w:t>e</w:t>
      </w:r>
      <w:r w:rsidRPr="00444A00">
        <w:rPr>
          <w:sz w:val="24"/>
          <w:vertAlign w:val="subscript"/>
        </w:rPr>
        <w:t>p</w:t>
      </w:r>
      <w:proofErr w:type="spellEnd"/>
      <w:r w:rsidRPr="00444A00">
        <w:rPr>
          <w:sz w:val="24"/>
        </w:rPr>
        <w:t xml:space="preserve">, </w:t>
      </w:r>
      <w:proofErr w:type="spellStart"/>
      <w:r w:rsidRPr="00444A00">
        <w:rPr>
          <w:sz w:val="24"/>
        </w:rPr>
        <w:t>e</w:t>
      </w:r>
      <w:r w:rsidRPr="00444A00">
        <w:rPr>
          <w:sz w:val="24"/>
          <w:vertAlign w:val="subscript"/>
        </w:rPr>
        <w:t>td</w:t>
      </w:r>
      <w:proofErr w:type="spellEnd"/>
      <w:r w:rsidRPr="00444A00">
        <w:rPr>
          <w:sz w:val="24"/>
        </w:rPr>
        <w:t xml:space="preserve"> și </w:t>
      </w:r>
      <w:proofErr w:type="spellStart"/>
      <w:r w:rsidRPr="00444A00">
        <w:rPr>
          <w:sz w:val="24"/>
        </w:rPr>
        <w:t>e</w:t>
      </w:r>
      <w:r w:rsidRPr="00444A00">
        <w:rPr>
          <w:sz w:val="24"/>
          <w:vertAlign w:val="subscript"/>
        </w:rPr>
        <w:t>ccs</w:t>
      </w:r>
      <w:proofErr w:type="spellEnd"/>
      <w:r w:rsidRPr="00444A00">
        <w:rPr>
          <w:sz w:val="24"/>
        </w:rPr>
        <w:t xml:space="preserve"> care au loc până la și inclusiv în etapa de producție a coproduselor. În cazul în care o intrare în proces reprezintă în mod propriu</w:t>
      </w:r>
      <w:r w:rsidRPr="00444A00" w:rsidDel="00827257">
        <w:rPr>
          <w:sz w:val="24"/>
        </w:rPr>
        <w:t xml:space="preserve"> </w:t>
      </w:r>
      <w:r w:rsidRPr="00444A00">
        <w:rPr>
          <w:sz w:val="24"/>
        </w:rPr>
        <w:t>un coprodus al unui alt proces, alocarea în cadrul celuilalt proces se efectuează mai întâi pentru a stabili emisiile care urmează să fie atribuite intrării;</w:t>
      </w:r>
    </w:p>
    <w:p w14:paraId="1049432C" w14:textId="77777777" w:rsidR="007449C0" w:rsidRPr="00444A00" w:rsidRDefault="007449C0" w:rsidP="007449C0">
      <w:pPr>
        <w:pStyle w:val="Anexapct11"/>
        <w:rPr>
          <w:sz w:val="24"/>
        </w:rPr>
      </w:pPr>
      <w:r w:rsidRPr="00444A00">
        <w:rPr>
          <w:sz w:val="24"/>
        </w:rPr>
        <w:t>în cazul în care o instalație situată în interiorul limitelor proiectului tratează doar unul dintre coprodusele proiectului, atunci emisiile instalației respective se atribuie în întregime respectivului coprodus;</w:t>
      </w:r>
    </w:p>
    <w:p w14:paraId="65A2B14B" w14:textId="77777777" w:rsidR="007449C0" w:rsidRPr="00444A00" w:rsidRDefault="007449C0" w:rsidP="007449C0">
      <w:pPr>
        <w:pStyle w:val="Anexapct11"/>
        <w:rPr>
          <w:sz w:val="24"/>
        </w:rPr>
      </w:pPr>
      <w:r w:rsidRPr="00444A00">
        <w:rPr>
          <w:sz w:val="24"/>
        </w:rPr>
        <w:t>în cazul în care procesul permite modificarea raportului dintre coprodusele generate, alocarea se face pe baza cauzalității fizice prin determinarea efectului asupra emisiilor de proces al creșterii ieșirii unui singur coprodus, menținând totodată constante celelalte ieșiri;</w:t>
      </w:r>
    </w:p>
    <w:p w14:paraId="2D7880EF" w14:textId="77777777" w:rsidR="007449C0" w:rsidRPr="00444A00" w:rsidRDefault="007449C0" w:rsidP="007449C0">
      <w:pPr>
        <w:pStyle w:val="Anexapct11"/>
        <w:rPr>
          <w:sz w:val="24"/>
        </w:rPr>
      </w:pPr>
      <w:r w:rsidRPr="00444A00">
        <w:rPr>
          <w:sz w:val="24"/>
        </w:rPr>
        <w:t xml:space="preserve">în cazul în care raportul dintre produse este fix, iar coprodusele sunt toate combustibili, energie electrică sau energie termică, alocarea se face în funcție de conținutul energetic. Dacă alocarea se referă la energia termică exportată pe baza conținutului energetic, se permite de considerat numai partea utilă a energiei termice, astfel cum este definită la pct. 20 </w:t>
      </w:r>
      <w:r w:rsidRPr="00452B9A">
        <w:rPr>
          <w:sz w:val="24"/>
        </w:rPr>
        <w:t>din anexa nr. 2 la prezenta hotărâre;</w:t>
      </w:r>
    </w:p>
    <w:p w14:paraId="02F71FE1" w14:textId="77777777" w:rsidR="007449C0" w:rsidRPr="00444A00" w:rsidRDefault="007449C0" w:rsidP="007449C0">
      <w:pPr>
        <w:pStyle w:val="Anexapct11"/>
        <w:rPr>
          <w:sz w:val="24"/>
        </w:rPr>
      </w:pPr>
      <w:r w:rsidRPr="00444A00">
        <w:rPr>
          <w:sz w:val="24"/>
        </w:rPr>
        <w:t>în cazul în care raportul dintre produse este fix și unele coproduse sunt materiale fără conținut energetic, alocarea se face în funcție de valoarea economică a coproduselor. Valoarea economică luată în considerare este valoarea medie la poarta fabricii a produselor din ultimii trei ani. În cazul în care astfel de date nu sunt disponibile, valoarea se estimează pe baza prețurilor materiilor prime minus costurile de transport și depozitare. Valorile relative ale coproduselor au caracter important, iar inflația generală nu constituie un impediment.</w:t>
      </w:r>
    </w:p>
    <w:p w14:paraId="5D8EA00D" w14:textId="77777777" w:rsidR="007449C0" w:rsidRPr="00444A00" w:rsidRDefault="007449C0" w:rsidP="007449C0">
      <w:pPr>
        <w:pStyle w:val="Anexapct1"/>
        <w:rPr>
          <w:sz w:val="24"/>
        </w:rPr>
      </w:pPr>
      <w:r w:rsidRPr="00444A00">
        <w:rPr>
          <w:sz w:val="24"/>
        </w:rPr>
        <w:t xml:space="preserve">Emisiile provenite din transport și distribuție includ emisiile provenite din depozitarea și distribuția combustibililor finiți. Emisiile atribuite intrărilor </w:t>
      </w:r>
      <w:r w:rsidRPr="00444A00">
        <w:rPr>
          <w:i/>
          <w:iCs/>
          <w:sz w:val="24"/>
        </w:rPr>
        <w:t>e</w:t>
      </w:r>
      <w:r w:rsidRPr="00444A00">
        <w:rPr>
          <w:i/>
          <w:iCs/>
          <w:sz w:val="24"/>
          <w:vertAlign w:val="subscript"/>
        </w:rPr>
        <w:t>i</w:t>
      </w:r>
      <w:r w:rsidRPr="00444A00">
        <w:rPr>
          <w:sz w:val="24"/>
        </w:rPr>
        <w:t xml:space="preserve"> includ emisiile provenite din transportul și depozitarea asociate acestora.</w:t>
      </w:r>
    </w:p>
    <w:p w14:paraId="439EFE19" w14:textId="77777777" w:rsidR="007449C0" w:rsidRPr="00444A00" w:rsidRDefault="007449C0" w:rsidP="007449C0">
      <w:pPr>
        <w:pStyle w:val="Anexapct1"/>
        <w:rPr>
          <w:sz w:val="24"/>
        </w:rPr>
      </w:pPr>
      <w:r w:rsidRPr="00444A00">
        <w:rPr>
          <w:sz w:val="24"/>
        </w:rPr>
        <w:t xml:space="preserve">În cazul în care un proces de fabricare a combustibililor lichizi și gazoși de origine nebiologică din surse regenerabile utilizați în transporturi sau a combustibililor pe bază de carbon reciclat produce emisii de carbon care sunt stocate permanent în conformitate cu condițiile stabilite în legile și alte acte normative în domeniu, se permite creditarea emisiilor respective produselor procesului, ca o reducere a emisiilor, în conformitate cu </w:t>
      </w:r>
      <w:proofErr w:type="spellStart"/>
      <w:r w:rsidRPr="00444A00">
        <w:rPr>
          <w:i/>
          <w:sz w:val="24"/>
        </w:rPr>
        <w:t>e</w:t>
      </w:r>
      <w:r w:rsidRPr="00444A00">
        <w:rPr>
          <w:i/>
          <w:sz w:val="24"/>
          <w:vertAlign w:val="subscript"/>
        </w:rPr>
        <w:t>ccs</w:t>
      </w:r>
      <w:proofErr w:type="spellEnd"/>
      <w:r w:rsidRPr="00444A00">
        <w:rPr>
          <w:sz w:val="24"/>
        </w:rPr>
        <w:t xml:space="preserve">. Emisiile generate de operațiunea de stocare, inclusiv transportul dioxidului de carbon, se iau în considerare la punctul </w:t>
      </w:r>
      <w:proofErr w:type="spellStart"/>
      <w:r w:rsidRPr="00444A00">
        <w:rPr>
          <w:i/>
          <w:iCs/>
          <w:sz w:val="24"/>
        </w:rPr>
        <w:t>e</w:t>
      </w:r>
      <w:r w:rsidRPr="00444A00">
        <w:rPr>
          <w:i/>
          <w:iCs/>
          <w:sz w:val="24"/>
          <w:vertAlign w:val="subscript"/>
        </w:rPr>
        <w:t>p</w:t>
      </w:r>
      <w:r w:rsidRPr="00444A00">
        <w:rPr>
          <w:sz w:val="24"/>
        </w:rPr>
        <w:t>.</w:t>
      </w:r>
      <w:proofErr w:type="spellEnd"/>
    </w:p>
    <w:p w14:paraId="4586DABA" w14:textId="77777777" w:rsidR="007449C0" w:rsidRPr="00444A00" w:rsidRDefault="007449C0" w:rsidP="007449C0">
      <w:pPr>
        <w:pStyle w:val="Sectiune"/>
        <w:rPr>
          <w:sz w:val="24"/>
        </w:rPr>
      </w:pPr>
      <w:r w:rsidRPr="00444A00">
        <w:rPr>
          <w:sz w:val="24"/>
        </w:rPr>
        <w:t xml:space="preserve">Partea B </w:t>
      </w:r>
    </w:p>
    <w:p w14:paraId="6181DCA6" w14:textId="77777777" w:rsidR="007449C0" w:rsidRPr="00444A00" w:rsidRDefault="007449C0" w:rsidP="007449C0">
      <w:pPr>
        <w:pStyle w:val="Sectiune"/>
        <w:rPr>
          <w:sz w:val="24"/>
        </w:rPr>
      </w:pPr>
      <w:r w:rsidRPr="00444A00">
        <w:rPr>
          <w:sz w:val="24"/>
        </w:rPr>
        <w:t>Valori standard pentru intensitățile emisiilor de gaze cu efect de seră ale intrărilor elastice</w:t>
      </w:r>
    </w:p>
    <w:p w14:paraId="4DFAA64B" w14:textId="77777777" w:rsidR="007449C0" w:rsidRPr="00444A00" w:rsidRDefault="007449C0" w:rsidP="007449C0">
      <w:pPr>
        <w:shd w:val="clear" w:color="auto" w:fill="FFFFFF"/>
        <w:spacing w:before="120" w:line="312" w:lineRule="atLeast"/>
        <w:ind w:firstLine="0"/>
        <w:rPr>
          <w:rFonts w:eastAsia="Times New Roman"/>
          <w:color w:val="333333"/>
          <w:sz w:val="24"/>
          <w:lang w:eastAsia="ro-RO"/>
        </w:rPr>
      </w:pPr>
      <w:r w:rsidRPr="00444A00">
        <w:rPr>
          <w:rFonts w:eastAsia="Times New Roman"/>
          <w:color w:val="333333"/>
          <w:sz w:val="24"/>
          <w:lang w:eastAsia="ro-RO"/>
        </w:rPr>
        <w:lastRenderedPageBreak/>
        <w:t>Intensitățile GES ale intrărilor, altele decât energia electrică, sunt prezentate în tabelul de mai jos:</w:t>
      </w:r>
    </w:p>
    <w:tbl>
      <w:tblPr>
        <w:tblW w:w="3832"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46"/>
        <w:gridCol w:w="1490"/>
        <w:gridCol w:w="2067"/>
        <w:gridCol w:w="1936"/>
      </w:tblGrid>
      <w:tr w:rsidR="007449C0" w:rsidRPr="00444A00" w14:paraId="6373454A"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23CA6ADB" w14:textId="77777777" w:rsidR="007449C0" w:rsidRPr="00444A00" w:rsidRDefault="007449C0" w:rsidP="003D514F">
            <w:pPr>
              <w:rPr>
                <w:sz w:val="24"/>
                <w:lang w:eastAsia="ro-RO"/>
              </w:rPr>
            </w:pPr>
            <w:r w:rsidRPr="00444A00">
              <w:rPr>
                <w:sz w:val="24"/>
                <w:lang w:eastAsia="ro-RO"/>
              </w:rPr>
              <w:t> </w:t>
            </w:r>
          </w:p>
        </w:tc>
        <w:tc>
          <w:tcPr>
            <w:tcW w:w="1029" w:type="pct"/>
            <w:tcBorders>
              <w:top w:val="single" w:sz="6" w:space="0" w:color="000000"/>
              <w:left w:val="single" w:sz="6" w:space="0" w:color="000000"/>
              <w:bottom w:val="single" w:sz="6" w:space="0" w:color="000000"/>
              <w:right w:val="single" w:sz="6" w:space="0" w:color="000000"/>
            </w:tcBorders>
            <w:shd w:val="clear" w:color="auto" w:fill="FFFFFF"/>
            <w:hideMark/>
          </w:tcPr>
          <w:p w14:paraId="277224B5" w14:textId="77777777" w:rsidR="007449C0" w:rsidRPr="00444A00" w:rsidRDefault="007449C0" w:rsidP="003D514F">
            <w:pPr>
              <w:ind w:firstLine="0"/>
              <w:jc w:val="center"/>
              <w:rPr>
                <w:b/>
                <w:bCs/>
                <w:sz w:val="24"/>
                <w:lang w:eastAsia="ro-RO"/>
              </w:rPr>
            </w:pPr>
            <w:r w:rsidRPr="00444A00">
              <w:rPr>
                <w:b/>
                <w:bCs/>
                <w:sz w:val="24"/>
                <w:lang w:eastAsia="ro-RO"/>
              </w:rPr>
              <w:t>Emisii totale</w:t>
            </w:r>
          </w:p>
          <w:p w14:paraId="60F702BA" w14:textId="77777777" w:rsidR="007449C0" w:rsidRPr="00444A00" w:rsidRDefault="007449C0" w:rsidP="003D514F">
            <w:pPr>
              <w:ind w:firstLine="0"/>
              <w:jc w:val="center"/>
              <w:rPr>
                <w:b/>
                <w:bCs/>
                <w:sz w:val="24"/>
                <w:lang w:eastAsia="ro-RO"/>
              </w:rPr>
            </w:pPr>
            <w:r w:rsidRPr="00444A00">
              <w:rPr>
                <w:b/>
                <w:bCs/>
                <w:sz w:val="24"/>
                <w:lang w:eastAsia="ro-RO"/>
              </w:rPr>
              <w:t>gCO</w:t>
            </w:r>
            <w:r w:rsidRPr="00444A00">
              <w:rPr>
                <w:b/>
                <w:bCs/>
                <w:sz w:val="24"/>
                <w:vertAlign w:val="subscript"/>
                <w:lang w:eastAsia="ro-RO"/>
              </w:rPr>
              <w:t>2</w:t>
            </w:r>
            <w:r w:rsidRPr="00444A00">
              <w:rPr>
                <w:b/>
                <w:bCs/>
                <w:sz w:val="24"/>
                <w:lang w:eastAsia="ro-RO"/>
              </w:rPr>
              <w:t>eq/MJ</w:t>
            </w:r>
          </w:p>
        </w:tc>
        <w:tc>
          <w:tcPr>
            <w:tcW w:w="1428" w:type="pct"/>
            <w:tcBorders>
              <w:top w:val="single" w:sz="6" w:space="0" w:color="000000"/>
              <w:left w:val="single" w:sz="6" w:space="0" w:color="000000"/>
              <w:bottom w:val="single" w:sz="6" w:space="0" w:color="000000"/>
              <w:right w:val="single" w:sz="6" w:space="0" w:color="000000"/>
            </w:tcBorders>
            <w:shd w:val="clear" w:color="auto" w:fill="FFFFFF"/>
            <w:hideMark/>
          </w:tcPr>
          <w:p w14:paraId="7F3084A4" w14:textId="77777777" w:rsidR="007449C0" w:rsidRPr="00444A00" w:rsidRDefault="007449C0" w:rsidP="003D514F">
            <w:pPr>
              <w:ind w:firstLine="0"/>
              <w:jc w:val="center"/>
              <w:rPr>
                <w:b/>
                <w:bCs/>
                <w:sz w:val="24"/>
                <w:lang w:eastAsia="ro-RO"/>
              </w:rPr>
            </w:pPr>
            <w:r w:rsidRPr="00444A00">
              <w:rPr>
                <w:b/>
                <w:bCs/>
                <w:sz w:val="24"/>
                <w:lang w:eastAsia="ro-RO"/>
              </w:rPr>
              <w:t>Emisii în amonte</w:t>
            </w:r>
          </w:p>
          <w:p w14:paraId="035D7713" w14:textId="77777777" w:rsidR="007449C0" w:rsidRPr="00444A00" w:rsidRDefault="007449C0" w:rsidP="003D514F">
            <w:pPr>
              <w:ind w:firstLine="0"/>
              <w:jc w:val="center"/>
              <w:rPr>
                <w:b/>
                <w:bCs/>
                <w:sz w:val="24"/>
                <w:lang w:eastAsia="ro-RO"/>
              </w:rPr>
            </w:pPr>
            <w:r w:rsidRPr="00444A00">
              <w:rPr>
                <w:b/>
                <w:bCs/>
                <w:sz w:val="24"/>
                <w:lang w:eastAsia="ro-RO"/>
              </w:rPr>
              <w:t>gCO</w:t>
            </w:r>
            <w:r w:rsidRPr="00444A00">
              <w:rPr>
                <w:b/>
                <w:bCs/>
                <w:sz w:val="24"/>
                <w:vertAlign w:val="subscript"/>
                <w:lang w:eastAsia="ro-RO"/>
              </w:rPr>
              <w:t>2</w:t>
            </w:r>
            <w:r w:rsidRPr="00444A00">
              <w:rPr>
                <w:b/>
                <w:bCs/>
                <w:sz w:val="24"/>
                <w:lang w:eastAsia="ro-RO"/>
              </w:rPr>
              <w:t>eq/MJ</w:t>
            </w:r>
          </w:p>
        </w:tc>
        <w:tc>
          <w:tcPr>
            <w:tcW w:w="1337" w:type="pct"/>
            <w:tcBorders>
              <w:top w:val="single" w:sz="6" w:space="0" w:color="000000"/>
              <w:left w:val="single" w:sz="6" w:space="0" w:color="000000"/>
              <w:bottom w:val="single" w:sz="6" w:space="0" w:color="000000"/>
              <w:right w:val="single" w:sz="6" w:space="0" w:color="000000"/>
            </w:tcBorders>
            <w:shd w:val="clear" w:color="auto" w:fill="FFFFFF"/>
            <w:hideMark/>
          </w:tcPr>
          <w:p w14:paraId="33ADD22B" w14:textId="77777777" w:rsidR="007449C0" w:rsidRPr="00444A00" w:rsidRDefault="007449C0" w:rsidP="003D514F">
            <w:pPr>
              <w:ind w:firstLine="0"/>
              <w:jc w:val="center"/>
              <w:rPr>
                <w:b/>
                <w:bCs/>
                <w:sz w:val="24"/>
                <w:lang w:eastAsia="ro-RO"/>
              </w:rPr>
            </w:pPr>
            <w:r w:rsidRPr="00444A00">
              <w:rPr>
                <w:b/>
                <w:bCs/>
                <w:sz w:val="24"/>
                <w:lang w:eastAsia="ro-RO"/>
              </w:rPr>
              <w:t>Emisii de ardere</w:t>
            </w:r>
          </w:p>
          <w:p w14:paraId="2E64934A" w14:textId="77777777" w:rsidR="007449C0" w:rsidRPr="00444A00" w:rsidRDefault="007449C0" w:rsidP="003D514F">
            <w:pPr>
              <w:ind w:firstLine="0"/>
              <w:jc w:val="center"/>
              <w:rPr>
                <w:b/>
                <w:bCs/>
                <w:sz w:val="24"/>
                <w:lang w:eastAsia="ro-RO"/>
              </w:rPr>
            </w:pPr>
            <w:r w:rsidRPr="00444A00">
              <w:rPr>
                <w:b/>
                <w:bCs/>
                <w:sz w:val="24"/>
                <w:lang w:eastAsia="ro-RO"/>
              </w:rPr>
              <w:t>gCO</w:t>
            </w:r>
            <w:r w:rsidRPr="00444A00">
              <w:rPr>
                <w:b/>
                <w:bCs/>
                <w:sz w:val="24"/>
                <w:vertAlign w:val="subscript"/>
                <w:lang w:eastAsia="ro-RO"/>
              </w:rPr>
              <w:t>2</w:t>
            </w:r>
            <w:r w:rsidRPr="00444A00">
              <w:rPr>
                <w:b/>
                <w:bCs/>
                <w:sz w:val="24"/>
                <w:lang w:eastAsia="ro-RO"/>
              </w:rPr>
              <w:t>eq/MJ</w:t>
            </w:r>
          </w:p>
        </w:tc>
      </w:tr>
      <w:tr w:rsidR="007449C0" w:rsidRPr="00444A00" w14:paraId="2A09BC4B"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83605B1" w14:textId="77777777" w:rsidR="007449C0" w:rsidRPr="00444A00" w:rsidRDefault="007449C0" w:rsidP="003D514F">
            <w:pPr>
              <w:ind w:firstLine="0"/>
              <w:jc w:val="left"/>
              <w:rPr>
                <w:sz w:val="24"/>
                <w:lang w:eastAsia="ro-RO"/>
              </w:rPr>
            </w:pPr>
            <w:r w:rsidRPr="00444A00">
              <w:rPr>
                <w:sz w:val="24"/>
                <w:lang w:eastAsia="ro-RO"/>
              </w:rPr>
              <w:t>Gaze naturale</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54107" w14:textId="77777777" w:rsidR="007449C0" w:rsidRPr="00444A00" w:rsidRDefault="007449C0" w:rsidP="003D514F">
            <w:pPr>
              <w:ind w:firstLine="0"/>
              <w:jc w:val="center"/>
              <w:rPr>
                <w:sz w:val="24"/>
              </w:rPr>
            </w:pPr>
            <w:r w:rsidRPr="00444A00">
              <w:rPr>
                <w:sz w:val="24"/>
              </w:rPr>
              <w:t>66,0</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C6856" w14:textId="77777777" w:rsidR="007449C0" w:rsidRPr="00444A00" w:rsidRDefault="007449C0" w:rsidP="003D514F">
            <w:pPr>
              <w:ind w:firstLine="0"/>
              <w:jc w:val="center"/>
              <w:rPr>
                <w:sz w:val="24"/>
              </w:rPr>
            </w:pPr>
            <w:r w:rsidRPr="00444A00">
              <w:rPr>
                <w:sz w:val="24"/>
              </w:rPr>
              <w:t>9,7</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B66F7" w14:textId="77777777" w:rsidR="007449C0" w:rsidRPr="00444A00" w:rsidRDefault="007449C0" w:rsidP="003D514F">
            <w:pPr>
              <w:ind w:firstLine="0"/>
              <w:jc w:val="center"/>
              <w:rPr>
                <w:sz w:val="24"/>
              </w:rPr>
            </w:pPr>
            <w:r w:rsidRPr="00444A00">
              <w:rPr>
                <w:sz w:val="24"/>
              </w:rPr>
              <w:t>56,2</w:t>
            </w:r>
          </w:p>
        </w:tc>
      </w:tr>
      <w:tr w:rsidR="007449C0" w:rsidRPr="00444A00" w14:paraId="4CBA3913"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2894351" w14:textId="77777777" w:rsidR="007449C0" w:rsidRPr="00444A00" w:rsidRDefault="007449C0" w:rsidP="003D514F">
            <w:pPr>
              <w:ind w:firstLine="0"/>
              <w:jc w:val="left"/>
              <w:rPr>
                <w:sz w:val="24"/>
                <w:lang w:eastAsia="ro-RO"/>
              </w:rPr>
            </w:pPr>
            <w:r w:rsidRPr="00444A00">
              <w:rPr>
                <w:sz w:val="24"/>
                <w:lang w:eastAsia="ro-RO"/>
              </w:rPr>
              <w:t>Motorină</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84B7F" w14:textId="77777777" w:rsidR="007449C0" w:rsidRPr="00444A00" w:rsidRDefault="007449C0" w:rsidP="003D514F">
            <w:pPr>
              <w:ind w:firstLine="0"/>
              <w:jc w:val="center"/>
              <w:rPr>
                <w:sz w:val="24"/>
              </w:rPr>
            </w:pPr>
            <w:r w:rsidRPr="00444A00">
              <w:rPr>
                <w:sz w:val="24"/>
              </w:rPr>
              <w:t>95,1</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53582" w14:textId="77777777" w:rsidR="007449C0" w:rsidRPr="00444A00" w:rsidRDefault="007449C0" w:rsidP="003D514F">
            <w:pPr>
              <w:ind w:firstLine="0"/>
              <w:jc w:val="center"/>
              <w:rPr>
                <w:sz w:val="24"/>
              </w:rPr>
            </w:pPr>
            <w:r w:rsidRPr="00444A00">
              <w:rPr>
                <w:sz w:val="24"/>
              </w:rPr>
              <w:t>21,9</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28523" w14:textId="77777777" w:rsidR="007449C0" w:rsidRPr="00444A00" w:rsidRDefault="007449C0" w:rsidP="003D514F">
            <w:pPr>
              <w:ind w:firstLine="0"/>
              <w:jc w:val="center"/>
              <w:rPr>
                <w:sz w:val="24"/>
              </w:rPr>
            </w:pPr>
            <w:r w:rsidRPr="00444A00">
              <w:rPr>
                <w:sz w:val="24"/>
              </w:rPr>
              <w:t>73,2</w:t>
            </w:r>
          </w:p>
        </w:tc>
      </w:tr>
      <w:tr w:rsidR="007449C0" w:rsidRPr="00444A00" w14:paraId="1D84DD00"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1F2C71EF" w14:textId="77777777" w:rsidR="007449C0" w:rsidRPr="00444A00" w:rsidRDefault="007449C0" w:rsidP="003D514F">
            <w:pPr>
              <w:ind w:firstLine="0"/>
              <w:jc w:val="left"/>
              <w:rPr>
                <w:sz w:val="24"/>
                <w:lang w:eastAsia="ro-RO"/>
              </w:rPr>
            </w:pPr>
            <w:r w:rsidRPr="00444A00">
              <w:rPr>
                <w:sz w:val="24"/>
                <w:lang w:eastAsia="ro-RO"/>
              </w:rPr>
              <w:t>Benzină</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BA41C" w14:textId="77777777" w:rsidR="007449C0" w:rsidRPr="00444A00" w:rsidRDefault="007449C0" w:rsidP="003D514F">
            <w:pPr>
              <w:ind w:firstLine="0"/>
              <w:jc w:val="center"/>
              <w:rPr>
                <w:sz w:val="24"/>
              </w:rPr>
            </w:pPr>
            <w:r w:rsidRPr="00444A00">
              <w:rPr>
                <w:sz w:val="24"/>
              </w:rPr>
              <w:t>93,3</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3882F" w14:textId="77777777" w:rsidR="007449C0" w:rsidRPr="00444A00" w:rsidRDefault="007449C0" w:rsidP="003D514F">
            <w:pPr>
              <w:ind w:firstLine="0"/>
              <w:jc w:val="center"/>
              <w:rPr>
                <w:sz w:val="24"/>
              </w:rPr>
            </w:pPr>
            <w:r w:rsidRPr="00444A00">
              <w:rPr>
                <w:sz w:val="24"/>
              </w:rPr>
              <w:t>19,9</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3C4DE3" w14:textId="77777777" w:rsidR="007449C0" w:rsidRPr="00444A00" w:rsidRDefault="007449C0" w:rsidP="003D514F">
            <w:pPr>
              <w:ind w:firstLine="0"/>
              <w:jc w:val="center"/>
              <w:rPr>
                <w:sz w:val="24"/>
              </w:rPr>
            </w:pPr>
            <w:r w:rsidRPr="00444A00">
              <w:rPr>
                <w:sz w:val="24"/>
              </w:rPr>
              <w:t>73,4</w:t>
            </w:r>
          </w:p>
        </w:tc>
      </w:tr>
      <w:tr w:rsidR="007449C0" w:rsidRPr="00444A00" w14:paraId="62D46D1A"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D1F132F" w14:textId="77777777" w:rsidR="007449C0" w:rsidRPr="00444A00" w:rsidRDefault="007449C0" w:rsidP="003D514F">
            <w:pPr>
              <w:ind w:firstLine="0"/>
              <w:jc w:val="left"/>
              <w:rPr>
                <w:sz w:val="24"/>
                <w:lang w:eastAsia="ro-RO"/>
              </w:rPr>
            </w:pPr>
            <w:r w:rsidRPr="00444A00">
              <w:rPr>
                <w:sz w:val="24"/>
                <w:lang w:eastAsia="ro-RO"/>
              </w:rPr>
              <w:t>Păcură grea</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F9ECE" w14:textId="77777777" w:rsidR="007449C0" w:rsidRPr="00444A00" w:rsidRDefault="007449C0" w:rsidP="003D514F">
            <w:pPr>
              <w:ind w:firstLine="0"/>
              <w:jc w:val="center"/>
              <w:rPr>
                <w:sz w:val="24"/>
              </w:rPr>
            </w:pPr>
            <w:r w:rsidRPr="00444A00">
              <w:rPr>
                <w:sz w:val="24"/>
              </w:rPr>
              <w:t>94,2</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EC2F89" w14:textId="77777777" w:rsidR="007449C0" w:rsidRPr="00444A00" w:rsidRDefault="007449C0" w:rsidP="003D514F">
            <w:pPr>
              <w:ind w:firstLine="0"/>
              <w:jc w:val="center"/>
              <w:rPr>
                <w:sz w:val="24"/>
              </w:rPr>
            </w:pPr>
            <w:r w:rsidRPr="00444A00">
              <w:rPr>
                <w:sz w:val="24"/>
              </w:rPr>
              <w:t>13,6</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E8676D" w14:textId="77777777" w:rsidR="007449C0" w:rsidRPr="00444A00" w:rsidRDefault="007449C0" w:rsidP="003D514F">
            <w:pPr>
              <w:ind w:firstLine="0"/>
              <w:jc w:val="center"/>
              <w:rPr>
                <w:sz w:val="24"/>
              </w:rPr>
            </w:pPr>
            <w:r w:rsidRPr="00444A00">
              <w:rPr>
                <w:sz w:val="24"/>
              </w:rPr>
              <w:t>80,6</w:t>
            </w:r>
          </w:p>
        </w:tc>
      </w:tr>
      <w:tr w:rsidR="007449C0" w:rsidRPr="00444A00" w14:paraId="4C0D104C"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0A6A7A9B" w14:textId="77777777" w:rsidR="007449C0" w:rsidRPr="00444A00" w:rsidRDefault="007449C0" w:rsidP="003D514F">
            <w:pPr>
              <w:ind w:firstLine="0"/>
              <w:jc w:val="left"/>
              <w:rPr>
                <w:sz w:val="24"/>
                <w:lang w:eastAsia="ro-RO"/>
              </w:rPr>
            </w:pPr>
            <w:r w:rsidRPr="00444A00">
              <w:rPr>
                <w:sz w:val="24"/>
                <w:lang w:eastAsia="ro-RO"/>
              </w:rPr>
              <w:t>Metanol</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E3EF6" w14:textId="77777777" w:rsidR="007449C0" w:rsidRPr="00444A00" w:rsidRDefault="007449C0" w:rsidP="003D514F">
            <w:pPr>
              <w:ind w:firstLine="0"/>
              <w:jc w:val="center"/>
              <w:rPr>
                <w:sz w:val="24"/>
              </w:rPr>
            </w:pPr>
            <w:r w:rsidRPr="00444A00">
              <w:rPr>
                <w:sz w:val="24"/>
              </w:rPr>
              <w:t>97,1</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F2351E" w14:textId="77777777" w:rsidR="007449C0" w:rsidRPr="00444A00" w:rsidRDefault="007449C0" w:rsidP="003D514F">
            <w:pPr>
              <w:ind w:firstLine="0"/>
              <w:jc w:val="center"/>
              <w:rPr>
                <w:sz w:val="24"/>
              </w:rPr>
            </w:pPr>
            <w:r w:rsidRPr="00444A00">
              <w:rPr>
                <w:sz w:val="24"/>
              </w:rPr>
              <w:t>28,2</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EC79E5" w14:textId="77777777" w:rsidR="007449C0" w:rsidRPr="00444A00" w:rsidRDefault="007449C0" w:rsidP="003D514F">
            <w:pPr>
              <w:ind w:firstLine="0"/>
              <w:jc w:val="center"/>
              <w:rPr>
                <w:sz w:val="24"/>
              </w:rPr>
            </w:pPr>
            <w:r w:rsidRPr="00444A00">
              <w:rPr>
                <w:sz w:val="24"/>
              </w:rPr>
              <w:t>68,9</w:t>
            </w:r>
          </w:p>
        </w:tc>
      </w:tr>
      <w:tr w:rsidR="007449C0" w:rsidRPr="00444A00" w14:paraId="52959A0F"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2C36FFBD" w14:textId="77777777" w:rsidR="007449C0" w:rsidRPr="00444A00" w:rsidRDefault="007449C0" w:rsidP="003D514F">
            <w:pPr>
              <w:ind w:firstLine="0"/>
              <w:jc w:val="left"/>
              <w:rPr>
                <w:sz w:val="24"/>
                <w:lang w:eastAsia="ro-RO"/>
              </w:rPr>
            </w:pPr>
            <w:r w:rsidRPr="00444A00">
              <w:rPr>
                <w:sz w:val="24"/>
                <w:lang w:eastAsia="ro-RO"/>
              </w:rPr>
              <w:t>Cărbune superior</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DBE1D" w14:textId="77777777" w:rsidR="007449C0" w:rsidRPr="00444A00" w:rsidRDefault="007449C0" w:rsidP="003D514F">
            <w:pPr>
              <w:ind w:firstLine="0"/>
              <w:jc w:val="center"/>
              <w:rPr>
                <w:sz w:val="24"/>
              </w:rPr>
            </w:pPr>
            <w:r w:rsidRPr="00444A00">
              <w:rPr>
                <w:sz w:val="24"/>
              </w:rPr>
              <w:t>112,3</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3512D" w14:textId="77777777" w:rsidR="007449C0" w:rsidRPr="00444A00" w:rsidRDefault="007449C0" w:rsidP="003D514F">
            <w:pPr>
              <w:ind w:firstLine="0"/>
              <w:jc w:val="center"/>
              <w:rPr>
                <w:sz w:val="24"/>
              </w:rPr>
            </w:pPr>
            <w:r w:rsidRPr="00444A00">
              <w:rPr>
                <w:sz w:val="24"/>
              </w:rPr>
              <w:t>16,2</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FE01BD" w14:textId="77777777" w:rsidR="007449C0" w:rsidRPr="00444A00" w:rsidRDefault="007449C0" w:rsidP="003D514F">
            <w:pPr>
              <w:ind w:firstLine="0"/>
              <w:jc w:val="center"/>
              <w:rPr>
                <w:sz w:val="24"/>
              </w:rPr>
            </w:pPr>
            <w:r w:rsidRPr="00444A00">
              <w:rPr>
                <w:sz w:val="24"/>
              </w:rPr>
              <w:t>96,1</w:t>
            </w:r>
          </w:p>
        </w:tc>
      </w:tr>
      <w:tr w:rsidR="007449C0" w:rsidRPr="00444A00" w14:paraId="180E02D5" w14:textId="77777777" w:rsidTr="003D514F">
        <w:trPr>
          <w:jc w:val="center"/>
        </w:trPr>
        <w:tc>
          <w:tcPr>
            <w:tcW w:w="1206" w:type="pct"/>
            <w:tcBorders>
              <w:top w:val="single" w:sz="6" w:space="0" w:color="000000"/>
              <w:left w:val="single" w:sz="6" w:space="0" w:color="000000"/>
              <w:bottom w:val="single" w:sz="6" w:space="0" w:color="000000"/>
              <w:right w:val="single" w:sz="6" w:space="0" w:color="000000"/>
            </w:tcBorders>
            <w:shd w:val="clear" w:color="auto" w:fill="FFFFFF"/>
            <w:hideMark/>
          </w:tcPr>
          <w:p w14:paraId="50440897" w14:textId="77777777" w:rsidR="007449C0" w:rsidRPr="00444A00" w:rsidRDefault="007449C0" w:rsidP="003D514F">
            <w:pPr>
              <w:ind w:firstLine="0"/>
              <w:jc w:val="left"/>
              <w:rPr>
                <w:sz w:val="24"/>
                <w:lang w:eastAsia="ro-RO"/>
              </w:rPr>
            </w:pPr>
            <w:r w:rsidRPr="00444A00">
              <w:rPr>
                <w:sz w:val="24"/>
                <w:lang w:eastAsia="ro-RO"/>
              </w:rPr>
              <w:t>Lignit</w:t>
            </w:r>
          </w:p>
        </w:tc>
        <w:tc>
          <w:tcPr>
            <w:tcW w:w="102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A6C35" w14:textId="77777777" w:rsidR="007449C0" w:rsidRPr="00444A00" w:rsidRDefault="007449C0" w:rsidP="003D514F">
            <w:pPr>
              <w:ind w:firstLine="0"/>
              <w:jc w:val="center"/>
              <w:rPr>
                <w:sz w:val="24"/>
              </w:rPr>
            </w:pPr>
            <w:r w:rsidRPr="00444A00">
              <w:rPr>
                <w:sz w:val="24"/>
              </w:rPr>
              <w:t>116,7</w:t>
            </w:r>
          </w:p>
        </w:tc>
        <w:tc>
          <w:tcPr>
            <w:tcW w:w="142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E627E9" w14:textId="77777777" w:rsidR="007449C0" w:rsidRPr="00444A00" w:rsidRDefault="007449C0" w:rsidP="003D514F">
            <w:pPr>
              <w:ind w:firstLine="0"/>
              <w:jc w:val="center"/>
              <w:rPr>
                <w:sz w:val="24"/>
              </w:rPr>
            </w:pPr>
            <w:r w:rsidRPr="00444A00">
              <w:rPr>
                <w:sz w:val="24"/>
              </w:rPr>
              <w:t>1,7</w:t>
            </w:r>
          </w:p>
        </w:tc>
        <w:tc>
          <w:tcPr>
            <w:tcW w:w="13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5FCBF" w14:textId="77777777" w:rsidR="007449C0" w:rsidRPr="00444A00" w:rsidRDefault="007449C0" w:rsidP="003D514F">
            <w:pPr>
              <w:ind w:firstLine="0"/>
              <w:jc w:val="center"/>
              <w:rPr>
                <w:sz w:val="24"/>
              </w:rPr>
            </w:pPr>
            <w:r w:rsidRPr="00444A00">
              <w:rPr>
                <w:sz w:val="24"/>
              </w:rPr>
              <w:t>115,0</w:t>
            </w:r>
          </w:p>
        </w:tc>
      </w:tr>
    </w:tbl>
    <w:p w14:paraId="6C8F57E1" w14:textId="77777777" w:rsidR="007449C0" w:rsidRPr="00444A00" w:rsidRDefault="007449C0" w:rsidP="007449C0">
      <w:pPr>
        <w:shd w:val="clear" w:color="auto" w:fill="FFFFFF"/>
        <w:spacing w:line="312" w:lineRule="atLeast"/>
        <w:ind w:firstLine="0"/>
        <w:jc w:val="left"/>
        <w:rPr>
          <w:rFonts w:eastAsia="Times New Roman"/>
          <w:color w:val="333333"/>
          <w:sz w:val="24"/>
          <w:lang w:eastAsia="ro-RO"/>
        </w:rPr>
      </w:pPr>
    </w:p>
    <w:p w14:paraId="522B3CE9" w14:textId="77777777" w:rsidR="007449C0" w:rsidRPr="00444A00" w:rsidRDefault="007449C0" w:rsidP="007449C0">
      <w:pPr>
        <w:shd w:val="clear" w:color="auto" w:fill="FFFFFF"/>
        <w:spacing w:line="312" w:lineRule="atLeast"/>
        <w:ind w:firstLine="0"/>
        <w:jc w:val="left"/>
        <w:rPr>
          <w:rFonts w:eastAsia="Times New Roman"/>
          <w:color w:val="333333"/>
          <w:sz w:val="24"/>
          <w:lang w:val="en-US" w:eastAsia="ro-RO"/>
        </w:rPr>
      </w:pPr>
    </w:p>
    <w:tbl>
      <w:tblPr>
        <w:tblW w:w="2325"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971"/>
        <w:gridCol w:w="1421"/>
      </w:tblGrid>
      <w:tr w:rsidR="007449C0" w:rsidRPr="00444A00" w14:paraId="17177096"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C9F51" w14:textId="77777777" w:rsidR="007449C0" w:rsidRPr="00444A00" w:rsidRDefault="007449C0" w:rsidP="003D514F">
            <w:pPr>
              <w:spacing w:before="120" w:line="312" w:lineRule="atLeast"/>
              <w:ind w:firstLine="0"/>
              <w:jc w:val="left"/>
              <w:rPr>
                <w:color w:val="333333"/>
                <w:sz w:val="24"/>
                <w:lang w:eastAsia="ro-RO"/>
              </w:rPr>
            </w:pP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8DD1D"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gCO</w:t>
            </w:r>
            <w:r w:rsidRPr="00444A00">
              <w:rPr>
                <w:b/>
                <w:bCs/>
                <w:color w:val="333333"/>
                <w:sz w:val="24"/>
                <w:vertAlign w:val="subscript"/>
                <w:lang w:eastAsia="ro-RO"/>
              </w:rPr>
              <w:t>2eq</w:t>
            </w:r>
            <w:r w:rsidRPr="00444A00">
              <w:rPr>
                <w:b/>
                <w:bCs/>
                <w:color w:val="333333"/>
                <w:sz w:val="24"/>
                <w:lang w:eastAsia="ro-RO"/>
              </w:rPr>
              <w:t>/kg</w:t>
            </w:r>
          </w:p>
        </w:tc>
      </w:tr>
      <w:tr w:rsidR="007449C0" w:rsidRPr="00444A00" w14:paraId="77388759"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6F62B"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Amoniac</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EBAF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2 351,3</w:t>
            </w:r>
          </w:p>
        </w:tc>
      </w:tr>
      <w:tr w:rsidR="007449C0" w:rsidRPr="00444A00" w14:paraId="61DC4E94"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D62CF"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Clorură de calciu (CaCl</w:t>
            </w:r>
            <w:r w:rsidRPr="00444A00">
              <w:rPr>
                <w:color w:val="333333"/>
                <w:sz w:val="24"/>
                <w:vertAlign w:val="subscript"/>
                <w:lang w:eastAsia="ro-RO"/>
              </w:rPr>
              <w:t>2</w:t>
            </w:r>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4743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38,8</w:t>
            </w:r>
          </w:p>
        </w:tc>
      </w:tr>
      <w:tr w:rsidR="007449C0" w:rsidRPr="00444A00" w14:paraId="46F52207"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F7EDF"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Ciclohexan</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31B8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723,0</w:t>
            </w:r>
          </w:p>
        </w:tc>
      </w:tr>
      <w:tr w:rsidR="007449C0" w:rsidRPr="00444A00" w14:paraId="61F97BF5"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741A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Acid clorhidric (</w:t>
            </w:r>
            <w:proofErr w:type="spellStart"/>
            <w:r w:rsidRPr="00444A00">
              <w:rPr>
                <w:color w:val="333333"/>
                <w:sz w:val="24"/>
                <w:lang w:eastAsia="ro-RO"/>
              </w:rPr>
              <w:t>HCl</w:t>
            </w:r>
            <w:proofErr w:type="spellEnd"/>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E9F1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1 061,1</w:t>
            </w:r>
          </w:p>
        </w:tc>
      </w:tr>
      <w:tr w:rsidR="007449C0" w:rsidRPr="00444A00" w14:paraId="2960F924"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560F6"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Lubrifianți</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599F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947,0</w:t>
            </w:r>
          </w:p>
        </w:tc>
      </w:tr>
      <w:tr w:rsidR="007449C0" w:rsidRPr="00444A00" w14:paraId="684A349E"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2B472"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Sulfat de magneziu (MgSO</w:t>
            </w:r>
            <w:r w:rsidRPr="00444A00">
              <w:rPr>
                <w:color w:val="333333"/>
                <w:sz w:val="24"/>
                <w:vertAlign w:val="subscript"/>
                <w:lang w:eastAsia="ro-RO"/>
              </w:rPr>
              <w:t>4</w:t>
            </w:r>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12F2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191,8</w:t>
            </w:r>
          </w:p>
        </w:tc>
      </w:tr>
      <w:tr w:rsidR="007449C0" w:rsidRPr="00444A00" w14:paraId="72356634"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1889E"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Azot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2B92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56,4</w:t>
            </w:r>
          </w:p>
        </w:tc>
      </w:tr>
      <w:tr w:rsidR="007449C0" w:rsidRPr="00444A00" w14:paraId="45627E42"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EDEB7"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Acid fosforic (H</w:t>
            </w:r>
            <w:r w:rsidRPr="00444A00">
              <w:rPr>
                <w:color w:val="333333"/>
                <w:sz w:val="24"/>
                <w:vertAlign w:val="subscript"/>
                <w:lang w:eastAsia="ro-RO"/>
              </w:rPr>
              <w:t>3</w:t>
            </w:r>
            <w:r w:rsidRPr="00444A00">
              <w:rPr>
                <w:color w:val="333333"/>
                <w:sz w:val="24"/>
                <w:lang w:eastAsia="ro-RO"/>
              </w:rPr>
              <w:t>PO</w:t>
            </w:r>
            <w:r w:rsidRPr="00444A00">
              <w:rPr>
                <w:color w:val="333333"/>
                <w:sz w:val="24"/>
                <w:vertAlign w:val="subscript"/>
                <w:lang w:eastAsia="ro-RO"/>
              </w:rPr>
              <w:t>4</w:t>
            </w:r>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2D5D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3 124,7</w:t>
            </w:r>
          </w:p>
        </w:tc>
      </w:tr>
      <w:tr w:rsidR="007449C0" w:rsidRPr="00444A00" w14:paraId="225FD8F2"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28C0E"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Hidroxid de potasiu (KOH)</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3EC6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419,1</w:t>
            </w:r>
          </w:p>
        </w:tc>
      </w:tr>
      <w:tr w:rsidR="007449C0" w:rsidRPr="00444A00" w14:paraId="18CC3934"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28CFC" w14:textId="77777777" w:rsidR="007449C0" w:rsidRPr="00444A00" w:rsidRDefault="007449C0" w:rsidP="003D514F">
            <w:pPr>
              <w:spacing w:before="60" w:after="60" w:line="312" w:lineRule="atLeast"/>
              <w:ind w:firstLine="0"/>
              <w:jc w:val="left"/>
              <w:rPr>
                <w:color w:val="333333"/>
                <w:sz w:val="24"/>
                <w:lang w:eastAsia="ro-RO"/>
              </w:rPr>
            </w:pPr>
            <w:proofErr w:type="spellStart"/>
            <w:r w:rsidRPr="00444A00">
              <w:rPr>
                <w:color w:val="333333"/>
                <w:sz w:val="24"/>
                <w:lang w:eastAsia="ro-RO"/>
              </w:rPr>
              <w:t>CaO</w:t>
            </w:r>
            <w:proofErr w:type="spellEnd"/>
            <w:r w:rsidRPr="00444A00">
              <w:rPr>
                <w:color w:val="333333"/>
                <w:sz w:val="24"/>
                <w:lang w:eastAsia="ro-RO"/>
              </w:rPr>
              <w:t xml:space="preserve"> pur pentru procese</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78DE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1 193,2</w:t>
            </w:r>
          </w:p>
        </w:tc>
      </w:tr>
      <w:tr w:rsidR="007449C0" w:rsidRPr="00444A00" w14:paraId="31FBC0C7"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B48A5"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Carbonat de sodiu (Na</w:t>
            </w:r>
            <w:r w:rsidRPr="00444A00">
              <w:rPr>
                <w:color w:val="333333"/>
                <w:sz w:val="24"/>
                <w:vertAlign w:val="subscript"/>
                <w:lang w:eastAsia="ro-RO"/>
              </w:rPr>
              <w:t>2</w:t>
            </w:r>
            <w:r w:rsidRPr="00444A00">
              <w:rPr>
                <w:color w:val="333333"/>
                <w:sz w:val="24"/>
                <w:lang w:eastAsia="ro-RO"/>
              </w:rPr>
              <w:t>CO</w:t>
            </w:r>
            <w:r w:rsidRPr="00444A00">
              <w:rPr>
                <w:color w:val="333333"/>
                <w:sz w:val="24"/>
                <w:vertAlign w:val="subscript"/>
                <w:lang w:eastAsia="ro-RO"/>
              </w:rPr>
              <w:t>3</w:t>
            </w:r>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ECA1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1 245,1</w:t>
            </w:r>
          </w:p>
        </w:tc>
      </w:tr>
      <w:tr w:rsidR="007449C0" w:rsidRPr="00444A00" w14:paraId="0D5264DE"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F65C4"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Clorură de sodiu (</w:t>
            </w:r>
            <w:proofErr w:type="spellStart"/>
            <w:r w:rsidRPr="00444A00">
              <w:rPr>
                <w:color w:val="333333"/>
                <w:sz w:val="24"/>
                <w:lang w:eastAsia="ro-RO"/>
              </w:rPr>
              <w:t>NaCl</w:t>
            </w:r>
            <w:proofErr w:type="spellEnd"/>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FD10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13,3</w:t>
            </w:r>
          </w:p>
        </w:tc>
      </w:tr>
      <w:tr w:rsidR="007449C0" w:rsidRPr="00444A00" w14:paraId="1F03D170"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F4470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Hidroxid de sodiu (</w:t>
            </w:r>
            <w:proofErr w:type="spellStart"/>
            <w:r w:rsidRPr="00444A00">
              <w:rPr>
                <w:color w:val="333333"/>
                <w:sz w:val="24"/>
                <w:lang w:eastAsia="ro-RO"/>
              </w:rPr>
              <w:t>NaOH</w:t>
            </w:r>
            <w:proofErr w:type="spellEnd"/>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5C21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529,7</w:t>
            </w:r>
          </w:p>
        </w:tc>
      </w:tr>
      <w:tr w:rsidR="007449C0" w:rsidRPr="00444A00" w14:paraId="06042912"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66A6F" w14:textId="77777777" w:rsidR="007449C0" w:rsidRPr="00444A00" w:rsidRDefault="007449C0" w:rsidP="003D514F">
            <w:pPr>
              <w:spacing w:before="60" w:after="60" w:line="312" w:lineRule="atLeast"/>
              <w:ind w:firstLine="0"/>
              <w:jc w:val="left"/>
              <w:rPr>
                <w:color w:val="333333"/>
                <w:sz w:val="24"/>
                <w:lang w:eastAsia="ro-RO"/>
              </w:rPr>
            </w:pPr>
            <w:proofErr w:type="spellStart"/>
            <w:r w:rsidRPr="00444A00">
              <w:rPr>
                <w:color w:val="333333"/>
                <w:sz w:val="24"/>
                <w:lang w:eastAsia="ro-RO"/>
              </w:rPr>
              <w:t>Metoxid</w:t>
            </w:r>
            <w:proofErr w:type="spellEnd"/>
            <w:r w:rsidRPr="00444A00">
              <w:rPr>
                <w:color w:val="333333"/>
                <w:sz w:val="24"/>
                <w:lang w:eastAsia="ro-RO"/>
              </w:rPr>
              <w:t xml:space="preserve"> de sodiu [Na(CH</w:t>
            </w:r>
            <w:r w:rsidRPr="00444A00">
              <w:rPr>
                <w:color w:val="333333"/>
                <w:sz w:val="24"/>
                <w:vertAlign w:val="subscript"/>
                <w:lang w:eastAsia="ro-RO"/>
              </w:rPr>
              <w:t>3</w:t>
            </w:r>
            <w:r w:rsidRPr="00444A00">
              <w:rPr>
                <w:color w:val="333333"/>
                <w:sz w:val="24"/>
                <w:lang w:eastAsia="ro-RO"/>
              </w:rPr>
              <w:t>O)]</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E1FB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2 425,5</w:t>
            </w:r>
          </w:p>
        </w:tc>
      </w:tr>
      <w:tr w:rsidR="007449C0" w:rsidRPr="00444A00" w14:paraId="23EF5464"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84CD0"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SO</w:t>
            </w:r>
            <w:r w:rsidRPr="00444A00">
              <w:rPr>
                <w:color w:val="333333"/>
                <w:sz w:val="24"/>
                <w:vertAlign w:val="subscript"/>
                <w:lang w:eastAsia="ro-RO"/>
              </w:rPr>
              <w:t>2</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7A70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53,3</w:t>
            </w:r>
          </w:p>
        </w:tc>
      </w:tr>
      <w:tr w:rsidR="007449C0" w:rsidRPr="00444A00" w14:paraId="228E9D77"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5578C"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Acid sulfuric (H</w:t>
            </w:r>
            <w:r w:rsidRPr="00444A00">
              <w:rPr>
                <w:color w:val="333333"/>
                <w:sz w:val="24"/>
                <w:vertAlign w:val="subscript"/>
                <w:lang w:eastAsia="ro-RO"/>
              </w:rPr>
              <w:t>2</w:t>
            </w:r>
            <w:r w:rsidRPr="00444A00">
              <w:rPr>
                <w:color w:val="333333"/>
                <w:sz w:val="24"/>
                <w:lang w:eastAsia="ro-RO"/>
              </w:rPr>
              <w:t>SO</w:t>
            </w:r>
            <w:r w:rsidRPr="00444A00">
              <w:rPr>
                <w:color w:val="333333"/>
                <w:sz w:val="24"/>
                <w:vertAlign w:val="subscript"/>
                <w:lang w:eastAsia="ro-RO"/>
              </w:rPr>
              <w:t>4</w:t>
            </w:r>
            <w:r w:rsidRPr="00444A00">
              <w:rPr>
                <w:color w:val="333333"/>
                <w:sz w:val="24"/>
                <w:lang w:eastAsia="ro-RO"/>
              </w:rPr>
              <w:t>)</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C59D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217,5</w:t>
            </w:r>
          </w:p>
        </w:tc>
      </w:tr>
      <w:tr w:rsidR="007449C0" w:rsidRPr="00444A00" w14:paraId="1846DD17" w14:textId="77777777" w:rsidTr="003D514F">
        <w:trPr>
          <w:jc w:val="center"/>
        </w:trPr>
        <w:tc>
          <w:tcPr>
            <w:tcW w:w="338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B9F5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Uree</w:t>
            </w:r>
          </w:p>
        </w:tc>
        <w:tc>
          <w:tcPr>
            <w:tcW w:w="161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CC6E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1 846,6</w:t>
            </w:r>
          </w:p>
        </w:tc>
      </w:tr>
    </w:tbl>
    <w:p w14:paraId="719C8109" w14:textId="77777777" w:rsidR="007449C0" w:rsidRPr="00444A00" w:rsidRDefault="007449C0" w:rsidP="007449C0">
      <w:pPr>
        <w:pStyle w:val="Sectiune"/>
        <w:rPr>
          <w:sz w:val="24"/>
        </w:rPr>
      </w:pPr>
      <w:r w:rsidRPr="00444A00">
        <w:rPr>
          <w:sz w:val="24"/>
        </w:rPr>
        <w:t>Partea C</w:t>
      </w:r>
    </w:p>
    <w:p w14:paraId="1C0F33A1" w14:textId="77777777" w:rsidR="007449C0" w:rsidRPr="00444A00" w:rsidRDefault="007449C0" w:rsidP="007449C0">
      <w:pPr>
        <w:pStyle w:val="Sectiune"/>
        <w:rPr>
          <w:sz w:val="24"/>
        </w:rPr>
      </w:pPr>
      <w:r w:rsidRPr="00444A00">
        <w:rPr>
          <w:sz w:val="24"/>
        </w:rPr>
        <w:t>Intensitatea emisiilor de GES datorate energiei electrice</w:t>
      </w:r>
    </w:p>
    <w:p w14:paraId="0E3C569F" w14:textId="77777777" w:rsidR="007449C0" w:rsidRPr="00444A00" w:rsidRDefault="007449C0" w:rsidP="007449C0">
      <w:pPr>
        <w:pStyle w:val="Capitol"/>
        <w:rPr>
          <w:sz w:val="24"/>
        </w:rPr>
      </w:pPr>
      <w:r w:rsidRPr="00444A00">
        <w:rPr>
          <w:caps w:val="0"/>
          <w:sz w:val="24"/>
        </w:rPr>
        <w:t xml:space="preserve">Capitolul </w:t>
      </w:r>
      <w:r w:rsidRPr="00444A00">
        <w:rPr>
          <w:sz w:val="24"/>
        </w:rPr>
        <w:t>I</w:t>
      </w:r>
    </w:p>
    <w:p w14:paraId="3BD3CEE7" w14:textId="77777777" w:rsidR="007449C0" w:rsidRPr="00444A00" w:rsidRDefault="007449C0" w:rsidP="007449C0">
      <w:pPr>
        <w:pStyle w:val="Capitol"/>
        <w:rPr>
          <w:sz w:val="24"/>
        </w:rPr>
      </w:pPr>
      <w:r w:rsidRPr="00444A00">
        <w:rPr>
          <w:sz w:val="24"/>
        </w:rPr>
        <w:lastRenderedPageBreak/>
        <w:t>Calculul intensității carbonului generat de energia electrică</w:t>
      </w:r>
    </w:p>
    <w:p w14:paraId="47B55626" w14:textId="77777777" w:rsidR="007449C0" w:rsidRPr="00444A00" w:rsidRDefault="007449C0" w:rsidP="007449C0">
      <w:pPr>
        <w:pStyle w:val="Anexapct1"/>
        <w:rPr>
          <w:sz w:val="24"/>
        </w:rPr>
      </w:pPr>
      <w:r w:rsidRPr="00444A00">
        <w:rPr>
          <w:sz w:val="24"/>
        </w:rPr>
        <w:t>Intensitatea emisiilor de gaze cu efect de seră generate de energia electrică se determină la nivelul național sau la nivelul zonelor de ofertare. Intensitatea emisiilor de gaze cu efect de seră generate de energia electrică se determină numai la nivelul zonelor de ofertare, dacă datele necesare sunt disponibile public. Calculul intensității carbonului în cazul energiei electrice, exprimat în gCO</w:t>
      </w:r>
      <w:r w:rsidRPr="00444A00">
        <w:rPr>
          <w:sz w:val="24"/>
          <w:vertAlign w:val="subscript"/>
        </w:rPr>
        <w:t>2eq</w:t>
      </w:r>
      <w:r w:rsidRPr="00444A00">
        <w:rPr>
          <w:sz w:val="24"/>
        </w:rPr>
        <w:t>/kWh de energie electrică, ia în considerare toate sursele de energie primară potențiale pentru generarea de energie electrică, tipul de centrală, eficiența conversiei și consumul propriu de energie electrică în centrala electrică.</w:t>
      </w:r>
    </w:p>
    <w:p w14:paraId="12B6CEAB" w14:textId="77777777" w:rsidR="007449C0" w:rsidRPr="00444A00" w:rsidRDefault="007449C0" w:rsidP="007449C0">
      <w:pPr>
        <w:pStyle w:val="Anexapct1"/>
        <w:rPr>
          <w:sz w:val="24"/>
        </w:rPr>
      </w:pPr>
      <w:r w:rsidRPr="00444A00">
        <w:rPr>
          <w:sz w:val="24"/>
        </w:rPr>
        <w:t>Calculul ia în considerare toate emisiile de carbon echivalente asociate arderii și furnizării combustibililor utilizați pentru producerea de energie electrică. Aceasta se bazează pe cantitatea de diferiți combustibili utilizați în instalațiile de producție a energiei electrice, pe factorii de emisie de la arderea combustibililor și pe factorii de emisie ai combustibililor din amonte.</w:t>
      </w:r>
    </w:p>
    <w:p w14:paraId="0A2327F4" w14:textId="77777777" w:rsidR="007449C0" w:rsidRPr="00444A00" w:rsidRDefault="007449C0" w:rsidP="007449C0">
      <w:pPr>
        <w:pStyle w:val="Anexapct1"/>
        <w:rPr>
          <w:sz w:val="24"/>
        </w:rPr>
      </w:pPr>
      <w:r w:rsidRPr="00444A00">
        <w:rPr>
          <w:sz w:val="24"/>
        </w:rPr>
        <w:t>Gazele cu efect de seră altele decât CO</w:t>
      </w:r>
      <w:r w:rsidRPr="00444A00">
        <w:rPr>
          <w:sz w:val="24"/>
          <w:vertAlign w:val="subscript"/>
        </w:rPr>
        <w:t>2</w:t>
      </w:r>
      <w:r w:rsidRPr="00444A00">
        <w:rPr>
          <w:sz w:val="24"/>
        </w:rPr>
        <w:t> se convertesc în CO</w:t>
      </w:r>
      <w:r w:rsidRPr="00444A00">
        <w:rPr>
          <w:sz w:val="24"/>
          <w:vertAlign w:val="subscript"/>
        </w:rPr>
        <w:t>2eq</w:t>
      </w:r>
      <w:r w:rsidRPr="00444A00">
        <w:rPr>
          <w:sz w:val="24"/>
        </w:rPr>
        <w:t> prin înmulțirea potențialului acestora de încălzire globală referitor la CO</w:t>
      </w:r>
      <w:r w:rsidRPr="00444A00">
        <w:rPr>
          <w:sz w:val="24"/>
          <w:vertAlign w:val="subscript"/>
        </w:rPr>
        <w:t>2</w:t>
      </w:r>
      <w:r w:rsidRPr="00444A00">
        <w:rPr>
          <w:sz w:val="24"/>
        </w:rPr>
        <w:t> într-un orizont de timp astfel cum este prevăzut la pct. 9 din anexa nr. 2 la prezenta hotărâre. Datorită originii lor biogene, emisiile de CO</w:t>
      </w:r>
      <w:r w:rsidRPr="00444A00">
        <w:rPr>
          <w:sz w:val="24"/>
          <w:vertAlign w:val="subscript"/>
        </w:rPr>
        <w:t>2</w:t>
      </w:r>
      <w:r w:rsidRPr="00444A00">
        <w:rPr>
          <w:sz w:val="24"/>
        </w:rPr>
        <w:t> din arderea combustibililor pe bază de biomasă nu se contabilizează, spre deosebire de emisiile de CH</w:t>
      </w:r>
      <w:r w:rsidRPr="00444A00">
        <w:rPr>
          <w:sz w:val="24"/>
          <w:vertAlign w:val="subscript"/>
        </w:rPr>
        <w:t>4</w:t>
      </w:r>
      <w:r w:rsidRPr="00444A00">
        <w:rPr>
          <w:sz w:val="24"/>
        </w:rPr>
        <w:t> și N</w:t>
      </w:r>
      <w:r w:rsidRPr="00444A00">
        <w:rPr>
          <w:sz w:val="24"/>
          <w:vertAlign w:val="subscript"/>
        </w:rPr>
        <w:t>2</w:t>
      </w:r>
      <w:r w:rsidRPr="00444A00">
        <w:rPr>
          <w:sz w:val="24"/>
        </w:rPr>
        <w:t>O.</w:t>
      </w:r>
    </w:p>
    <w:p w14:paraId="01C0671A" w14:textId="77777777" w:rsidR="007449C0" w:rsidRPr="00444A00" w:rsidRDefault="007449C0" w:rsidP="007449C0">
      <w:pPr>
        <w:pStyle w:val="Anexapct1"/>
        <w:rPr>
          <w:sz w:val="24"/>
        </w:rPr>
      </w:pPr>
      <w:r w:rsidRPr="00444A00">
        <w:rPr>
          <w:sz w:val="24"/>
        </w:rPr>
        <w:t>Pentru calculul emisiilor de GES din arderea combustibililor, se utilizează factorii de emisie impliciți ai IPCC pentru arderea staționară în industriile energetice (IPCC 2006). Emisiile din amonte includ emisiile din toate procesele și fazele necesare pentru ca combustibilul să fie pregătit să alimenteze producția de energie electrică; acestea rezultă din extracția, rafinarea și transportul combustibilului utilizat pentru producerea de energie electrică.</w:t>
      </w:r>
    </w:p>
    <w:p w14:paraId="4D401168" w14:textId="77777777" w:rsidR="007449C0" w:rsidRPr="00444A00" w:rsidRDefault="007449C0" w:rsidP="007449C0">
      <w:pPr>
        <w:pStyle w:val="Anexapct1"/>
        <w:rPr>
          <w:sz w:val="24"/>
        </w:rPr>
      </w:pPr>
      <w:r w:rsidRPr="00444A00">
        <w:rPr>
          <w:sz w:val="24"/>
        </w:rPr>
        <w:t>Se iau în considerare toate emisiile din amonte provenite din cultivarea, recoltarea, colectarea, prelucrarea și transportul biomasei. Turba și componentele deșeurilor din combustibili fosili sunt tratate drept combustibil fosil.</w:t>
      </w:r>
    </w:p>
    <w:p w14:paraId="2DE8AF22" w14:textId="77777777" w:rsidR="007449C0" w:rsidRPr="00444A00" w:rsidRDefault="007449C0" w:rsidP="007449C0">
      <w:pPr>
        <w:pStyle w:val="Anexapct1"/>
        <w:rPr>
          <w:sz w:val="24"/>
        </w:rPr>
      </w:pPr>
      <w:r w:rsidRPr="00444A00">
        <w:rPr>
          <w:sz w:val="24"/>
        </w:rPr>
        <w:t>Combustibilii utilizați pentru producția brută de energie electrică în centralele exclusiv electrice se determină pe baza producției de energie electrică și a eficienței conversiei în energie electrică. În cazul cogenerării, respectiv al producerii combinate de energie termică și electrică, combustibilii utilizați pentru energia termică produsă în cogenerare se calculează luând în considerare producția de energie termică alternativă cu randamente globale medii de 85 %, iar restul se atribuie producției de energie electrică.</w:t>
      </w:r>
    </w:p>
    <w:p w14:paraId="5293687E" w14:textId="77777777" w:rsidR="007449C0" w:rsidRPr="00444A00" w:rsidRDefault="007449C0" w:rsidP="007449C0">
      <w:pPr>
        <w:pStyle w:val="Anexapct1"/>
        <w:rPr>
          <w:sz w:val="24"/>
        </w:rPr>
      </w:pPr>
      <w:r w:rsidRPr="00444A00">
        <w:rPr>
          <w:sz w:val="24"/>
        </w:rPr>
        <w:t>În cazul centralelor nucleare, eficiența conversiei energiei termice nucleare se presupune a fi de 33 % sau se utilizează datele furnizate de Biroul Național de Statistică.</w:t>
      </w:r>
    </w:p>
    <w:p w14:paraId="7C1C8C00" w14:textId="77777777" w:rsidR="007449C0" w:rsidRPr="00444A00" w:rsidRDefault="007449C0" w:rsidP="007449C0">
      <w:pPr>
        <w:pStyle w:val="Anexapct1"/>
        <w:rPr>
          <w:sz w:val="24"/>
        </w:rPr>
      </w:pPr>
      <w:r w:rsidRPr="00444A00">
        <w:rPr>
          <w:sz w:val="24"/>
        </w:rPr>
        <w:t>Producerea de energie electrică din surse regenerabile, respectiv hidroenergie, energie solară, energie eoliană și energie geotermică, nu se asociază cu utilizarea combustibililor. Emisiile generate de construirea și dezafectarea instalațiilor de producere a energiei electrice și de gestionarea deșeurilor aferente acestora nu se iau în considerare. Emisiile de carbon echivalente asociate producției de energie electrică din surse regenerabile (energie eoliană, solară, hidroenergie și energie geotermică) sunt considerate a fi egale cu zero.</w:t>
      </w:r>
    </w:p>
    <w:p w14:paraId="6E33E138" w14:textId="77777777" w:rsidR="007449C0" w:rsidRPr="00444A00" w:rsidRDefault="007449C0" w:rsidP="007449C0">
      <w:pPr>
        <w:pStyle w:val="Anexapct1"/>
        <w:rPr>
          <w:sz w:val="24"/>
        </w:rPr>
      </w:pPr>
      <w:r w:rsidRPr="00444A00">
        <w:rPr>
          <w:sz w:val="24"/>
        </w:rPr>
        <w:lastRenderedPageBreak/>
        <w:t>Emisiile de echivalent CO</w:t>
      </w:r>
      <w:r w:rsidRPr="00444A00">
        <w:rPr>
          <w:sz w:val="24"/>
          <w:vertAlign w:val="subscript"/>
        </w:rPr>
        <w:t>2</w:t>
      </w:r>
      <w:r w:rsidRPr="00444A00">
        <w:rPr>
          <w:sz w:val="24"/>
        </w:rPr>
        <w:t> provenite din producția brută de energie electrică includ emisiile generate în amonte din raportul JEC WTW versiunea 5 (</w:t>
      </w:r>
      <w:proofErr w:type="spellStart"/>
      <w:r w:rsidRPr="00444A00">
        <w:rPr>
          <w:sz w:val="24"/>
        </w:rPr>
        <w:t>Prussi</w:t>
      </w:r>
      <w:proofErr w:type="spellEnd"/>
      <w:r w:rsidRPr="00444A00">
        <w:rPr>
          <w:sz w:val="24"/>
        </w:rPr>
        <w:t xml:space="preserve"> et al, 2020) enumerate în tabelul 3 și factorii de emisie impliciți pentru arderea staționară din Orientările IPCC pentru inventarele naționale ale gazelor cu efect de seră (IPCC 2006) enumerați în tabelele 1 și 2. Emisiile în amonte pentru furnizarea combustibilului utilizat se calculează aplicând factorii de emisie din amonte JEC WTW versiunea 5 (</w:t>
      </w:r>
      <w:proofErr w:type="spellStart"/>
      <w:r w:rsidRPr="00444A00">
        <w:rPr>
          <w:sz w:val="24"/>
        </w:rPr>
        <w:t>Prussi</w:t>
      </w:r>
      <w:proofErr w:type="spellEnd"/>
      <w:r w:rsidRPr="00444A00">
        <w:rPr>
          <w:sz w:val="24"/>
        </w:rPr>
        <w:t xml:space="preserve"> et al, 2020).</w:t>
      </w:r>
    </w:p>
    <w:p w14:paraId="5754200C" w14:textId="77777777" w:rsidR="007449C0" w:rsidRPr="00444A00" w:rsidRDefault="007449C0" w:rsidP="007449C0">
      <w:pPr>
        <w:pStyle w:val="Anexapct1"/>
        <w:rPr>
          <w:sz w:val="24"/>
        </w:rPr>
      </w:pPr>
      <w:r w:rsidRPr="00444A00">
        <w:rPr>
          <w:sz w:val="24"/>
        </w:rPr>
        <w:t>Calculul intensității carbonului generat de energia electrică se efectuează cu ajutorul formulei:</w:t>
      </w:r>
    </w:p>
    <w:p w14:paraId="515E4C31" w14:textId="77777777" w:rsidR="007449C0" w:rsidRPr="00444A00" w:rsidRDefault="007449C0" w:rsidP="007449C0">
      <w:pPr>
        <w:ind w:firstLine="0"/>
        <w:jc w:val="center"/>
        <w:rPr>
          <w:rFonts w:eastAsia="Times New Roman"/>
          <w:sz w:val="24"/>
          <w:lang w:eastAsia="ro-RO"/>
        </w:rPr>
      </w:pPr>
      <w:r w:rsidRPr="00444A00">
        <w:rPr>
          <w:noProof/>
          <w:sz w:val="24"/>
          <w:lang w:eastAsia="ro-RO"/>
        </w:rPr>
        <w:drawing>
          <wp:inline distT="0" distB="0" distL="0" distR="0" wp14:anchorId="6FDECAE7" wp14:editId="511B0178">
            <wp:extent cx="3454400" cy="690880"/>
            <wp:effectExtent l="0" t="0" r="0" b="0"/>
            <wp:docPr id="1431062154"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Formu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4400" cy="690880"/>
                    </a:xfrm>
                    <a:prstGeom prst="rect">
                      <a:avLst/>
                    </a:prstGeom>
                    <a:noFill/>
                    <a:ln>
                      <a:noFill/>
                    </a:ln>
                  </pic:spPr>
                </pic:pic>
              </a:graphicData>
            </a:graphic>
          </wp:inline>
        </w:drawing>
      </w:r>
    </w:p>
    <w:p w14:paraId="299DD9DB" w14:textId="77777777" w:rsidR="007449C0" w:rsidRPr="00444A00" w:rsidRDefault="007449C0" w:rsidP="007449C0">
      <w:pPr>
        <w:rPr>
          <w:rFonts w:eastAsia="Times New Roman"/>
          <w:sz w:val="24"/>
          <w:lang w:eastAsia="ro-RO"/>
        </w:rPr>
      </w:pPr>
      <w:r w:rsidRPr="00444A00">
        <w:rPr>
          <w:rFonts w:eastAsia="Times New Roman"/>
          <w:sz w:val="24"/>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1392"/>
        <w:gridCol w:w="217"/>
        <w:gridCol w:w="7846"/>
        <w:gridCol w:w="6"/>
      </w:tblGrid>
      <w:tr w:rsidR="007449C0" w:rsidRPr="00444A00" w14:paraId="57BBB670" w14:textId="77777777" w:rsidTr="003D514F">
        <w:tc>
          <w:tcPr>
            <w:tcW w:w="687" w:type="pct"/>
            <w:shd w:val="clear" w:color="auto" w:fill="FFFFFF"/>
            <w:hideMark/>
          </w:tcPr>
          <w:p w14:paraId="27BB692C" w14:textId="77777777" w:rsidR="007449C0" w:rsidRPr="00444A00" w:rsidRDefault="007449C0" w:rsidP="003D514F">
            <w:pPr>
              <w:ind w:firstLine="0"/>
              <w:jc w:val="left"/>
              <w:rPr>
                <w:sz w:val="24"/>
                <w:lang w:eastAsia="ro-RO"/>
              </w:rPr>
            </w:pPr>
            <w:r w:rsidRPr="00444A00">
              <w:rPr>
                <w:i/>
                <w:iCs/>
                <w:color w:val="333333"/>
                <w:sz w:val="24"/>
                <w:lang w:eastAsia="ro-RO"/>
              </w:rPr>
              <w:t>e</w:t>
            </w:r>
            <w:r w:rsidRPr="00444A00">
              <w:rPr>
                <w:color w:val="333333"/>
                <w:sz w:val="24"/>
                <w:lang w:eastAsia="ro-RO"/>
              </w:rPr>
              <w:t> </w:t>
            </w:r>
            <w:proofErr w:type="spellStart"/>
            <w:r w:rsidRPr="00444A00">
              <w:rPr>
                <w:i/>
                <w:iCs/>
                <w:color w:val="333333"/>
                <w:sz w:val="24"/>
                <w:vertAlign w:val="subscript"/>
                <w:lang w:eastAsia="ro-RO"/>
              </w:rPr>
              <w:t>gross_prod</w:t>
            </w:r>
            <w:proofErr w:type="spellEnd"/>
          </w:p>
        </w:tc>
        <w:tc>
          <w:tcPr>
            <w:tcW w:w="137" w:type="pct"/>
            <w:shd w:val="clear" w:color="auto" w:fill="FFFFFF"/>
          </w:tcPr>
          <w:p w14:paraId="5BBE82D1" w14:textId="77777777" w:rsidR="007449C0" w:rsidRPr="00444A00" w:rsidRDefault="007449C0" w:rsidP="003D514F">
            <w:pPr>
              <w:ind w:firstLine="0"/>
              <w:rPr>
                <w:sz w:val="24"/>
                <w:lang w:eastAsia="ro-RO"/>
              </w:rPr>
            </w:pPr>
            <w:r w:rsidRPr="00444A00">
              <w:rPr>
                <w:sz w:val="24"/>
                <w:lang w:eastAsia="ro-RO"/>
              </w:rPr>
              <w:t>=</w:t>
            </w:r>
          </w:p>
        </w:tc>
        <w:tc>
          <w:tcPr>
            <w:tcW w:w="4168" w:type="pct"/>
            <w:shd w:val="clear" w:color="auto" w:fill="FFFFFF"/>
            <w:hideMark/>
          </w:tcPr>
          <w:p w14:paraId="36AD70DB" w14:textId="77777777" w:rsidR="007449C0" w:rsidRPr="00444A00" w:rsidRDefault="007449C0" w:rsidP="003D514F">
            <w:pPr>
              <w:ind w:firstLine="0"/>
              <w:rPr>
                <w:sz w:val="24"/>
                <w:lang w:eastAsia="ro-RO"/>
              </w:rPr>
            </w:pPr>
            <w:r w:rsidRPr="00444A00">
              <w:rPr>
                <w:noProof/>
                <w:sz w:val="24"/>
                <w:lang w:eastAsia="ro-RO"/>
              </w:rPr>
              <w:drawing>
                <wp:anchor distT="0" distB="0" distL="114300" distR="114300" simplePos="0" relativeHeight="251660288" behindDoc="0" locked="0" layoutInCell="1" allowOverlap="1" wp14:anchorId="141434AF" wp14:editId="6635DA1D">
                  <wp:simplePos x="0" y="0"/>
                  <wp:positionH relativeFrom="column">
                    <wp:posOffset>1969135</wp:posOffset>
                  </wp:positionH>
                  <wp:positionV relativeFrom="paragraph">
                    <wp:posOffset>4445</wp:posOffset>
                  </wp:positionV>
                  <wp:extent cx="615315" cy="233680"/>
                  <wp:effectExtent l="0" t="0" r="0" b="0"/>
                  <wp:wrapSquare wrapText="bothSides"/>
                  <wp:docPr id="242025163"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Formula"/>
                          <pic:cNvPicPr>
                            <a:picLocks noChangeAspect="1" noChangeArrowheads="1"/>
                          </pic:cNvPicPr>
                        </pic:nvPicPr>
                        <pic:blipFill>
                          <a:blip r:embed="rId10">
                            <a:alphaModFix/>
                            <a:extLst>
                              <a:ext uri="{28A0092B-C50C-407E-A947-70E740481C1C}">
                                <a14:useLocalDpi xmlns:a14="http://schemas.microsoft.com/office/drawing/2010/main" val="0"/>
                              </a:ext>
                            </a:extLst>
                          </a:blip>
                          <a:srcRect/>
                          <a:stretch>
                            <a:fillRect/>
                          </a:stretch>
                        </pic:blipFill>
                        <pic:spPr bwMode="auto">
                          <a:xfrm>
                            <a:off x="0" y="0"/>
                            <a:ext cx="615315"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lang w:eastAsia="ro-RO"/>
              </w:rPr>
              <w:t>emisii în echivalent CO</w:t>
            </w:r>
            <w:r w:rsidRPr="00444A00">
              <w:rPr>
                <w:sz w:val="24"/>
                <w:vertAlign w:val="subscript"/>
                <w:lang w:eastAsia="ro-RO"/>
              </w:rPr>
              <w:t xml:space="preserve">2 </w:t>
            </w:r>
            <w:r w:rsidRPr="00444A00">
              <w:rPr>
                <w:sz w:val="24"/>
                <w:lang w:eastAsia="ro-RO"/>
              </w:rPr>
              <w:t>,</w:t>
            </w:r>
          </w:p>
          <w:p w14:paraId="36CF4EBC" w14:textId="77777777" w:rsidR="007449C0" w:rsidRPr="00444A00" w:rsidRDefault="007449C0" w:rsidP="003D514F">
            <w:pPr>
              <w:rPr>
                <w:sz w:val="24"/>
                <w:lang w:eastAsia="ro-RO"/>
              </w:rPr>
            </w:pPr>
          </w:p>
        </w:tc>
        <w:tc>
          <w:tcPr>
            <w:tcW w:w="0" w:type="auto"/>
            <w:shd w:val="clear" w:color="auto" w:fill="FFFFFF"/>
            <w:hideMark/>
          </w:tcPr>
          <w:p w14:paraId="4A0C5F95" w14:textId="77777777" w:rsidR="007449C0" w:rsidRPr="00444A00" w:rsidRDefault="007449C0" w:rsidP="003D514F">
            <w:pPr>
              <w:ind w:firstLine="0"/>
              <w:jc w:val="left"/>
              <w:rPr>
                <w:color w:val="333333"/>
                <w:sz w:val="24"/>
                <w:lang w:eastAsia="ro-RO"/>
              </w:rPr>
            </w:pPr>
          </w:p>
        </w:tc>
      </w:tr>
      <w:tr w:rsidR="007449C0" w:rsidRPr="00444A00" w14:paraId="51CDFEC5" w14:textId="77777777" w:rsidTr="003D514F">
        <w:tc>
          <w:tcPr>
            <w:tcW w:w="687" w:type="pct"/>
            <w:shd w:val="clear" w:color="auto" w:fill="FFFFFF"/>
            <w:hideMark/>
          </w:tcPr>
          <w:p w14:paraId="5752C253" w14:textId="77777777" w:rsidR="007449C0" w:rsidRPr="00444A00" w:rsidRDefault="007449C0" w:rsidP="003D514F">
            <w:pPr>
              <w:ind w:firstLine="0"/>
              <w:jc w:val="left"/>
              <w:rPr>
                <w:color w:val="333333"/>
                <w:sz w:val="24"/>
                <w:lang w:eastAsia="ro-RO"/>
              </w:rPr>
            </w:pPr>
            <w:r w:rsidRPr="00444A00">
              <w:rPr>
                <w:noProof/>
                <w:color w:val="333333"/>
                <w:sz w:val="24"/>
                <w:lang w:eastAsia="ro-RO"/>
              </w:rPr>
              <w:drawing>
                <wp:inline distT="0" distB="0" distL="0" distR="0" wp14:anchorId="3AFD81BF" wp14:editId="2A6755DA">
                  <wp:extent cx="599440" cy="243840"/>
                  <wp:effectExtent l="0" t="0" r="0" b="3810"/>
                  <wp:docPr id="38145149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Formu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440" cy="243840"/>
                          </a:xfrm>
                          <a:prstGeom prst="rect">
                            <a:avLst/>
                          </a:prstGeom>
                          <a:noFill/>
                          <a:ln>
                            <a:noFill/>
                          </a:ln>
                        </pic:spPr>
                      </pic:pic>
                    </a:graphicData>
                  </a:graphic>
                </wp:inline>
              </w:drawing>
            </w:r>
          </w:p>
        </w:tc>
        <w:tc>
          <w:tcPr>
            <w:tcW w:w="137" w:type="pct"/>
            <w:shd w:val="clear" w:color="auto" w:fill="FFFFFF"/>
            <w:hideMark/>
          </w:tcPr>
          <w:p w14:paraId="1CF5C99D" w14:textId="77777777" w:rsidR="007449C0" w:rsidRPr="00444A00" w:rsidRDefault="007449C0" w:rsidP="003D514F">
            <w:pPr>
              <w:ind w:firstLine="0"/>
              <w:rPr>
                <w:color w:val="333333"/>
                <w:sz w:val="24"/>
                <w:lang w:eastAsia="ro-RO"/>
              </w:rPr>
            </w:pPr>
            <w:r w:rsidRPr="00444A00">
              <w:rPr>
                <w:color w:val="333333"/>
                <w:sz w:val="24"/>
                <w:lang w:eastAsia="ro-RO"/>
              </w:rPr>
              <w:t>=</w:t>
            </w:r>
          </w:p>
        </w:tc>
        <w:tc>
          <w:tcPr>
            <w:tcW w:w="4168" w:type="pct"/>
            <w:shd w:val="clear" w:color="auto" w:fill="FFFFFF"/>
            <w:hideMark/>
          </w:tcPr>
          <w:p w14:paraId="1C444F40" w14:textId="77777777" w:rsidR="007449C0" w:rsidRPr="00444A00" w:rsidRDefault="007449C0" w:rsidP="003D514F">
            <w:pPr>
              <w:ind w:firstLine="0"/>
              <w:rPr>
                <w:sz w:val="24"/>
                <w:lang w:eastAsia="ro-RO"/>
              </w:rPr>
            </w:pPr>
            <w:r w:rsidRPr="00444A00">
              <w:rPr>
                <w:noProof/>
                <w:sz w:val="24"/>
                <w:lang w:eastAsia="ro-RO"/>
              </w:rPr>
              <w:drawing>
                <wp:anchor distT="0" distB="0" distL="114300" distR="114300" simplePos="0" relativeHeight="251659264" behindDoc="0" locked="0" layoutInCell="1" allowOverlap="1" wp14:anchorId="59556163" wp14:editId="3B8600F6">
                  <wp:simplePos x="0" y="0"/>
                  <wp:positionH relativeFrom="column">
                    <wp:posOffset>3375025</wp:posOffset>
                  </wp:positionH>
                  <wp:positionV relativeFrom="paragraph">
                    <wp:posOffset>-111760</wp:posOffset>
                  </wp:positionV>
                  <wp:extent cx="554990" cy="355600"/>
                  <wp:effectExtent l="0" t="0" r="0" b="6350"/>
                  <wp:wrapSquare wrapText="bothSides"/>
                  <wp:docPr id="1609133834"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99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lang w:eastAsia="ro-RO"/>
              </w:rPr>
              <w:t>factori de emisii în echivalent CO</w:t>
            </w:r>
            <w:r w:rsidRPr="00444A00">
              <w:rPr>
                <w:sz w:val="24"/>
                <w:vertAlign w:val="subscript"/>
                <w:lang w:eastAsia="ro-RO"/>
              </w:rPr>
              <w:t>2</w:t>
            </w:r>
            <w:r w:rsidRPr="00444A00">
              <w:rPr>
                <w:sz w:val="24"/>
                <w:lang w:eastAsia="ro-RO"/>
              </w:rPr>
              <w:t xml:space="preserve"> în amonte, </w:t>
            </w:r>
          </w:p>
        </w:tc>
        <w:tc>
          <w:tcPr>
            <w:tcW w:w="0" w:type="auto"/>
            <w:shd w:val="clear" w:color="auto" w:fill="FFFFFF"/>
            <w:vAlign w:val="center"/>
            <w:hideMark/>
          </w:tcPr>
          <w:p w14:paraId="03A0FB1B" w14:textId="77777777" w:rsidR="007449C0" w:rsidRPr="00444A00" w:rsidRDefault="007449C0" w:rsidP="003D514F">
            <w:pPr>
              <w:ind w:firstLine="0"/>
              <w:jc w:val="left"/>
              <w:rPr>
                <w:sz w:val="24"/>
                <w:lang w:eastAsia="ro-RO"/>
              </w:rPr>
            </w:pPr>
          </w:p>
        </w:tc>
      </w:tr>
      <w:tr w:rsidR="007449C0" w:rsidRPr="00444A00" w14:paraId="384F9F3A" w14:textId="77777777" w:rsidTr="003D514F">
        <w:tc>
          <w:tcPr>
            <w:tcW w:w="687" w:type="pct"/>
            <w:shd w:val="clear" w:color="auto" w:fill="FFFFFF"/>
            <w:hideMark/>
          </w:tcPr>
          <w:p w14:paraId="66B39BBD" w14:textId="77777777" w:rsidR="007449C0" w:rsidRPr="00444A00" w:rsidRDefault="007449C0" w:rsidP="003D514F">
            <w:pPr>
              <w:ind w:firstLine="0"/>
              <w:jc w:val="left"/>
              <w:rPr>
                <w:color w:val="333333"/>
                <w:sz w:val="24"/>
                <w:lang w:eastAsia="ro-RO"/>
              </w:rPr>
            </w:pPr>
            <w:r w:rsidRPr="00444A00">
              <w:rPr>
                <w:noProof/>
                <w:color w:val="333333"/>
                <w:sz w:val="24"/>
                <w:lang w:eastAsia="ro-RO"/>
              </w:rPr>
              <w:drawing>
                <wp:inline distT="0" distB="0" distL="0" distR="0" wp14:anchorId="1EDFA9B9" wp14:editId="057ED535">
                  <wp:extent cx="721360" cy="233680"/>
                  <wp:effectExtent l="0" t="0" r="2540" b="0"/>
                  <wp:docPr id="1812389999"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1360" cy="233680"/>
                          </a:xfrm>
                          <a:prstGeom prst="rect">
                            <a:avLst/>
                          </a:prstGeom>
                          <a:noFill/>
                          <a:ln>
                            <a:noFill/>
                          </a:ln>
                        </pic:spPr>
                      </pic:pic>
                    </a:graphicData>
                  </a:graphic>
                </wp:inline>
              </w:drawing>
            </w:r>
          </w:p>
        </w:tc>
        <w:tc>
          <w:tcPr>
            <w:tcW w:w="137" w:type="pct"/>
            <w:shd w:val="clear" w:color="auto" w:fill="FFFFFF"/>
            <w:hideMark/>
          </w:tcPr>
          <w:p w14:paraId="136A8924" w14:textId="77777777" w:rsidR="007449C0" w:rsidRPr="00444A00" w:rsidRDefault="007449C0" w:rsidP="003D514F">
            <w:pPr>
              <w:ind w:firstLine="0"/>
              <w:rPr>
                <w:color w:val="333333"/>
                <w:sz w:val="24"/>
                <w:lang w:eastAsia="ro-RO"/>
              </w:rPr>
            </w:pPr>
            <w:r w:rsidRPr="00444A00">
              <w:rPr>
                <w:color w:val="333333"/>
                <w:sz w:val="24"/>
                <w:lang w:eastAsia="ro-RO"/>
              </w:rPr>
              <w:t>=</w:t>
            </w:r>
          </w:p>
        </w:tc>
        <w:tc>
          <w:tcPr>
            <w:tcW w:w="4168" w:type="pct"/>
            <w:shd w:val="clear" w:color="auto" w:fill="FFFFFF"/>
            <w:hideMark/>
          </w:tcPr>
          <w:p w14:paraId="791BD7A2" w14:textId="77777777" w:rsidR="007449C0" w:rsidRPr="00444A00" w:rsidRDefault="007449C0" w:rsidP="003D514F">
            <w:pPr>
              <w:ind w:firstLine="0"/>
              <w:rPr>
                <w:sz w:val="24"/>
                <w:lang w:eastAsia="ro-RO"/>
              </w:rPr>
            </w:pPr>
            <w:r w:rsidRPr="00444A00">
              <w:rPr>
                <w:noProof/>
                <w:sz w:val="24"/>
                <w:lang w:eastAsia="ro-RO"/>
              </w:rPr>
              <w:drawing>
                <wp:anchor distT="0" distB="0" distL="114300" distR="114300" simplePos="0" relativeHeight="251662336" behindDoc="0" locked="0" layoutInCell="1" allowOverlap="1" wp14:anchorId="6DC6122A" wp14:editId="62B3D323">
                  <wp:simplePos x="0" y="0"/>
                  <wp:positionH relativeFrom="column">
                    <wp:posOffset>4572000</wp:posOffset>
                  </wp:positionH>
                  <wp:positionV relativeFrom="paragraph">
                    <wp:posOffset>1905</wp:posOffset>
                  </wp:positionV>
                  <wp:extent cx="589280" cy="376555"/>
                  <wp:effectExtent l="0" t="0" r="1270" b="4445"/>
                  <wp:wrapSquare wrapText="bothSides"/>
                  <wp:docPr id="1607063077"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280" cy="37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lang w:eastAsia="ro-RO"/>
              </w:rPr>
              <w:t>factori de emisii în echivalent CO</w:t>
            </w:r>
            <w:r w:rsidRPr="00444A00">
              <w:rPr>
                <w:sz w:val="24"/>
                <w:vertAlign w:val="subscript"/>
                <w:lang w:eastAsia="ro-RO"/>
              </w:rPr>
              <w:t>2</w:t>
            </w:r>
            <w:r w:rsidRPr="00444A00">
              <w:rPr>
                <w:sz w:val="24"/>
                <w:lang w:eastAsia="ro-RO"/>
              </w:rPr>
              <w:t> din arderea combustibililor,</w:t>
            </w:r>
            <w:r w:rsidRPr="00444A00">
              <w:rPr>
                <w:noProof/>
                <w:sz w:val="24"/>
                <w:lang w:eastAsia="ro-RO"/>
              </w:rPr>
              <w:t xml:space="preserve"> </w:t>
            </w:r>
          </w:p>
          <w:p w14:paraId="3C2C4C7A" w14:textId="77777777" w:rsidR="007449C0" w:rsidRPr="00444A00" w:rsidRDefault="007449C0" w:rsidP="003D514F">
            <w:pPr>
              <w:ind w:firstLine="0"/>
              <w:rPr>
                <w:sz w:val="24"/>
                <w:lang w:eastAsia="ro-RO"/>
              </w:rPr>
            </w:pPr>
            <w:r w:rsidRPr="00444A00">
              <w:rPr>
                <w:noProof/>
                <w:sz w:val="24"/>
                <w:lang w:eastAsia="ro-RO"/>
              </w:rPr>
              <w:t xml:space="preserve"> </w:t>
            </w:r>
          </w:p>
        </w:tc>
        <w:tc>
          <w:tcPr>
            <w:tcW w:w="0" w:type="auto"/>
            <w:shd w:val="clear" w:color="auto" w:fill="FFFFFF"/>
            <w:vAlign w:val="center"/>
            <w:hideMark/>
          </w:tcPr>
          <w:p w14:paraId="0A7EAA15" w14:textId="77777777" w:rsidR="007449C0" w:rsidRPr="00444A00" w:rsidRDefault="007449C0" w:rsidP="003D514F">
            <w:pPr>
              <w:ind w:firstLine="0"/>
              <w:jc w:val="left"/>
              <w:rPr>
                <w:sz w:val="24"/>
                <w:lang w:eastAsia="ro-RO"/>
              </w:rPr>
            </w:pPr>
          </w:p>
        </w:tc>
      </w:tr>
      <w:tr w:rsidR="007449C0" w:rsidRPr="00444A00" w14:paraId="6421261E" w14:textId="77777777" w:rsidTr="003D514F">
        <w:tc>
          <w:tcPr>
            <w:tcW w:w="687" w:type="pct"/>
            <w:shd w:val="clear" w:color="auto" w:fill="FFFFFF"/>
            <w:hideMark/>
          </w:tcPr>
          <w:p w14:paraId="619C455E" w14:textId="77777777" w:rsidR="007449C0" w:rsidRPr="00444A00" w:rsidRDefault="007449C0" w:rsidP="003D514F">
            <w:pPr>
              <w:spacing w:before="120" w:line="312" w:lineRule="atLeast"/>
              <w:ind w:firstLine="0"/>
              <w:rPr>
                <w:color w:val="333333"/>
                <w:sz w:val="24"/>
                <w:lang w:eastAsia="ro-RO"/>
              </w:rPr>
            </w:pPr>
            <w:r w:rsidRPr="00444A00">
              <w:rPr>
                <w:i/>
                <w:iCs/>
                <w:color w:val="333333"/>
                <w:sz w:val="24"/>
                <w:lang w:eastAsia="ro-RO"/>
              </w:rPr>
              <w:t>B</w:t>
            </w:r>
            <w:r w:rsidRPr="00444A00">
              <w:rPr>
                <w:color w:val="333333"/>
                <w:sz w:val="24"/>
                <w:lang w:eastAsia="ro-RO"/>
              </w:rPr>
              <w:t> </w:t>
            </w:r>
            <w:r w:rsidRPr="00444A00">
              <w:rPr>
                <w:i/>
                <w:iCs/>
                <w:color w:val="333333"/>
                <w:sz w:val="24"/>
                <w:vertAlign w:val="subscript"/>
                <w:lang w:eastAsia="ro-RO"/>
              </w:rPr>
              <w:t>i</w:t>
            </w:r>
          </w:p>
        </w:tc>
        <w:tc>
          <w:tcPr>
            <w:tcW w:w="137" w:type="pct"/>
            <w:shd w:val="clear" w:color="auto" w:fill="FFFFFF"/>
            <w:hideMark/>
          </w:tcPr>
          <w:p w14:paraId="431E040F" w14:textId="77777777" w:rsidR="007449C0" w:rsidRPr="00444A00" w:rsidRDefault="007449C0" w:rsidP="003D514F">
            <w:pPr>
              <w:ind w:firstLine="0"/>
              <w:rPr>
                <w:color w:val="333333"/>
                <w:sz w:val="24"/>
                <w:lang w:eastAsia="ro-RO"/>
              </w:rPr>
            </w:pPr>
            <w:r w:rsidRPr="00444A00">
              <w:rPr>
                <w:color w:val="333333"/>
                <w:sz w:val="24"/>
                <w:lang w:eastAsia="ro-RO"/>
              </w:rPr>
              <w:t>=</w:t>
            </w:r>
          </w:p>
        </w:tc>
        <w:tc>
          <w:tcPr>
            <w:tcW w:w="4168" w:type="pct"/>
            <w:shd w:val="clear" w:color="auto" w:fill="FFFFFF"/>
            <w:hideMark/>
          </w:tcPr>
          <w:p w14:paraId="718E9647" w14:textId="77777777" w:rsidR="007449C0" w:rsidRPr="00444A00" w:rsidRDefault="007449C0" w:rsidP="003D514F">
            <w:pPr>
              <w:ind w:firstLine="0"/>
              <w:rPr>
                <w:sz w:val="24"/>
                <w:lang w:eastAsia="ro-RO"/>
              </w:rPr>
            </w:pPr>
            <w:r w:rsidRPr="00444A00">
              <w:rPr>
                <w:noProof/>
                <w:sz w:val="24"/>
                <w:lang w:eastAsia="ro-RO"/>
              </w:rPr>
              <w:drawing>
                <wp:anchor distT="0" distB="0" distL="114300" distR="114300" simplePos="0" relativeHeight="251661312" behindDoc="0" locked="0" layoutInCell="1" allowOverlap="1" wp14:anchorId="27B7C58D" wp14:editId="502271E9">
                  <wp:simplePos x="0" y="0"/>
                  <wp:positionH relativeFrom="column">
                    <wp:posOffset>4488815</wp:posOffset>
                  </wp:positionH>
                  <wp:positionV relativeFrom="paragraph">
                    <wp:posOffset>0</wp:posOffset>
                  </wp:positionV>
                  <wp:extent cx="354330" cy="233680"/>
                  <wp:effectExtent l="0" t="0" r="7620" b="0"/>
                  <wp:wrapSquare wrapText="bothSides"/>
                  <wp:docPr id="11158880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33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sz w:val="24"/>
                <w:lang w:eastAsia="ro-RO"/>
              </w:rPr>
              <w:t>consum de combustibil pentru generarea de energie electrică,</w:t>
            </w:r>
          </w:p>
          <w:p w14:paraId="0628120A" w14:textId="77777777" w:rsidR="007449C0" w:rsidRPr="00444A00" w:rsidRDefault="007449C0" w:rsidP="003D514F">
            <w:pPr>
              <w:rPr>
                <w:sz w:val="24"/>
                <w:lang w:eastAsia="ro-RO"/>
              </w:rPr>
            </w:pPr>
          </w:p>
        </w:tc>
        <w:tc>
          <w:tcPr>
            <w:tcW w:w="0" w:type="auto"/>
            <w:shd w:val="clear" w:color="auto" w:fill="FFFFFF"/>
            <w:vAlign w:val="center"/>
            <w:hideMark/>
          </w:tcPr>
          <w:p w14:paraId="4A48C101" w14:textId="77777777" w:rsidR="007449C0" w:rsidRPr="00444A00" w:rsidRDefault="007449C0" w:rsidP="003D514F">
            <w:pPr>
              <w:ind w:firstLine="0"/>
              <w:jc w:val="left"/>
              <w:rPr>
                <w:sz w:val="24"/>
                <w:lang w:eastAsia="ro-RO"/>
              </w:rPr>
            </w:pPr>
          </w:p>
        </w:tc>
      </w:tr>
      <w:tr w:rsidR="007449C0" w:rsidRPr="00444A00" w14:paraId="165A27E3" w14:textId="77777777" w:rsidTr="003D514F">
        <w:trPr>
          <w:trHeight w:val="513"/>
        </w:trPr>
        <w:tc>
          <w:tcPr>
            <w:tcW w:w="687" w:type="pct"/>
            <w:shd w:val="clear" w:color="auto" w:fill="FFFFFF"/>
            <w:hideMark/>
          </w:tcPr>
          <w:p w14:paraId="66C0362C" w14:textId="77777777" w:rsidR="007449C0" w:rsidRPr="00444A00" w:rsidRDefault="007449C0" w:rsidP="003D514F">
            <w:pPr>
              <w:ind w:firstLine="0"/>
              <w:jc w:val="left"/>
              <w:rPr>
                <w:color w:val="333333"/>
                <w:sz w:val="24"/>
                <w:lang w:eastAsia="ro-RO"/>
              </w:rPr>
            </w:pPr>
            <w:r w:rsidRPr="00444A00">
              <w:rPr>
                <w:noProof/>
                <w:color w:val="333333"/>
                <w:sz w:val="24"/>
                <w:lang w:eastAsia="ro-RO"/>
              </w:rPr>
              <w:drawing>
                <wp:inline distT="0" distB="0" distL="0" distR="0" wp14:anchorId="5478E09E" wp14:editId="3C4DF998">
                  <wp:extent cx="883920" cy="233680"/>
                  <wp:effectExtent l="0" t="0" r="0" b="0"/>
                  <wp:docPr id="59093765"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3920" cy="233680"/>
                          </a:xfrm>
                          <a:prstGeom prst="rect">
                            <a:avLst/>
                          </a:prstGeom>
                          <a:noFill/>
                          <a:ln>
                            <a:noFill/>
                          </a:ln>
                        </pic:spPr>
                      </pic:pic>
                    </a:graphicData>
                  </a:graphic>
                </wp:inline>
              </w:drawing>
            </w:r>
          </w:p>
        </w:tc>
        <w:tc>
          <w:tcPr>
            <w:tcW w:w="137" w:type="pct"/>
            <w:shd w:val="clear" w:color="auto" w:fill="FFFFFF"/>
            <w:hideMark/>
          </w:tcPr>
          <w:p w14:paraId="76EB17B0" w14:textId="77777777" w:rsidR="007449C0" w:rsidRPr="00444A00" w:rsidRDefault="007449C0" w:rsidP="003D514F">
            <w:pPr>
              <w:ind w:firstLine="0"/>
              <w:rPr>
                <w:color w:val="333333"/>
                <w:sz w:val="24"/>
                <w:lang w:eastAsia="ro-RO"/>
              </w:rPr>
            </w:pPr>
            <w:r w:rsidRPr="00444A00">
              <w:rPr>
                <w:color w:val="333333"/>
                <w:sz w:val="24"/>
                <w:lang w:eastAsia="ro-RO"/>
              </w:rPr>
              <w:t>=</w:t>
            </w:r>
          </w:p>
        </w:tc>
        <w:tc>
          <w:tcPr>
            <w:tcW w:w="4168" w:type="pct"/>
            <w:shd w:val="clear" w:color="auto" w:fill="FFFFFF"/>
            <w:hideMark/>
          </w:tcPr>
          <w:p w14:paraId="33F8B5BF" w14:textId="77777777" w:rsidR="007449C0" w:rsidRPr="00444A00" w:rsidRDefault="007449C0" w:rsidP="003D514F">
            <w:pPr>
              <w:ind w:firstLine="0"/>
              <w:rPr>
                <w:sz w:val="24"/>
                <w:lang w:eastAsia="ro-RO"/>
              </w:rPr>
            </w:pPr>
            <w:r w:rsidRPr="00444A00">
              <w:rPr>
                <w:sz w:val="24"/>
                <w:lang w:eastAsia="ro-RO"/>
              </w:rPr>
              <w:t>combustibili utilizați în producția de energie electrică.</w:t>
            </w:r>
          </w:p>
        </w:tc>
        <w:tc>
          <w:tcPr>
            <w:tcW w:w="0" w:type="auto"/>
            <w:shd w:val="clear" w:color="auto" w:fill="FFFFFF"/>
            <w:vAlign w:val="center"/>
            <w:hideMark/>
          </w:tcPr>
          <w:p w14:paraId="67612F22" w14:textId="77777777" w:rsidR="007449C0" w:rsidRPr="00444A00" w:rsidRDefault="007449C0" w:rsidP="003D514F">
            <w:pPr>
              <w:ind w:firstLine="0"/>
              <w:jc w:val="left"/>
              <w:rPr>
                <w:sz w:val="24"/>
                <w:lang w:eastAsia="ro-RO"/>
              </w:rPr>
            </w:pPr>
          </w:p>
        </w:tc>
      </w:tr>
    </w:tbl>
    <w:p w14:paraId="1BB8DE99" w14:textId="77777777" w:rsidR="007449C0" w:rsidRPr="00444A00" w:rsidRDefault="007449C0" w:rsidP="007449C0">
      <w:pPr>
        <w:pStyle w:val="Anexapct1"/>
        <w:rPr>
          <w:sz w:val="24"/>
        </w:rPr>
      </w:pPr>
      <w:r w:rsidRPr="00444A00">
        <w:rPr>
          <w:sz w:val="24"/>
        </w:rPr>
        <w:t>Cantitatea producției nete de energie electrică se determină de producția brută de energie electrică, de consumul propriu de energie electrică al centralei electrice și de pierderile de energie electrică din instalațiile de stocare prin pompare.</w:t>
      </w:r>
    </w:p>
    <w:p w14:paraId="1E4050BA" w14:textId="77777777" w:rsidR="007449C0" w:rsidRPr="00444A00" w:rsidRDefault="007449C0" w:rsidP="007449C0">
      <w:pPr>
        <w:ind w:firstLine="0"/>
        <w:jc w:val="center"/>
        <w:rPr>
          <w:rFonts w:eastAsia="Times New Roman"/>
          <w:sz w:val="24"/>
          <w:lang w:eastAsia="ro-RO"/>
        </w:rPr>
      </w:pPr>
      <w:r w:rsidRPr="00444A00">
        <w:rPr>
          <w:noProof/>
          <w:sz w:val="24"/>
          <w:lang w:eastAsia="ro-RO"/>
        </w:rPr>
        <w:drawing>
          <wp:inline distT="0" distB="0" distL="0" distR="0" wp14:anchorId="166D2126" wp14:editId="739D7BFA">
            <wp:extent cx="2519680" cy="294640"/>
            <wp:effectExtent l="0" t="0" r="0" b="0"/>
            <wp:docPr id="1680549997" name="Picture 2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680" cy="294640"/>
                    </a:xfrm>
                    <a:prstGeom prst="rect">
                      <a:avLst/>
                    </a:prstGeom>
                    <a:noFill/>
                    <a:ln>
                      <a:noFill/>
                    </a:ln>
                  </pic:spPr>
                </pic:pic>
              </a:graphicData>
            </a:graphic>
          </wp:inline>
        </w:drawing>
      </w:r>
    </w:p>
    <w:p w14:paraId="2465AB71" w14:textId="77777777" w:rsidR="007449C0" w:rsidRPr="00444A00" w:rsidRDefault="007449C0" w:rsidP="007449C0">
      <w:pPr>
        <w:rPr>
          <w:rFonts w:eastAsia="Times New Roman"/>
          <w:sz w:val="24"/>
          <w:lang w:eastAsia="ro-RO"/>
        </w:rPr>
      </w:pPr>
      <w:r w:rsidRPr="00444A00">
        <w:rPr>
          <w:rFonts w:eastAsia="Times New Roman"/>
          <w:sz w:val="24"/>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647"/>
        <w:gridCol w:w="280"/>
        <w:gridCol w:w="8526"/>
        <w:gridCol w:w="8"/>
      </w:tblGrid>
      <w:tr w:rsidR="007449C0" w:rsidRPr="00444A00" w14:paraId="2C5C6687" w14:textId="77777777" w:rsidTr="003D514F">
        <w:tc>
          <w:tcPr>
            <w:tcW w:w="342" w:type="pct"/>
            <w:shd w:val="clear" w:color="auto" w:fill="FFFFFF"/>
          </w:tcPr>
          <w:p w14:paraId="6B6EC68B" w14:textId="77777777" w:rsidR="007449C0" w:rsidRPr="00444A00" w:rsidRDefault="007449C0" w:rsidP="003D514F">
            <w:pPr>
              <w:spacing w:before="120" w:line="312" w:lineRule="atLeast"/>
              <w:ind w:firstLine="0"/>
              <w:rPr>
                <w:color w:val="333333"/>
                <w:sz w:val="24"/>
                <w:lang w:eastAsia="ro-RO"/>
              </w:rPr>
            </w:pPr>
            <w:r w:rsidRPr="00444A00">
              <w:rPr>
                <w:i/>
                <w:iCs/>
                <w:color w:val="333333"/>
                <w:sz w:val="24"/>
                <w:lang w:eastAsia="ro-RO"/>
              </w:rPr>
              <w:t>E</w:t>
            </w:r>
            <w:r w:rsidRPr="00444A00">
              <w:rPr>
                <w:color w:val="333333"/>
                <w:sz w:val="24"/>
                <w:lang w:eastAsia="ro-RO"/>
              </w:rPr>
              <w:t> </w:t>
            </w:r>
            <w:r w:rsidRPr="00444A00">
              <w:rPr>
                <w:i/>
                <w:iCs/>
                <w:color w:val="333333"/>
                <w:sz w:val="24"/>
                <w:vertAlign w:val="subscript"/>
                <w:lang w:eastAsia="ro-RO"/>
              </w:rPr>
              <w:t>net</w:t>
            </w:r>
          </w:p>
        </w:tc>
        <w:tc>
          <w:tcPr>
            <w:tcW w:w="148" w:type="pct"/>
            <w:shd w:val="clear" w:color="auto" w:fill="FFFFFF"/>
          </w:tcPr>
          <w:p w14:paraId="13C3C10E" w14:textId="77777777" w:rsidR="007449C0" w:rsidRPr="00444A00" w:rsidRDefault="007449C0" w:rsidP="003D514F">
            <w:pPr>
              <w:spacing w:before="120" w:line="312" w:lineRule="atLeast"/>
              <w:ind w:firstLine="0"/>
              <w:rPr>
                <w:color w:val="333333"/>
                <w:sz w:val="24"/>
                <w:lang w:eastAsia="ro-RO"/>
              </w:rPr>
            </w:pPr>
            <w:r w:rsidRPr="00444A00">
              <w:rPr>
                <w:color w:val="333333"/>
                <w:sz w:val="24"/>
                <w:lang w:eastAsia="ro-RO"/>
              </w:rPr>
              <w:t>=</w:t>
            </w:r>
          </w:p>
        </w:tc>
        <w:tc>
          <w:tcPr>
            <w:tcW w:w="0" w:type="auto"/>
            <w:shd w:val="clear" w:color="auto" w:fill="FFFFFF"/>
          </w:tcPr>
          <w:p w14:paraId="57D1E19E" w14:textId="77777777" w:rsidR="007449C0" w:rsidRPr="00444A00" w:rsidRDefault="007449C0" w:rsidP="003D514F">
            <w:pPr>
              <w:spacing w:before="120" w:line="312" w:lineRule="atLeast"/>
              <w:ind w:firstLine="0"/>
              <w:rPr>
                <w:color w:val="333333"/>
                <w:sz w:val="24"/>
                <w:lang w:eastAsia="ro-RO"/>
              </w:rPr>
            </w:pPr>
            <w:r w:rsidRPr="00444A00">
              <w:rPr>
                <w:noProof/>
                <w:color w:val="333333"/>
                <w:sz w:val="24"/>
                <w:lang w:eastAsia="ro-RO"/>
              </w:rPr>
              <w:drawing>
                <wp:anchor distT="0" distB="0" distL="114300" distR="114300" simplePos="0" relativeHeight="251663360" behindDoc="0" locked="0" layoutInCell="1" allowOverlap="1" wp14:anchorId="7BAA2977" wp14:editId="4A05BFFA">
                  <wp:simplePos x="0" y="0"/>
                  <wp:positionH relativeFrom="column">
                    <wp:posOffset>2646680</wp:posOffset>
                  </wp:positionH>
                  <wp:positionV relativeFrom="paragraph">
                    <wp:posOffset>66040</wp:posOffset>
                  </wp:positionV>
                  <wp:extent cx="355600" cy="234315"/>
                  <wp:effectExtent l="0" t="0" r="6350" b="0"/>
                  <wp:wrapSquare wrapText="bothSides"/>
                  <wp:docPr id="1640237301" name="Picture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600" cy="234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color w:val="333333"/>
                <w:sz w:val="24"/>
                <w:lang w:eastAsia="ro-RO"/>
              </w:rPr>
              <w:t>producția netă de energie electrică,</w:t>
            </w:r>
          </w:p>
        </w:tc>
        <w:tc>
          <w:tcPr>
            <w:tcW w:w="0" w:type="auto"/>
            <w:shd w:val="clear" w:color="auto" w:fill="FFFFFF"/>
            <w:hideMark/>
          </w:tcPr>
          <w:p w14:paraId="29C958B2" w14:textId="77777777" w:rsidR="007449C0" w:rsidRPr="00444A00" w:rsidRDefault="007449C0" w:rsidP="003D514F">
            <w:pPr>
              <w:ind w:firstLine="0"/>
              <w:jc w:val="left"/>
              <w:rPr>
                <w:color w:val="333333"/>
                <w:sz w:val="24"/>
                <w:lang w:eastAsia="ro-RO"/>
              </w:rPr>
            </w:pPr>
          </w:p>
        </w:tc>
      </w:tr>
      <w:tr w:rsidR="007449C0" w:rsidRPr="00444A00" w14:paraId="0704AD44" w14:textId="77777777" w:rsidTr="003D514F">
        <w:tc>
          <w:tcPr>
            <w:tcW w:w="342" w:type="pct"/>
            <w:shd w:val="clear" w:color="auto" w:fill="FFFFFF"/>
            <w:hideMark/>
          </w:tcPr>
          <w:p w14:paraId="6FD615EB" w14:textId="77777777" w:rsidR="007449C0" w:rsidRPr="00444A00" w:rsidRDefault="007449C0" w:rsidP="003D514F">
            <w:pPr>
              <w:spacing w:before="120" w:line="312" w:lineRule="atLeast"/>
              <w:ind w:firstLine="0"/>
              <w:rPr>
                <w:color w:val="333333"/>
                <w:sz w:val="24"/>
                <w:lang w:eastAsia="ro-RO"/>
              </w:rPr>
            </w:pPr>
            <w:r w:rsidRPr="00444A00">
              <w:rPr>
                <w:i/>
                <w:iCs/>
                <w:color w:val="333333"/>
                <w:sz w:val="24"/>
                <w:lang w:eastAsia="ro-RO"/>
              </w:rPr>
              <w:t>E</w:t>
            </w:r>
            <w:r w:rsidRPr="00444A00">
              <w:rPr>
                <w:color w:val="333333"/>
                <w:sz w:val="24"/>
                <w:lang w:eastAsia="ro-RO"/>
              </w:rPr>
              <w:t> </w:t>
            </w:r>
            <w:proofErr w:type="spellStart"/>
            <w:r w:rsidRPr="00444A00">
              <w:rPr>
                <w:i/>
                <w:iCs/>
                <w:color w:val="333333"/>
                <w:sz w:val="24"/>
                <w:vertAlign w:val="subscript"/>
                <w:lang w:eastAsia="ro-RO"/>
              </w:rPr>
              <w:t>gross</w:t>
            </w:r>
            <w:proofErr w:type="spellEnd"/>
          </w:p>
        </w:tc>
        <w:tc>
          <w:tcPr>
            <w:tcW w:w="148" w:type="pct"/>
            <w:shd w:val="clear" w:color="auto" w:fill="FFFFFF"/>
            <w:hideMark/>
          </w:tcPr>
          <w:p w14:paraId="0313C027" w14:textId="77777777" w:rsidR="007449C0" w:rsidRPr="00444A00" w:rsidRDefault="007449C0" w:rsidP="003D514F">
            <w:pPr>
              <w:spacing w:before="120" w:line="312" w:lineRule="atLeast"/>
              <w:ind w:firstLine="0"/>
              <w:rPr>
                <w:color w:val="333333"/>
                <w:sz w:val="24"/>
                <w:lang w:eastAsia="ro-RO"/>
              </w:rPr>
            </w:pPr>
            <w:r w:rsidRPr="00444A00">
              <w:rPr>
                <w:color w:val="333333"/>
                <w:sz w:val="24"/>
                <w:lang w:eastAsia="ro-RO"/>
              </w:rPr>
              <w:t>=</w:t>
            </w:r>
          </w:p>
        </w:tc>
        <w:tc>
          <w:tcPr>
            <w:tcW w:w="0" w:type="auto"/>
            <w:shd w:val="clear" w:color="auto" w:fill="FFFFFF"/>
            <w:hideMark/>
          </w:tcPr>
          <w:p w14:paraId="27BF3B50" w14:textId="77777777" w:rsidR="007449C0" w:rsidRPr="00444A00" w:rsidRDefault="007449C0" w:rsidP="003D514F">
            <w:pPr>
              <w:spacing w:before="120" w:line="312" w:lineRule="atLeast"/>
              <w:ind w:firstLine="0"/>
              <w:rPr>
                <w:color w:val="333333"/>
                <w:sz w:val="24"/>
                <w:lang w:eastAsia="ro-RO"/>
              </w:rPr>
            </w:pPr>
            <w:r w:rsidRPr="00444A00">
              <w:rPr>
                <w:noProof/>
                <w:color w:val="333333"/>
                <w:sz w:val="24"/>
                <w:lang w:eastAsia="ro-RO"/>
              </w:rPr>
              <w:drawing>
                <wp:anchor distT="0" distB="0" distL="114300" distR="114300" simplePos="0" relativeHeight="251664384" behindDoc="0" locked="0" layoutInCell="1" allowOverlap="1" wp14:anchorId="59A2BC80" wp14:editId="53265CCE">
                  <wp:simplePos x="0" y="0"/>
                  <wp:positionH relativeFrom="column">
                    <wp:posOffset>2717800</wp:posOffset>
                  </wp:positionH>
                  <wp:positionV relativeFrom="paragraph">
                    <wp:posOffset>74295</wp:posOffset>
                  </wp:positionV>
                  <wp:extent cx="384810" cy="254000"/>
                  <wp:effectExtent l="0" t="0" r="0" b="0"/>
                  <wp:wrapSquare wrapText="bothSides"/>
                  <wp:docPr id="255894441"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 cy="254000"/>
                          </a:xfrm>
                          <a:prstGeom prst="rect">
                            <a:avLst/>
                          </a:prstGeom>
                          <a:noFill/>
                          <a:ln>
                            <a:noFill/>
                          </a:ln>
                        </pic:spPr>
                      </pic:pic>
                    </a:graphicData>
                  </a:graphic>
                </wp:anchor>
              </w:drawing>
            </w:r>
            <w:r w:rsidRPr="00444A00">
              <w:rPr>
                <w:color w:val="333333"/>
                <w:sz w:val="24"/>
                <w:lang w:eastAsia="ro-RO"/>
              </w:rPr>
              <w:t>producția brută de energie electrică,</w:t>
            </w:r>
          </w:p>
        </w:tc>
        <w:tc>
          <w:tcPr>
            <w:tcW w:w="0" w:type="auto"/>
            <w:shd w:val="clear" w:color="auto" w:fill="FFFFFF"/>
            <w:vAlign w:val="center"/>
            <w:hideMark/>
          </w:tcPr>
          <w:p w14:paraId="6E5326CE" w14:textId="77777777" w:rsidR="007449C0" w:rsidRPr="00444A00" w:rsidRDefault="007449C0" w:rsidP="003D514F">
            <w:pPr>
              <w:ind w:firstLine="0"/>
              <w:jc w:val="left"/>
              <w:rPr>
                <w:sz w:val="24"/>
                <w:lang w:eastAsia="ro-RO"/>
              </w:rPr>
            </w:pPr>
          </w:p>
        </w:tc>
      </w:tr>
      <w:tr w:rsidR="007449C0" w:rsidRPr="00444A00" w14:paraId="5903F6B8" w14:textId="77777777" w:rsidTr="003D514F">
        <w:tc>
          <w:tcPr>
            <w:tcW w:w="342" w:type="pct"/>
            <w:shd w:val="clear" w:color="auto" w:fill="FFFFFF"/>
            <w:hideMark/>
          </w:tcPr>
          <w:p w14:paraId="5977CA11" w14:textId="77777777" w:rsidR="007449C0" w:rsidRPr="00444A00" w:rsidRDefault="007449C0" w:rsidP="003D514F">
            <w:pPr>
              <w:spacing w:before="120" w:line="312" w:lineRule="atLeast"/>
              <w:ind w:firstLine="0"/>
              <w:rPr>
                <w:color w:val="333333"/>
                <w:sz w:val="24"/>
                <w:lang w:eastAsia="ro-RO"/>
              </w:rPr>
            </w:pPr>
            <w:r w:rsidRPr="00444A00">
              <w:rPr>
                <w:i/>
                <w:iCs/>
                <w:color w:val="333333"/>
                <w:sz w:val="24"/>
                <w:lang w:eastAsia="ro-RO"/>
              </w:rPr>
              <w:t>E</w:t>
            </w:r>
            <w:r w:rsidRPr="00444A00">
              <w:rPr>
                <w:color w:val="333333"/>
                <w:sz w:val="24"/>
                <w:lang w:eastAsia="ro-RO"/>
              </w:rPr>
              <w:t> </w:t>
            </w:r>
            <w:proofErr w:type="spellStart"/>
            <w:r w:rsidRPr="00444A00">
              <w:rPr>
                <w:i/>
                <w:iCs/>
                <w:color w:val="333333"/>
                <w:sz w:val="24"/>
                <w:vertAlign w:val="subscript"/>
                <w:lang w:eastAsia="ro-RO"/>
              </w:rPr>
              <w:t>own</w:t>
            </w:r>
            <w:proofErr w:type="spellEnd"/>
          </w:p>
        </w:tc>
        <w:tc>
          <w:tcPr>
            <w:tcW w:w="148" w:type="pct"/>
            <w:shd w:val="clear" w:color="auto" w:fill="FFFFFF"/>
            <w:hideMark/>
          </w:tcPr>
          <w:p w14:paraId="638FC923" w14:textId="77777777" w:rsidR="007449C0" w:rsidRPr="00444A00" w:rsidRDefault="007449C0" w:rsidP="003D514F">
            <w:pPr>
              <w:spacing w:before="120" w:line="312" w:lineRule="atLeast"/>
              <w:ind w:firstLine="0"/>
              <w:rPr>
                <w:color w:val="333333"/>
                <w:sz w:val="24"/>
                <w:lang w:eastAsia="ro-RO"/>
              </w:rPr>
            </w:pPr>
            <w:r w:rsidRPr="00444A00">
              <w:rPr>
                <w:color w:val="333333"/>
                <w:sz w:val="24"/>
                <w:lang w:eastAsia="ro-RO"/>
              </w:rPr>
              <w:t>=</w:t>
            </w:r>
          </w:p>
        </w:tc>
        <w:tc>
          <w:tcPr>
            <w:tcW w:w="0" w:type="auto"/>
            <w:shd w:val="clear" w:color="auto" w:fill="FFFFFF"/>
            <w:hideMark/>
          </w:tcPr>
          <w:p w14:paraId="1E243130" w14:textId="77777777" w:rsidR="007449C0" w:rsidRPr="00444A00" w:rsidRDefault="007449C0" w:rsidP="003D514F">
            <w:pPr>
              <w:spacing w:before="120" w:line="312" w:lineRule="atLeast"/>
              <w:ind w:firstLine="0"/>
              <w:rPr>
                <w:color w:val="333333"/>
                <w:sz w:val="24"/>
                <w:lang w:eastAsia="ro-RO"/>
              </w:rPr>
            </w:pPr>
            <w:r w:rsidRPr="00444A00">
              <w:rPr>
                <w:noProof/>
                <w:color w:val="333333"/>
                <w:sz w:val="24"/>
                <w:lang w:eastAsia="ro-RO"/>
              </w:rPr>
              <w:drawing>
                <wp:anchor distT="0" distB="0" distL="114300" distR="114300" simplePos="0" relativeHeight="251665408" behindDoc="0" locked="0" layoutInCell="1" allowOverlap="1" wp14:anchorId="01C330AB" wp14:editId="382EBDD4">
                  <wp:simplePos x="0" y="0"/>
                  <wp:positionH relativeFrom="column">
                    <wp:posOffset>4857115</wp:posOffset>
                  </wp:positionH>
                  <wp:positionV relativeFrom="paragraph">
                    <wp:posOffset>0</wp:posOffset>
                  </wp:positionV>
                  <wp:extent cx="447040" cy="294640"/>
                  <wp:effectExtent l="0" t="0" r="0" b="0"/>
                  <wp:wrapSquare wrapText="bothSides"/>
                  <wp:docPr id="431772556"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040" cy="294640"/>
                          </a:xfrm>
                          <a:prstGeom prst="rect">
                            <a:avLst/>
                          </a:prstGeom>
                          <a:noFill/>
                          <a:ln>
                            <a:noFill/>
                          </a:ln>
                        </pic:spPr>
                      </pic:pic>
                    </a:graphicData>
                  </a:graphic>
                </wp:anchor>
              </w:drawing>
            </w:r>
            <w:r w:rsidRPr="00444A00">
              <w:rPr>
                <w:color w:val="333333"/>
                <w:sz w:val="24"/>
                <w:lang w:eastAsia="ro-RO"/>
              </w:rPr>
              <w:t>consumul intern propriu de energie electrică al centralei electrice,</w:t>
            </w:r>
          </w:p>
        </w:tc>
        <w:tc>
          <w:tcPr>
            <w:tcW w:w="0" w:type="auto"/>
            <w:shd w:val="clear" w:color="auto" w:fill="FFFFFF"/>
            <w:vAlign w:val="center"/>
            <w:hideMark/>
          </w:tcPr>
          <w:p w14:paraId="6D7FC05F" w14:textId="77777777" w:rsidR="007449C0" w:rsidRPr="00444A00" w:rsidRDefault="007449C0" w:rsidP="003D514F">
            <w:pPr>
              <w:ind w:firstLine="0"/>
              <w:jc w:val="left"/>
              <w:rPr>
                <w:sz w:val="24"/>
                <w:lang w:eastAsia="ro-RO"/>
              </w:rPr>
            </w:pPr>
          </w:p>
        </w:tc>
      </w:tr>
      <w:tr w:rsidR="007449C0" w:rsidRPr="00444A00" w14:paraId="0B889CBF" w14:textId="77777777" w:rsidTr="003D514F">
        <w:tc>
          <w:tcPr>
            <w:tcW w:w="342" w:type="pct"/>
            <w:shd w:val="clear" w:color="auto" w:fill="FFFFFF"/>
            <w:hideMark/>
          </w:tcPr>
          <w:p w14:paraId="081CD494" w14:textId="77777777" w:rsidR="007449C0" w:rsidRPr="00444A00" w:rsidRDefault="007449C0" w:rsidP="003D514F">
            <w:pPr>
              <w:spacing w:before="120" w:line="312" w:lineRule="atLeast"/>
              <w:ind w:firstLine="0"/>
              <w:rPr>
                <w:color w:val="333333"/>
                <w:sz w:val="24"/>
                <w:lang w:eastAsia="ro-RO"/>
              </w:rPr>
            </w:pPr>
            <w:r w:rsidRPr="00444A00">
              <w:rPr>
                <w:i/>
                <w:iCs/>
                <w:color w:val="333333"/>
                <w:sz w:val="24"/>
                <w:lang w:eastAsia="ro-RO"/>
              </w:rPr>
              <w:t>E</w:t>
            </w:r>
            <w:r w:rsidRPr="00444A00">
              <w:rPr>
                <w:color w:val="333333"/>
                <w:sz w:val="24"/>
                <w:lang w:eastAsia="ro-RO"/>
              </w:rPr>
              <w:t> </w:t>
            </w:r>
            <w:proofErr w:type="spellStart"/>
            <w:r w:rsidRPr="00444A00">
              <w:rPr>
                <w:i/>
                <w:iCs/>
                <w:color w:val="333333"/>
                <w:sz w:val="24"/>
                <w:vertAlign w:val="subscript"/>
                <w:lang w:eastAsia="ro-RO"/>
              </w:rPr>
              <w:t>pump</w:t>
            </w:r>
            <w:proofErr w:type="spellEnd"/>
          </w:p>
        </w:tc>
        <w:tc>
          <w:tcPr>
            <w:tcW w:w="148" w:type="pct"/>
            <w:shd w:val="clear" w:color="auto" w:fill="FFFFFF"/>
            <w:hideMark/>
          </w:tcPr>
          <w:p w14:paraId="5513DC2D" w14:textId="77777777" w:rsidR="007449C0" w:rsidRPr="00444A00" w:rsidRDefault="007449C0" w:rsidP="003D514F">
            <w:pPr>
              <w:spacing w:before="120" w:line="312" w:lineRule="atLeast"/>
              <w:ind w:firstLine="0"/>
              <w:rPr>
                <w:color w:val="333333"/>
                <w:sz w:val="24"/>
                <w:lang w:eastAsia="ro-RO"/>
              </w:rPr>
            </w:pPr>
            <w:r w:rsidRPr="00444A00">
              <w:rPr>
                <w:color w:val="333333"/>
                <w:sz w:val="24"/>
                <w:lang w:eastAsia="ro-RO"/>
              </w:rPr>
              <w:t>=</w:t>
            </w:r>
          </w:p>
        </w:tc>
        <w:tc>
          <w:tcPr>
            <w:tcW w:w="0" w:type="auto"/>
            <w:shd w:val="clear" w:color="auto" w:fill="FFFFFF"/>
            <w:hideMark/>
          </w:tcPr>
          <w:p w14:paraId="75F27CD7" w14:textId="77777777" w:rsidR="007449C0" w:rsidRPr="00444A00" w:rsidRDefault="007449C0" w:rsidP="003D514F">
            <w:pPr>
              <w:spacing w:before="120" w:line="312" w:lineRule="atLeast"/>
              <w:ind w:firstLine="0"/>
              <w:rPr>
                <w:color w:val="333333"/>
                <w:sz w:val="24"/>
                <w:lang w:eastAsia="ro-RO"/>
              </w:rPr>
            </w:pPr>
            <w:r w:rsidRPr="00444A00">
              <w:rPr>
                <w:noProof/>
                <w:color w:val="333333"/>
                <w:sz w:val="24"/>
                <w:lang w:eastAsia="ro-RO"/>
              </w:rPr>
              <w:drawing>
                <wp:anchor distT="0" distB="0" distL="114300" distR="114300" simplePos="0" relativeHeight="251666432" behindDoc="0" locked="0" layoutInCell="1" allowOverlap="1" wp14:anchorId="74354036" wp14:editId="39ED526D">
                  <wp:simplePos x="0" y="0"/>
                  <wp:positionH relativeFrom="column">
                    <wp:posOffset>2195195</wp:posOffset>
                  </wp:positionH>
                  <wp:positionV relativeFrom="paragraph">
                    <wp:posOffset>58420</wp:posOffset>
                  </wp:positionV>
                  <wp:extent cx="447040" cy="294640"/>
                  <wp:effectExtent l="0" t="0" r="0" b="0"/>
                  <wp:wrapSquare wrapText="bothSides"/>
                  <wp:docPr id="2020608533"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040" cy="294640"/>
                          </a:xfrm>
                          <a:prstGeom prst="rect">
                            <a:avLst/>
                          </a:prstGeom>
                          <a:noFill/>
                          <a:ln>
                            <a:noFill/>
                          </a:ln>
                        </pic:spPr>
                      </pic:pic>
                    </a:graphicData>
                  </a:graphic>
                </wp:anchor>
              </w:drawing>
            </w:r>
            <w:r w:rsidRPr="00444A00">
              <w:rPr>
                <w:color w:val="333333"/>
                <w:sz w:val="24"/>
                <w:lang w:eastAsia="ro-RO"/>
              </w:rPr>
              <w:t>electricitate pentru pompare,</w:t>
            </w:r>
          </w:p>
          <w:p w14:paraId="72AC43C8" w14:textId="77777777" w:rsidR="007449C0" w:rsidRPr="00444A00" w:rsidRDefault="007449C0" w:rsidP="003D514F">
            <w:pPr>
              <w:ind w:firstLine="0"/>
              <w:jc w:val="left"/>
              <w:rPr>
                <w:color w:val="333333"/>
                <w:sz w:val="24"/>
                <w:lang w:eastAsia="ro-RO"/>
              </w:rPr>
            </w:pPr>
          </w:p>
        </w:tc>
        <w:tc>
          <w:tcPr>
            <w:tcW w:w="0" w:type="auto"/>
            <w:shd w:val="clear" w:color="auto" w:fill="FFFFFF"/>
            <w:vAlign w:val="center"/>
            <w:hideMark/>
          </w:tcPr>
          <w:p w14:paraId="55B13D46" w14:textId="77777777" w:rsidR="007449C0" w:rsidRPr="00444A00" w:rsidRDefault="007449C0" w:rsidP="003D514F">
            <w:pPr>
              <w:ind w:firstLine="0"/>
              <w:jc w:val="left"/>
              <w:rPr>
                <w:sz w:val="24"/>
                <w:lang w:eastAsia="ro-RO"/>
              </w:rPr>
            </w:pPr>
          </w:p>
        </w:tc>
      </w:tr>
    </w:tbl>
    <w:p w14:paraId="12F1F799" w14:textId="77777777" w:rsidR="007449C0" w:rsidRPr="00444A00" w:rsidRDefault="007449C0" w:rsidP="007449C0">
      <w:pPr>
        <w:pStyle w:val="Anexapct1"/>
        <w:rPr>
          <w:sz w:val="24"/>
        </w:rPr>
      </w:pPr>
      <w:r w:rsidRPr="00444A00">
        <w:rPr>
          <w:sz w:val="24"/>
        </w:rPr>
        <w:t>Intensitatea carbonului la energia electrică produsă netă este totalul emisiilor brute de GES emise pentru producerea sau utilizarea energiei electrice nete:</w:t>
      </w:r>
    </w:p>
    <w:p w14:paraId="67B46280" w14:textId="77777777" w:rsidR="007449C0" w:rsidRPr="00444A00" w:rsidRDefault="007449C0" w:rsidP="007449C0">
      <w:pPr>
        <w:ind w:firstLine="0"/>
        <w:jc w:val="center"/>
        <w:rPr>
          <w:rFonts w:eastAsia="Times New Roman"/>
          <w:sz w:val="24"/>
          <w:lang w:eastAsia="ro-RO"/>
        </w:rPr>
      </w:pPr>
      <w:r w:rsidRPr="00444A00">
        <w:rPr>
          <w:noProof/>
          <w:sz w:val="24"/>
          <w:lang w:eastAsia="ro-RO"/>
        </w:rPr>
        <w:drawing>
          <wp:inline distT="0" distB="0" distL="0" distR="0" wp14:anchorId="607FEE58" wp14:editId="26E7A280">
            <wp:extent cx="1483360" cy="508000"/>
            <wp:effectExtent l="0" t="0" r="2540" b="6350"/>
            <wp:docPr id="486470700" name="Picture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3360" cy="508000"/>
                    </a:xfrm>
                    <a:prstGeom prst="rect">
                      <a:avLst/>
                    </a:prstGeom>
                    <a:noFill/>
                    <a:ln>
                      <a:noFill/>
                    </a:ln>
                  </pic:spPr>
                </pic:pic>
              </a:graphicData>
            </a:graphic>
          </wp:inline>
        </w:drawing>
      </w:r>
    </w:p>
    <w:p w14:paraId="0E33B201" w14:textId="77777777" w:rsidR="007449C0" w:rsidRPr="00444A00" w:rsidRDefault="007449C0" w:rsidP="007449C0">
      <w:pPr>
        <w:rPr>
          <w:rFonts w:eastAsia="Times New Roman"/>
          <w:sz w:val="24"/>
          <w:lang w:eastAsia="ro-RO"/>
        </w:rPr>
      </w:pPr>
      <w:r w:rsidRPr="00444A00">
        <w:rPr>
          <w:noProof/>
          <w:sz w:val="24"/>
          <w:lang w:eastAsia="ro-RO"/>
        </w:rPr>
        <w:drawing>
          <wp:anchor distT="0" distB="0" distL="114300" distR="114300" simplePos="0" relativeHeight="251667456" behindDoc="0" locked="0" layoutInCell="1" allowOverlap="1" wp14:anchorId="1F51DDFF" wp14:editId="22BE3CC8">
            <wp:simplePos x="0" y="0"/>
            <wp:positionH relativeFrom="column">
              <wp:posOffset>5596890</wp:posOffset>
            </wp:positionH>
            <wp:positionV relativeFrom="paragraph">
              <wp:posOffset>53975</wp:posOffset>
            </wp:positionV>
            <wp:extent cx="579120" cy="370840"/>
            <wp:effectExtent l="0" t="0" r="0" b="0"/>
            <wp:wrapSquare wrapText="bothSides"/>
            <wp:docPr id="1487122912" name="Picture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 cy="37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4A00">
        <w:rPr>
          <w:rFonts w:eastAsia="Times New Roman"/>
          <w:sz w:val="24"/>
          <w:lang w:eastAsia="ro-RO"/>
        </w:rPr>
        <w:t>unde: </w:t>
      </w:r>
    </w:p>
    <w:p w14:paraId="70407A3F" w14:textId="77777777" w:rsidR="007449C0" w:rsidRPr="00444A00" w:rsidRDefault="007449C0" w:rsidP="007449C0">
      <w:pPr>
        <w:ind w:firstLine="0"/>
        <w:rPr>
          <w:rFonts w:eastAsia="Times New Roman"/>
          <w:sz w:val="24"/>
          <w:lang w:eastAsia="ro-RO"/>
        </w:rPr>
      </w:pPr>
      <w:r w:rsidRPr="00444A00">
        <w:rPr>
          <w:rFonts w:eastAsia="Times New Roman"/>
          <w:i/>
          <w:iCs/>
          <w:sz w:val="24"/>
          <w:lang w:eastAsia="ro-RO"/>
        </w:rPr>
        <w:t>CI</w:t>
      </w:r>
      <w:r w:rsidRPr="00444A00">
        <w:rPr>
          <w:rFonts w:eastAsia="Times New Roman"/>
          <w:sz w:val="24"/>
          <w:lang w:eastAsia="ro-RO"/>
        </w:rPr>
        <w:t> = Emisiile în echivalent CO</w:t>
      </w:r>
      <w:r w:rsidRPr="00444A00">
        <w:rPr>
          <w:rFonts w:eastAsia="Times New Roman"/>
          <w:sz w:val="24"/>
          <w:vertAlign w:val="subscript"/>
          <w:lang w:eastAsia="ro-RO"/>
        </w:rPr>
        <w:t>2</w:t>
      </w:r>
      <w:r w:rsidRPr="00444A00">
        <w:rPr>
          <w:rFonts w:eastAsia="Times New Roman"/>
          <w:sz w:val="24"/>
          <w:lang w:eastAsia="ro-RO"/>
        </w:rPr>
        <w:t> provenite din producția de energie electrică,</w:t>
      </w:r>
    </w:p>
    <w:p w14:paraId="749EB154" w14:textId="77777777" w:rsidR="007449C0" w:rsidRPr="00444A00" w:rsidRDefault="007449C0" w:rsidP="007449C0">
      <w:pPr>
        <w:pStyle w:val="Capitol"/>
        <w:rPr>
          <w:sz w:val="24"/>
        </w:rPr>
      </w:pPr>
      <w:r w:rsidRPr="00444A00">
        <w:rPr>
          <w:caps w:val="0"/>
          <w:sz w:val="24"/>
        </w:rPr>
        <w:lastRenderedPageBreak/>
        <w:t xml:space="preserve">Capitolul </w:t>
      </w:r>
      <w:r w:rsidRPr="00444A00">
        <w:rPr>
          <w:sz w:val="24"/>
        </w:rPr>
        <w:t>II</w:t>
      </w:r>
    </w:p>
    <w:p w14:paraId="0705D9D5" w14:textId="77777777" w:rsidR="007449C0" w:rsidRPr="00444A00" w:rsidRDefault="007449C0" w:rsidP="007449C0">
      <w:pPr>
        <w:pStyle w:val="Capitol"/>
        <w:rPr>
          <w:sz w:val="24"/>
        </w:rPr>
      </w:pPr>
      <w:r w:rsidRPr="00444A00">
        <w:rPr>
          <w:sz w:val="24"/>
        </w:rPr>
        <w:t>Datele privind producția de energie electrică și consumul de combustibil</w:t>
      </w:r>
    </w:p>
    <w:p w14:paraId="06826CAA" w14:textId="77777777" w:rsidR="007449C0" w:rsidRPr="00444A00" w:rsidRDefault="007449C0" w:rsidP="007449C0">
      <w:pPr>
        <w:pStyle w:val="Anexapct1"/>
        <w:rPr>
          <w:sz w:val="24"/>
        </w:rPr>
      </w:pPr>
      <w:r w:rsidRPr="00444A00">
        <w:rPr>
          <w:sz w:val="24"/>
        </w:rPr>
        <w:t>Datele privind producția de energie electrică și consumul de combustibil se obțin din datele și statisticile IEA care furnizează date privind bilanțurile energetice și energia electrică produsă utilizând diverși combustibili, de exemplu de pe site-ul IEA, secțiunea date și statistici.</w:t>
      </w:r>
    </w:p>
    <w:p w14:paraId="548F76A5" w14:textId="77777777" w:rsidR="007449C0" w:rsidRPr="00444A00" w:rsidRDefault="007449C0" w:rsidP="007449C0">
      <w:pPr>
        <w:pStyle w:val="Anexapct1"/>
        <w:rPr>
          <w:sz w:val="24"/>
        </w:rPr>
      </w:pPr>
      <w:r w:rsidRPr="00444A00">
        <w:rPr>
          <w:sz w:val="24"/>
        </w:rPr>
        <w:t xml:space="preserve">În cazul în care intensitatea emisiilor de gaze cu efect de seră este stabilită la nivelul zonelor de ofertare, se utilizează date din statisticile naționale oficiale de același nivel de detaliere ca datele IEA. Datele privind consumul de combustibil trebuie să includă datele disponibile la cel mai înalt nivel de detaliere, disponibile din statisticile naționale: combustibili fosili solizi, gaze artificiale, turbă și produse din turbă, șisturi bituminoase și nisipuri bituminoase, petrol și produse petroliere, gaze naturale, surse regenerabile de energie și </w:t>
      </w:r>
      <w:r w:rsidRPr="00C31339">
        <w:rPr>
          <w:sz w:val="24"/>
        </w:rPr>
        <w:t>biocarburanți</w:t>
      </w:r>
      <w:r w:rsidRPr="00444A00">
        <w:rPr>
          <w:sz w:val="24"/>
        </w:rPr>
        <w:t xml:space="preserve">, deșeuri neregenerabile și nucleare. Din categoria energie din surse regenerabile și </w:t>
      </w:r>
      <w:r w:rsidRPr="00C31339">
        <w:rPr>
          <w:sz w:val="24"/>
        </w:rPr>
        <w:t>biocarburanți</w:t>
      </w:r>
      <w:r w:rsidRPr="00444A00">
        <w:rPr>
          <w:sz w:val="24"/>
        </w:rPr>
        <w:t xml:space="preserve"> fac parte </w:t>
      </w:r>
      <w:r w:rsidRPr="00C31339">
        <w:rPr>
          <w:sz w:val="24"/>
        </w:rPr>
        <w:t>biocarburanți</w:t>
      </w:r>
      <w:r>
        <w:rPr>
          <w:sz w:val="24"/>
        </w:rPr>
        <w:t>i</w:t>
      </w:r>
      <w:r w:rsidRPr="00444A00">
        <w:rPr>
          <w:sz w:val="24"/>
        </w:rPr>
        <w:t>, deșeurile municipale regenerabile, hidroenergia, energia oceanelor, energia geotermică, eoliană, solară și pompele de căldură.</w:t>
      </w:r>
    </w:p>
    <w:p w14:paraId="1EC77D52" w14:textId="77777777" w:rsidR="007449C0" w:rsidRPr="00444A00" w:rsidRDefault="007449C0" w:rsidP="007449C0">
      <w:pPr>
        <w:pStyle w:val="Capitol"/>
        <w:rPr>
          <w:sz w:val="24"/>
        </w:rPr>
      </w:pPr>
      <w:r w:rsidRPr="00444A00">
        <w:rPr>
          <w:caps w:val="0"/>
          <w:sz w:val="24"/>
        </w:rPr>
        <w:t xml:space="preserve">Capitolul </w:t>
      </w:r>
      <w:r w:rsidRPr="00444A00">
        <w:rPr>
          <w:sz w:val="24"/>
        </w:rPr>
        <w:t>III</w:t>
      </w:r>
    </w:p>
    <w:p w14:paraId="661F8369" w14:textId="77777777" w:rsidR="007449C0" w:rsidRPr="00444A00" w:rsidRDefault="007449C0" w:rsidP="007449C0">
      <w:pPr>
        <w:pStyle w:val="Capitol"/>
        <w:rPr>
          <w:sz w:val="24"/>
        </w:rPr>
      </w:pPr>
      <w:r w:rsidRPr="00444A00">
        <w:rPr>
          <w:sz w:val="24"/>
        </w:rPr>
        <w:t xml:space="preserve">Datele privind producția de energie electrică </w:t>
      </w:r>
    </w:p>
    <w:p w14:paraId="62013E11" w14:textId="77777777" w:rsidR="007449C0" w:rsidRPr="00444A00" w:rsidRDefault="007449C0" w:rsidP="007449C0">
      <w:pPr>
        <w:pStyle w:val="Capitol"/>
        <w:rPr>
          <w:sz w:val="24"/>
        </w:rPr>
      </w:pPr>
      <w:r w:rsidRPr="00444A00">
        <w:rPr>
          <w:sz w:val="24"/>
        </w:rPr>
        <w:t>și consumul de combustibil</w:t>
      </w:r>
    </w:p>
    <w:p w14:paraId="64B6F3BB"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Tabelul 1</w:t>
      </w:r>
    </w:p>
    <w:p w14:paraId="59B139CE"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Factorii de emisii impliciți pentru arderea staționară </w:t>
      </w:r>
    </w:p>
    <w:p w14:paraId="7F036AC0"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[g/MJ combustibil la o putere calorifică netă]</w:t>
      </w:r>
    </w:p>
    <w:tbl>
      <w:tblPr>
        <w:tblW w:w="3523"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201"/>
        <w:gridCol w:w="775"/>
        <w:gridCol w:w="775"/>
        <w:gridCol w:w="904"/>
      </w:tblGrid>
      <w:tr w:rsidR="007449C0" w:rsidRPr="00444A00" w14:paraId="6C6768D5"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1233C90"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Combustibil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FD7410B"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CO</w:t>
            </w:r>
            <w:r w:rsidRPr="00444A00">
              <w:rPr>
                <w:b/>
                <w:bCs/>
                <w:color w:val="333333"/>
                <w:sz w:val="24"/>
                <w:vertAlign w:val="subscript"/>
                <w:lang w:eastAsia="ro-RO"/>
              </w:rPr>
              <w:t>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FE72FF0"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CH</w:t>
            </w:r>
            <w:r w:rsidRPr="00444A00">
              <w:rPr>
                <w:b/>
                <w:bCs/>
                <w:color w:val="333333"/>
                <w:sz w:val="24"/>
                <w:vertAlign w:val="subscript"/>
                <w:lang w:eastAsia="ro-RO"/>
              </w:rPr>
              <w:t>4</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3270E95"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N</w:t>
            </w:r>
            <w:r w:rsidRPr="00444A00">
              <w:rPr>
                <w:b/>
                <w:bCs/>
                <w:color w:val="333333"/>
                <w:sz w:val="24"/>
                <w:vertAlign w:val="subscript"/>
                <w:lang w:eastAsia="ro-RO"/>
              </w:rPr>
              <w:t>2</w:t>
            </w:r>
            <w:r w:rsidRPr="00444A00">
              <w:rPr>
                <w:b/>
                <w:bCs/>
                <w:color w:val="333333"/>
                <w:sz w:val="24"/>
                <w:lang w:eastAsia="ro-RO"/>
              </w:rPr>
              <w:t>O</w:t>
            </w:r>
          </w:p>
        </w:tc>
      </w:tr>
      <w:tr w:rsidR="007449C0" w:rsidRPr="00444A00" w14:paraId="649137F9"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62D9323" w14:textId="77777777" w:rsidR="007449C0" w:rsidRPr="00444A00" w:rsidRDefault="007449C0" w:rsidP="003D514F">
            <w:pPr>
              <w:spacing w:before="60" w:after="60" w:line="312" w:lineRule="atLeast"/>
              <w:ind w:firstLine="0"/>
              <w:rPr>
                <w:color w:val="333333"/>
                <w:sz w:val="24"/>
                <w:lang w:eastAsia="ro-RO"/>
              </w:rPr>
            </w:pPr>
            <w:r w:rsidRPr="00444A00">
              <w:rPr>
                <w:b/>
                <w:bCs/>
                <w:i/>
                <w:iCs/>
                <w:color w:val="333333"/>
                <w:sz w:val="24"/>
                <w:lang w:eastAsia="ro-RO"/>
              </w:rPr>
              <w:t>Combustibili fosili solizi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D7284F3" w14:textId="77777777" w:rsidR="007449C0" w:rsidRPr="00444A00" w:rsidRDefault="007449C0" w:rsidP="003D514F">
            <w:pPr>
              <w:spacing w:before="120" w:line="312" w:lineRule="atLeast"/>
              <w:ind w:firstLine="0"/>
              <w:jc w:val="center"/>
              <w:rPr>
                <w:color w:val="333333"/>
                <w:sz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D6332F3" w14:textId="77777777" w:rsidR="007449C0" w:rsidRPr="00444A00" w:rsidRDefault="007449C0" w:rsidP="003D514F">
            <w:pPr>
              <w:spacing w:before="120" w:line="312" w:lineRule="atLeast"/>
              <w:ind w:firstLine="0"/>
              <w:jc w:val="center"/>
              <w:rPr>
                <w:color w:val="333333"/>
                <w:sz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1A6517F" w14:textId="77777777" w:rsidR="007449C0" w:rsidRPr="00444A00" w:rsidRDefault="007449C0" w:rsidP="003D514F">
            <w:pPr>
              <w:spacing w:before="120" w:line="312" w:lineRule="atLeast"/>
              <w:ind w:firstLine="0"/>
              <w:jc w:val="center"/>
              <w:rPr>
                <w:color w:val="333333"/>
                <w:sz w:val="24"/>
                <w:lang w:eastAsia="ro-RO"/>
              </w:rPr>
            </w:pPr>
          </w:p>
        </w:tc>
      </w:tr>
      <w:tr w:rsidR="007449C0" w:rsidRPr="00444A00" w14:paraId="7BC75D31"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21D263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Antracit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34F303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98,3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FF8B47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32F61C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34E1E7C3"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A4F26B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Huilă de cocs</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98C6B4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94,6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AFC833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442E1E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74C2A417"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984F330"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Alți cărbuni bituminoși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C725FF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94,6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AD947C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CA4439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2F60D7A7"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A1E004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 xml:space="preserve">Cărbune </w:t>
            </w:r>
            <w:proofErr w:type="spellStart"/>
            <w:r w:rsidRPr="00444A00">
              <w:rPr>
                <w:color w:val="333333"/>
                <w:sz w:val="24"/>
                <w:lang w:eastAsia="ro-RO"/>
              </w:rPr>
              <w:t>subbituminos</w:t>
            </w:r>
            <w:proofErr w:type="spellEnd"/>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BFCF89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96,1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2D8673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2FC2D4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314F3E5D"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13DEE9F"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Lignit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FF8122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101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ADCDAC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5C0D24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511FF162"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818507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Combustibil brichetat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7D31D5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91ABE4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2033BF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141A2D5C"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17C0C1A"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Cocs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EE9279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19FFBF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192B44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44F4FF16"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B4ACCAE"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Gaz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F9B1A2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C466BE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4A6902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79701780"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5EABD72"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Gudron de cărbune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97278B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80,7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78D9DB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EE8F0F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6653A77D"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C42947E"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Brichete de cărbune brun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1477D8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EA6FF5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79E133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2C1B0E47"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24D56A7" w14:textId="77777777" w:rsidR="007449C0" w:rsidRPr="00444A00" w:rsidRDefault="007449C0" w:rsidP="003D514F">
            <w:pPr>
              <w:spacing w:before="60" w:after="60" w:line="312" w:lineRule="atLeast"/>
              <w:ind w:firstLine="0"/>
              <w:rPr>
                <w:color w:val="333333"/>
                <w:sz w:val="24"/>
                <w:lang w:eastAsia="ro-RO"/>
              </w:rPr>
            </w:pPr>
            <w:r w:rsidRPr="00444A00">
              <w:rPr>
                <w:b/>
                <w:bCs/>
                <w:i/>
                <w:iCs/>
                <w:color w:val="333333"/>
                <w:sz w:val="24"/>
                <w:lang w:eastAsia="ro-RO"/>
              </w:rPr>
              <w:t>Gaze artificiale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C022241" w14:textId="77777777" w:rsidR="007449C0" w:rsidRPr="00444A00" w:rsidRDefault="007449C0" w:rsidP="003D514F">
            <w:pPr>
              <w:spacing w:before="120" w:line="312" w:lineRule="atLeast"/>
              <w:ind w:firstLine="0"/>
              <w:jc w:val="center"/>
              <w:rPr>
                <w:color w:val="333333"/>
                <w:sz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8E8EC6E" w14:textId="77777777" w:rsidR="007449C0" w:rsidRPr="00444A00" w:rsidRDefault="007449C0" w:rsidP="003D514F">
            <w:pPr>
              <w:spacing w:before="120" w:line="312" w:lineRule="atLeast"/>
              <w:ind w:firstLine="0"/>
              <w:jc w:val="center"/>
              <w:rPr>
                <w:color w:val="333333"/>
                <w:sz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AC32979" w14:textId="77777777" w:rsidR="007449C0" w:rsidRPr="00444A00" w:rsidRDefault="007449C0" w:rsidP="003D514F">
            <w:pPr>
              <w:spacing w:before="120" w:line="312" w:lineRule="atLeast"/>
              <w:ind w:firstLine="0"/>
              <w:jc w:val="center"/>
              <w:rPr>
                <w:color w:val="333333"/>
                <w:sz w:val="24"/>
                <w:lang w:eastAsia="ro-RO"/>
              </w:rPr>
            </w:pPr>
          </w:p>
        </w:tc>
      </w:tr>
      <w:tr w:rsidR="007449C0" w:rsidRPr="00444A00" w14:paraId="3DB914AF"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24FF956F"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Gaz de uzină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C147C6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44,4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8F5FE7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02F32B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7BDF6D82"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05B49A1"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lastRenderedPageBreak/>
              <w:t>Gaz de cocserie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92466F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44,4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48F553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9C529B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11DABA06"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5790E5C"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Gaz de furnal înalt</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028BC4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260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5CB0BD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992051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07C6B77A"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F1F2A29"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Alte gaze recuperate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9A1204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182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56095F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56611D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3994D617"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D798568" w14:textId="77777777" w:rsidR="007449C0" w:rsidRPr="00444A00" w:rsidRDefault="007449C0" w:rsidP="003D514F">
            <w:pPr>
              <w:spacing w:before="60" w:after="60" w:line="312" w:lineRule="atLeast"/>
              <w:ind w:firstLine="0"/>
              <w:rPr>
                <w:color w:val="333333"/>
                <w:sz w:val="24"/>
                <w:lang w:eastAsia="ro-RO"/>
              </w:rPr>
            </w:pPr>
            <w:r w:rsidRPr="00444A00">
              <w:rPr>
                <w:b/>
                <w:bCs/>
                <w:color w:val="333333"/>
                <w:sz w:val="24"/>
                <w:lang w:eastAsia="ro-RO"/>
              </w:rPr>
              <w:t>Turbă și produse din turbă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9FFC88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106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4BE17C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BA3E4F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0,0015</w:t>
            </w:r>
          </w:p>
        </w:tc>
      </w:tr>
      <w:tr w:rsidR="007449C0" w:rsidRPr="00444A00" w14:paraId="7C36E3E9"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DE606D3" w14:textId="77777777" w:rsidR="007449C0" w:rsidRPr="00444A00" w:rsidRDefault="007449C0" w:rsidP="003D514F">
            <w:pPr>
              <w:spacing w:before="60" w:after="60" w:line="312" w:lineRule="atLeast"/>
              <w:ind w:firstLine="0"/>
              <w:rPr>
                <w:color w:val="333333"/>
                <w:sz w:val="24"/>
                <w:lang w:eastAsia="ro-RO"/>
              </w:rPr>
            </w:pPr>
            <w:r w:rsidRPr="00444A00">
              <w:rPr>
                <w:b/>
                <w:bCs/>
                <w:color w:val="333333"/>
                <w:sz w:val="24"/>
                <w:lang w:eastAsia="ro-RO"/>
              </w:rPr>
              <w:t>Șisturi și nisipuri bituminoase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CA097A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7E6DB0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E6E657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4ACE6966"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0D25A81" w14:textId="77777777" w:rsidR="007449C0" w:rsidRPr="00444A00" w:rsidRDefault="007449C0" w:rsidP="003D514F">
            <w:pPr>
              <w:spacing w:before="60" w:after="60" w:line="312" w:lineRule="atLeast"/>
              <w:ind w:firstLine="0"/>
              <w:rPr>
                <w:color w:val="333333"/>
                <w:sz w:val="24"/>
                <w:lang w:eastAsia="ro-RO"/>
              </w:rPr>
            </w:pPr>
            <w:r w:rsidRPr="00444A00">
              <w:rPr>
                <w:b/>
                <w:bCs/>
                <w:i/>
                <w:iCs/>
                <w:color w:val="333333"/>
                <w:sz w:val="24"/>
                <w:lang w:eastAsia="ro-RO"/>
              </w:rPr>
              <w:t>Petrol și produse petroliere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0E6E042" w14:textId="77777777" w:rsidR="007449C0" w:rsidRPr="00444A00" w:rsidRDefault="007449C0" w:rsidP="003D514F">
            <w:pPr>
              <w:spacing w:before="120" w:line="312" w:lineRule="atLeast"/>
              <w:ind w:firstLine="0"/>
              <w:jc w:val="center"/>
              <w:rPr>
                <w:color w:val="333333"/>
                <w:sz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435EBD7" w14:textId="77777777" w:rsidR="007449C0" w:rsidRPr="00444A00" w:rsidRDefault="007449C0" w:rsidP="003D514F">
            <w:pPr>
              <w:spacing w:before="120" w:line="312" w:lineRule="atLeast"/>
              <w:ind w:firstLine="0"/>
              <w:jc w:val="center"/>
              <w:rPr>
                <w:color w:val="333333"/>
                <w:sz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3A562DD" w14:textId="77777777" w:rsidR="007449C0" w:rsidRPr="00444A00" w:rsidRDefault="007449C0" w:rsidP="003D514F">
            <w:pPr>
              <w:spacing w:before="120" w:line="312" w:lineRule="atLeast"/>
              <w:ind w:firstLine="0"/>
              <w:jc w:val="center"/>
              <w:rPr>
                <w:color w:val="333333"/>
                <w:sz w:val="24"/>
                <w:lang w:eastAsia="ro-RO"/>
              </w:rPr>
            </w:pPr>
          </w:p>
        </w:tc>
      </w:tr>
      <w:tr w:rsidR="007449C0" w:rsidRPr="00444A00" w14:paraId="2CC0ACDD"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BAE5D95"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Țiței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B49187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E3C401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874327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1A226543"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6B4658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Produse lichide de la extracția gazelor naturale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1A73A8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64,2</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77CB16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5AE488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65D27E57"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4938C4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Materii prime de rafinărie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B78C6C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36E6B0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E0BCD5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90F6F90"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745BEB9"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Aditivi și compuși oxigenați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9B2A75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5CB3A5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089946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2EFA985C"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037C4F9"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Alte hidrocarburi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68C603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25517E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58373B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21BD88F8"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EB3BE56"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Gaz de rafinărie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099DCE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57,6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9BD81B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624EDA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5C1D46C6"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F3C4424"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Etan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60F262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61,6</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E381AA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963937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66663C98"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A30EE26"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Gaze petroliere lichefiate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22D07E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63,1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4965DC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797676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37BDEC85"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B2F882E"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Benzină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9883B4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69,3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A57FD1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C947E4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03BBA11A"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C278C07"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Benzină pentru aviație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433969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A2646C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976F5A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7CC359FE"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0201F36"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Carburant turboreactor tip benzină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B5A405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70</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064499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268E26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140FAE43"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D6062C7"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Carburant turboreactor tip kerosen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5BA4FB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71,5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791478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B72897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D7EA8AA"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89CFDA2"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Alte tipuri de kerosen</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9BAF9A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71,5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50878A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109514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35560B08"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F19663C"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Naftă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C74075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A4AF5B1"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8C053A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2A6A91C"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0F1F1D2"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Motorină și diesel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CD6DCC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74,1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9E1AAA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15D482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0C76A243"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5EB26AF1"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Păcură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DBD7C3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77,4</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953FE1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647683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4E2E98C8"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E3B9D5C"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White spirit și SPB</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010B50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BFDA8E1"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7D44A9A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3099D9DF"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6CA81462"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Lubrifianți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722EAB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194274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0BB4C29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2F96651B"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94810A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Bitum</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CB301C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80,7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A57EA7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9CB841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637EE8DC"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37B189FC"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Cocs de petrol</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10765D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97,5</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03DA7BB1"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6FC7EA9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1E112620"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6B829A6"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Ceară de parafină</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3222841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1326EC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36D17F6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1FF505AE"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2F06AB3"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Alte produse petroliere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C3A1D0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73,3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C78AB1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C48CD3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D00CA07"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15E7AA1F"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Gaze naturale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3762CC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56,1</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17A1572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2399C3F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4E919B04"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025357D2" w14:textId="77777777" w:rsidR="007449C0" w:rsidRPr="00444A00" w:rsidRDefault="007449C0" w:rsidP="003D514F">
            <w:pPr>
              <w:spacing w:before="60" w:after="60" w:line="312" w:lineRule="atLeast"/>
              <w:ind w:firstLine="0"/>
              <w:rPr>
                <w:color w:val="333333"/>
                <w:sz w:val="24"/>
                <w:lang w:eastAsia="ro-RO"/>
              </w:rPr>
            </w:pPr>
            <w:r w:rsidRPr="00444A00">
              <w:rPr>
                <w:b/>
                <w:bCs/>
                <w:i/>
                <w:iCs/>
                <w:color w:val="333333"/>
                <w:sz w:val="24"/>
                <w:lang w:eastAsia="ro-RO"/>
              </w:rPr>
              <w:lastRenderedPageBreak/>
              <w:t>Deșeuri</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525CCEA2" w14:textId="77777777" w:rsidR="007449C0" w:rsidRPr="00444A00" w:rsidRDefault="007449C0" w:rsidP="003D514F">
            <w:pPr>
              <w:spacing w:before="120" w:line="312" w:lineRule="atLeast"/>
              <w:ind w:firstLine="0"/>
              <w:jc w:val="center"/>
              <w:rPr>
                <w:color w:val="333333"/>
                <w:sz w:val="24"/>
                <w:lang w:eastAsia="ro-RO"/>
              </w:rPr>
            </w:pP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D6FF14C" w14:textId="77777777" w:rsidR="007449C0" w:rsidRPr="00444A00" w:rsidRDefault="007449C0" w:rsidP="003D514F">
            <w:pPr>
              <w:spacing w:before="120" w:line="312" w:lineRule="atLeast"/>
              <w:ind w:firstLine="0"/>
              <w:jc w:val="center"/>
              <w:rPr>
                <w:color w:val="333333"/>
                <w:sz w:val="24"/>
                <w:lang w:eastAsia="ro-RO"/>
              </w:rPr>
            </w:pP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5A88D649" w14:textId="77777777" w:rsidR="007449C0" w:rsidRPr="00444A00" w:rsidRDefault="007449C0" w:rsidP="003D514F">
            <w:pPr>
              <w:spacing w:before="120" w:line="312" w:lineRule="atLeast"/>
              <w:ind w:firstLine="0"/>
              <w:jc w:val="center"/>
              <w:rPr>
                <w:color w:val="333333"/>
                <w:sz w:val="24"/>
                <w:lang w:eastAsia="ro-RO"/>
              </w:rPr>
            </w:pPr>
          </w:p>
        </w:tc>
      </w:tr>
      <w:tr w:rsidR="007449C0" w:rsidRPr="00444A00" w14:paraId="7039D5E1"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42F4C2E4"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Deșeuri industriale (neregenerabile)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42E587E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143</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7A9AC7E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1EF320B1"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0,004</w:t>
            </w:r>
          </w:p>
        </w:tc>
      </w:tr>
      <w:tr w:rsidR="007449C0" w:rsidRPr="00444A00" w14:paraId="0B342966" w14:textId="77777777" w:rsidTr="003D514F">
        <w:trPr>
          <w:jc w:val="center"/>
        </w:trPr>
        <w:tc>
          <w:tcPr>
            <w:tcW w:w="3157" w:type="pct"/>
            <w:tcBorders>
              <w:top w:val="single" w:sz="6" w:space="0" w:color="000000"/>
              <w:left w:val="single" w:sz="6" w:space="0" w:color="000000"/>
              <w:bottom w:val="single" w:sz="6" w:space="0" w:color="000000"/>
              <w:right w:val="single" w:sz="6" w:space="0" w:color="000000"/>
            </w:tcBorders>
            <w:shd w:val="clear" w:color="auto" w:fill="FFFFFF"/>
            <w:hideMark/>
          </w:tcPr>
          <w:p w14:paraId="75CEFFB0" w14:textId="77777777" w:rsidR="007449C0" w:rsidRPr="00444A00" w:rsidRDefault="007449C0" w:rsidP="003D514F">
            <w:pPr>
              <w:spacing w:before="60" w:after="60" w:line="312" w:lineRule="atLeast"/>
              <w:ind w:firstLine="0"/>
              <w:rPr>
                <w:color w:val="333333"/>
                <w:sz w:val="24"/>
                <w:lang w:eastAsia="ro-RO"/>
              </w:rPr>
            </w:pPr>
            <w:r w:rsidRPr="00444A00">
              <w:rPr>
                <w:color w:val="333333"/>
                <w:sz w:val="24"/>
                <w:lang w:eastAsia="ro-RO"/>
              </w:rPr>
              <w:t>Deșeuri municipale neregenerabile</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2133F2F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91,7</w:t>
            </w:r>
          </w:p>
        </w:tc>
        <w:tc>
          <w:tcPr>
            <w:tcW w:w="582" w:type="pct"/>
            <w:tcBorders>
              <w:top w:val="single" w:sz="6" w:space="0" w:color="000000"/>
              <w:left w:val="single" w:sz="6" w:space="0" w:color="000000"/>
              <w:bottom w:val="single" w:sz="6" w:space="0" w:color="000000"/>
              <w:right w:val="single" w:sz="6" w:space="0" w:color="000000"/>
            </w:tcBorders>
            <w:shd w:val="clear" w:color="auto" w:fill="FFFFFF"/>
            <w:hideMark/>
          </w:tcPr>
          <w:p w14:paraId="60FC69C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0,03</w:t>
            </w:r>
          </w:p>
        </w:tc>
        <w:tc>
          <w:tcPr>
            <w:tcW w:w="679" w:type="pct"/>
            <w:tcBorders>
              <w:top w:val="single" w:sz="6" w:space="0" w:color="000000"/>
              <w:left w:val="single" w:sz="6" w:space="0" w:color="000000"/>
              <w:bottom w:val="single" w:sz="6" w:space="0" w:color="000000"/>
              <w:right w:val="single" w:sz="6" w:space="0" w:color="000000"/>
            </w:tcBorders>
            <w:shd w:val="clear" w:color="auto" w:fill="FFFFFF"/>
            <w:hideMark/>
          </w:tcPr>
          <w:p w14:paraId="4E721FA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0,004</w:t>
            </w:r>
          </w:p>
        </w:tc>
      </w:tr>
      <w:tr w:rsidR="007449C0" w:rsidRPr="00444A00" w14:paraId="469A1F20" w14:textId="77777777" w:rsidTr="003D514F">
        <w:trPr>
          <w:jc w:val="center"/>
        </w:trPr>
        <w:tc>
          <w:tcPr>
            <w:tcW w:w="5000" w:type="pct"/>
            <w:gridSpan w:val="4"/>
            <w:shd w:val="clear" w:color="auto" w:fill="FFFFFF"/>
            <w:vAlign w:val="center"/>
            <w:hideMark/>
          </w:tcPr>
          <w:tbl>
            <w:tblPr>
              <w:tblW w:w="5000" w:type="pct"/>
              <w:tblLayout w:type="fixed"/>
              <w:tblCellMar>
                <w:left w:w="0" w:type="dxa"/>
                <w:right w:w="0" w:type="dxa"/>
              </w:tblCellMar>
              <w:tblLook w:val="04A0" w:firstRow="1" w:lastRow="0" w:firstColumn="1" w:lastColumn="0" w:noHBand="0" w:noVBand="1"/>
            </w:tblPr>
            <w:tblGrid>
              <w:gridCol w:w="551"/>
              <w:gridCol w:w="6089"/>
            </w:tblGrid>
            <w:tr w:rsidR="007449C0" w:rsidRPr="00444A00" w14:paraId="6D0CB861" w14:textId="77777777" w:rsidTr="003D514F">
              <w:tc>
                <w:tcPr>
                  <w:tcW w:w="602" w:type="dxa"/>
                  <w:hideMark/>
                </w:tcPr>
                <w:p w14:paraId="6B24F396" w14:textId="77777777" w:rsidR="007449C0" w:rsidRPr="00444A00" w:rsidRDefault="007449C0" w:rsidP="003D514F">
                  <w:pPr>
                    <w:spacing w:line="312" w:lineRule="atLeast"/>
                    <w:ind w:firstLine="0"/>
                    <w:rPr>
                      <w:i/>
                      <w:iCs/>
                      <w:sz w:val="24"/>
                      <w:lang w:eastAsia="ro-RO"/>
                    </w:rPr>
                  </w:pPr>
                  <w:r w:rsidRPr="00444A00">
                    <w:rPr>
                      <w:i/>
                      <w:iCs/>
                      <w:sz w:val="24"/>
                      <w:lang w:eastAsia="ro-RO"/>
                    </w:rPr>
                    <w:t>Notă:</w:t>
                  </w:r>
                </w:p>
              </w:tc>
              <w:tc>
                <w:tcPr>
                  <w:tcW w:w="6678" w:type="dxa"/>
                  <w:hideMark/>
                </w:tcPr>
                <w:p w14:paraId="03A1B0EA" w14:textId="77777777" w:rsidR="007449C0" w:rsidRPr="00444A00" w:rsidRDefault="007449C0" w:rsidP="003D514F">
                  <w:pPr>
                    <w:spacing w:line="312" w:lineRule="atLeast"/>
                    <w:ind w:firstLine="0"/>
                    <w:rPr>
                      <w:i/>
                      <w:iCs/>
                      <w:sz w:val="24"/>
                      <w:lang w:eastAsia="ro-RO"/>
                    </w:rPr>
                  </w:pPr>
                  <w:r w:rsidRPr="00444A00">
                    <w:rPr>
                      <w:i/>
                      <w:iCs/>
                      <w:sz w:val="24"/>
                      <w:lang w:eastAsia="ro-RO"/>
                    </w:rPr>
                    <w:t>Valorile trebuie înmulțite cu factorii potențialului de încălzire globală (GWP) stabiliți la pct. 9 din anexa nr. 2 la prezenta hotărâre.</w:t>
                  </w:r>
                </w:p>
              </w:tc>
            </w:tr>
            <w:tr w:rsidR="007449C0" w:rsidRPr="00444A00" w14:paraId="2227AC4F" w14:textId="77777777" w:rsidTr="003D514F">
              <w:tc>
                <w:tcPr>
                  <w:tcW w:w="602" w:type="dxa"/>
                </w:tcPr>
                <w:p w14:paraId="1C0A43FF" w14:textId="77777777" w:rsidR="007449C0" w:rsidRPr="00444A00" w:rsidRDefault="007449C0" w:rsidP="003D514F">
                  <w:pPr>
                    <w:spacing w:line="312" w:lineRule="atLeast"/>
                    <w:ind w:firstLine="0"/>
                    <w:rPr>
                      <w:i/>
                      <w:iCs/>
                      <w:sz w:val="24"/>
                      <w:lang w:eastAsia="ro-RO"/>
                    </w:rPr>
                  </w:pPr>
                  <w:r w:rsidRPr="00444A00">
                    <w:rPr>
                      <w:i/>
                      <w:iCs/>
                      <w:sz w:val="24"/>
                      <w:lang w:eastAsia="ro-RO"/>
                    </w:rPr>
                    <w:t>Sursă:</w:t>
                  </w:r>
                </w:p>
              </w:tc>
              <w:tc>
                <w:tcPr>
                  <w:tcW w:w="6678" w:type="dxa"/>
                </w:tcPr>
                <w:p w14:paraId="50DF50B2" w14:textId="77777777" w:rsidR="007449C0" w:rsidRPr="00444A00" w:rsidRDefault="007449C0" w:rsidP="003D514F">
                  <w:pPr>
                    <w:spacing w:line="312" w:lineRule="atLeast"/>
                    <w:ind w:firstLine="0"/>
                    <w:rPr>
                      <w:i/>
                      <w:iCs/>
                      <w:sz w:val="24"/>
                      <w:lang w:eastAsia="ro-RO"/>
                    </w:rPr>
                  </w:pPr>
                  <w:r w:rsidRPr="00444A00">
                    <w:rPr>
                      <w:i/>
                      <w:iCs/>
                      <w:sz w:val="24"/>
                      <w:lang w:eastAsia="ro-RO"/>
                    </w:rPr>
                    <w:t>IPCC 2006.</w:t>
                  </w:r>
                </w:p>
              </w:tc>
            </w:tr>
          </w:tbl>
          <w:p w14:paraId="670A1EE6" w14:textId="77777777" w:rsidR="007449C0" w:rsidRPr="00444A00" w:rsidRDefault="007449C0" w:rsidP="003D514F">
            <w:pPr>
              <w:ind w:firstLine="0"/>
              <w:rPr>
                <w:vanish/>
                <w:color w:val="333333"/>
                <w:sz w:val="24"/>
                <w:lang w:eastAsia="ro-RO"/>
              </w:rPr>
            </w:pPr>
          </w:p>
          <w:p w14:paraId="0A505358" w14:textId="77777777" w:rsidR="007449C0" w:rsidRPr="00444A00" w:rsidRDefault="007449C0" w:rsidP="003D514F">
            <w:pPr>
              <w:ind w:firstLine="0"/>
              <w:jc w:val="left"/>
              <w:rPr>
                <w:color w:val="333333"/>
                <w:sz w:val="24"/>
                <w:lang w:eastAsia="ro-RO"/>
              </w:rPr>
            </w:pPr>
          </w:p>
        </w:tc>
      </w:tr>
    </w:tbl>
    <w:p w14:paraId="21A8E565"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Tabelul 2</w:t>
      </w:r>
    </w:p>
    <w:p w14:paraId="67751434"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Factorii de emisii impliciți pentru arderea staționară a combustibililor proveniți din biomasă [g/MJ combustibil la o putere calorifică netă]</w:t>
      </w:r>
    </w:p>
    <w:tbl>
      <w:tblPr>
        <w:tblW w:w="39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913"/>
        <w:gridCol w:w="650"/>
        <w:gridCol w:w="774"/>
        <w:gridCol w:w="1030"/>
      </w:tblGrid>
      <w:tr w:rsidR="007449C0" w:rsidRPr="00444A00" w14:paraId="15B2A59D"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1194F7CB"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Combustibil</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1AF2E59D"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CO</w:t>
            </w:r>
            <w:r w:rsidRPr="00444A00">
              <w:rPr>
                <w:b/>
                <w:bCs/>
                <w:color w:val="333333"/>
                <w:sz w:val="24"/>
                <w:vertAlign w:val="subscript"/>
                <w:lang w:eastAsia="ro-RO"/>
              </w:rPr>
              <w:t>2</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735F7AB8"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CH</w:t>
            </w:r>
            <w:r w:rsidRPr="00444A00">
              <w:rPr>
                <w:b/>
                <w:bCs/>
                <w:color w:val="333333"/>
                <w:sz w:val="24"/>
                <w:vertAlign w:val="subscript"/>
                <w:lang w:eastAsia="ro-RO"/>
              </w:rPr>
              <w:t>4</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0F3D803"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N</w:t>
            </w:r>
            <w:r w:rsidRPr="00444A00">
              <w:rPr>
                <w:b/>
                <w:bCs/>
                <w:color w:val="333333"/>
                <w:sz w:val="24"/>
                <w:vertAlign w:val="subscript"/>
                <w:lang w:eastAsia="ro-RO"/>
              </w:rPr>
              <w:t>2</w:t>
            </w:r>
            <w:r w:rsidRPr="00444A00">
              <w:rPr>
                <w:b/>
                <w:bCs/>
                <w:color w:val="333333"/>
                <w:sz w:val="24"/>
                <w:lang w:eastAsia="ro-RO"/>
              </w:rPr>
              <w:t>O</w:t>
            </w:r>
          </w:p>
        </w:tc>
      </w:tr>
      <w:tr w:rsidR="007449C0" w:rsidRPr="00444A00" w14:paraId="4EFD9AAA"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01882632" w14:textId="77777777" w:rsidR="007449C0" w:rsidRPr="00444A00" w:rsidRDefault="007449C0" w:rsidP="003D514F">
            <w:pPr>
              <w:spacing w:before="60" w:after="60" w:line="312" w:lineRule="atLeast"/>
              <w:ind w:firstLine="0"/>
              <w:jc w:val="left"/>
              <w:rPr>
                <w:color w:val="333333"/>
                <w:sz w:val="24"/>
                <w:lang w:eastAsia="ro-RO"/>
              </w:rPr>
            </w:pPr>
            <w:r>
              <w:rPr>
                <w:color w:val="333333"/>
                <w:sz w:val="24"/>
                <w:lang w:eastAsia="ro-RO"/>
              </w:rPr>
              <w:t>B</w:t>
            </w:r>
            <w:r w:rsidRPr="00C31339">
              <w:rPr>
                <w:color w:val="333333"/>
                <w:sz w:val="24"/>
                <w:lang w:eastAsia="ro-RO"/>
              </w:rPr>
              <w:t>iocarburanți</w:t>
            </w:r>
            <w:r w:rsidRPr="00444A00">
              <w:rPr>
                <w:color w:val="333333"/>
                <w:sz w:val="24"/>
                <w:lang w:eastAsia="ro-RO"/>
              </w:rPr>
              <w:t xml:space="preserve"> solizi primari</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5F2DFB71"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2140F7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56A33A3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0,004</w:t>
            </w:r>
          </w:p>
        </w:tc>
      </w:tr>
      <w:tr w:rsidR="007449C0" w:rsidRPr="00444A00" w14:paraId="60329794"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72234332"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Mangal</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DD5D46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F41EAA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0,2</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ED3D8D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0,004</w:t>
            </w:r>
          </w:p>
        </w:tc>
      </w:tr>
      <w:tr w:rsidR="007449C0" w:rsidRPr="00444A00" w14:paraId="36A2F304"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0FEE030D"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Biogaz</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38F7CDF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5A6023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0,001</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1CB0686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0,0001</w:t>
            </w:r>
          </w:p>
        </w:tc>
      </w:tr>
      <w:tr w:rsidR="007449C0" w:rsidRPr="00444A00" w14:paraId="0E82BC16"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2451BCFE"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Deșeuri municipale regenerabile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6ECC1C4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276514D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6BDCBE7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0,004</w:t>
            </w:r>
          </w:p>
        </w:tc>
      </w:tr>
      <w:tr w:rsidR="007449C0" w:rsidRPr="00444A00" w14:paraId="631C346F"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487652F6" w14:textId="77777777" w:rsidR="007449C0" w:rsidRPr="00444A00" w:rsidRDefault="007449C0" w:rsidP="003D514F">
            <w:pPr>
              <w:spacing w:before="60" w:after="60" w:line="312" w:lineRule="atLeast"/>
              <w:ind w:firstLine="0"/>
              <w:jc w:val="left"/>
              <w:rPr>
                <w:color w:val="333333"/>
                <w:sz w:val="24"/>
                <w:lang w:eastAsia="ro-RO"/>
              </w:rPr>
            </w:pPr>
            <w:proofErr w:type="spellStart"/>
            <w:r w:rsidRPr="00444A00">
              <w:rPr>
                <w:color w:val="333333"/>
                <w:sz w:val="24"/>
                <w:lang w:eastAsia="ro-RO"/>
              </w:rPr>
              <w:t>Biobenzină</w:t>
            </w:r>
            <w:proofErr w:type="spellEnd"/>
            <w:r w:rsidRPr="00444A00">
              <w:rPr>
                <w:color w:val="333333"/>
                <w:sz w:val="24"/>
                <w:lang w:eastAsia="ro-RO"/>
              </w:rPr>
              <w:t xml:space="preserve"> pură</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7E597F5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4A76C32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4929C94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9C90DF7"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4C147FA2" w14:textId="77777777" w:rsidR="007449C0" w:rsidRPr="00444A00" w:rsidRDefault="007449C0" w:rsidP="003D514F">
            <w:pPr>
              <w:spacing w:before="60" w:after="60" w:line="312" w:lineRule="atLeast"/>
              <w:ind w:firstLine="0"/>
              <w:jc w:val="left"/>
              <w:rPr>
                <w:color w:val="333333"/>
                <w:sz w:val="24"/>
                <w:lang w:eastAsia="ro-RO"/>
              </w:rPr>
            </w:pPr>
            <w:proofErr w:type="spellStart"/>
            <w:r w:rsidRPr="00444A00">
              <w:rPr>
                <w:color w:val="333333"/>
                <w:sz w:val="24"/>
                <w:lang w:eastAsia="ro-RO"/>
              </w:rPr>
              <w:t>Biobenzină</w:t>
            </w:r>
            <w:proofErr w:type="spellEnd"/>
            <w:r w:rsidRPr="00444A00">
              <w:rPr>
                <w:color w:val="333333"/>
                <w:sz w:val="24"/>
                <w:lang w:eastAsia="ro-RO"/>
              </w:rPr>
              <w:t xml:space="preserve"> mixtă</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4971469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9AEC9E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6185819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D13B0DB"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11299899" w14:textId="77777777" w:rsidR="007449C0" w:rsidRPr="00444A00" w:rsidRDefault="007449C0" w:rsidP="003D514F">
            <w:pPr>
              <w:spacing w:before="60" w:after="60" w:line="312" w:lineRule="atLeast"/>
              <w:ind w:firstLine="0"/>
              <w:jc w:val="left"/>
              <w:rPr>
                <w:color w:val="333333"/>
                <w:sz w:val="24"/>
                <w:lang w:eastAsia="ro-RO"/>
              </w:rPr>
            </w:pPr>
            <w:proofErr w:type="spellStart"/>
            <w:r w:rsidRPr="00444A00">
              <w:rPr>
                <w:color w:val="333333"/>
                <w:sz w:val="24"/>
                <w:lang w:eastAsia="ro-RO"/>
              </w:rPr>
              <w:t>Biodiesele</w:t>
            </w:r>
            <w:proofErr w:type="spellEnd"/>
            <w:r w:rsidRPr="00444A00">
              <w:rPr>
                <w:color w:val="333333"/>
                <w:sz w:val="24"/>
                <w:lang w:eastAsia="ro-RO"/>
              </w:rPr>
              <w:t xml:space="preserve"> pure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03CFCD3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5600BA8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7501B1E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7E09C989"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5774A0CB" w14:textId="77777777" w:rsidR="007449C0" w:rsidRPr="00444A00" w:rsidRDefault="007449C0" w:rsidP="003D514F">
            <w:pPr>
              <w:spacing w:before="60" w:after="60" w:line="312" w:lineRule="atLeast"/>
              <w:ind w:firstLine="0"/>
              <w:jc w:val="left"/>
              <w:rPr>
                <w:color w:val="333333"/>
                <w:sz w:val="24"/>
                <w:lang w:eastAsia="ro-RO"/>
              </w:rPr>
            </w:pPr>
            <w:proofErr w:type="spellStart"/>
            <w:r w:rsidRPr="00444A00">
              <w:rPr>
                <w:color w:val="333333"/>
                <w:sz w:val="24"/>
                <w:lang w:eastAsia="ro-RO"/>
              </w:rPr>
              <w:t>Biodiesele</w:t>
            </w:r>
            <w:proofErr w:type="spellEnd"/>
            <w:r w:rsidRPr="00444A00">
              <w:rPr>
                <w:color w:val="333333"/>
                <w:sz w:val="24"/>
                <w:lang w:eastAsia="ro-RO"/>
              </w:rPr>
              <w:t xml:space="preserve"> mixte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3049606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0A04A61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6F64833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2DF36F49"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58858BC6"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Combustibil pur de tip kerosen pentru turboreactoare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1650004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1627530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7DA7EB1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24A7F462"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6F00FC63"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Combustibil mixt de tip kerosen pentru turboreactoare</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13DF5D0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7AFF865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37D294EC"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5430B913" w14:textId="77777777" w:rsidTr="003D514F">
        <w:trPr>
          <w:jc w:val="center"/>
        </w:trPr>
        <w:tc>
          <w:tcPr>
            <w:tcW w:w="3336" w:type="pct"/>
            <w:tcBorders>
              <w:top w:val="single" w:sz="6" w:space="0" w:color="000000"/>
              <w:left w:val="single" w:sz="6" w:space="0" w:color="000000"/>
              <w:bottom w:val="single" w:sz="6" w:space="0" w:color="000000"/>
              <w:right w:val="single" w:sz="6" w:space="0" w:color="000000"/>
            </w:tcBorders>
            <w:shd w:val="clear" w:color="auto" w:fill="FFFFFF"/>
            <w:hideMark/>
          </w:tcPr>
          <w:p w14:paraId="5A57147D"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 xml:space="preserve">Alți </w:t>
            </w:r>
            <w:r w:rsidRPr="00C31339">
              <w:rPr>
                <w:color w:val="333333"/>
                <w:sz w:val="24"/>
                <w:lang w:eastAsia="ro-RO"/>
              </w:rPr>
              <w:t>biocarburanți</w:t>
            </w:r>
            <w:r w:rsidRPr="00444A00">
              <w:rPr>
                <w:color w:val="333333"/>
                <w:sz w:val="24"/>
                <w:lang w:eastAsia="ro-RO"/>
              </w:rPr>
              <w:t xml:space="preserve"> lichizi</w:t>
            </w:r>
          </w:p>
        </w:tc>
        <w:tc>
          <w:tcPr>
            <w:tcW w:w="437" w:type="pct"/>
            <w:tcBorders>
              <w:top w:val="single" w:sz="6" w:space="0" w:color="000000"/>
              <w:left w:val="single" w:sz="6" w:space="0" w:color="000000"/>
              <w:bottom w:val="single" w:sz="6" w:space="0" w:color="000000"/>
              <w:right w:val="single" w:sz="6" w:space="0" w:color="000000"/>
            </w:tcBorders>
            <w:shd w:val="clear" w:color="auto" w:fill="FFFFFF"/>
            <w:hideMark/>
          </w:tcPr>
          <w:p w14:paraId="59B9E4C9"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w:t>
            </w:r>
          </w:p>
        </w:tc>
        <w:tc>
          <w:tcPr>
            <w:tcW w:w="527" w:type="pct"/>
            <w:tcBorders>
              <w:top w:val="single" w:sz="6" w:space="0" w:color="000000"/>
              <w:left w:val="single" w:sz="6" w:space="0" w:color="000000"/>
              <w:bottom w:val="single" w:sz="6" w:space="0" w:color="000000"/>
              <w:right w:val="single" w:sz="6" w:space="0" w:color="000000"/>
            </w:tcBorders>
            <w:shd w:val="clear" w:color="auto" w:fill="FFFFFF"/>
            <w:hideMark/>
          </w:tcPr>
          <w:p w14:paraId="4B8AEA01"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0,003</w:t>
            </w:r>
          </w:p>
        </w:tc>
        <w:tc>
          <w:tcPr>
            <w:tcW w:w="700" w:type="pct"/>
            <w:tcBorders>
              <w:top w:val="single" w:sz="6" w:space="0" w:color="000000"/>
              <w:left w:val="single" w:sz="6" w:space="0" w:color="000000"/>
              <w:bottom w:val="single" w:sz="6" w:space="0" w:color="000000"/>
              <w:right w:val="single" w:sz="6" w:space="0" w:color="000000"/>
            </w:tcBorders>
            <w:shd w:val="clear" w:color="auto" w:fill="FFFFFF"/>
            <w:hideMark/>
          </w:tcPr>
          <w:p w14:paraId="2B40134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0,0006</w:t>
            </w:r>
          </w:p>
        </w:tc>
      </w:tr>
      <w:tr w:rsidR="007449C0" w:rsidRPr="00444A00" w14:paraId="1A5CA28B" w14:textId="77777777" w:rsidTr="003D514F">
        <w:trPr>
          <w:jc w:val="center"/>
        </w:trPr>
        <w:tc>
          <w:tcPr>
            <w:tcW w:w="5000" w:type="pct"/>
            <w:gridSpan w:val="4"/>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643"/>
              <w:gridCol w:w="6709"/>
            </w:tblGrid>
            <w:tr w:rsidR="007449C0" w:rsidRPr="00444A00" w14:paraId="5838D748" w14:textId="77777777" w:rsidTr="003D514F">
              <w:tc>
                <w:tcPr>
                  <w:tcW w:w="437" w:type="pct"/>
                  <w:hideMark/>
                </w:tcPr>
                <w:p w14:paraId="6C38FAC5" w14:textId="77777777" w:rsidR="007449C0" w:rsidRPr="00444A00" w:rsidRDefault="007449C0" w:rsidP="003D514F">
                  <w:pPr>
                    <w:spacing w:line="312" w:lineRule="atLeast"/>
                    <w:ind w:firstLine="0"/>
                    <w:jc w:val="left"/>
                    <w:rPr>
                      <w:i/>
                      <w:iCs/>
                      <w:sz w:val="24"/>
                      <w:lang w:eastAsia="ro-RO"/>
                    </w:rPr>
                  </w:pPr>
                  <w:r w:rsidRPr="00444A00">
                    <w:rPr>
                      <w:i/>
                      <w:iCs/>
                      <w:sz w:val="24"/>
                      <w:lang w:eastAsia="ro-RO"/>
                    </w:rPr>
                    <w:t>Sursă:</w:t>
                  </w:r>
                </w:p>
              </w:tc>
              <w:tc>
                <w:tcPr>
                  <w:tcW w:w="4563" w:type="pct"/>
                  <w:hideMark/>
                </w:tcPr>
                <w:p w14:paraId="60F954D8" w14:textId="77777777" w:rsidR="007449C0" w:rsidRPr="00444A00" w:rsidRDefault="007449C0" w:rsidP="003D514F">
                  <w:pPr>
                    <w:spacing w:line="312" w:lineRule="atLeast"/>
                    <w:ind w:firstLine="0"/>
                    <w:jc w:val="left"/>
                    <w:rPr>
                      <w:i/>
                      <w:iCs/>
                      <w:sz w:val="24"/>
                      <w:lang w:eastAsia="ro-RO"/>
                    </w:rPr>
                  </w:pPr>
                  <w:r w:rsidRPr="00444A00">
                    <w:rPr>
                      <w:i/>
                      <w:iCs/>
                      <w:sz w:val="24"/>
                      <w:lang w:eastAsia="ro-RO"/>
                    </w:rPr>
                    <w:t>IPCC, 2006.</w:t>
                  </w:r>
                </w:p>
              </w:tc>
            </w:tr>
          </w:tbl>
          <w:p w14:paraId="17A7C5D1" w14:textId="77777777" w:rsidR="007449C0" w:rsidRPr="00444A00" w:rsidRDefault="007449C0" w:rsidP="003D514F">
            <w:pPr>
              <w:ind w:firstLine="0"/>
              <w:jc w:val="left"/>
              <w:rPr>
                <w:color w:val="333333"/>
                <w:sz w:val="24"/>
                <w:lang w:eastAsia="ro-RO"/>
              </w:rPr>
            </w:pPr>
          </w:p>
        </w:tc>
      </w:tr>
    </w:tbl>
    <w:p w14:paraId="6ED46A23"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Tabelul 3</w:t>
      </w:r>
    </w:p>
    <w:p w14:paraId="65F8B108"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 xml:space="preserve">Factorii de emisie din amonte ai combustibilului </w:t>
      </w:r>
    </w:p>
    <w:p w14:paraId="10AC648A"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[gCO</w:t>
      </w:r>
      <w:r w:rsidRPr="00444A00">
        <w:rPr>
          <w:rFonts w:eastAsia="Times New Roman"/>
          <w:sz w:val="24"/>
          <w:vertAlign w:val="subscript"/>
          <w:lang w:eastAsia="ro-RO"/>
        </w:rPr>
        <w:t>2eq</w:t>
      </w:r>
      <w:r w:rsidRPr="00444A00">
        <w:rPr>
          <w:rFonts w:eastAsia="Times New Roman"/>
          <w:sz w:val="24"/>
          <w:lang w:eastAsia="ro-RO"/>
        </w:rPr>
        <w:t>/MJ combustibil la o putere calorifică netă]</w:t>
      </w:r>
    </w:p>
    <w:tbl>
      <w:tblPr>
        <w:tblW w:w="226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33"/>
        <w:gridCol w:w="1936"/>
      </w:tblGrid>
      <w:tr w:rsidR="007449C0" w:rsidRPr="00444A00" w14:paraId="17025188"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099B370"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Combustibil</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63859718"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Factor de emisie</w:t>
            </w:r>
          </w:p>
        </w:tc>
      </w:tr>
      <w:tr w:rsidR="007449C0" w:rsidRPr="00444A00" w14:paraId="657A1223"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EFE91C4"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Cărbune superior</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172AF15C"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15,9</w:t>
            </w:r>
          </w:p>
        </w:tc>
      </w:tr>
      <w:tr w:rsidR="007449C0" w:rsidRPr="00444A00" w14:paraId="04A79367"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1716C001"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Cărbune brun</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5ED0A06E"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1,7</w:t>
            </w:r>
          </w:p>
        </w:tc>
      </w:tr>
      <w:tr w:rsidR="007449C0" w:rsidRPr="00444A00" w14:paraId="0C3170B3"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2BCE7810"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lastRenderedPageBreak/>
              <w:t>Turbă</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2AE0C6A5"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0</w:t>
            </w:r>
          </w:p>
        </w:tc>
      </w:tr>
      <w:tr w:rsidR="007449C0" w:rsidRPr="00444A00" w14:paraId="28699647"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5FBD44D0"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Gaze de cărbune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7B05CBD5"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0</w:t>
            </w:r>
          </w:p>
        </w:tc>
      </w:tr>
      <w:tr w:rsidR="007449C0" w:rsidRPr="00444A00" w14:paraId="448811B6"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75B6EAD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Produse petroliere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055C647F"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11,6</w:t>
            </w:r>
          </w:p>
        </w:tc>
      </w:tr>
      <w:tr w:rsidR="007449C0" w:rsidRPr="00444A00" w14:paraId="0FC7F759"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31C4816"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Gaze naturale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5F064D15"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12,7</w:t>
            </w:r>
          </w:p>
        </w:tc>
      </w:tr>
      <w:tr w:rsidR="007449C0" w:rsidRPr="00444A00" w14:paraId="18A222E8"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0568C736"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Biocombustibili solizi</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1FAF06BC"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0,7</w:t>
            </w:r>
          </w:p>
        </w:tc>
      </w:tr>
      <w:tr w:rsidR="007449C0" w:rsidRPr="00444A00" w14:paraId="305C89A6"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1F21D222" w14:textId="77777777" w:rsidR="007449C0" w:rsidRPr="00444A00" w:rsidRDefault="007449C0" w:rsidP="003D514F">
            <w:pPr>
              <w:spacing w:before="60" w:after="60" w:line="312" w:lineRule="atLeast"/>
              <w:ind w:firstLine="0"/>
              <w:jc w:val="left"/>
              <w:rPr>
                <w:color w:val="333333"/>
                <w:sz w:val="24"/>
                <w:lang w:eastAsia="ro-RO"/>
              </w:rPr>
            </w:pPr>
            <w:r>
              <w:rPr>
                <w:color w:val="333333"/>
                <w:sz w:val="24"/>
                <w:lang w:eastAsia="ro-RO"/>
              </w:rPr>
              <w:t>B</w:t>
            </w:r>
            <w:r w:rsidRPr="00C31339">
              <w:rPr>
                <w:color w:val="333333"/>
                <w:sz w:val="24"/>
                <w:lang w:eastAsia="ro-RO"/>
              </w:rPr>
              <w:t>iocarburanți</w:t>
            </w:r>
            <w:r w:rsidRPr="00444A00">
              <w:rPr>
                <w:color w:val="333333"/>
                <w:sz w:val="24"/>
                <w:lang w:eastAsia="ro-RO"/>
              </w:rPr>
              <w:t xml:space="preserve"> lichizi</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6F873080"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46,8</w:t>
            </w:r>
          </w:p>
        </w:tc>
      </w:tr>
      <w:tr w:rsidR="007449C0" w:rsidRPr="00444A00" w14:paraId="201DBFEC"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6919758D"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Deșeuri industriale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10BF90AC"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0</w:t>
            </w:r>
          </w:p>
        </w:tc>
      </w:tr>
      <w:tr w:rsidR="007449C0" w:rsidRPr="00444A00" w14:paraId="005A623D"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3058855F"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Deșeuri municipale</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4F014FAC"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0</w:t>
            </w:r>
          </w:p>
        </w:tc>
      </w:tr>
      <w:tr w:rsidR="007449C0" w:rsidRPr="00444A00" w14:paraId="0AC51AF6"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26776F17"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Biogaz</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4EED9049"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13,7</w:t>
            </w:r>
          </w:p>
        </w:tc>
      </w:tr>
      <w:tr w:rsidR="007449C0" w:rsidRPr="00444A00" w14:paraId="2CD52105" w14:textId="77777777" w:rsidTr="003D514F">
        <w:trPr>
          <w:jc w:val="center"/>
        </w:trPr>
        <w:tc>
          <w:tcPr>
            <w:tcW w:w="2732" w:type="pct"/>
            <w:tcBorders>
              <w:top w:val="single" w:sz="6" w:space="0" w:color="000000"/>
              <w:left w:val="single" w:sz="6" w:space="0" w:color="000000"/>
              <w:bottom w:val="single" w:sz="6" w:space="0" w:color="000000"/>
              <w:right w:val="single" w:sz="6" w:space="0" w:color="000000"/>
            </w:tcBorders>
            <w:shd w:val="clear" w:color="auto" w:fill="FFFFFF"/>
            <w:hideMark/>
          </w:tcPr>
          <w:p w14:paraId="46A80C0F"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Energie nucleară</w:t>
            </w:r>
          </w:p>
        </w:tc>
        <w:tc>
          <w:tcPr>
            <w:tcW w:w="2268" w:type="pct"/>
            <w:tcBorders>
              <w:top w:val="single" w:sz="6" w:space="0" w:color="000000"/>
              <w:left w:val="single" w:sz="6" w:space="0" w:color="000000"/>
              <w:bottom w:val="single" w:sz="6" w:space="0" w:color="000000"/>
              <w:right w:val="single" w:sz="6" w:space="0" w:color="000000"/>
            </w:tcBorders>
            <w:shd w:val="clear" w:color="auto" w:fill="FFFFFF"/>
            <w:hideMark/>
          </w:tcPr>
          <w:p w14:paraId="37E37A3C" w14:textId="77777777" w:rsidR="007449C0" w:rsidRPr="00444A00" w:rsidRDefault="007449C0" w:rsidP="003D514F">
            <w:pPr>
              <w:spacing w:before="60" w:after="60" w:line="312" w:lineRule="atLeast"/>
              <w:ind w:firstLine="0"/>
              <w:jc w:val="center"/>
              <w:rPr>
                <w:color w:val="333333"/>
                <w:sz w:val="24"/>
                <w:lang w:eastAsia="ro-RO"/>
              </w:rPr>
            </w:pPr>
            <w:r w:rsidRPr="00444A00">
              <w:rPr>
                <w:color w:val="333333"/>
                <w:sz w:val="24"/>
                <w:lang w:eastAsia="ro-RO"/>
              </w:rPr>
              <w:t>1,2</w:t>
            </w:r>
          </w:p>
        </w:tc>
      </w:tr>
      <w:tr w:rsidR="007449C0" w:rsidRPr="00444A00" w14:paraId="132126AB" w14:textId="77777777" w:rsidTr="003D514F">
        <w:trPr>
          <w:jc w:val="center"/>
        </w:trPr>
        <w:tc>
          <w:tcPr>
            <w:tcW w:w="5000" w:type="pct"/>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648"/>
              <w:gridCol w:w="3606"/>
            </w:tblGrid>
            <w:tr w:rsidR="007449C0" w:rsidRPr="00444A00" w14:paraId="38EF5C77" w14:textId="77777777" w:rsidTr="003D514F">
              <w:tc>
                <w:tcPr>
                  <w:tcW w:w="762" w:type="pct"/>
                  <w:hideMark/>
                </w:tcPr>
                <w:p w14:paraId="076092C3" w14:textId="77777777" w:rsidR="007449C0" w:rsidRPr="00444A00" w:rsidRDefault="007449C0" w:rsidP="003D514F">
                  <w:pPr>
                    <w:spacing w:line="312" w:lineRule="atLeast"/>
                    <w:ind w:firstLine="0"/>
                    <w:rPr>
                      <w:sz w:val="24"/>
                      <w:lang w:eastAsia="ro-RO"/>
                    </w:rPr>
                  </w:pPr>
                  <w:r w:rsidRPr="00444A00">
                    <w:rPr>
                      <w:i/>
                      <w:iCs/>
                      <w:sz w:val="24"/>
                      <w:lang w:eastAsia="ro-RO"/>
                    </w:rPr>
                    <w:t>Sursă</w:t>
                  </w:r>
                  <w:r w:rsidRPr="00444A00">
                    <w:rPr>
                      <w:sz w:val="24"/>
                      <w:lang w:eastAsia="ro-RO"/>
                    </w:rPr>
                    <w:t>:</w:t>
                  </w:r>
                </w:p>
              </w:tc>
              <w:tc>
                <w:tcPr>
                  <w:tcW w:w="4238" w:type="pct"/>
                  <w:hideMark/>
                </w:tcPr>
                <w:p w14:paraId="1EEB036E" w14:textId="77777777" w:rsidR="007449C0" w:rsidRPr="00444A00" w:rsidRDefault="007449C0" w:rsidP="003D514F">
                  <w:pPr>
                    <w:spacing w:line="312" w:lineRule="atLeast"/>
                    <w:ind w:firstLine="0"/>
                    <w:rPr>
                      <w:i/>
                      <w:iCs/>
                      <w:sz w:val="24"/>
                      <w:lang w:eastAsia="ro-RO"/>
                    </w:rPr>
                  </w:pPr>
                  <w:r w:rsidRPr="00444A00">
                    <w:rPr>
                      <w:i/>
                      <w:iCs/>
                      <w:sz w:val="24"/>
                      <w:lang w:eastAsia="ro-RO"/>
                    </w:rPr>
                    <w:t>JEC WTW versiunea 5.</w:t>
                  </w:r>
                </w:p>
              </w:tc>
            </w:tr>
          </w:tbl>
          <w:p w14:paraId="51BB2256" w14:textId="77777777" w:rsidR="007449C0" w:rsidRPr="00444A00" w:rsidRDefault="007449C0" w:rsidP="003D514F">
            <w:pPr>
              <w:ind w:firstLine="0"/>
              <w:jc w:val="left"/>
              <w:rPr>
                <w:color w:val="333333"/>
                <w:sz w:val="24"/>
                <w:lang w:eastAsia="ro-RO"/>
              </w:rPr>
            </w:pPr>
          </w:p>
        </w:tc>
      </w:tr>
    </w:tbl>
    <w:p w14:paraId="79D53766" w14:textId="77777777" w:rsidR="007449C0" w:rsidRPr="00444A00" w:rsidRDefault="007449C0" w:rsidP="007449C0">
      <w:pPr>
        <w:pStyle w:val="Anexapct1"/>
        <w:rPr>
          <w:rFonts w:eastAsia="Times New Roman"/>
          <w:sz w:val="24"/>
          <w:lang w:eastAsia="ro-RO"/>
        </w:rPr>
      </w:pPr>
      <w:r w:rsidRPr="00444A00">
        <w:rPr>
          <w:rFonts w:eastAsia="Times New Roman"/>
          <w:sz w:val="24"/>
          <w:lang w:eastAsia="ro-RO"/>
        </w:rPr>
        <w:t>Tabelul A include valorile intensității emisiilor de GES ale energiei electrice la nivelul fiecărui stat membru al Uniunii Europene, precum și la nivel național. În cazul în care intensitatea emisiilor de gaze cu efect de seră generate de energia electrică se determină la nivel de țară, aceste valori se utilizează pentru energia electrică produsă în Uniunea Europeană și la nivel național până vor fi disponibile date mai recente pentru a determina intensitatea emisiilor de energie electrică.</w:t>
      </w:r>
    </w:p>
    <w:p w14:paraId="03BB36A0"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Tabelul A</w:t>
      </w:r>
    </w:p>
    <w:p w14:paraId="402B4143" w14:textId="77777777" w:rsidR="007449C0" w:rsidRPr="00444A00" w:rsidRDefault="007449C0" w:rsidP="007449C0">
      <w:pPr>
        <w:pStyle w:val="Sectiune"/>
        <w:rPr>
          <w:rFonts w:eastAsia="Times New Roman"/>
          <w:sz w:val="24"/>
          <w:lang w:eastAsia="ro-RO"/>
        </w:rPr>
      </w:pPr>
      <w:r w:rsidRPr="00444A00">
        <w:rPr>
          <w:rFonts w:eastAsia="Times New Roman"/>
          <w:sz w:val="24"/>
          <w:lang w:eastAsia="ro-RO"/>
        </w:rPr>
        <w:t>Intensitatea emisiilor de energie electrică în Uniunea Europeană în 2020 și în Republica Moldova în 2024</w:t>
      </w:r>
    </w:p>
    <w:tbl>
      <w:tblPr>
        <w:tblW w:w="2533"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59"/>
        <w:gridCol w:w="3326"/>
      </w:tblGrid>
      <w:tr w:rsidR="007449C0" w:rsidRPr="00444A00" w14:paraId="2AE0C9A1"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737677"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Țara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69485E1"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Intensitatea emisiilor de energie electrică generată (gCO</w:t>
            </w:r>
            <w:r w:rsidRPr="00444A00">
              <w:rPr>
                <w:b/>
                <w:bCs/>
                <w:color w:val="333333"/>
                <w:sz w:val="24"/>
                <w:vertAlign w:val="subscript"/>
                <w:lang w:eastAsia="ro-RO"/>
              </w:rPr>
              <w:t>2</w:t>
            </w:r>
            <w:r w:rsidRPr="00444A00">
              <w:rPr>
                <w:b/>
                <w:bCs/>
                <w:color w:val="333333"/>
                <w:sz w:val="24"/>
                <w:lang w:eastAsia="ro-RO"/>
              </w:rPr>
              <w:t>eq/MJ)</w:t>
            </w:r>
          </w:p>
        </w:tc>
      </w:tr>
      <w:tr w:rsidR="007449C0" w:rsidRPr="00444A00" w14:paraId="434CF4F8"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A3E482"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Austria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0681F97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39,7</w:t>
            </w:r>
          </w:p>
        </w:tc>
      </w:tr>
      <w:tr w:rsidR="007449C0" w:rsidRPr="00444A00" w14:paraId="20C77557"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EAFA6"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Belgia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D85602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56,7</w:t>
            </w:r>
          </w:p>
        </w:tc>
      </w:tr>
      <w:tr w:rsidR="007449C0" w:rsidRPr="00444A00" w14:paraId="22342CD6"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ED6007"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Bulgaria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389A2B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119,2</w:t>
            </w:r>
          </w:p>
        </w:tc>
      </w:tr>
      <w:tr w:rsidR="007449C0" w:rsidRPr="00444A00" w14:paraId="5CD03F10"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A8C5DD"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Cipru</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3BB8AF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206,6</w:t>
            </w:r>
          </w:p>
        </w:tc>
      </w:tr>
      <w:tr w:rsidR="007449C0" w:rsidRPr="00444A00" w14:paraId="4A502A0C"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102E44"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Cehia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3CBBE4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132,5</w:t>
            </w:r>
          </w:p>
        </w:tc>
      </w:tr>
      <w:tr w:rsidR="007449C0" w:rsidRPr="00444A00" w14:paraId="1C2B301D"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69F04B"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Germania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B34303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99,3</w:t>
            </w:r>
          </w:p>
        </w:tc>
      </w:tr>
      <w:tr w:rsidR="007449C0" w:rsidRPr="00444A00" w14:paraId="79D16F03"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E180F5"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Danemarca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91D083A"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27,1</w:t>
            </w:r>
          </w:p>
        </w:tc>
      </w:tr>
      <w:tr w:rsidR="007449C0" w:rsidRPr="00444A00" w14:paraId="4F9AF76C"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29CAD0A"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Estonia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FA748A6"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139,8</w:t>
            </w:r>
          </w:p>
        </w:tc>
      </w:tr>
      <w:tr w:rsidR="007449C0" w:rsidRPr="00444A00" w14:paraId="1C4EF1CD"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12D277"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Grecia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7820C5B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125,2</w:t>
            </w:r>
          </w:p>
        </w:tc>
      </w:tr>
      <w:tr w:rsidR="007449C0" w:rsidRPr="00444A00" w14:paraId="049C0687"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9F0EFB"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Spania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00E6DED"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54,1</w:t>
            </w:r>
          </w:p>
        </w:tc>
      </w:tr>
      <w:tr w:rsidR="007449C0" w:rsidRPr="00444A00" w14:paraId="3BF5B88A"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B30BF5"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Finlanda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FDEA89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22,9</w:t>
            </w:r>
          </w:p>
        </w:tc>
      </w:tr>
      <w:tr w:rsidR="007449C0" w:rsidRPr="00444A00" w14:paraId="66899603"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B55541"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lastRenderedPageBreak/>
              <w:t>Franța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39497A0"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19,6</w:t>
            </w:r>
          </w:p>
        </w:tc>
      </w:tr>
      <w:tr w:rsidR="007449C0" w:rsidRPr="00444A00" w14:paraId="66DF4AE7"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4CD67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Croația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9CC8A3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55,4</w:t>
            </w:r>
          </w:p>
        </w:tc>
      </w:tr>
      <w:tr w:rsidR="007449C0" w:rsidRPr="00444A00" w14:paraId="2DC2DAEF"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49617A"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Ungaria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5D2D4BD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72,9</w:t>
            </w:r>
          </w:p>
        </w:tc>
      </w:tr>
      <w:tr w:rsidR="007449C0" w:rsidRPr="00444A00" w14:paraId="172F70F9"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55D147"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Irlanda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24A4B1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89,4</w:t>
            </w:r>
          </w:p>
        </w:tc>
      </w:tr>
      <w:tr w:rsidR="007449C0" w:rsidRPr="00444A00" w14:paraId="7EBA5C9B"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0DBC1A"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Italia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3F5FB6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92,3</w:t>
            </w:r>
          </w:p>
        </w:tc>
      </w:tr>
      <w:tr w:rsidR="007449C0" w:rsidRPr="00444A00" w14:paraId="732E69F0"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7F9D5E"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Letonia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0C5111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39,4</w:t>
            </w:r>
          </w:p>
        </w:tc>
      </w:tr>
      <w:tr w:rsidR="007449C0" w:rsidRPr="00444A00" w14:paraId="3DC324F0"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A30550"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Lituania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70FA1E8"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57,7</w:t>
            </w:r>
          </w:p>
        </w:tc>
      </w:tr>
      <w:tr w:rsidR="007449C0" w:rsidRPr="00444A00" w14:paraId="76C705C4"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6CD4FF"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Luxemburg</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2433EAE4"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52,0</w:t>
            </w:r>
          </w:p>
        </w:tc>
      </w:tr>
      <w:tr w:rsidR="007449C0" w:rsidRPr="00444A00" w14:paraId="3F170ED0"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353859"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Malta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0BF89D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133,9</w:t>
            </w:r>
          </w:p>
        </w:tc>
      </w:tr>
      <w:tr w:rsidR="007449C0" w:rsidRPr="00444A00" w14:paraId="49CEB0E3"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72A00D03" w14:textId="77777777" w:rsidR="007449C0" w:rsidRPr="00444A00" w:rsidRDefault="007449C0" w:rsidP="003D514F">
            <w:pPr>
              <w:spacing w:before="60" w:after="60" w:line="312" w:lineRule="atLeast"/>
              <w:ind w:firstLine="0"/>
              <w:jc w:val="left"/>
              <w:rPr>
                <w:b/>
                <w:bCs/>
                <w:color w:val="333333"/>
                <w:sz w:val="24"/>
                <w:vertAlign w:val="superscript"/>
                <w:lang w:eastAsia="ro-RO"/>
              </w:rPr>
            </w:pPr>
            <w:r w:rsidRPr="00444A00">
              <w:rPr>
                <w:b/>
                <w:bCs/>
                <w:color w:val="333333"/>
                <w:sz w:val="24"/>
                <w:lang w:eastAsia="ro-RO"/>
              </w:rPr>
              <w:t>Moldova</w:t>
            </w:r>
            <w:r w:rsidRPr="00444A00">
              <w:rPr>
                <w:b/>
                <w:bCs/>
                <w:color w:val="333333"/>
                <w:sz w:val="24"/>
                <w:vertAlign w:val="superscript"/>
                <w:lang w:eastAsia="ro-RO"/>
              </w:rPr>
              <w:t>(1)</w:t>
            </w:r>
          </w:p>
        </w:tc>
        <w:tc>
          <w:tcPr>
            <w:tcW w:w="3475" w:type="pct"/>
            <w:tcBorders>
              <w:top w:val="single" w:sz="6" w:space="0" w:color="000000"/>
              <w:left w:val="single" w:sz="6" w:space="0" w:color="000000"/>
              <w:bottom w:val="single" w:sz="6" w:space="0" w:color="000000"/>
              <w:right w:val="single" w:sz="6" w:space="0" w:color="000000"/>
            </w:tcBorders>
            <w:shd w:val="clear" w:color="auto" w:fill="FFFFFF"/>
          </w:tcPr>
          <w:p w14:paraId="012028ED" w14:textId="77777777" w:rsidR="007449C0" w:rsidRPr="00444A00" w:rsidRDefault="007449C0" w:rsidP="003D514F">
            <w:pPr>
              <w:spacing w:before="60" w:after="60" w:line="312" w:lineRule="atLeast"/>
              <w:ind w:right="195" w:firstLine="0"/>
              <w:jc w:val="center"/>
              <w:rPr>
                <w:b/>
                <w:bCs/>
                <w:color w:val="333333"/>
                <w:sz w:val="24"/>
                <w:lang w:eastAsia="ro-RO"/>
              </w:rPr>
            </w:pPr>
            <w:r w:rsidRPr="00444A00">
              <w:rPr>
                <w:b/>
                <w:bCs/>
                <w:color w:val="333333"/>
                <w:sz w:val="24"/>
                <w:lang w:eastAsia="ro-RO"/>
              </w:rPr>
              <w:t>145,0</w:t>
            </w:r>
          </w:p>
        </w:tc>
      </w:tr>
      <w:tr w:rsidR="007449C0" w:rsidRPr="00444A00" w14:paraId="125535F2"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64D56D"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Țările de Jos</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4C5C772F"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99,9</w:t>
            </w:r>
          </w:p>
        </w:tc>
      </w:tr>
      <w:tr w:rsidR="007449C0" w:rsidRPr="00444A00" w14:paraId="4247C6C9"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033FA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Polonia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9ADF975"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196,5</w:t>
            </w:r>
          </w:p>
        </w:tc>
      </w:tr>
      <w:tr w:rsidR="007449C0" w:rsidRPr="00444A00" w14:paraId="0677F383"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A1D93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Portugalia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1A172F22"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61,6</w:t>
            </w:r>
          </w:p>
        </w:tc>
      </w:tr>
      <w:tr w:rsidR="007449C0" w:rsidRPr="00444A00" w14:paraId="439CADB4"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C598FE"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România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18B2F27"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86,1</w:t>
            </w:r>
          </w:p>
        </w:tc>
      </w:tr>
      <w:tr w:rsidR="007449C0" w:rsidRPr="00444A00" w14:paraId="191735BB"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C0B79E"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Slovacia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38511173"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45,6</w:t>
            </w:r>
          </w:p>
        </w:tc>
      </w:tr>
      <w:tr w:rsidR="007449C0" w:rsidRPr="00444A00" w14:paraId="18A115D0"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750F51"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Slovenia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7D95BBB"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70,1</w:t>
            </w:r>
          </w:p>
        </w:tc>
      </w:tr>
      <w:tr w:rsidR="007449C0" w:rsidRPr="00444A00" w14:paraId="575DCF42"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CE9038" w14:textId="77777777" w:rsidR="007449C0" w:rsidRPr="00444A00" w:rsidRDefault="007449C0" w:rsidP="003D514F">
            <w:pPr>
              <w:spacing w:before="60" w:after="60" w:line="312" w:lineRule="atLeast"/>
              <w:ind w:firstLine="0"/>
              <w:jc w:val="left"/>
              <w:rPr>
                <w:color w:val="333333"/>
                <w:sz w:val="24"/>
                <w:lang w:eastAsia="ro-RO"/>
              </w:rPr>
            </w:pPr>
            <w:r w:rsidRPr="00444A00">
              <w:rPr>
                <w:color w:val="333333"/>
                <w:sz w:val="24"/>
                <w:lang w:eastAsia="ro-RO"/>
              </w:rPr>
              <w:t>Suedia</w:t>
            </w:r>
          </w:p>
        </w:tc>
        <w:tc>
          <w:tcPr>
            <w:tcW w:w="3475" w:type="pct"/>
            <w:tcBorders>
              <w:top w:val="single" w:sz="6" w:space="0" w:color="000000"/>
              <w:left w:val="single" w:sz="6" w:space="0" w:color="000000"/>
              <w:bottom w:val="single" w:sz="6" w:space="0" w:color="000000"/>
              <w:right w:val="single" w:sz="6" w:space="0" w:color="000000"/>
            </w:tcBorders>
            <w:shd w:val="clear" w:color="auto" w:fill="FFFFFF"/>
            <w:hideMark/>
          </w:tcPr>
          <w:p w14:paraId="6D7FB55E" w14:textId="77777777" w:rsidR="007449C0" w:rsidRPr="00444A00" w:rsidRDefault="007449C0" w:rsidP="003D514F">
            <w:pPr>
              <w:spacing w:before="60" w:after="60" w:line="312" w:lineRule="atLeast"/>
              <w:ind w:right="195" w:firstLine="0"/>
              <w:jc w:val="center"/>
              <w:rPr>
                <w:color w:val="333333"/>
                <w:sz w:val="24"/>
                <w:lang w:eastAsia="ro-RO"/>
              </w:rPr>
            </w:pPr>
            <w:r w:rsidRPr="00444A00">
              <w:rPr>
                <w:color w:val="333333"/>
                <w:sz w:val="24"/>
                <w:lang w:eastAsia="ro-RO"/>
              </w:rPr>
              <w:t>4,1</w:t>
            </w:r>
          </w:p>
        </w:tc>
      </w:tr>
      <w:tr w:rsidR="007449C0" w:rsidRPr="00444A00" w14:paraId="443248AD" w14:textId="77777777" w:rsidTr="003D514F">
        <w:trPr>
          <w:jc w:val="center"/>
        </w:trPr>
        <w:tc>
          <w:tcPr>
            <w:tcW w:w="5000" w:type="pct"/>
            <w:gridSpan w:val="2"/>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653"/>
              <w:gridCol w:w="4117"/>
            </w:tblGrid>
            <w:tr w:rsidR="007449C0" w:rsidRPr="00444A00" w14:paraId="7547C986" w14:textId="77777777" w:rsidTr="003D514F">
              <w:tc>
                <w:tcPr>
                  <w:tcW w:w="685" w:type="pct"/>
                  <w:hideMark/>
                </w:tcPr>
                <w:p w14:paraId="44E4F769" w14:textId="77777777" w:rsidR="007449C0" w:rsidRPr="00444A00" w:rsidRDefault="007449C0" w:rsidP="003D514F">
                  <w:pPr>
                    <w:spacing w:before="120" w:line="312" w:lineRule="atLeast"/>
                    <w:ind w:firstLine="0"/>
                    <w:rPr>
                      <w:sz w:val="24"/>
                      <w:lang w:eastAsia="ro-RO"/>
                    </w:rPr>
                  </w:pPr>
                  <w:r w:rsidRPr="00444A00">
                    <w:rPr>
                      <w:i/>
                      <w:iCs/>
                      <w:sz w:val="24"/>
                      <w:lang w:eastAsia="ro-RO"/>
                    </w:rPr>
                    <w:t>Sursă</w:t>
                  </w:r>
                  <w:r w:rsidRPr="00444A00">
                    <w:rPr>
                      <w:sz w:val="24"/>
                      <w:lang w:eastAsia="ro-RO"/>
                    </w:rPr>
                    <w:t>:</w:t>
                  </w:r>
                </w:p>
              </w:tc>
              <w:tc>
                <w:tcPr>
                  <w:tcW w:w="4315" w:type="pct"/>
                  <w:hideMark/>
                </w:tcPr>
                <w:p w14:paraId="1EF44838" w14:textId="77777777" w:rsidR="007449C0" w:rsidRPr="00444A00" w:rsidRDefault="007449C0" w:rsidP="003D514F">
                  <w:pPr>
                    <w:spacing w:before="120" w:line="312" w:lineRule="atLeast"/>
                    <w:ind w:firstLine="0"/>
                    <w:rPr>
                      <w:i/>
                      <w:iCs/>
                      <w:sz w:val="24"/>
                      <w:lang w:eastAsia="ro-RO"/>
                    </w:rPr>
                  </w:pPr>
                  <w:r w:rsidRPr="00444A00">
                    <w:rPr>
                      <w:i/>
                      <w:iCs/>
                      <w:sz w:val="24"/>
                      <w:lang w:eastAsia="ro-RO"/>
                    </w:rPr>
                    <w:t>JRC (Centrul Comun de Cercetare), 2022.</w:t>
                  </w:r>
                </w:p>
                <w:p w14:paraId="1C83545A" w14:textId="77777777" w:rsidR="007449C0" w:rsidRPr="00444A00" w:rsidRDefault="007449C0" w:rsidP="003D514F">
                  <w:pPr>
                    <w:spacing w:before="120" w:line="312" w:lineRule="atLeast"/>
                    <w:ind w:firstLine="0"/>
                    <w:rPr>
                      <w:sz w:val="24"/>
                      <w:lang w:eastAsia="ro-RO"/>
                    </w:rPr>
                  </w:pPr>
                </w:p>
              </w:tc>
            </w:tr>
            <w:tr w:rsidR="007449C0" w:rsidRPr="00444A00" w14:paraId="685D6255" w14:textId="77777777" w:rsidTr="003D514F">
              <w:tc>
                <w:tcPr>
                  <w:tcW w:w="5000" w:type="pct"/>
                  <w:gridSpan w:val="2"/>
                </w:tcPr>
                <w:p w14:paraId="5E0B08CC" w14:textId="77777777" w:rsidR="007449C0" w:rsidRPr="00444A00" w:rsidRDefault="007449C0" w:rsidP="003D514F">
                  <w:pPr>
                    <w:spacing w:line="312" w:lineRule="atLeast"/>
                    <w:ind w:firstLine="0"/>
                    <w:rPr>
                      <w:sz w:val="24"/>
                      <w:lang w:eastAsia="ro-RO"/>
                    </w:rPr>
                  </w:pPr>
                  <w:r w:rsidRPr="00444A00">
                    <w:rPr>
                      <w:sz w:val="24"/>
                      <w:vertAlign w:val="superscript"/>
                      <w:lang w:eastAsia="ro-RO"/>
                    </w:rPr>
                    <w:t>(1)</w:t>
                  </w:r>
                  <w:r w:rsidRPr="00444A00">
                    <w:rPr>
                      <w:i/>
                      <w:iCs/>
                      <w:sz w:val="24"/>
                      <w:lang w:eastAsia="ro-RO"/>
                    </w:rPr>
                    <w:t>Factorul de emisii  pentru Moldova a fost preluată din raportul „</w:t>
                  </w:r>
                  <w:proofErr w:type="spellStart"/>
                  <w:r w:rsidRPr="00444A00">
                    <w:rPr>
                      <w:i/>
                      <w:iCs/>
                      <w:sz w:val="24"/>
                      <w:lang w:eastAsia="ro-RO"/>
                    </w:rPr>
                    <w:t>Assessment</w:t>
                  </w:r>
                  <w:proofErr w:type="spellEnd"/>
                  <w:r w:rsidRPr="00444A00">
                    <w:rPr>
                      <w:i/>
                      <w:iCs/>
                      <w:sz w:val="24"/>
                      <w:lang w:eastAsia="ro-RO"/>
                    </w:rPr>
                    <w:t xml:space="preserve"> of The Grid </w:t>
                  </w:r>
                  <w:proofErr w:type="spellStart"/>
                  <w:r w:rsidRPr="00444A00">
                    <w:rPr>
                      <w:i/>
                      <w:iCs/>
                      <w:sz w:val="24"/>
                      <w:lang w:eastAsia="ro-RO"/>
                    </w:rPr>
                    <w:t>Emission</w:t>
                  </w:r>
                  <w:proofErr w:type="spellEnd"/>
                  <w:r w:rsidRPr="00444A00">
                    <w:rPr>
                      <w:i/>
                      <w:iCs/>
                      <w:sz w:val="24"/>
                      <w:lang w:eastAsia="ro-RO"/>
                    </w:rPr>
                    <w:t xml:space="preserve"> Factor of </w:t>
                  </w:r>
                  <w:proofErr w:type="spellStart"/>
                  <w:r w:rsidRPr="00444A00">
                    <w:rPr>
                      <w:i/>
                      <w:iCs/>
                      <w:sz w:val="24"/>
                      <w:lang w:eastAsia="ro-RO"/>
                    </w:rPr>
                    <w:t>Moldova’s</w:t>
                  </w:r>
                  <w:proofErr w:type="spellEnd"/>
                  <w:r w:rsidRPr="00444A00">
                    <w:rPr>
                      <w:i/>
                      <w:iCs/>
                      <w:sz w:val="24"/>
                      <w:lang w:eastAsia="ro-RO"/>
                    </w:rPr>
                    <w:t xml:space="preserve"> </w:t>
                  </w:r>
                  <w:proofErr w:type="spellStart"/>
                  <w:r w:rsidRPr="00444A00">
                    <w:rPr>
                      <w:i/>
                      <w:iCs/>
                      <w:sz w:val="24"/>
                      <w:lang w:eastAsia="ro-RO"/>
                    </w:rPr>
                    <w:t>Electricity</w:t>
                  </w:r>
                  <w:proofErr w:type="spellEnd"/>
                  <w:r w:rsidRPr="00444A00">
                    <w:rPr>
                      <w:i/>
                      <w:iCs/>
                      <w:sz w:val="24"/>
                      <w:lang w:eastAsia="ro-RO"/>
                    </w:rPr>
                    <w:t xml:space="preserve"> </w:t>
                  </w:r>
                  <w:proofErr w:type="spellStart"/>
                  <w:r w:rsidRPr="00444A00">
                    <w:rPr>
                      <w:i/>
                      <w:iCs/>
                      <w:sz w:val="24"/>
                      <w:lang w:eastAsia="ro-RO"/>
                    </w:rPr>
                    <w:t>System</w:t>
                  </w:r>
                  <w:proofErr w:type="spellEnd"/>
                  <w:r w:rsidRPr="00444A00">
                    <w:rPr>
                      <w:i/>
                      <w:iCs/>
                      <w:sz w:val="24"/>
                      <w:lang w:eastAsia="ro-RO"/>
                    </w:rPr>
                    <w:t>” elaborat de MESA, 2024.</w:t>
                  </w:r>
                </w:p>
              </w:tc>
            </w:tr>
          </w:tbl>
          <w:p w14:paraId="61924A1E" w14:textId="77777777" w:rsidR="007449C0" w:rsidRPr="00444A00" w:rsidRDefault="007449C0" w:rsidP="003D514F">
            <w:pPr>
              <w:ind w:firstLine="0"/>
              <w:jc w:val="left"/>
              <w:rPr>
                <w:color w:val="333333"/>
                <w:sz w:val="24"/>
                <w:lang w:eastAsia="ro-RO"/>
              </w:rPr>
            </w:pPr>
          </w:p>
        </w:tc>
      </w:tr>
    </w:tbl>
    <w:p w14:paraId="581ADE47" w14:textId="77777777" w:rsidR="007449C0" w:rsidRDefault="007449C0" w:rsidP="007449C0">
      <w:pPr>
        <w:pStyle w:val="Anexapct111"/>
        <w:numPr>
          <w:ilvl w:val="0"/>
          <w:numId w:val="0"/>
        </w:numPr>
      </w:pPr>
    </w:p>
    <w:p w14:paraId="09A30822" w14:textId="7203DBF6" w:rsidR="009614F8" w:rsidRDefault="00AD5002">
      <w:r>
        <w:t>3</w:t>
      </w:r>
      <w:r w:rsidR="00102D08">
        <w:t xml:space="preserve">.4. </w:t>
      </w:r>
      <w:r w:rsidR="007449C0">
        <w:t>se completează cu anexa nr. 4</w:t>
      </w:r>
      <w:r w:rsidR="00102D08" w:rsidRPr="00102D08">
        <w:t xml:space="preserve"> </w:t>
      </w:r>
      <w:r w:rsidR="00102D08">
        <w:t>„O</w:t>
      </w:r>
      <w:r w:rsidR="00102D08" w:rsidRPr="008B3E0D">
        <w:t>rientări operaționale privind dovezile pentru demonstrarea conformității cu criteriile de durabilitate aplicabile biomasei forestiere</w:t>
      </w:r>
      <w:r w:rsidR="00102D08">
        <w:t>”</w:t>
      </w:r>
      <w:r w:rsidR="00020D28">
        <w:t>, cu urm</w:t>
      </w:r>
      <w:proofErr w:type="spellStart"/>
      <w:r w:rsidR="00020D28">
        <w:rPr>
          <w:lang w:val="ro-MD"/>
        </w:rPr>
        <w:t>ătorul</w:t>
      </w:r>
      <w:proofErr w:type="spellEnd"/>
      <w:r w:rsidR="00020D28">
        <w:rPr>
          <w:lang w:val="ro-MD"/>
        </w:rPr>
        <w:t xml:space="preserve"> cuprins</w:t>
      </w:r>
      <w:r w:rsidR="00F60D5C">
        <w:t>:</w:t>
      </w:r>
    </w:p>
    <w:p w14:paraId="14454F02" w14:textId="77777777" w:rsidR="007449C0" w:rsidRPr="007626A0" w:rsidRDefault="007449C0" w:rsidP="007449C0">
      <w:pPr>
        <w:jc w:val="right"/>
        <w:rPr>
          <w:w w:val="105"/>
          <w:sz w:val="24"/>
        </w:rPr>
      </w:pPr>
      <w:r w:rsidRPr="007626A0">
        <w:rPr>
          <w:w w:val="105"/>
          <w:sz w:val="24"/>
        </w:rPr>
        <w:t>Anexa nr. 4</w:t>
      </w:r>
    </w:p>
    <w:p w14:paraId="41F4C8A2" w14:textId="77777777" w:rsidR="007449C0" w:rsidRPr="007626A0" w:rsidRDefault="007449C0" w:rsidP="007449C0">
      <w:pPr>
        <w:pStyle w:val="Anexapct1"/>
        <w:numPr>
          <w:ilvl w:val="0"/>
          <w:numId w:val="0"/>
        </w:numPr>
        <w:ind w:left="431"/>
        <w:jc w:val="right"/>
        <w:rPr>
          <w:spacing w:val="-2"/>
          <w:sz w:val="24"/>
        </w:rPr>
      </w:pPr>
      <w:r w:rsidRPr="007626A0">
        <w:rPr>
          <w:sz w:val="24"/>
        </w:rPr>
        <w:t>la</w:t>
      </w:r>
      <w:r w:rsidRPr="007626A0">
        <w:rPr>
          <w:spacing w:val="67"/>
          <w:sz w:val="24"/>
        </w:rPr>
        <w:t xml:space="preserve"> </w:t>
      </w:r>
      <w:r w:rsidRPr="007626A0">
        <w:rPr>
          <w:sz w:val="24"/>
        </w:rPr>
        <w:t>Hotărârea</w:t>
      </w:r>
      <w:r w:rsidRPr="007626A0">
        <w:rPr>
          <w:spacing w:val="68"/>
          <w:sz w:val="24"/>
        </w:rPr>
        <w:t xml:space="preserve"> </w:t>
      </w:r>
      <w:r w:rsidRPr="007626A0">
        <w:rPr>
          <w:sz w:val="24"/>
        </w:rPr>
        <w:t>Guvernului</w:t>
      </w:r>
      <w:r w:rsidRPr="007626A0">
        <w:rPr>
          <w:spacing w:val="67"/>
          <w:sz w:val="24"/>
        </w:rPr>
        <w:t xml:space="preserve"> </w:t>
      </w:r>
      <w:r w:rsidRPr="007626A0">
        <w:rPr>
          <w:spacing w:val="-2"/>
          <w:sz w:val="24"/>
        </w:rPr>
        <w:t>nr. 53/2025</w:t>
      </w:r>
    </w:p>
    <w:p w14:paraId="66C1BE93" w14:textId="77777777" w:rsidR="007449C0" w:rsidRDefault="007449C0" w:rsidP="007449C0">
      <w:pPr>
        <w:pStyle w:val="Capitol"/>
        <w:rPr>
          <w:sz w:val="24"/>
        </w:rPr>
      </w:pPr>
      <w:r w:rsidRPr="007626A0">
        <w:rPr>
          <w:sz w:val="24"/>
        </w:rPr>
        <w:t>orientări operaționale privind dovezile pentru demonstrarea conformității cu criteriile de durabilitate aplicabile biomasei forestiere</w:t>
      </w:r>
    </w:p>
    <w:p w14:paraId="0A86BAC5" w14:textId="0E99A93F" w:rsidR="00020D28" w:rsidRPr="00D26422" w:rsidRDefault="00020D28" w:rsidP="00671F38">
      <w:pPr>
        <w:rPr>
          <w:sz w:val="24"/>
          <w:szCs w:val="22"/>
        </w:rPr>
      </w:pPr>
      <w:r w:rsidRPr="00671F38">
        <w:rPr>
          <w:sz w:val="24"/>
          <w:szCs w:val="22"/>
        </w:rPr>
        <w:lastRenderedPageBreak/>
        <w:t>O</w:t>
      </w:r>
      <w:r w:rsidRPr="00D26422">
        <w:rPr>
          <w:sz w:val="24"/>
          <w:szCs w:val="22"/>
        </w:rPr>
        <w:t xml:space="preserve">rientările operaționale </w:t>
      </w:r>
      <w:r w:rsidRPr="00671F38">
        <w:rPr>
          <w:sz w:val="24"/>
          <w:szCs w:val="22"/>
        </w:rPr>
        <w:t xml:space="preserve">transpun integral </w:t>
      </w:r>
      <w:r w:rsidR="00D26422">
        <w:rPr>
          <w:sz w:val="24"/>
          <w:szCs w:val="22"/>
        </w:rPr>
        <w:t>R</w:t>
      </w:r>
      <w:r w:rsidRPr="00671F38">
        <w:rPr>
          <w:sz w:val="24"/>
          <w:szCs w:val="22"/>
        </w:rPr>
        <w:t>egulamentul de punere în aplicare (</w:t>
      </w:r>
      <w:r w:rsidR="00D26422">
        <w:rPr>
          <w:sz w:val="24"/>
          <w:szCs w:val="22"/>
        </w:rPr>
        <w:t>UE</w:t>
      </w:r>
      <w:r w:rsidRPr="00671F38">
        <w:rPr>
          <w:sz w:val="24"/>
          <w:szCs w:val="22"/>
        </w:rPr>
        <w:t xml:space="preserve">) 2022/2448 al </w:t>
      </w:r>
      <w:r w:rsidR="00C128EC">
        <w:rPr>
          <w:sz w:val="24"/>
          <w:szCs w:val="22"/>
        </w:rPr>
        <w:t>C</w:t>
      </w:r>
      <w:r w:rsidRPr="00671F38">
        <w:rPr>
          <w:sz w:val="24"/>
          <w:szCs w:val="22"/>
        </w:rPr>
        <w:t xml:space="preserve">omisiei din 13 decembrie 2022 de stabilire a unor orientări operaționale privind dovezile pentru demonstrarea conformității cu criteriile de durabilitate aplicabile biomasei forestiere, prevăzute la </w:t>
      </w:r>
      <w:r w:rsidR="00C36B99">
        <w:rPr>
          <w:sz w:val="24"/>
          <w:szCs w:val="22"/>
        </w:rPr>
        <w:t>A</w:t>
      </w:r>
      <w:r w:rsidRPr="00671F38">
        <w:rPr>
          <w:sz w:val="24"/>
          <w:szCs w:val="22"/>
        </w:rPr>
        <w:t xml:space="preserve">rticolul 29 din </w:t>
      </w:r>
      <w:r w:rsidR="00D26422">
        <w:rPr>
          <w:sz w:val="24"/>
          <w:szCs w:val="22"/>
        </w:rPr>
        <w:t>D</w:t>
      </w:r>
      <w:r w:rsidRPr="00671F38">
        <w:rPr>
          <w:sz w:val="24"/>
          <w:szCs w:val="22"/>
        </w:rPr>
        <w:t>irectiva (</w:t>
      </w:r>
      <w:r w:rsidR="00D26422">
        <w:rPr>
          <w:sz w:val="24"/>
          <w:szCs w:val="22"/>
        </w:rPr>
        <w:t>UE</w:t>
      </w:r>
      <w:r w:rsidRPr="00671F38">
        <w:rPr>
          <w:sz w:val="24"/>
          <w:szCs w:val="22"/>
        </w:rPr>
        <w:t xml:space="preserve">) 2018/2001 a </w:t>
      </w:r>
      <w:r w:rsidR="00C128EC">
        <w:rPr>
          <w:sz w:val="24"/>
          <w:szCs w:val="22"/>
        </w:rPr>
        <w:t>P</w:t>
      </w:r>
      <w:r w:rsidRPr="00671F38">
        <w:rPr>
          <w:sz w:val="24"/>
          <w:szCs w:val="22"/>
        </w:rPr>
        <w:t xml:space="preserve">arlamentului </w:t>
      </w:r>
      <w:r w:rsidR="00FE209E">
        <w:rPr>
          <w:sz w:val="24"/>
          <w:szCs w:val="22"/>
        </w:rPr>
        <w:t>E</w:t>
      </w:r>
      <w:r w:rsidRPr="00671F38">
        <w:rPr>
          <w:sz w:val="24"/>
          <w:szCs w:val="22"/>
        </w:rPr>
        <w:t xml:space="preserve">uropean și a </w:t>
      </w:r>
      <w:r w:rsidR="001B0C0E">
        <w:rPr>
          <w:sz w:val="24"/>
          <w:szCs w:val="22"/>
        </w:rPr>
        <w:t>C</w:t>
      </w:r>
      <w:r w:rsidRPr="00671F38">
        <w:rPr>
          <w:sz w:val="24"/>
          <w:szCs w:val="22"/>
        </w:rPr>
        <w:t xml:space="preserve">onsiliului, publicat în </w:t>
      </w:r>
      <w:r w:rsidR="00FE209E">
        <w:rPr>
          <w:sz w:val="24"/>
          <w:szCs w:val="22"/>
        </w:rPr>
        <w:t>J</w:t>
      </w:r>
      <w:r w:rsidRPr="00671F38">
        <w:rPr>
          <w:sz w:val="24"/>
          <w:szCs w:val="22"/>
        </w:rPr>
        <w:t xml:space="preserve">urnalul </w:t>
      </w:r>
      <w:r w:rsidR="00FE209E">
        <w:rPr>
          <w:sz w:val="24"/>
          <w:szCs w:val="22"/>
        </w:rPr>
        <w:t>O</w:t>
      </w:r>
      <w:r w:rsidRPr="00671F38">
        <w:rPr>
          <w:sz w:val="24"/>
          <w:szCs w:val="22"/>
        </w:rPr>
        <w:t xml:space="preserve">ficial al </w:t>
      </w:r>
      <w:r w:rsidR="00FE209E">
        <w:rPr>
          <w:sz w:val="24"/>
          <w:szCs w:val="22"/>
        </w:rPr>
        <w:t>U</w:t>
      </w:r>
      <w:r w:rsidRPr="00671F38">
        <w:rPr>
          <w:sz w:val="24"/>
          <w:szCs w:val="22"/>
        </w:rPr>
        <w:t xml:space="preserve">niunii </w:t>
      </w:r>
      <w:r w:rsidR="00FE209E">
        <w:rPr>
          <w:sz w:val="24"/>
          <w:szCs w:val="22"/>
        </w:rPr>
        <w:t>E</w:t>
      </w:r>
      <w:r w:rsidRPr="00671F38">
        <w:rPr>
          <w:sz w:val="24"/>
          <w:szCs w:val="22"/>
        </w:rPr>
        <w:t xml:space="preserve">uropene, seria </w:t>
      </w:r>
      <w:r w:rsidR="00FE209E">
        <w:rPr>
          <w:sz w:val="24"/>
          <w:szCs w:val="22"/>
        </w:rPr>
        <w:t>L</w:t>
      </w:r>
      <w:r w:rsidRPr="00671F38">
        <w:rPr>
          <w:sz w:val="24"/>
          <w:szCs w:val="22"/>
        </w:rPr>
        <w:t xml:space="preserve"> 320 din 14 decembrie 2022 (</w:t>
      </w:r>
      <w:r w:rsidR="00D26422">
        <w:rPr>
          <w:sz w:val="24"/>
          <w:szCs w:val="22"/>
        </w:rPr>
        <w:t>CELEX</w:t>
      </w:r>
      <w:r w:rsidRPr="00671F38">
        <w:rPr>
          <w:sz w:val="24"/>
          <w:szCs w:val="22"/>
        </w:rPr>
        <w:t>: 32022</w:t>
      </w:r>
      <w:r w:rsidR="00D26422">
        <w:rPr>
          <w:sz w:val="24"/>
          <w:szCs w:val="22"/>
        </w:rPr>
        <w:t>R</w:t>
      </w:r>
      <w:r w:rsidRPr="00671F38">
        <w:rPr>
          <w:sz w:val="24"/>
          <w:szCs w:val="22"/>
        </w:rPr>
        <w:t>2448)</w:t>
      </w:r>
      <w:r w:rsidR="008122AC">
        <w:rPr>
          <w:sz w:val="24"/>
          <w:szCs w:val="22"/>
        </w:rPr>
        <w:t>.</w:t>
      </w:r>
    </w:p>
    <w:p w14:paraId="31B8F16F" w14:textId="77777777" w:rsidR="007449C0" w:rsidRPr="007626A0" w:rsidRDefault="007449C0" w:rsidP="007449C0">
      <w:pPr>
        <w:pStyle w:val="Capitol"/>
        <w:rPr>
          <w:sz w:val="24"/>
        </w:rPr>
      </w:pPr>
      <w:r w:rsidRPr="007626A0">
        <w:rPr>
          <w:caps w:val="0"/>
          <w:sz w:val="24"/>
        </w:rPr>
        <w:t xml:space="preserve">Capitolul </w:t>
      </w:r>
      <w:r w:rsidRPr="007626A0">
        <w:rPr>
          <w:sz w:val="24"/>
        </w:rPr>
        <w:t>I</w:t>
      </w:r>
    </w:p>
    <w:p w14:paraId="1F12F59C" w14:textId="77777777" w:rsidR="007449C0" w:rsidRPr="007626A0" w:rsidRDefault="007449C0" w:rsidP="007449C0">
      <w:pPr>
        <w:pStyle w:val="Capitol"/>
        <w:rPr>
          <w:sz w:val="24"/>
        </w:rPr>
      </w:pPr>
      <w:r w:rsidRPr="007626A0">
        <w:rPr>
          <w:sz w:val="24"/>
        </w:rPr>
        <w:t>DISPOZIȚII GENERALE</w:t>
      </w:r>
    </w:p>
    <w:p w14:paraId="356523AF" w14:textId="77777777" w:rsidR="007449C0" w:rsidRPr="007626A0" w:rsidRDefault="007449C0" w:rsidP="007449C0">
      <w:pPr>
        <w:pStyle w:val="Anexapct1"/>
        <w:numPr>
          <w:ilvl w:val="0"/>
          <w:numId w:val="22"/>
        </w:numPr>
        <w:rPr>
          <w:sz w:val="24"/>
        </w:rPr>
      </w:pPr>
      <w:r w:rsidRPr="007626A0">
        <w:rPr>
          <w:sz w:val="24"/>
        </w:rPr>
        <w:t>Prezenta anexă stabilește orientările operaționale care trebuie aplicate pentru a asigura o implementare robustă și armonizată a criteriilor de durabilitate bazate pe riscuri pentru producția de biocarburanți, biolichide și combustibili din biomasa forestieră prevăzute la pct. 20 și 21 din anexa nr. 1 la prezenta hotărâre.</w:t>
      </w:r>
    </w:p>
    <w:p w14:paraId="0416CB64" w14:textId="77777777" w:rsidR="007449C0" w:rsidRPr="007626A0" w:rsidRDefault="007449C0" w:rsidP="007449C0">
      <w:pPr>
        <w:pStyle w:val="Anexapct1"/>
        <w:numPr>
          <w:ilvl w:val="0"/>
          <w:numId w:val="22"/>
        </w:numPr>
        <w:rPr>
          <w:sz w:val="24"/>
        </w:rPr>
      </w:pPr>
      <w:r w:rsidRPr="007626A0">
        <w:rPr>
          <w:sz w:val="24"/>
        </w:rPr>
        <w:t>În sensul prezentei anexe, se utilizează următoarele noțiuni:</w:t>
      </w:r>
    </w:p>
    <w:p w14:paraId="7985747F" w14:textId="77777777" w:rsidR="007449C0" w:rsidRPr="00F042E0" w:rsidRDefault="007449C0" w:rsidP="007449C0">
      <w:pPr>
        <w:pStyle w:val="Anexapct11"/>
        <w:rPr>
          <w:sz w:val="24"/>
        </w:rPr>
      </w:pPr>
      <w:r w:rsidRPr="00F042E0">
        <w:rPr>
          <w:i/>
          <w:iCs/>
          <w:sz w:val="24"/>
        </w:rPr>
        <w:t>criterii de recoltare la nivel național sau subnațional</w:t>
      </w:r>
      <w:r w:rsidRPr="00F042E0">
        <w:rPr>
          <w:sz w:val="24"/>
        </w:rPr>
        <w:t xml:space="preserve"> – criteriile prevăzute la subpct. 20.1 din anexa nr. 1 la prezenta hotărâre;</w:t>
      </w:r>
    </w:p>
    <w:p w14:paraId="0FD31CAF" w14:textId="77777777" w:rsidR="007449C0" w:rsidRPr="007626A0" w:rsidRDefault="007449C0" w:rsidP="007449C0">
      <w:pPr>
        <w:pStyle w:val="Anexapct11"/>
        <w:rPr>
          <w:sz w:val="24"/>
        </w:rPr>
      </w:pPr>
      <w:r w:rsidRPr="007626A0">
        <w:rPr>
          <w:i/>
          <w:iCs/>
          <w:sz w:val="24"/>
        </w:rPr>
        <w:t>criterii de recoltare la nivelul zonei de aprovizionare</w:t>
      </w:r>
      <w:r w:rsidRPr="007626A0">
        <w:rPr>
          <w:sz w:val="24"/>
        </w:rPr>
        <w:t xml:space="preserve"> – criteriile prevăzute la subpct. 20.2 din anexa nr. 1 la prezenta hotărâre;</w:t>
      </w:r>
    </w:p>
    <w:p w14:paraId="31001275" w14:textId="77777777" w:rsidR="007449C0" w:rsidRPr="007626A0" w:rsidRDefault="007449C0" w:rsidP="007449C0">
      <w:pPr>
        <w:pStyle w:val="Anexapct11"/>
        <w:rPr>
          <w:sz w:val="24"/>
        </w:rPr>
      </w:pPr>
      <w:r w:rsidRPr="007626A0">
        <w:rPr>
          <w:i/>
          <w:iCs/>
          <w:sz w:val="24"/>
        </w:rPr>
        <w:t>țara de recoltare</w:t>
      </w:r>
      <w:r w:rsidRPr="007626A0">
        <w:rPr>
          <w:sz w:val="24"/>
        </w:rPr>
        <w:t xml:space="preserve"> – țara sau teritoriul în care a fost recoltată materia primă de biomasă forestieră;</w:t>
      </w:r>
    </w:p>
    <w:p w14:paraId="6AD0E4C6" w14:textId="77777777" w:rsidR="007449C0" w:rsidRPr="007626A0" w:rsidRDefault="007449C0" w:rsidP="007449C0">
      <w:pPr>
        <w:pStyle w:val="Anexapct11"/>
        <w:rPr>
          <w:sz w:val="24"/>
        </w:rPr>
      </w:pPr>
      <w:r w:rsidRPr="007626A0">
        <w:rPr>
          <w:i/>
          <w:iCs/>
          <w:sz w:val="24"/>
        </w:rPr>
        <w:t>pădure plantată</w:t>
      </w:r>
      <w:r w:rsidRPr="007626A0">
        <w:rPr>
          <w:sz w:val="24"/>
        </w:rPr>
        <w:t xml:space="preserve"> – o pădure formată în principal din arbori, creată prin plantare și/sau însămânțare deliberată, cu condiția să se preconizeze că arborii plantați sau însămânțați vor constitui mai mult de cincizeci la sută din arborii în picioare la maturitate; include crângurile de arbori care au fost plantați sau însămânțați inițial;</w:t>
      </w:r>
    </w:p>
    <w:p w14:paraId="6AE56AB3" w14:textId="77777777" w:rsidR="007449C0" w:rsidRPr="007626A0" w:rsidRDefault="007449C0" w:rsidP="007449C0">
      <w:pPr>
        <w:pStyle w:val="Anexapct11"/>
        <w:rPr>
          <w:sz w:val="24"/>
        </w:rPr>
      </w:pPr>
      <w:r w:rsidRPr="007626A0">
        <w:rPr>
          <w:i/>
          <w:iCs/>
          <w:sz w:val="24"/>
        </w:rPr>
        <w:t>plantație forestieră</w:t>
      </w:r>
      <w:r w:rsidRPr="007626A0">
        <w:rPr>
          <w:sz w:val="24"/>
        </w:rPr>
        <w:t xml:space="preserve"> – o pădure plantată care este gestionată intensiv și care, la plantare și la maturitatea arboretului, îndeplinește toate criteriile următoare: una sau două specii, clasă de vârstă omogenă și spațiere regulată. Aceasta include plantațiile cu ciclu scurt de producție pentru lemn, fibre și energie electrică și exclude pădurile plantate în scopul protejării sau al refacerii ecosistemelor, precum și pădurile create prin plantare sau însămânțare care, la maturitatea arboretului, seamănă sau se apropie de pădurile care se regenerează în mod natural;</w:t>
      </w:r>
    </w:p>
    <w:p w14:paraId="7E3B4F15" w14:textId="77777777" w:rsidR="007449C0" w:rsidRPr="007626A0" w:rsidRDefault="007449C0" w:rsidP="007449C0">
      <w:pPr>
        <w:pStyle w:val="Anexapct11"/>
        <w:rPr>
          <w:sz w:val="24"/>
        </w:rPr>
      </w:pPr>
      <w:r w:rsidRPr="007626A0">
        <w:rPr>
          <w:i/>
          <w:iCs/>
          <w:sz w:val="24"/>
        </w:rPr>
        <w:t>cioate și rădăcini</w:t>
      </w:r>
      <w:r w:rsidRPr="007626A0">
        <w:rPr>
          <w:sz w:val="24"/>
        </w:rPr>
        <w:t xml:space="preserve"> – părți din volumul total al arborilor, cu excluderea volumul biomasei lemnoase de deasupra ciotului, înălțimea ciotului fiind considerată nivelul de tăiere a arborilor în conformitate cu practicile normale de tăiere din țara sau din regiunea în cauză;</w:t>
      </w:r>
    </w:p>
    <w:p w14:paraId="4455D4C9" w14:textId="77777777" w:rsidR="007449C0" w:rsidRPr="007626A0" w:rsidRDefault="007449C0" w:rsidP="007449C0">
      <w:pPr>
        <w:pStyle w:val="Anexapct11"/>
        <w:rPr>
          <w:sz w:val="24"/>
        </w:rPr>
      </w:pPr>
      <w:r w:rsidRPr="007626A0">
        <w:rPr>
          <w:i/>
          <w:iCs/>
          <w:sz w:val="24"/>
        </w:rPr>
        <w:t>lemn mort</w:t>
      </w:r>
      <w:r w:rsidRPr="007626A0">
        <w:rPr>
          <w:sz w:val="24"/>
        </w:rPr>
        <w:t xml:space="preserve"> – toată biomasa lemnoasă nevie care nu este conținută în litieră, aflată pe sol sau în sol, inclusiv lemnul aflat la suprafață, resturile grosiere, rădăcinile moarte și cioatele mai mari sau egale cu 10 cm în diametru sau cu orice alt diametru utilizat de țara în cauză;</w:t>
      </w:r>
    </w:p>
    <w:p w14:paraId="2BD0FC1C" w14:textId="77777777" w:rsidR="007449C0" w:rsidRPr="007626A0" w:rsidRDefault="007449C0" w:rsidP="007449C0">
      <w:pPr>
        <w:pStyle w:val="Anexapct11"/>
        <w:rPr>
          <w:sz w:val="24"/>
        </w:rPr>
      </w:pPr>
      <w:r w:rsidRPr="007626A0">
        <w:rPr>
          <w:i/>
          <w:iCs/>
          <w:sz w:val="24"/>
        </w:rPr>
        <w:t>capacitate de producție pe termen lung</w:t>
      </w:r>
      <w:r w:rsidRPr="007626A0">
        <w:rPr>
          <w:sz w:val="24"/>
        </w:rPr>
        <w:t xml:space="preserve"> – sănătatea pădurilor și capacitatea acestora de a livra în mod continuu și durabil bunuri cum ar fi lemnul de diferite grade de calitate, precum și produse și servicii </w:t>
      </w:r>
      <w:proofErr w:type="spellStart"/>
      <w:r w:rsidRPr="007626A0">
        <w:rPr>
          <w:sz w:val="24"/>
        </w:rPr>
        <w:t>ecosistemice</w:t>
      </w:r>
      <w:proofErr w:type="spellEnd"/>
      <w:r w:rsidRPr="007626A0">
        <w:rPr>
          <w:sz w:val="24"/>
        </w:rPr>
        <w:t xml:space="preserve"> forestiere nelemnoase, inclusiv purificarea aerului și a apei, menținerea habitatului faunei sălbatice, recreere sau capital cultural, pe o perioadă lungă de timp și, după caz, pe durata mai multor rotații forestiere succesive;</w:t>
      </w:r>
    </w:p>
    <w:p w14:paraId="0B6496E4" w14:textId="77777777" w:rsidR="007449C0" w:rsidRPr="007626A0" w:rsidRDefault="007449C0" w:rsidP="007449C0">
      <w:pPr>
        <w:pStyle w:val="Anexapct11"/>
        <w:rPr>
          <w:sz w:val="24"/>
        </w:rPr>
      </w:pPr>
      <w:r w:rsidRPr="007626A0">
        <w:rPr>
          <w:i/>
          <w:iCs/>
          <w:sz w:val="24"/>
        </w:rPr>
        <w:t>sistem de gestionare</w:t>
      </w:r>
      <w:r w:rsidRPr="007626A0">
        <w:rPr>
          <w:sz w:val="24"/>
        </w:rPr>
        <w:t xml:space="preserve"> – informațiile colectate cu privire la suprafața forestieră la nivelul zonei de aprovizionare, inclusiv sub formă de text, hărți, tabele și grafice, precum și strategii sau </w:t>
      </w:r>
      <w:r w:rsidRPr="007626A0">
        <w:rPr>
          <w:sz w:val="24"/>
        </w:rPr>
        <w:lastRenderedPageBreak/>
        <w:t>activități de gestionare planificate și implementate pentru atingerea obiectivelor de gestionare sau de dezvoltare a resurselor forestiere;</w:t>
      </w:r>
    </w:p>
    <w:p w14:paraId="2CFD5EB4" w14:textId="77777777" w:rsidR="007449C0" w:rsidRPr="007626A0" w:rsidRDefault="007449C0" w:rsidP="007449C0">
      <w:pPr>
        <w:pStyle w:val="Anexapct11"/>
        <w:rPr>
          <w:sz w:val="24"/>
        </w:rPr>
      </w:pPr>
      <w:r w:rsidRPr="007626A0">
        <w:rPr>
          <w:i/>
          <w:iCs/>
          <w:sz w:val="24"/>
        </w:rPr>
        <w:t>perturbări naturale</w:t>
      </w:r>
      <w:r w:rsidRPr="007626A0">
        <w:rPr>
          <w:sz w:val="24"/>
        </w:rPr>
        <w:t xml:space="preserve"> – orice evenimente sau circumstanțe </w:t>
      </w:r>
      <w:proofErr w:type="spellStart"/>
      <w:r w:rsidRPr="007626A0">
        <w:rPr>
          <w:sz w:val="24"/>
        </w:rPr>
        <w:t>neantropice</w:t>
      </w:r>
      <w:proofErr w:type="spellEnd"/>
      <w:r w:rsidRPr="007626A0">
        <w:rPr>
          <w:sz w:val="24"/>
        </w:rPr>
        <w:t>, care generează emisii semnificative în sectorul LULUCF, a căror apariție nu poate fi controlată și ale căror efecte asupra emisiilor nu pot fi, în mod obiectiv, limitate în mod semnificativ după apariția acestora;</w:t>
      </w:r>
    </w:p>
    <w:p w14:paraId="0F26E9DF" w14:textId="77777777" w:rsidR="007449C0" w:rsidRPr="007626A0" w:rsidRDefault="007449C0" w:rsidP="007449C0">
      <w:pPr>
        <w:pStyle w:val="Anexapct11"/>
        <w:rPr>
          <w:sz w:val="24"/>
        </w:rPr>
      </w:pPr>
      <w:r w:rsidRPr="007626A0">
        <w:rPr>
          <w:i/>
          <w:iCs/>
          <w:sz w:val="24"/>
        </w:rPr>
        <w:t>creștere anuală netă</w:t>
      </w:r>
      <w:r w:rsidRPr="007626A0">
        <w:rPr>
          <w:sz w:val="24"/>
        </w:rPr>
        <w:t xml:space="preserve"> – creșterea anuală a volumului stocului de arbori vii disponibili, minus mortalitatea naturală medie a stocului respectiv;</w:t>
      </w:r>
    </w:p>
    <w:p w14:paraId="62E6D89E" w14:textId="77777777" w:rsidR="007449C0" w:rsidRPr="00AD72C0" w:rsidRDefault="007449C0" w:rsidP="007449C0">
      <w:pPr>
        <w:pStyle w:val="Anexapct11"/>
        <w:rPr>
          <w:sz w:val="24"/>
        </w:rPr>
      </w:pPr>
      <w:r w:rsidRPr="007626A0">
        <w:rPr>
          <w:i/>
          <w:iCs/>
          <w:sz w:val="24"/>
        </w:rPr>
        <w:t>criterii LULUCF la nivel național</w:t>
      </w:r>
      <w:r w:rsidRPr="007626A0">
        <w:rPr>
          <w:sz w:val="24"/>
        </w:rPr>
        <w:t xml:space="preserve"> – criteriile prevăzute </w:t>
      </w:r>
      <w:r w:rsidRPr="00AD72C0">
        <w:rPr>
          <w:sz w:val="24"/>
        </w:rPr>
        <w:t>la subpct. 21.1 din anexa nr. 1 la prezenta hotărâre;</w:t>
      </w:r>
    </w:p>
    <w:p w14:paraId="4D10FF9D" w14:textId="77777777" w:rsidR="007449C0" w:rsidRPr="007626A0" w:rsidRDefault="007449C0" w:rsidP="007449C0">
      <w:pPr>
        <w:pStyle w:val="Anexapct11"/>
        <w:rPr>
          <w:sz w:val="24"/>
        </w:rPr>
      </w:pPr>
      <w:r w:rsidRPr="007626A0">
        <w:rPr>
          <w:i/>
          <w:iCs/>
          <w:sz w:val="24"/>
        </w:rPr>
        <w:t>criterii LULUCF la nivelul zonei de aprovizionare</w:t>
      </w:r>
      <w:r w:rsidRPr="007626A0">
        <w:rPr>
          <w:sz w:val="24"/>
        </w:rPr>
        <w:t xml:space="preserve"> – criteriile prevăzute la subpct. 21.2 </w:t>
      </w:r>
      <w:r w:rsidRPr="00AD72C0">
        <w:rPr>
          <w:sz w:val="24"/>
        </w:rPr>
        <w:t>din anexa nr. 1 la prezenta hotărâre;</w:t>
      </w:r>
    </w:p>
    <w:p w14:paraId="202AF830" w14:textId="77777777" w:rsidR="007449C0" w:rsidRPr="007626A0" w:rsidRDefault="007449C0" w:rsidP="007449C0">
      <w:pPr>
        <w:pStyle w:val="Anexapct11"/>
        <w:rPr>
          <w:sz w:val="24"/>
        </w:rPr>
      </w:pPr>
      <w:r w:rsidRPr="007626A0">
        <w:rPr>
          <w:i/>
          <w:iCs/>
          <w:sz w:val="24"/>
        </w:rPr>
        <w:t>stoc de carbon</w:t>
      </w:r>
      <w:r w:rsidRPr="007626A0">
        <w:rPr>
          <w:sz w:val="24"/>
        </w:rPr>
        <w:t xml:space="preserve"> – masa de carbon stocată într-un rezervor de carbon;</w:t>
      </w:r>
    </w:p>
    <w:p w14:paraId="2B800E39" w14:textId="77777777" w:rsidR="007449C0" w:rsidRPr="007626A0" w:rsidRDefault="007449C0" w:rsidP="007449C0">
      <w:pPr>
        <w:pStyle w:val="Anexapct11"/>
        <w:rPr>
          <w:sz w:val="24"/>
        </w:rPr>
      </w:pPr>
      <w:r w:rsidRPr="007626A0">
        <w:rPr>
          <w:i/>
          <w:iCs/>
          <w:sz w:val="24"/>
        </w:rPr>
        <w:t>absorbant</w:t>
      </w:r>
      <w:r w:rsidRPr="007626A0">
        <w:rPr>
          <w:sz w:val="24"/>
        </w:rPr>
        <w:t xml:space="preserve"> – orice proces, activitate sau mecanism care elimină din atmosferă un gaz cu efect de seră, un aerosol sau un precursor al unui gaz cu efect de seră;</w:t>
      </w:r>
    </w:p>
    <w:p w14:paraId="6AAE70CE" w14:textId="77777777" w:rsidR="007449C0" w:rsidRPr="007626A0" w:rsidRDefault="007449C0" w:rsidP="007449C0">
      <w:pPr>
        <w:pStyle w:val="Anexapct11"/>
        <w:rPr>
          <w:sz w:val="24"/>
        </w:rPr>
      </w:pPr>
      <w:r w:rsidRPr="007626A0">
        <w:rPr>
          <w:i/>
          <w:iCs/>
          <w:sz w:val="24"/>
        </w:rPr>
        <w:t>audit de primă parte</w:t>
      </w:r>
      <w:r w:rsidRPr="007626A0">
        <w:rPr>
          <w:sz w:val="24"/>
        </w:rPr>
        <w:t xml:space="preserve"> – o declarație pe proprie răspundere a unui operator economic care aprovizionează primul punct de colectare;</w:t>
      </w:r>
    </w:p>
    <w:p w14:paraId="412A6F58" w14:textId="77777777" w:rsidR="007449C0" w:rsidRPr="007626A0" w:rsidRDefault="007449C0" w:rsidP="007449C0">
      <w:pPr>
        <w:pStyle w:val="Anexapct11"/>
        <w:rPr>
          <w:sz w:val="24"/>
        </w:rPr>
      </w:pPr>
      <w:r w:rsidRPr="007626A0">
        <w:rPr>
          <w:i/>
          <w:iCs/>
          <w:sz w:val="24"/>
        </w:rPr>
        <w:t>audit de secundă parte</w:t>
      </w:r>
      <w:r w:rsidRPr="007626A0">
        <w:rPr>
          <w:sz w:val="24"/>
        </w:rPr>
        <w:t xml:space="preserve"> – auditarea unui furnizor de către operatorul economic care gestionează primul punct de colectare;</w:t>
      </w:r>
    </w:p>
    <w:p w14:paraId="13FE5B03" w14:textId="77777777" w:rsidR="007449C0" w:rsidRPr="007626A0" w:rsidRDefault="007449C0" w:rsidP="007449C0">
      <w:pPr>
        <w:pStyle w:val="Anexapct11"/>
        <w:rPr>
          <w:sz w:val="24"/>
        </w:rPr>
      </w:pPr>
      <w:r w:rsidRPr="007626A0">
        <w:rPr>
          <w:i/>
          <w:iCs/>
          <w:sz w:val="24"/>
        </w:rPr>
        <w:t>audit de terță parte</w:t>
      </w:r>
      <w:r w:rsidRPr="007626A0">
        <w:rPr>
          <w:sz w:val="24"/>
        </w:rPr>
        <w:t xml:space="preserve"> – auditarea unui operator economic, efectuată de un terț independent de organizația care face obiectul auditului;</w:t>
      </w:r>
    </w:p>
    <w:p w14:paraId="1FF645FA" w14:textId="77777777" w:rsidR="007449C0" w:rsidRPr="007626A0" w:rsidRDefault="007449C0" w:rsidP="007449C0">
      <w:pPr>
        <w:pStyle w:val="Capitol"/>
        <w:rPr>
          <w:sz w:val="24"/>
        </w:rPr>
      </w:pPr>
      <w:r w:rsidRPr="007626A0">
        <w:rPr>
          <w:caps w:val="0"/>
          <w:sz w:val="24"/>
        </w:rPr>
        <w:t xml:space="preserve">Capitolul </w:t>
      </w:r>
      <w:r w:rsidRPr="007626A0">
        <w:rPr>
          <w:sz w:val="24"/>
        </w:rPr>
        <w:t>II</w:t>
      </w:r>
    </w:p>
    <w:p w14:paraId="45E75106" w14:textId="77777777" w:rsidR="007449C0" w:rsidRPr="007626A0" w:rsidRDefault="007449C0" w:rsidP="007449C0">
      <w:pPr>
        <w:pStyle w:val="Capitol"/>
        <w:rPr>
          <w:sz w:val="24"/>
        </w:rPr>
      </w:pPr>
      <w:r w:rsidRPr="007626A0">
        <w:rPr>
          <w:sz w:val="24"/>
        </w:rPr>
        <w:t>Evaluarea conformității</w:t>
      </w:r>
    </w:p>
    <w:p w14:paraId="561C3EC7" w14:textId="77777777" w:rsidR="007449C0" w:rsidRPr="007626A0" w:rsidRDefault="007449C0" w:rsidP="007449C0">
      <w:pPr>
        <w:pStyle w:val="Sectiune"/>
        <w:rPr>
          <w:sz w:val="24"/>
        </w:rPr>
      </w:pPr>
      <w:r w:rsidRPr="007626A0">
        <w:rPr>
          <w:sz w:val="24"/>
        </w:rPr>
        <w:t>Secțiunea 1</w:t>
      </w:r>
    </w:p>
    <w:p w14:paraId="14A12BD7" w14:textId="77777777" w:rsidR="007449C0" w:rsidRPr="007626A0" w:rsidRDefault="007449C0" w:rsidP="007449C0">
      <w:pPr>
        <w:pStyle w:val="Sectiune"/>
        <w:rPr>
          <w:sz w:val="24"/>
        </w:rPr>
      </w:pPr>
      <w:r w:rsidRPr="007626A0">
        <w:rPr>
          <w:sz w:val="24"/>
        </w:rPr>
        <w:t>Evaluarea conformității cu criteriile de recoltare</w:t>
      </w:r>
    </w:p>
    <w:p w14:paraId="061B9EE4" w14:textId="77777777" w:rsidR="007449C0" w:rsidRPr="007626A0" w:rsidRDefault="007449C0" w:rsidP="007449C0">
      <w:pPr>
        <w:pStyle w:val="Sectiune"/>
        <w:rPr>
          <w:sz w:val="24"/>
        </w:rPr>
      </w:pPr>
      <w:r w:rsidRPr="007626A0">
        <w:rPr>
          <w:sz w:val="24"/>
        </w:rPr>
        <w:t>la nivel național sau subnațional</w:t>
      </w:r>
    </w:p>
    <w:p w14:paraId="6CAB44C0" w14:textId="77777777" w:rsidR="007449C0" w:rsidRPr="007626A0" w:rsidRDefault="007449C0" w:rsidP="007449C0">
      <w:pPr>
        <w:pStyle w:val="Anexapct1"/>
        <w:rPr>
          <w:sz w:val="24"/>
        </w:rPr>
      </w:pPr>
      <w:r w:rsidRPr="007626A0">
        <w:rPr>
          <w:sz w:val="24"/>
        </w:rPr>
        <w:t>Agenția de mediu solicită operatorilor economici să furnizeze informații auditate care să stabilească respectarea criteriilor de recoltare la nivel național sau subnațional. În acest scop, operatorii economici efectuează o evaluare bazată pe riscuri, care să ofere dovezi exacte, actualizate și verificabile cu privire la toate elementele următoare:</w:t>
      </w:r>
    </w:p>
    <w:p w14:paraId="0179753C" w14:textId="77777777" w:rsidR="007449C0" w:rsidRPr="007626A0" w:rsidRDefault="007449C0" w:rsidP="007449C0">
      <w:pPr>
        <w:pStyle w:val="Anexapct11"/>
        <w:rPr>
          <w:sz w:val="24"/>
        </w:rPr>
      </w:pPr>
      <w:r w:rsidRPr="007626A0">
        <w:rPr>
          <w:sz w:val="24"/>
        </w:rPr>
        <w:t>țara de recoltare și, după caz, regiunea subnațională în care a fost recoltată biomasa forestieră;</w:t>
      </w:r>
    </w:p>
    <w:p w14:paraId="2B933F76" w14:textId="77777777" w:rsidR="007449C0" w:rsidRPr="007626A0" w:rsidRDefault="007449C0" w:rsidP="007449C0">
      <w:pPr>
        <w:pStyle w:val="Anexapct11"/>
        <w:rPr>
          <w:sz w:val="24"/>
        </w:rPr>
      </w:pPr>
      <w:r w:rsidRPr="007626A0">
        <w:rPr>
          <w:sz w:val="24"/>
        </w:rPr>
        <w:t>asigurarea de către legislația națională sau subnațională aplicabilă în domeniul recoltării, în țara de recoltare, a următoarelor elemente:</w:t>
      </w:r>
    </w:p>
    <w:p w14:paraId="4AF66257" w14:textId="77777777" w:rsidR="007449C0" w:rsidRPr="007626A0" w:rsidRDefault="007449C0" w:rsidP="007449C0">
      <w:pPr>
        <w:pStyle w:val="Anexapct111"/>
        <w:rPr>
          <w:sz w:val="24"/>
        </w:rPr>
      </w:pPr>
      <w:r w:rsidRPr="007626A0">
        <w:rPr>
          <w:sz w:val="24"/>
        </w:rPr>
        <w:t>legalitatea operațiunilor de recoltare, care se demonstrează prin furnizarea dovezilor de conformitate a recoltării cu legislația aplicabilă în țara de recoltare, respectiv prin reglementarea următoarelor aspecte:</w:t>
      </w:r>
    </w:p>
    <w:p w14:paraId="69278C17" w14:textId="77777777" w:rsidR="007449C0" w:rsidRPr="007626A0" w:rsidRDefault="007449C0" w:rsidP="007449C0">
      <w:pPr>
        <w:pStyle w:val="Anexapct1111"/>
        <w:rPr>
          <w:sz w:val="24"/>
        </w:rPr>
      </w:pPr>
      <w:r w:rsidRPr="007626A0">
        <w:rPr>
          <w:sz w:val="24"/>
        </w:rPr>
        <w:t>drepturi de recoltare a lemnului în interiorul limitelor legale făcute publice;</w:t>
      </w:r>
    </w:p>
    <w:p w14:paraId="2D3646D7" w14:textId="77777777" w:rsidR="007449C0" w:rsidRPr="007626A0" w:rsidRDefault="007449C0" w:rsidP="007449C0">
      <w:pPr>
        <w:pStyle w:val="Anexapct1111"/>
        <w:rPr>
          <w:sz w:val="24"/>
        </w:rPr>
      </w:pPr>
      <w:r w:rsidRPr="007626A0">
        <w:rPr>
          <w:sz w:val="24"/>
        </w:rPr>
        <w:t>plăți pentru drepturile de recoltare și lemn, inclusiv taxe legate de recoltarea lemnului;</w:t>
      </w:r>
    </w:p>
    <w:p w14:paraId="164882F2" w14:textId="77777777" w:rsidR="007449C0" w:rsidRPr="007626A0" w:rsidRDefault="007449C0" w:rsidP="007449C0">
      <w:pPr>
        <w:pStyle w:val="Anexapct1111"/>
        <w:rPr>
          <w:sz w:val="24"/>
        </w:rPr>
      </w:pPr>
      <w:r w:rsidRPr="007626A0">
        <w:rPr>
          <w:sz w:val="24"/>
        </w:rPr>
        <w:t>recoltarea lemnului, inclusiv legislația din domeniul mediului și cel forestier, inclusiv gestionarea pădurilor și conservarea biodiversității, atunci când acestea sunt direct legate de recoltarea lemnului;</w:t>
      </w:r>
    </w:p>
    <w:p w14:paraId="76D43369" w14:textId="77777777" w:rsidR="007449C0" w:rsidRPr="007626A0" w:rsidRDefault="007449C0" w:rsidP="007449C0">
      <w:pPr>
        <w:pStyle w:val="Anexapct1111"/>
        <w:rPr>
          <w:sz w:val="24"/>
        </w:rPr>
      </w:pPr>
      <w:r w:rsidRPr="007626A0">
        <w:rPr>
          <w:sz w:val="24"/>
        </w:rPr>
        <w:lastRenderedPageBreak/>
        <w:t>drepturile legale ale terților privind folosința și proprietatea afectate de recoltarea lemnului;</w:t>
      </w:r>
    </w:p>
    <w:p w14:paraId="45C53782" w14:textId="77777777" w:rsidR="007449C0" w:rsidRPr="007626A0" w:rsidRDefault="007449C0" w:rsidP="007449C0">
      <w:pPr>
        <w:pStyle w:val="Anexapct1111"/>
        <w:rPr>
          <w:sz w:val="24"/>
        </w:rPr>
      </w:pPr>
      <w:r w:rsidRPr="007626A0">
        <w:rPr>
          <w:sz w:val="24"/>
        </w:rPr>
        <w:t>comerțul și vama, în măsura în care este vizat sectorul forestier.</w:t>
      </w:r>
    </w:p>
    <w:p w14:paraId="39EF5383" w14:textId="77777777" w:rsidR="007449C0" w:rsidRPr="007626A0" w:rsidRDefault="007449C0" w:rsidP="007449C0">
      <w:pPr>
        <w:pStyle w:val="Anexapct111"/>
        <w:rPr>
          <w:sz w:val="24"/>
        </w:rPr>
      </w:pPr>
      <w:r w:rsidRPr="007626A0">
        <w:rPr>
          <w:sz w:val="24"/>
        </w:rPr>
        <w:t>regenerarea pădurilor, care se demonstrează prin furnizarea de dovezi că legislația aplicabilă impune regenerarea naturală, artificială sau o combinație a acestora, cu scopul de a crea o nouă pădure în aceeași zonă și într-o perioadă de timp adecvată, în conformitate cu legislația națională relevantă;</w:t>
      </w:r>
    </w:p>
    <w:p w14:paraId="2D63A7E6" w14:textId="77777777" w:rsidR="007449C0" w:rsidRPr="007626A0" w:rsidRDefault="007449C0" w:rsidP="007449C0">
      <w:pPr>
        <w:pStyle w:val="Anexapct111"/>
        <w:rPr>
          <w:sz w:val="24"/>
        </w:rPr>
      </w:pPr>
      <w:r w:rsidRPr="007626A0">
        <w:rPr>
          <w:sz w:val="24"/>
        </w:rPr>
        <w:t>protecția efectivă a zonelor desemnate de dreptul internațional sau național sau de autoritatea competentă relevantă, în scopul protecției naturii, inclusiv a zonelor umede și a turbăriilor;</w:t>
      </w:r>
    </w:p>
    <w:p w14:paraId="632CFE31" w14:textId="77777777" w:rsidR="007449C0" w:rsidRPr="007626A0" w:rsidRDefault="007449C0" w:rsidP="007449C0">
      <w:pPr>
        <w:pStyle w:val="Anexapct111"/>
        <w:rPr>
          <w:sz w:val="24"/>
        </w:rPr>
      </w:pPr>
      <w:r w:rsidRPr="007626A0">
        <w:rPr>
          <w:sz w:val="24"/>
        </w:rPr>
        <w:t>recoltarea forestieră se efectuează într-un mod care reduce la minimum impactul negativ asupra calității solului și a biodiversității, care se demonstrează prin furnizarea de dovezi că legislația aplicabilă sau normele relevante de gestionare a pădurilor:</w:t>
      </w:r>
    </w:p>
    <w:p w14:paraId="50207D42" w14:textId="77777777" w:rsidR="007449C0" w:rsidRPr="007626A0" w:rsidRDefault="007449C0" w:rsidP="007449C0">
      <w:pPr>
        <w:pStyle w:val="Anexapct1111"/>
        <w:rPr>
          <w:sz w:val="24"/>
        </w:rPr>
      </w:pPr>
      <w:r w:rsidRPr="007626A0">
        <w:rPr>
          <w:sz w:val="24"/>
        </w:rPr>
        <w:t>impun ca pădurile primare și zonele protejate în temeiul subpct. 3.2.3 să nu fie degradate sau înlocuite cu plantații forestiere, fiind garantat că suprafața forestieră regenerată asigură o cantitate corespunzătoare și adecvată, la nivel local, de plante și specii de arbori;</w:t>
      </w:r>
    </w:p>
    <w:p w14:paraId="0972368E" w14:textId="77777777" w:rsidR="007449C0" w:rsidRPr="007626A0" w:rsidRDefault="007449C0" w:rsidP="007449C0">
      <w:pPr>
        <w:pStyle w:val="Anexapct1111"/>
        <w:rPr>
          <w:sz w:val="24"/>
        </w:rPr>
      </w:pPr>
      <w:r w:rsidRPr="007626A0">
        <w:rPr>
          <w:sz w:val="24"/>
        </w:rPr>
        <w:t>asigură protecția solurilor și a speciilor și habitatelor, inclusiv a celor protejate de dreptul internațional sau național. Pentru a facilita activitatea operatorilor economici pe teritoriului Republicii Moldova, Agenția de Mediu întreprinde măsurile necesare pentru a furniza date privind caracteristicile de mediu specifice sitului;</w:t>
      </w:r>
    </w:p>
    <w:p w14:paraId="7DA39670" w14:textId="77777777" w:rsidR="007449C0" w:rsidRPr="007626A0" w:rsidRDefault="007449C0" w:rsidP="007449C0">
      <w:pPr>
        <w:pStyle w:val="Anexapct1111"/>
        <w:rPr>
          <w:sz w:val="24"/>
        </w:rPr>
      </w:pPr>
      <w:r w:rsidRPr="007626A0">
        <w:rPr>
          <w:sz w:val="24"/>
        </w:rPr>
        <w:t>reduc la minimum, după caz, îndepărtarea cioatelor, a rădăcinilor și a lemnului mort;</w:t>
      </w:r>
    </w:p>
    <w:p w14:paraId="07CF3104" w14:textId="77777777" w:rsidR="007449C0" w:rsidRPr="007626A0" w:rsidRDefault="007449C0" w:rsidP="007449C0">
      <w:pPr>
        <w:pStyle w:val="Anexapct111"/>
        <w:rPr>
          <w:sz w:val="24"/>
        </w:rPr>
      </w:pPr>
      <w:r w:rsidRPr="007626A0">
        <w:rPr>
          <w:sz w:val="24"/>
        </w:rPr>
        <w:t>menținerea sau creșterea capacității de producție pe termen lung a pădurii, care se demonstrează prin furnizarea de dovezi că legislația aplicabilă la nivel național sau subnațional garantează că, pe baza datelor medii anuale, tăierile nu depășesc creșterea netă pe o perioadă adecvată în conformitate cu legislația națională relevantă, cu excepția cazurilor în care acest lucru este justificat temporar din cauza unor dăunători forestiere, furtuni sau alte perturbări naturale documentate. Acest aspect se dovedește prin:</w:t>
      </w:r>
    </w:p>
    <w:p w14:paraId="32981057" w14:textId="77777777" w:rsidR="007449C0" w:rsidRPr="007626A0" w:rsidRDefault="007449C0" w:rsidP="007449C0">
      <w:pPr>
        <w:pStyle w:val="Anexapct1111"/>
        <w:rPr>
          <w:sz w:val="24"/>
        </w:rPr>
      </w:pPr>
      <w:r w:rsidRPr="007626A0">
        <w:rPr>
          <w:sz w:val="24"/>
        </w:rPr>
        <w:t>rapoartele de inventariere forestieră națională,</w:t>
      </w:r>
    </w:p>
    <w:p w14:paraId="0EB7A1B1" w14:textId="77777777" w:rsidR="007449C0" w:rsidRPr="007626A0" w:rsidRDefault="007449C0" w:rsidP="007449C0">
      <w:pPr>
        <w:pStyle w:val="Anexapct1111"/>
        <w:rPr>
          <w:sz w:val="24"/>
        </w:rPr>
      </w:pPr>
      <w:r w:rsidRPr="007626A0">
        <w:rPr>
          <w:sz w:val="24"/>
        </w:rPr>
        <w:t>furnizarea dovezilor menționate la subpct. 8.2; sau</w:t>
      </w:r>
    </w:p>
    <w:p w14:paraId="35C2ACBD" w14:textId="77777777" w:rsidR="007449C0" w:rsidRPr="007626A0" w:rsidRDefault="007449C0" w:rsidP="007449C0">
      <w:pPr>
        <w:pStyle w:val="Anexapct1111"/>
        <w:rPr>
          <w:sz w:val="24"/>
        </w:rPr>
      </w:pPr>
      <w:r w:rsidRPr="007626A0">
        <w:rPr>
          <w:sz w:val="24"/>
        </w:rPr>
        <w:t>rapoartele de inventariere similare la nivel subnațional;</w:t>
      </w:r>
    </w:p>
    <w:p w14:paraId="0869934C" w14:textId="77777777" w:rsidR="007449C0" w:rsidRPr="007626A0" w:rsidRDefault="007449C0" w:rsidP="007449C0">
      <w:pPr>
        <w:pStyle w:val="Anexapct11"/>
        <w:rPr>
          <w:sz w:val="24"/>
        </w:rPr>
      </w:pPr>
      <w:r w:rsidRPr="007626A0">
        <w:rPr>
          <w:sz w:val="24"/>
        </w:rPr>
        <w:t>existența unor sisteme pentru a asigura monitorizarea punerii în aplicare și a asigurării respectării legislației naționale și subnaționale menționate la subpct. 3.2, inclusiv informații cu privire la următoarele elemente: autoritățile competente pentru monitorizarea, punerea în aplicare și asigurarea respectării legislației, sancțiunile pentru neconformitate, sistemele de contestare a deciziilor și accesul public la informații;</w:t>
      </w:r>
    </w:p>
    <w:p w14:paraId="55448CC5" w14:textId="77777777" w:rsidR="007449C0" w:rsidRPr="007626A0" w:rsidRDefault="007449C0" w:rsidP="007449C0">
      <w:pPr>
        <w:pStyle w:val="Anexapct11"/>
        <w:rPr>
          <w:sz w:val="24"/>
        </w:rPr>
      </w:pPr>
      <w:r w:rsidRPr="007626A0">
        <w:rPr>
          <w:sz w:val="24"/>
        </w:rPr>
        <w:t>inexistența unei lipse semnificative la nivelul aplicării actelor cu putere de lege și a normelor administrative naționale și/sau subnaționale menționate la subpct. 8.2</w:t>
      </w:r>
    </w:p>
    <w:p w14:paraId="41D94A51" w14:textId="77777777" w:rsidR="007449C0" w:rsidRPr="007626A0" w:rsidRDefault="007449C0" w:rsidP="007449C0">
      <w:pPr>
        <w:pStyle w:val="Anexapct1"/>
        <w:rPr>
          <w:sz w:val="24"/>
        </w:rPr>
      </w:pPr>
      <w:r w:rsidRPr="007626A0">
        <w:rPr>
          <w:sz w:val="24"/>
        </w:rPr>
        <w:t>Cu privire la dovezile solicitate la subpct. 3.4, operatorii economici iau în considerare orice evaluări și rapoarte juridice întocmite de organizații guvernamentale naționale sau internaționale, care detaliază lipsa aplicării legislației naționale sau subnaționale menționate la subpct. 3.2. De asemenea, se ia în considerare orice procedură de constatare a neîndeplinirii obligațiilor, aflată în desfășurare și inițiată de organele competente.</w:t>
      </w:r>
    </w:p>
    <w:p w14:paraId="4804DCB8" w14:textId="77777777" w:rsidR="007449C0" w:rsidRPr="007626A0" w:rsidRDefault="007449C0" w:rsidP="007449C0">
      <w:pPr>
        <w:pStyle w:val="Anexapct1"/>
        <w:rPr>
          <w:sz w:val="24"/>
        </w:rPr>
      </w:pPr>
      <w:r w:rsidRPr="007626A0">
        <w:rPr>
          <w:sz w:val="24"/>
        </w:rPr>
        <w:lastRenderedPageBreak/>
        <w:t>Pentru a facilita activitatea operatorilor economici, Agenția de Mediu întreprinde măsurile necesare pentru instituirea unei bazei de date publice cu informații actualizate privind elementele menționate în prezenta secțiune și facilitează accesul operatoriilor la informații, inclusiv la datele spațiale publice și la inventarele publice.</w:t>
      </w:r>
    </w:p>
    <w:p w14:paraId="7D9449C5" w14:textId="77777777" w:rsidR="007449C0" w:rsidRPr="007626A0" w:rsidRDefault="007449C0" w:rsidP="007449C0">
      <w:pPr>
        <w:pStyle w:val="Anexapct1"/>
        <w:rPr>
          <w:b/>
          <w:bCs/>
          <w:sz w:val="24"/>
        </w:rPr>
      </w:pPr>
      <w:r w:rsidRPr="007626A0">
        <w:rPr>
          <w:sz w:val="24"/>
        </w:rPr>
        <w:t>Operatorii economici pot demonstra în mod direct respectarea criteriilor de recoltare la nivelul zonei de aprovizionare, în conformitate cu secțiunea a 2-a.</w:t>
      </w:r>
    </w:p>
    <w:p w14:paraId="3CDEFCFC" w14:textId="77777777" w:rsidR="007449C0" w:rsidRPr="00671F38" w:rsidRDefault="007449C0" w:rsidP="00671F38">
      <w:pPr>
        <w:pStyle w:val="Sectiune"/>
      </w:pPr>
      <w:r w:rsidRPr="00671F38">
        <w:t>Secțiunea a 2-a</w:t>
      </w:r>
    </w:p>
    <w:p w14:paraId="519C111C" w14:textId="77777777" w:rsidR="007449C0" w:rsidRPr="00671F38" w:rsidRDefault="007449C0" w:rsidP="00671F38">
      <w:pPr>
        <w:pStyle w:val="Sectiune"/>
      </w:pPr>
      <w:r w:rsidRPr="00671F38">
        <w:t>Evaluarea conformității cu criteriile de recoltare la nivelul de zonei aprovizionare forestieră</w:t>
      </w:r>
    </w:p>
    <w:p w14:paraId="6B493689" w14:textId="77777777" w:rsidR="007449C0" w:rsidRPr="007626A0" w:rsidRDefault="007449C0" w:rsidP="007449C0">
      <w:pPr>
        <w:pStyle w:val="Anexapct1"/>
        <w:rPr>
          <w:sz w:val="24"/>
        </w:rPr>
      </w:pPr>
      <w:r w:rsidRPr="007626A0">
        <w:rPr>
          <w:sz w:val="24"/>
        </w:rPr>
        <w:t>În cazul în care nu sunt disponibile dovezi privind respectarea unuia sau mai multor criterii de recoltare la nivel național sau subnațional, Agenția de Mediu solicită operatorilor economici să furnizeze informații auditate care să ateste că respectivele criterii au fost respectate prin intermediul unor sisteme de gestionare care sunt instituite și implementate la nivelul zonei de aprovizionare. În acest scop, operatorii economici furnizează dovezi exacte, actualizate și verificabile cu privire la următoarele elemente:</w:t>
      </w:r>
    </w:p>
    <w:p w14:paraId="72BE1E07" w14:textId="77777777" w:rsidR="007449C0" w:rsidRPr="007626A0" w:rsidRDefault="007449C0" w:rsidP="007449C0">
      <w:pPr>
        <w:pStyle w:val="Anexapct11"/>
        <w:rPr>
          <w:sz w:val="24"/>
        </w:rPr>
      </w:pPr>
      <w:r w:rsidRPr="007626A0">
        <w:rPr>
          <w:sz w:val="24"/>
        </w:rPr>
        <w:t>limitele spațiale ale zonei de aprovizionare pentru care se demonstrează conformitatea și pentru care se aplică sistemele de gestionare menționate la subpct. 7.2, inclusiv prin intermediul coordonatelor geografice sau al parcelelor;</w:t>
      </w:r>
    </w:p>
    <w:p w14:paraId="0292E0EB" w14:textId="77777777" w:rsidR="007449C0" w:rsidRPr="007626A0" w:rsidRDefault="007449C0" w:rsidP="007449C0">
      <w:pPr>
        <w:pStyle w:val="Anexapct11"/>
        <w:rPr>
          <w:sz w:val="24"/>
        </w:rPr>
      </w:pPr>
      <w:r w:rsidRPr="007626A0">
        <w:rPr>
          <w:sz w:val="24"/>
        </w:rPr>
        <w:t>sisteme de gestionare aplicabile zonei de aprovizionare, care să asigure că:</w:t>
      </w:r>
    </w:p>
    <w:p w14:paraId="57CB39E9" w14:textId="77777777" w:rsidR="007449C0" w:rsidRPr="007626A0" w:rsidRDefault="007449C0" w:rsidP="007449C0">
      <w:pPr>
        <w:pStyle w:val="Anexapct111"/>
        <w:rPr>
          <w:sz w:val="24"/>
        </w:rPr>
      </w:pPr>
      <w:r w:rsidRPr="007626A0">
        <w:rPr>
          <w:sz w:val="24"/>
        </w:rPr>
        <w:t>operațiunile de recoltare sunt legale, fapt care se demonstrează prin furnizarea dovezilor privind asigurarea conformității recoltării cu legislația aplicabilă în țara de recoltare;</w:t>
      </w:r>
    </w:p>
    <w:p w14:paraId="2A7995BC" w14:textId="77777777" w:rsidR="007449C0" w:rsidRPr="007626A0" w:rsidRDefault="007449C0" w:rsidP="007449C0">
      <w:pPr>
        <w:pStyle w:val="Anexapct111"/>
        <w:rPr>
          <w:sz w:val="24"/>
        </w:rPr>
      </w:pPr>
      <w:r w:rsidRPr="007626A0">
        <w:rPr>
          <w:sz w:val="24"/>
        </w:rPr>
        <w:t>această regenerare forestieră se realizează într-un mod care menține cel puțin calitatea și cantitatea suprafețelor forestiere recoltate, fapt demonstrat prin furnizarea de dovezi privind înființarea unei noi păduri în aceeași zonă în termen de maximum zece ani de la recoltare. Respectarea acestei cerințe se demonstrează prin utilizarea a planurilor de gestionare a pădurilor, a protocoalelor operaționale, a evaluărilor impactului asupra mediului și a rezultatelor auditurilor și inspecțiilor de conformitate relevante;</w:t>
      </w:r>
    </w:p>
    <w:p w14:paraId="157221F8" w14:textId="77777777" w:rsidR="007449C0" w:rsidRPr="007626A0" w:rsidRDefault="007449C0" w:rsidP="007449C0">
      <w:pPr>
        <w:pStyle w:val="Anexapct111"/>
        <w:rPr>
          <w:sz w:val="24"/>
        </w:rPr>
      </w:pPr>
      <w:r w:rsidRPr="007626A0">
        <w:rPr>
          <w:sz w:val="24"/>
        </w:rPr>
        <w:t>biomasa forestieră nu provine din zone desemnate de legislația internațională sau națională sau de către autoritatea competentă pentru protecția naturii, inclusiv din zone umede și turbării, cu excepția cazului în care există dovezi că activitățile de recoltare a materiei prime nu interferează cu obiectivele de protecție ale zonelor desemnate. Respectarea acestei excepții se demonstrează prin utilizarea bazelor de date internaționale și naționale, a hărților oficiale, a planurilor de gestionare a pădurilor, a protocoalelor operaționale, a protocoalelor de recoltare, a imagisticii prin satelit, a evaluărilor impactului asupra mediului și a autorizațiilor oficiale de exploatare, inclusiv a condițiilor sau restricțiilor care garantează că nu există niciun conflict cu obiectivele relevante de protecție a naturii, precum și a rezultatelor auditurilor și inspecțiilor de conformitate relevante;</w:t>
      </w:r>
    </w:p>
    <w:p w14:paraId="568DE44F" w14:textId="77777777" w:rsidR="007449C0" w:rsidRPr="007626A0" w:rsidRDefault="007449C0" w:rsidP="007449C0">
      <w:pPr>
        <w:pStyle w:val="Anexapct111"/>
        <w:rPr>
          <w:sz w:val="24"/>
        </w:rPr>
      </w:pPr>
      <w:r w:rsidRPr="007626A0">
        <w:rPr>
          <w:sz w:val="24"/>
        </w:rPr>
        <w:t xml:space="preserve">recoltarea forestieră se realizează într-un mod care vizează cel puțin prevenirea efectelor negative asupra calității solului și a biodiversității. Respectarea acestei cerințe se demonstrează prin furnizarea de dovezi că au fost identificate în prealabil riscurile relevante asociate recoltării </w:t>
      </w:r>
      <w:r w:rsidRPr="007626A0">
        <w:rPr>
          <w:sz w:val="24"/>
        </w:rPr>
        <w:lastRenderedPageBreak/>
        <w:t>biomasei forestiere pentru producerea de energie, precum și că au fost puse în aplicare măsuri de atenuare adecvate, cum ar fi:</w:t>
      </w:r>
    </w:p>
    <w:p w14:paraId="1C7C93E7" w14:textId="77777777" w:rsidR="007449C0" w:rsidRPr="007626A0" w:rsidRDefault="007449C0" w:rsidP="007449C0">
      <w:pPr>
        <w:pStyle w:val="Anexapct1111"/>
        <w:rPr>
          <w:sz w:val="24"/>
        </w:rPr>
      </w:pPr>
      <w:r w:rsidRPr="007626A0">
        <w:rPr>
          <w:sz w:val="24"/>
        </w:rPr>
        <w:t>pădurile primare și zonele protejate în temeiul subpct. 7.2.3 nu sunt degradate sau înlocuite cu plantații forestiere;</w:t>
      </w:r>
    </w:p>
    <w:p w14:paraId="7242B94A" w14:textId="77777777" w:rsidR="007449C0" w:rsidRPr="007626A0" w:rsidRDefault="007449C0" w:rsidP="007449C0">
      <w:pPr>
        <w:pStyle w:val="Anexapct1111"/>
        <w:rPr>
          <w:sz w:val="24"/>
        </w:rPr>
      </w:pPr>
      <w:r w:rsidRPr="007626A0">
        <w:rPr>
          <w:sz w:val="24"/>
        </w:rPr>
        <w:t>recoltarea cioatelor și a rădăcinilor este redusă la minimum;</w:t>
      </w:r>
    </w:p>
    <w:p w14:paraId="04CB4AD1" w14:textId="77777777" w:rsidR="007449C0" w:rsidRPr="007626A0" w:rsidRDefault="007449C0" w:rsidP="007449C0">
      <w:pPr>
        <w:pStyle w:val="Anexapct1111"/>
        <w:rPr>
          <w:sz w:val="24"/>
        </w:rPr>
      </w:pPr>
      <w:r w:rsidRPr="007626A0">
        <w:rPr>
          <w:sz w:val="24"/>
        </w:rPr>
        <w:t>nu se efectuează nicio recoltare pe soluri vulnerabile;</w:t>
      </w:r>
    </w:p>
    <w:p w14:paraId="0601DC04" w14:textId="77777777" w:rsidR="007449C0" w:rsidRPr="007626A0" w:rsidRDefault="007449C0" w:rsidP="007449C0">
      <w:pPr>
        <w:pStyle w:val="Anexapct1111"/>
        <w:rPr>
          <w:sz w:val="24"/>
        </w:rPr>
      </w:pPr>
      <w:r w:rsidRPr="007626A0">
        <w:rPr>
          <w:sz w:val="24"/>
        </w:rPr>
        <w:t>recoltarea se realizează prin intermediul unor sisteme de exploatare forestieră care reduc la minimum impactul asupra calității solului, inclusiv compactarea solului;</w:t>
      </w:r>
    </w:p>
    <w:p w14:paraId="10623FC0" w14:textId="77777777" w:rsidR="007449C0" w:rsidRPr="007626A0" w:rsidRDefault="007449C0" w:rsidP="007449C0">
      <w:pPr>
        <w:pStyle w:val="Anexapct1111"/>
        <w:rPr>
          <w:sz w:val="24"/>
        </w:rPr>
      </w:pPr>
      <w:r w:rsidRPr="007626A0">
        <w:rPr>
          <w:sz w:val="24"/>
        </w:rPr>
        <w:t>recoltarea se realizează într-un mod care reduce la minimum impactul asupra caracteristicilor și habitatelor biodiversității, inclusiv asupra plantelor și animalelor protejate în temeiul legislației internaționale sau naționale;</w:t>
      </w:r>
    </w:p>
    <w:p w14:paraId="2434685E" w14:textId="77777777" w:rsidR="007449C0" w:rsidRPr="007626A0" w:rsidRDefault="007449C0" w:rsidP="007449C0">
      <w:pPr>
        <w:pStyle w:val="Anexapct1111"/>
        <w:rPr>
          <w:sz w:val="24"/>
        </w:rPr>
      </w:pPr>
      <w:r w:rsidRPr="007626A0">
        <w:rPr>
          <w:sz w:val="24"/>
        </w:rPr>
        <w:t>în pădure se lasă anumite tipuri și cantități de lemn mort, adecvate la nivel local; și</w:t>
      </w:r>
    </w:p>
    <w:p w14:paraId="099499CC" w14:textId="77777777" w:rsidR="007449C0" w:rsidRPr="007626A0" w:rsidRDefault="007449C0" w:rsidP="007449C0">
      <w:pPr>
        <w:pStyle w:val="Anexapct1111"/>
        <w:rPr>
          <w:sz w:val="24"/>
        </w:rPr>
      </w:pPr>
      <w:r w:rsidRPr="007626A0">
        <w:rPr>
          <w:sz w:val="24"/>
        </w:rPr>
        <w:t>defrișările mari sunt reduse la minimum, cu excepția cazurilor în care acestea sunt justificate temporar din cauza dăunătorilor forestieri documentați, a furtunilor sau a altor perturbări naturale.</w:t>
      </w:r>
    </w:p>
    <w:p w14:paraId="24DCCAB4" w14:textId="77777777" w:rsidR="007449C0" w:rsidRPr="007626A0" w:rsidRDefault="007449C0" w:rsidP="007449C0">
      <w:pPr>
        <w:pStyle w:val="Anexapct1111"/>
        <w:rPr>
          <w:sz w:val="24"/>
        </w:rPr>
      </w:pPr>
      <w:r w:rsidRPr="007626A0">
        <w:rPr>
          <w:sz w:val="24"/>
        </w:rPr>
        <w:t>Aceste acțiuni de atenuare se demonstrează prin utilizarea bazelor de date internaționale și naționale, a hărților oficiale și a imagisticii prin satelit, a planurilor de gestionare a pădurilor, a protocoalelor operaționale și a protocoalelor de recoltare, precum și a rezultatelor auditurilor și inspecțiilor de conformitate relevante;</w:t>
      </w:r>
    </w:p>
    <w:p w14:paraId="45591995" w14:textId="77777777" w:rsidR="007449C0" w:rsidRPr="007626A0" w:rsidRDefault="007449C0" w:rsidP="007449C0">
      <w:pPr>
        <w:pStyle w:val="Anexapct111"/>
        <w:rPr>
          <w:sz w:val="24"/>
        </w:rPr>
      </w:pPr>
      <w:r w:rsidRPr="007626A0">
        <w:rPr>
          <w:sz w:val="24"/>
        </w:rPr>
        <w:t>recolta menține sau îmbunătățește capacitatea de producție pe termen lung a pădurii. Respectarea acestei cerințe se demonstrează prin furnizarea de dovezi că tăierile anuale nu depășesc creșterea anuală netă în zona de aprovizionare relevantă, în medie, în perioada de zece ani anterioară intervenției de recoltare, cu excepția cazului în care, pentru a spori capacitatea de producție viitoare a pădurii, sunt justificate în mod corespunzător cantități diferite sau din cauza prezenței documentate a dăunătorilor forestieri, a furtunilor sau a altor perturbări naturale. În acest scop, se permite utilizarea datelor privind inventarul forestier public sau privat.</w:t>
      </w:r>
    </w:p>
    <w:p w14:paraId="063739D5" w14:textId="77777777" w:rsidR="007449C0" w:rsidRPr="007626A0" w:rsidRDefault="007449C0" w:rsidP="007449C0">
      <w:pPr>
        <w:pStyle w:val="Sectiune"/>
        <w:rPr>
          <w:sz w:val="24"/>
        </w:rPr>
      </w:pPr>
      <w:r w:rsidRPr="007626A0">
        <w:rPr>
          <w:sz w:val="24"/>
        </w:rPr>
        <w:t>Secțiunea a 3-a</w:t>
      </w:r>
    </w:p>
    <w:p w14:paraId="0FB2458C" w14:textId="77777777" w:rsidR="007449C0" w:rsidRPr="007626A0" w:rsidRDefault="007449C0" w:rsidP="007449C0">
      <w:pPr>
        <w:pStyle w:val="Sectiune"/>
        <w:rPr>
          <w:sz w:val="24"/>
        </w:rPr>
      </w:pPr>
      <w:r w:rsidRPr="007626A0">
        <w:rPr>
          <w:sz w:val="24"/>
        </w:rPr>
        <w:t>Evaluarea conformității cu criteriile LULUCF la nivel național</w:t>
      </w:r>
    </w:p>
    <w:p w14:paraId="4522C2EF" w14:textId="77777777" w:rsidR="007449C0" w:rsidRPr="007626A0" w:rsidRDefault="007449C0" w:rsidP="007449C0">
      <w:pPr>
        <w:pStyle w:val="Anexapct1"/>
        <w:rPr>
          <w:sz w:val="24"/>
        </w:rPr>
      </w:pPr>
      <w:r w:rsidRPr="007626A0">
        <w:rPr>
          <w:sz w:val="24"/>
        </w:rPr>
        <w:t xml:space="preserve">Agenția de Mediu impune operatorilor economici să furnizeze informații auditate care să confirme conformitatea cu criteriile privind exploatarea terenurilor, schimbarea destinației terenurilor și silvicultura (în continuare – </w:t>
      </w:r>
      <w:r w:rsidRPr="007626A0">
        <w:rPr>
          <w:i/>
          <w:sz w:val="24"/>
        </w:rPr>
        <w:t>LULUCF</w:t>
      </w:r>
      <w:r w:rsidRPr="007626A0">
        <w:rPr>
          <w:sz w:val="24"/>
        </w:rPr>
        <w:t>) la nivel național. În acest scop, operatorii economici furnizează dovezi exacte, actualizate și verificabile care să ateste că țara sau organizația de integrare economică regională din care provine biomasa forestieră este parte la Acordul de la Paris și îndeplinește oricare dintre cele două seturi de condiții de mai jos:</w:t>
      </w:r>
    </w:p>
    <w:p w14:paraId="619D11B4" w14:textId="77777777" w:rsidR="007449C0" w:rsidRPr="007626A0" w:rsidRDefault="007449C0" w:rsidP="007449C0">
      <w:pPr>
        <w:pStyle w:val="Anexapct11"/>
        <w:rPr>
          <w:sz w:val="24"/>
        </w:rPr>
      </w:pPr>
      <w:r w:rsidRPr="007626A0">
        <w:rPr>
          <w:sz w:val="24"/>
        </w:rPr>
        <w:t xml:space="preserve">a prezentat o contribuție stabilită la nivel național (în continuare – </w:t>
      </w:r>
      <w:r w:rsidRPr="007626A0">
        <w:rPr>
          <w:i/>
          <w:iCs/>
          <w:sz w:val="24"/>
        </w:rPr>
        <w:t>CSN</w:t>
      </w:r>
      <w:r w:rsidRPr="007626A0">
        <w:rPr>
          <w:sz w:val="24"/>
        </w:rPr>
        <w:t>), în temeiul Acordului de la Paris din 2015 privind schimbările climatice, în urma celei de a 21-a sesiuni a Conferinței părților la Convenția-cadru a Națiunilor Unite asupra schimbărilor climatice, care îndeplinește următoarele cerințe:</w:t>
      </w:r>
    </w:p>
    <w:p w14:paraId="61BD2026" w14:textId="77777777" w:rsidR="007449C0" w:rsidRPr="007626A0" w:rsidRDefault="007449C0" w:rsidP="007449C0">
      <w:pPr>
        <w:pStyle w:val="Anexapct111"/>
        <w:rPr>
          <w:sz w:val="24"/>
        </w:rPr>
      </w:pPr>
      <w:r w:rsidRPr="007626A0">
        <w:rPr>
          <w:sz w:val="24"/>
        </w:rPr>
        <w:t>CSN include sectoarele agriculturii, silviculturii și exploatării terenurilor, fie combinate ca un singur sector care să cuprindă agricultura, silvicultura și alte destinații ale terenurilor, fie ca un sector agricol și un sector LULUCF separat;</w:t>
      </w:r>
    </w:p>
    <w:p w14:paraId="2F873204" w14:textId="77777777" w:rsidR="007449C0" w:rsidRPr="007626A0" w:rsidRDefault="007449C0" w:rsidP="007449C0">
      <w:pPr>
        <w:pStyle w:val="Anexapct111"/>
        <w:rPr>
          <w:sz w:val="24"/>
        </w:rPr>
      </w:pPr>
      <w:r w:rsidRPr="007626A0">
        <w:rPr>
          <w:sz w:val="24"/>
        </w:rPr>
        <w:lastRenderedPageBreak/>
        <w:t>CSN explică modul în care agricultura, silvicultura și exploatarea terenurilor au fost luate în considerare în cadrul CSN;</w:t>
      </w:r>
    </w:p>
    <w:p w14:paraId="70967F9E" w14:textId="77777777" w:rsidR="007449C0" w:rsidRPr="007626A0" w:rsidRDefault="007449C0" w:rsidP="007449C0">
      <w:pPr>
        <w:pStyle w:val="Anexapct111"/>
        <w:rPr>
          <w:sz w:val="24"/>
        </w:rPr>
      </w:pPr>
      <w:r w:rsidRPr="007626A0">
        <w:rPr>
          <w:sz w:val="24"/>
        </w:rPr>
        <w:t>CSN contabilizează emisiile și absorbțiile din sectorul agricol, din cel forestier și din cel de exploatare a terenurilor în raport cu obiectivul general național de reducere a emisiilor, inclusiv a emisiilor asociate recoltării de biomasă forestieră; sau</w:t>
      </w:r>
    </w:p>
    <w:p w14:paraId="58AACB21" w14:textId="77777777" w:rsidR="007449C0" w:rsidRPr="007626A0" w:rsidRDefault="007449C0" w:rsidP="007449C0">
      <w:pPr>
        <w:pStyle w:val="Anexapct11"/>
        <w:rPr>
          <w:sz w:val="24"/>
        </w:rPr>
      </w:pPr>
      <w:r w:rsidRPr="007626A0">
        <w:rPr>
          <w:sz w:val="24"/>
        </w:rPr>
        <w:t>există legi naționale sau subnaționale, aplicabile zonei de recoltare, care vizează conservarea și îmbunătățirea stocurilor și a absorbanților de carbon din păduri. Respectarea acestei cerințe se demonstrează prin furnizarea de dovezi că emisiile din sectorul LULUCF raportate nu depășesc absorbțiile, respectiv nu depășesc media absorbțiilor din cei zece ani anteriori recoltării biomasei forestiere și că stocurile și absorbanții de carbon sunt conservați sau intensificați între ultimele două perioade succesive de zece ani care precedă recoltarea biomasei forestiere.</w:t>
      </w:r>
    </w:p>
    <w:p w14:paraId="2B3F9F36" w14:textId="77777777" w:rsidR="007449C0" w:rsidRPr="007626A0" w:rsidRDefault="007449C0" w:rsidP="007449C0">
      <w:pPr>
        <w:pStyle w:val="Anexapct1"/>
        <w:rPr>
          <w:sz w:val="24"/>
        </w:rPr>
      </w:pPr>
      <w:r w:rsidRPr="007626A0">
        <w:rPr>
          <w:sz w:val="24"/>
        </w:rPr>
        <w:t>La solicitarea operatorului economic, Agenția de Mediu furnizează acestuia informații actualizate privind elementele menționate în prezenta secțiune.</w:t>
      </w:r>
    </w:p>
    <w:p w14:paraId="42CB9583" w14:textId="77777777" w:rsidR="007449C0" w:rsidRPr="007626A0" w:rsidRDefault="007449C0" w:rsidP="007449C0">
      <w:pPr>
        <w:pStyle w:val="Sectiune"/>
        <w:rPr>
          <w:sz w:val="24"/>
        </w:rPr>
      </w:pPr>
      <w:r w:rsidRPr="007626A0">
        <w:rPr>
          <w:sz w:val="24"/>
        </w:rPr>
        <w:t>Secțiunea a 4-a</w:t>
      </w:r>
    </w:p>
    <w:p w14:paraId="17339397" w14:textId="77777777" w:rsidR="007449C0" w:rsidRPr="007626A0" w:rsidRDefault="007449C0" w:rsidP="007449C0">
      <w:pPr>
        <w:pStyle w:val="Sectiune"/>
        <w:rPr>
          <w:sz w:val="24"/>
        </w:rPr>
      </w:pPr>
      <w:r w:rsidRPr="007626A0">
        <w:rPr>
          <w:sz w:val="24"/>
        </w:rPr>
        <w:t>Evaluarea conformității cu criteriile LULUCF la nivelul zonei de aprovizionare forestieră</w:t>
      </w:r>
    </w:p>
    <w:p w14:paraId="30B1C8E5" w14:textId="77777777" w:rsidR="007449C0" w:rsidRPr="007626A0" w:rsidRDefault="007449C0" w:rsidP="007449C0">
      <w:pPr>
        <w:pStyle w:val="Anexapct1"/>
        <w:rPr>
          <w:sz w:val="24"/>
        </w:rPr>
      </w:pPr>
      <w:r w:rsidRPr="007626A0">
        <w:rPr>
          <w:sz w:val="24"/>
        </w:rPr>
        <w:t>În cazul în care nu sunt disponibile dovezi privind respectarea criteriilor LULUCF la nivel național, Agenția de Mediu impune operatorilor economici să furnizeze informații auditate care să confirme existența și implementarea sistemelor de gestionare la nivelul zonei de aprovizionare forestieră, pentru a se asigura că nivelurile stocurilor și absorbanților de carbon din pădure sunt menținute sau consolidate pe termen lung. În acest scop, operatorii economici furnizează dovezi exacte, actualizate și verificabile în conformitate cu următoarele cerințe:</w:t>
      </w:r>
    </w:p>
    <w:p w14:paraId="2F74C625" w14:textId="77777777" w:rsidR="007449C0" w:rsidRPr="007626A0" w:rsidRDefault="007449C0" w:rsidP="007449C0">
      <w:pPr>
        <w:pStyle w:val="Anexapct11"/>
        <w:rPr>
          <w:sz w:val="24"/>
        </w:rPr>
      </w:pPr>
      <w:r w:rsidRPr="007626A0">
        <w:rPr>
          <w:sz w:val="24"/>
        </w:rPr>
        <w:t>identifică limitele spațiale ale zonei de aprovizionare pentru care trebuie demonstrată conformitatea, de exemplu prin intermediul coordonatelor geografice, al loturilor sau al parcelelor, inclusiv al arboreturilor și suprafețelor de teren, și identifică rezervoarele de carbon forestier relevante, inclusiv biomasa de suprafață, biomasa subterană, deșeurile, lemnul mort și carbonul organic din sol;</w:t>
      </w:r>
    </w:p>
    <w:p w14:paraId="2DE241D3" w14:textId="77777777" w:rsidR="007449C0" w:rsidRPr="007626A0" w:rsidRDefault="007449C0" w:rsidP="007449C0">
      <w:pPr>
        <w:pStyle w:val="Anexapct11"/>
        <w:rPr>
          <w:sz w:val="24"/>
        </w:rPr>
      </w:pPr>
      <w:r w:rsidRPr="007626A0">
        <w:rPr>
          <w:sz w:val="24"/>
        </w:rPr>
        <w:t>calculează media stocurilor și a absorbanților de carbon din păduri pe parcursul unei perioade istorice de referință, în scopul stabilirii unei valori de referință pentru a permite o comparație între menținerea sau consolidarea stocurilor și a absorbanților de carbon din pădurile dintr-o zonă de aprovizionare. Operatorii economici utilizează perioada de referință 2000-2009 sau o altă perioadă de durată similară și cât mai apropiată posibil de perioada 2000-2009 pentru a facilita utilizarea datelor din inventarul forestier sau pentru a atenua impactul perturbărilor naturale sau al altor evenimente extreme. Operatorii economici motivează corespunzător alegerea perioadei de referință. Operatorul economic estimează valorile de referință pentru toate rezervoarele de carbon relevante identificate individual în temeiul subpct. 10.1;</w:t>
      </w:r>
    </w:p>
    <w:p w14:paraId="5C0400F6" w14:textId="77777777" w:rsidR="007449C0" w:rsidRPr="007626A0" w:rsidRDefault="007449C0" w:rsidP="007449C0">
      <w:pPr>
        <w:pStyle w:val="Anexapct11"/>
        <w:rPr>
          <w:sz w:val="24"/>
        </w:rPr>
      </w:pPr>
      <w:r w:rsidRPr="007626A0">
        <w:rPr>
          <w:sz w:val="24"/>
        </w:rPr>
        <w:t>descriu scenariul practicilor de gestionare a pădurilor preconizate într-o zonă de aprovizionare pentru o perioadă estimată pe termen lung, care acoperă cel puțin 30 de ani de la evenimentul de recoltare din care provine biomasa. Scenariul respectiv este construit pe baza practicilor de gestionare a pădurilor într-o zonă de aprovizionare documentată pentru perioada de referință istorică sau pe baza planurilor de gestionare a pădurilor existente sau a altor dovezi verificabile;</w:t>
      </w:r>
    </w:p>
    <w:p w14:paraId="20A5B7E2" w14:textId="77777777" w:rsidR="007449C0" w:rsidRPr="007626A0" w:rsidRDefault="007449C0" w:rsidP="007449C0">
      <w:pPr>
        <w:pStyle w:val="Anexapct11"/>
        <w:rPr>
          <w:sz w:val="24"/>
        </w:rPr>
      </w:pPr>
      <w:r w:rsidRPr="007626A0">
        <w:rPr>
          <w:sz w:val="24"/>
        </w:rPr>
        <w:lastRenderedPageBreak/>
        <w:t>estimează stocurile și absorbanții medii de carbon din zona de aprovizionare pe perioada preconizată pe termen lung, care acoperă cel puțin 30 de ani, în funcție de rata de creștere a pădurilor, după recoltarea biomasei forestiere. Pentru a asigura comparabilitatea cu perioada de referință istorică, estimările respective utilizează aceleași rezervoare de carbon, aceleași date și aceleași metode menționate la subpct. 10.1 și 10.2. În cazul în care nu sunt în măsură să cuantifice una sau mai multe rezerve identificate în temeiul subpct. 10.1, operatorii economici furnizează o justificare adecvată;</w:t>
      </w:r>
    </w:p>
    <w:p w14:paraId="108C1CC4" w14:textId="77777777" w:rsidR="007449C0" w:rsidRPr="007626A0" w:rsidRDefault="007449C0" w:rsidP="007449C0">
      <w:pPr>
        <w:pStyle w:val="Anexapct11"/>
        <w:rPr>
          <w:sz w:val="24"/>
        </w:rPr>
      </w:pPr>
      <w:r w:rsidRPr="007626A0">
        <w:rPr>
          <w:sz w:val="24"/>
        </w:rPr>
        <w:t>compară media stocului și a absorbanților de carbon din zona de aprovizionare forestieră relevantă a perioadei previzionate pe termen lung cu stocurile și absorbanții de carbon din păduri din perioada de referință istorică. În cazul în care media stocurilor și a absorbanților de carbon din păduri din perioada preconizată pe termen lung este mai mare sau egală cu media stocurilor și a absorbanților de carbon din păduri din perioada de referință istorică, biomasa forestieră respectă criteriile LULUCF la nivelul zonei de aprovizionare forestieră. Operatorii economici instituie sisteme adecvate de monitorizare și de verificare a evoluției efective a stocului și a absorbanților de carbon, în conformitate cu cerințele prevăzute prezenta secțiune.</w:t>
      </w:r>
    </w:p>
    <w:p w14:paraId="6A383F80" w14:textId="77777777" w:rsidR="007449C0" w:rsidRPr="007626A0" w:rsidRDefault="007449C0" w:rsidP="007449C0">
      <w:pPr>
        <w:pStyle w:val="Capitol"/>
        <w:rPr>
          <w:sz w:val="24"/>
        </w:rPr>
      </w:pPr>
      <w:r w:rsidRPr="007626A0">
        <w:rPr>
          <w:caps w:val="0"/>
          <w:sz w:val="24"/>
        </w:rPr>
        <w:t xml:space="preserve">Capitolul </w:t>
      </w:r>
      <w:r w:rsidRPr="007626A0">
        <w:rPr>
          <w:sz w:val="24"/>
        </w:rPr>
        <w:t>III</w:t>
      </w:r>
    </w:p>
    <w:p w14:paraId="0AE90977" w14:textId="77777777" w:rsidR="007449C0" w:rsidRPr="007626A0" w:rsidRDefault="007449C0" w:rsidP="007449C0">
      <w:pPr>
        <w:pStyle w:val="Capitol"/>
        <w:rPr>
          <w:sz w:val="24"/>
        </w:rPr>
      </w:pPr>
      <w:r w:rsidRPr="007626A0">
        <w:rPr>
          <w:sz w:val="24"/>
        </w:rPr>
        <w:t>Auditare și verificare</w:t>
      </w:r>
    </w:p>
    <w:p w14:paraId="291CC64A" w14:textId="77777777" w:rsidR="007449C0" w:rsidRPr="007626A0" w:rsidRDefault="007449C0" w:rsidP="007449C0">
      <w:pPr>
        <w:pStyle w:val="Anexapct1"/>
        <w:rPr>
          <w:sz w:val="24"/>
        </w:rPr>
      </w:pPr>
      <w:r w:rsidRPr="007626A0">
        <w:rPr>
          <w:sz w:val="24"/>
        </w:rPr>
        <w:t>Agenția de Mediu întreprinde măsurile necesare pentru a se asigura că operatorii economici:</w:t>
      </w:r>
    </w:p>
    <w:p w14:paraId="4FEFD73A" w14:textId="77777777" w:rsidR="007449C0" w:rsidRPr="007626A0" w:rsidRDefault="007449C0" w:rsidP="007449C0">
      <w:pPr>
        <w:pStyle w:val="Anexapct11"/>
        <w:rPr>
          <w:sz w:val="24"/>
        </w:rPr>
      </w:pPr>
      <w:r w:rsidRPr="007626A0">
        <w:rPr>
          <w:sz w:val="24"/>
        </w:rPr>
        <w:t>prezintă informații fiabile în sprijinul afirmațiilor de durabilitate, demonstrând că cerințele prevăzute la capitolul II au fost îndeplinite în mod corespunzător, și pun la dispoziție, la cerere, datele detaliate care au fost utilizate pentru compilarea informațiilor respective. În cazul în care se furnizează alte dovezi pentru a demonstra conformitatea cu criteriile de recoltare și cu criteriile LULUCF, aceste dovezi trebuie să îndeplinească un standard ridicat de fiabilitate și de verificabilitate;</w:t>
      </w:r>
    </w:p>
    <w:p w14:paraId="3F20BDD0" w14:textId="77777777" w:rsidR="007449C0" w:rsidRPr="007626A0" w:rsidRDefault="007449C0" w:rsidP="007449C0">
      <w:pPr>
        <w:pStyle w:val="Anexapct11"/>
        <w:rPr>
          <w:sz w:val="24"/>
        </w:rPr>
      </w:pPr>
      <w:r w:rsidRPr="007626A0">
        <w:rPr>
          <w:sz w:val="24"/>
        </w:rPr>
        <w:t xml:space="preserve">utilizează sistemul de echilibrare a masei menționat la pct. 29 și 30 </w:t>
      </w:r>
      <w:r w:rsidRPr="00AD72C0">
        <w:rPr>
          <w:sz w:val="24"/>
        </w:rPr>
        <w:t>din anexa nr. 1</w:t>
      </w:r>
      <w:r w:rsidRPr="007626A0">
        <w:rPr>
          <w:sz w:val="24"/>
        </w:rPr>
        <w:t xml:space="preserve"> al prezentei hotărâri;</w:t>
      </w:r>
    </w:p>
    <w:p w14:paraId="661EA40F" w14:textId="77777777" w:rsidR="007449C0" w:rsidRPr="007626A0" w:rsidRDefault="007449C0" w:rsidP="007449C0">
      <w:pPr>
        <w:pStyle w:val="Anexapct11"/>
        <w:rPr>
          <w:sz w:val="24"/>
        </w:rPr>
      </w:pPr>
      <w:r w:rsidRPr="007626A0">
        <w:rPr>
          <w:sz w:val="24"/>
        </w:rPr>
        <w:t>asigură un standard adecvat de audit de terță parte independentă a informațiilor transmise, cu excepția respectării, la nivel național și subnațional, a criteriilor de recoltare și a criteriilor LULUCF, pentru care se permite furnizarea unui audit de primă parte sau de secundă parte până la primul punct de colectare a biomasei forestiere;</w:t>
      </w:r>
    </w:p>
    <w:p w14:paraId="4088C8F0" w14:textId="77777777" w:rsidR="007449C0" w:rsidRPr="007626A0" w:rsidRDefault="007449C0" w:rsidP="007449C0">
      <w:pPr>
        <w:pStyle w:val="Anexapct11"/>
        <w:rPr>
          <w:sz w:val="24"/>
        </w:rPr>
      </w:pPr>
      <w:r w:rsidRPr="007626A0">
        <w:rPr>
          <w:sz w:val="24"/>
        </w:rPr>
        <w:t>asigură un nivel adecvat de transparență, ținând seama de necesitatea controlului public al abordării auditului;</w:t>
      </w:r>
    </w:p>
    <w:p w14:paraId="5A9171D5" w14:textId="77777777" w:rsidR="007449C0" w:rsidRPr="007626A0" w:rsidRDefault="007449C0" w:rsidP="007449C0">
      <w:pPr>
        <w:pStyle w:val="Anexapct11"/>
        <w:rPr>
          <w:sz w:val="24"/>
        </w:rPr>
      </w:pPr>
      <w:r w:rsidRPr="007626A0">
        <w:rPr>
          <w:sz w:val="24"/>
        </w:rPr>
        <w:t>furnizează dovezi că auditurile relevante sunt efectuate în mod regulat, inclusiv prin inspecții periodice, dacă este cazul.</w:t>
      </w:r>
    </w:p>
    <w:p w14:paraId="18C8DFA2" w14:textId="77777777" w:rsidR="007449C0" w:rsidRPr="007626A0" w:rsidRDefault="007449C0" w:rsidP="007449C0">
      <w:pPr>
        <w:pStyle w:val="Anexapct1"/>
        <w:rPr>
          <w:sz w:val="24"/>
        </w:rPr>
      </w:pPr>
      <w:r w:rsidRPr="007626A0">
        <w:rPr>
          <w:sz w:val="24"/>
        </w:rPr>
        <w:t>Agenția de Mediu întreprinde măsurile necesare pentru a se asigura că auditul menționat la subpct. 11.3 evaluează frecvența și metodologia eșantionării și robustețea datelor și verifică dacă informațiile transmise de operatorii economici sunt exacte, fiabile și protejate împotriva fraudelor.</w:t>
      </w:r>
    </w:p>
    <w:p w14:paraId="19B8FD46" w14:textId="37FE9FB1" w:rsidR="007449C0" w:rsidRPr="007626A0" w:rsidRDefault="007449C0" w:rsidP="007449C0">
      <w:pPr>
        <w:pStyle w:val="Anexapct1"/>
        <w:rPr>
          <w:sz w:val="24"/>
        </w:rPr>
      </w:pPr>
      <w:r w:rsidRPr="007626A0">
        <w:rPr>
          <w:sz w:val="24"/>
        </w:rPr>
        <w:t>Operatorii economici pot utiliza scheme naționale sau scheme voluntare internaționale recunoscute de Guvern pentru a demonstra conformitatea cu criteriile stabilite la capitolul II.</w:t>
      </w:r>
    </w:p>
    <w:p w14:paraId="68D92AFD" w14:textId="77777777" w:rsidR="007449C0" w:rsidRDefault="007449C0">
      <w:pPr>
        <w:pStyle w:val="Anexapct1"/>
      </w:pPr>
      <w:r w:rsidRPr="00671F38">
        <w:rPr>
          <w:sz w:val="24"/>
        </w:rPr>
        <w:lastRenderedPageBreak/>
        <w:t>Auditarea în grup se efectuează în condițiile prevăzute la secțiunea a 3-a din capitolul III la Regulamentul cu privire la normele de verificare a biocarburanților, biolichidelor și combustibililor din biomasă pentru a contribui la reducerea poverii administrative, în special a celei exercitate asupra micilor operatori economici</w:t>
      </w:r>
      <w:r w:rsidRPr="00BB0A9A">
        <w:t>.</w:t>
      </w:r>
    </w:p>
    <w:p w14:paraId="0592A71A" w14:textId="4DA064F3" w:rsidR="009614F8" w:rsidRDefault="00AD5002" w:rsidP="00020D28">
      <w:r>
        <w:t>3</w:t>
      </w:r>
      <w:r w:rsidR="00102D08">
        <w:t>.5</w:t>
      </w:r>
      <w:r w:rsidR="007449C0">
        <w:t xml:space="preserve"> s</w:t>
      </w:r>
      <w:r w:rsidR="007449C0" w:rsidRPr="008B3E0D">
        <w:t xml:space="preserve">e </w:t>
      </w:r>
      <w:r w:rsidR="007449C0">
        <w:t>completează cu anexa nr. 5</w:t>
      </w:r>
      <w:r w:rsidR="00102D08">
        <w:t xml:space="preserve"> „O</w:t>
      </w:r>
      <w:r w:rsidR="00102D08" w:rsidRPr="008B3E0D">
        <w:t>rientări pentru calcularea stocurilor de carbon din sol</w:t>
      </w:r>
      <w:r w:rsidR="00102D08">
        <w:t>”</w:t>
      </w:r>
      <w:r w:rsidR="00020D28">
        <w:t>,</w:t>
      </w:r>
      <w:r w:rsidR="009614F8" w:rsidRPr="009614F8">
        <w:t xml:space="preserve"> cu următorul cuprins:</w:t>
      </w:r>
    </w:p>
    <w:p w14:paraId="03387B1B" w14:textId="77777777" w:rsidR="007449C0" w:rsidRPr="0085715D" w:rsidRDefault="007449C0" w:rsidP="007449C0">
      <w:pPr>
        <w:jc w:val="right"/>
        <w:rPr>
          <w:w w:val="105"/>
          <w:sz w:val="24"/>
          <w:lang w:val="fr-FR"/>
        </w:rPr>
      </w:pPr>
      <w:r w:rsidRPr="0085715D">
        <w:rPr>
          <w:w w:val="105"/>
          <w:sz w:val="24"/>
        </w:rPr>
        <w:t xml:space="preserve">Anexa nr. </w:t>
      </w:r>
      <w:r w:rsidRPr="0085715D">
        <w:rPr>
          <w:w w:val="105"/>
          <w:sz w:val="24"/>
          <w:lang w:val="fr-FR"/>
        </w:rPr>
        <w:t>5</w:t>
      </w:r>
    </w:p>
    <w:p w14:paraId="28D76B70" w14:textId="77777777" w:rsidR="007449C0" w:rsidRPr="0085715D" w:rsidRDefault="007449C0" w:rsidP="007449C0">
      <w:pPr>
        <w:pStyle w:val="Anexapct1"/>
        <w:numPr>
          <w:ilvl w:val="0"/>
          <w:numId w:val="0"/>
        </w:numPr>
        <w:ind w:left="431"/>
        <w:jc w:val="right"/>
        <w:rPr>
          <w:spacing w:val="-2"/>
          <w:sz w:val="24"/>
          <w:lang w:val="fr-FR"/>
        </w:rPr>
      </w:pPr>
      <w:r w:rsidRPr="0085715D">
        <w:rPr>
          <w:sz w:val="24"/>
        </w:rPr>
        <w:t>la</w:t>
      </w:r>
      <w:r w:rsidRPr="0085715D">
        <w:rPr>
          <w:spacing w:val="67"/>
          <w:sz w:val="24"/>
        </w:rPr>
        <w:t xml:space="preserve"> </w:t>
      </w:r>
      <w:r w:rsidRPr="0085715D">
        <w:rPr>
          <w:sz w:val="24"/>
        </w:rPr>
        <w:t>Hotărârea</w:t>
      </w:r>
      <w:r w:rsidRPr="0085715D">
        <w:rPr>
          <w:spacing w:val="68"/>
          <w:sz w:val="24"/>
        </w:rPr>
        <w:t xml:space="preserve"> </w:t>
      </w:r>
      <w:r w:rsidRPr="0085715D">
        <w:rPr>
          <w:sz w:val="24"/>
        </w:rPr>
        <w:t>Guvernului</w:t>
      </w:r>
      <w:r w:rsidRPr="0085715D">
        <w:rPr>
          <w:spacing w:val="67"/>
          <w:sz w:val="24"/>
        </w:rPr>
        <w:t xml:space="preserve"> </w:t>
      </w:r>
      <w:r w:rsidRPr="0085715D">
        <w:rPr>
          <w:spacing w:val="-2"/>
          <w:sz w:val="24"/>
        </w:rPr>
        <w:t>nr. 53/2025</w:t>
      </w:r>
    </w:p>
    <w:p w14:paraId="76D87DC0" w14:textId="77777777" w:rsidR="00020D28" w:rsidRDefault="007449C0" w:rsidP="007449C0">
      <w:pPr>
        <w:pStyle w:val="Capitol"/>
        <w:rPr>
          <w:sz w:val="24"/>
        </w:rPr>
      </w:pPr>
      <w:r w:rsidRPr="0085715D">
        <w:rPr>
          <w:sz w:val="24"/>
        </w:rPr>
        <w:t xml:space="preserve">orientări pentru calcularea stocurilor de carbon din sol în sensul </w:t>
      </w:r>
      <w:r w:rsidRPr="00445A3B">
        <w:rPr>
          <w:sz w:val="24"/>
        </w:rPr>
        <w:t xml:space="preserve">pct. 6-23 și al </w:t>
      </w:r>
      <w:r w:rsidRPr="0085715D">
        <w:rPr>
          <w:sz w:val="24"/>
        </w:rPr>
        <w:t xml:space="preserve">anexei </w:t>
      </w:r>
      <w:r w:rsidRPr="00445A3B">
        <w:rPr>
          <w:sz w:val="24"/>
        </w:rPr>
        <w:t>nr. 1 la anexa nr. 2</w:t>
      </w:r>
      <w:r w:rsidRPr="0085715D">
        <w:rPr>
          <w:sz w:val="24"/>
        </w:rPr>
        <w:t xml:space="preserve"> la prezenta </w:t>
      </w:r>
    </w:p>
    <w:p w14:paraId="6B417D1B" w14:textId="17DC3B37" w:rsidR="007449C0" w:rsidRDefault="007449C0" w:rsidP="007449C0">
      <w:pPr>
        <w:pStyle w:val="Capitol"/>
        <w:rPr>
          <w:sz w:val="24"/>
        </w:rPr>
      </w:pPr>
      <w:r w:rsidRPr="0085715D">
        <w:rPr>
          <w:sz w:val="24"/>
        </w:rPr>
        <w:t>hotărâre</w:t>
      </w:r>
    </w:p>
    <w:p w14:paraId="2859F663" w14:textId="3EC09985" w:rsidR="00020D28" w:rsidRPr="00671F38" w:rsidRDefault="00A95CC7" w:rsidP="00671F38">
      <w:pPr>
        <w:rPr>
          <w:sz w:val="24"/>
          <w:szCs w:val="22"/>
        </w:rPr>
      </w:pPr>
      <w:r>
        <w:rPr>
          <w:sz w:val="22"/>
          <w:szCs w:val="22"/>
        </w:rPr>
        <w:t xml:space="preserve">Prezente </w:t>
      </w:r>
      <w:r>
        <w:rPr>
          <w:sz w:val="24"/>
          <w:szCs w:val="22"/>
        </w:rPr>
        <w:t>o</w:t>
      </w:r>
      <w:r w:rsidR="00020D28" w:rsidRPr="00671F38">
        <w:rPr>
          <w:sz w:val="24"/>
          <w:szCs w:val="22"/>
        </w:rPr>
        <w:t>rient</w:t>
      </w:r>
      <w:r>
        <w:rPr>
          <w:sz w:val="24"/>
          <w:szCs w:val="22"/>
        </w:rPr>
        <w:t>ări</w:t>
      </w:r>
      <w:r w:rsidR="00020D28" w:rsidRPr="00671F38">
        <w:rPr>
          <w:sz w:val="24"/>
          <w:szCs w:val="22"/>
        </w:rPr>
        <w:t xml:space="preserve"> transpun integral  </w:t>
      </w:r>
      <w:r w:rsidR="0022552F">
        <w:rPr>
          <w:sz w:val="24"/>
          <w:szCs w:val="22"/>
        </w:rPr>
        <w:t>D</w:t>
      </w:r>
      <w:r w:rsidR="00020D28" w:rsidRPr="00671F38">
        <w:rPr>
          <w:sz w:val="24"/>
          <w:szCs w:val="22"/>
        </w:rPr>
        <w:t xml:space="preserve">ecizia </w:t>
      </w:r>
      <w:r w:rsidR="0022552F">
        <w:rPr>
          <w:sz w:val="24"/>
          <w:szCs w:val="22"/>
        </w:rPr>
        <w:t>C</w:t>
      </w:r>
      <w:r w:rsidR="00020D28" w:rsidRPr="00671F38">
        <w:rPr>
          <w:sz w:val="24"/>
          <w:szCs w:val="22"/>
        </w:rPr>
        <w:t xml:space="preserve">omisiei din 10 iunie 2010 privind orientările pentru calcularea stocurilor de carbon din sol în sensul </w:t>
      </w:r>
      <w:r w:rsidR="00DB732D">
        <w:rPr>
          <w:sz w:val="24"/>
          <w:szCs w:val="22"/>
        </w:rPr>
        <w:t>A</w:t>
      </w:r>
      <w:r w:rsidR="00020D28" w:rsidRPr="00671F38">
        <w:rPr>
          <w:sz w:val="24"/>
          <w:szCs w:val="22"/>
        </w:rPr>
        <w:t xml:space="preserve">nexei </w:t>
      </w:r>
      <w:r w:rsidR="00DB732D">
        <w:rPr>
          <w:sz w:val="24"/>
          <w:szCs w:val="22"/>
        </w:rPr>
        <w:t>V</w:t>
      </w:r>
      <w:r w:rsidR="00020D28" w:rsidRPr="00671F38">
        <w:rPr>
          <w:sz w:val="24"/>
          <w:szCs w:val="22"/>
        </w:rPr>
        <w:t xml:space="preserve"> la </w:t>
      </w:r>
      <w:r w:rsidR="00DB732D">
        <w:rPr>
          <w:sz w:val="24"/>
          <w:szCs w:val="22"/>
        </w:rPr>
        <w:t>D</w:t>
      </w:r>
      <w:r w:rsidR="00020D28" w:rsidRPr="00671F38">
        <w:rPr>
          <w:sz w:val="24"/>
          <w:szCs w:val="22"/>
        </w:rPr>
        <w:t>irectiva 2009/28/</w:t>
      </w:r>
      <w:r w:rsidR="00DB732D">
        <w:rPr>
          <w:sz w:val="24"/>
          <w:szCs w:val="22"/>
        </w:rPr>
        <w:t>CE</w:t>
      </w:r>
      <w:r w:rsidR="00020D28" w:rsidRPr="00671F38">
        <w:rPr>
          <w:sz w:val="24"/>
          <w:szCs w:val="22"/>
        </w:rPr>
        <w:t xml:space="preserve">, publicat în </w:t>
      </w:r>
      <w:r w:rsidR="000952F2">
        <w:rPr>
          <w:sz w:val="24"/>
          <w:szCs w:val="22"/>
        </w:rPr>
        <w:t>J</w:t>
      </w:r>
      <w:r w:rsidR="00020D28" w:rsidRPr="00671F38">
        <w:rPr>
          <w:sz w:val="24"/>
          <w:szCs w:val="22"/>
        </w:rPr>
        <w:t xml:space="preserve">urnalul </w:t>
      </w:r>
      <w:r w:rsidR="000952F2">
        <w:rPr>
          <w:sz w:val="24"/>
          <w:szCs w:val="22"/>
        </w:rPr>
        <w:t>O</w:t>
      </w:r>
      <w:r w:rsidR="00020D28" w:rsidRPr="00671F38">
        <w:rPr>
          <w:sz w:val="24"/>
          <w:szCs w:val="22"/>
        </w:rPr>
        <w:t xml:space="preserve">ficial al </w:t>
      </w:r>
      <w:r w:rsidR="00DB732D">
        <w:rPr>
          <w:sz w:val="24"/>
          <w:szCs w:val="22"/>
        </w:rPr>
        <w:t>U</w:t>
      </w:r>
      <w:r w:rsidR="00020D28" w:rsidRPr="00671F38">
        <w:rPr>
          <w:sz w:val="24"/>
          <w:szCs w:val="22"/>
        </w:rPr>
        <w:t xml:space="preserve">niunii </w:t>
      </w:r>
      <w:r w:rsidR="00DB732D">
        <w:rPr>
          <w:sz w:val="24"/>
          <w:szCs w:val="22"/>
        </w:rPr>
        <w:t>E</w:t>
      </w:r>
      <w:r w:rsidR="00020D28" w:rsidRPr="00671F38">
        <w:rPr>
          <w:sz w:val="24"/>
          <w:szCs w:val="22"/>
        </w:rPr>
        <w:t xml:space="preserve">uropene, seria </w:t>
      </w:r>
      <w:r w:rsidR="00DB732D">
        <w:rPr>
          <w:sz w:val="24"/>
          <w:szCs w:val="22"/>
        </w:rPr>
        <w:t>L</w:t>
      </w:r>
      <w:r w:rsidR="00020D28" w:rsidRPr="00671F38">
        <w:rPr>
          <w:sz w:val="24"/>
          <w:szCs w:val="22"/>
        </w:rPr>
        <w:t xml:space="preserve"> 151 din 17 iunie 2010 (</w:t>
      </w:r>
      <w:r w:rsidR="00DB732D" w:rsidRPr="00DB732D">
        <w:rPr>
          <w:sz w:val="24"/>
          <w:szCs w:val="22"/>
        </w:rPr>
        <w:t>CELEX</w:t>
      </w:r>
      <w:r w:rsidR="00020D28" w:rsidRPr="00671F38">
        <w:rPr>
          <w:sz w:val="24"/>
          <w:szCs w:val="22"/>
        </w:rPr>
        <w:t>: 32010</w:t>
      </w:r>
      <w:r w:rsidR="000952F2">
        <w:rPr>
          <w:sz w:val="24"/>
          <w:szCs w:val="22"/>
        </w:rPr>
        <w:t>D</w:t>
      </w:r>
      <w:r w:rsidR="00020D28" w:rsidRPr="00671F38">
        <w:rPr>
          <w:sz w:val="24"/>
          <w:szCs w:val="22"/>
        </w:rPr>
        <w:t>0335)</w:t>
      </w:r>
      <w:r>
        <w:rPr>
          <w:sz w:val="24"/>
          <w:szCs w:val="22"/>
        </w:rPr>
        <w:t>.</w:t>
      </w:r>
    </w:p>
    <w:p w14:paraId="4A696859" w14:textId="77777777" w:rsidR="007449C0" w:rsidRPr="0085715D" w:rsidRDefault="007449C0" w:rsidP="007449C0">
      <w:pPr>
        <w:pStyle w:val="Capitol"/>
        <w:rPr>
          <w:sz w:val="24"/>
          <w:lang w:val="pt-BR"/>
        </w:rPr>
      </w:pPr>
      <w:r w:rsidRPr="0085715D">
        <w:rPr>
          <w:caps w:val="0"/>
          <w:sz w:val="24"/>
          <w:lang w:val="pt-BR"/>
        </w:rPr>
        <w:t xml:space="preserve">Capitolul </w:t>
      </w:r>
      <w:r w:rsidRPr="0085715D">
        <w:rPr>
          <w:sz w:val="24"/>
          <w:lang w:val="pt-BR"/>
        </w:rPr>
        <w:t>I</w:t>
      </w:r>
    </w:p>
    <w:p w14:paraId="48D4FBC4" w14:textId="77777777" w:rsidR="007449C0" w:rsidRPr="0085715D" w:rsidRDefault="007449C0" w:rsidP="007449C0">
      <w:pPr>
        <w:pStyle w:val="Capitol"/>
        <w:rPr>
          <w:sz w:val="24"/>
        </w:rPr>
      </w:pPr>
      <w:r w:rsidRPr="0085715D">
        <w:rPr>
          <w:sz w:val="24"/>
        </w:rPr>
        <w:t>Dispoziții generale</w:t>
      </w:r>
    </w:p>
    <w:p w14:paraId="2DCB7B73" w14:textId="77777777" w:rsidR="007449C0" w:rsidRPr="00671F38" w:rsidRDefault="007449C0" w:rsidP="00671F38">
      <w:pPr>
        <w:pStyle w:val="Anexapct1"/>
        <w:numPr>
          <w:ilvl w:val="0"/>
          <w:numId w:val="152"/>
        </w:numPr>
        <w:rPr>
          <w:sz w:val="24"/>
        </w:rPr>
      </w:pPr>
      <w:r w:rsidRPr="00671F38">
        <w:rPr>
          <w:sz w:val="24"/>
        </w:rPr>
        <w:t xml:space="preserve">Prezentele orientări stabilesc reguli pentru calcularea stocurilor de carbon din sol,  pentru utilizarea de referință a terenului </w:t>
      </w:r>
      <w:r w:rsidRPr="00671F38">
        <w:rPr>
          <w:i/>
          <w:iCs/>
          <w:sz w:val="24"/>
        </w:rPr>
        <w:t>CS</w:t>
      </w:r>
      <w:r w:rsidRPr="00671F38">
        <w:rPr>
          <w:i/>
          <w:iCs/>
          <w:sz w:val="24"/>
          <w:vertAlign w:val="subscript"/>
        </w:rPr>
        <w:t>R</w:t>
      </w:r>
      <w:r w:rsidRPr="00671F38">
        <w:rPr>
          <w:sz w:val="24"/>
          <w:vertAlign w:val="subscript"/>
        </w:rPr>
        <w:t xml:space="preserve"> </w:t>
      </w:r>
      <w:r w:rsidRPr="00671F38">
        <w:rPr>
          <w:sz w:val="24"/>
        </w:rPr>
        <w:t xml:space="preserve">și pentru utilizarea reală a terenului </w:t>
      </w:r>
      <w:r w:rsidRPr="00671F38">
        <w:rPr>
          <w:i/>
          <w:iCs/>
          <w:sz w:val="24"/>
        </w:rPr>
        <w:t>CS</w:t>
      </w:r>
      <w:r w:rsidRPr="00671F38">
        <w:rPr>
          <w:i/>
          <w:iCs/>
          <w:sz w:val="24"/>
          <w:vertAlign w:val="subscript"/>
        </w:rPr>
        <w:t>A</w:t>
      </w:r>
      <w:r w:rsidRPr="00671F38">
        <w:rPr>
          <w:iCs/>
          <w:sz w:val="24"/>
        </w:rPr>
        <w:t>,</w:t>
      </w:r>
      <w:r w:rsidRPr="00671F38">
        <w:rPr>
          <w:sz w:val="24"/>
        </w:rPr>
        <w:t xml:space="preserve"> conform definiției de la pct. 12 din anexa nr. 2 la prezenta hotărâre.</w:t>
      </w:r>
    </w:p>
    <w:p w14:paraId="724BBE2B" w14:textId="77777777" w:rsidR="007449C0" w:rsidRPr="0085715D" w:rsidRDefault="007449C0" w:rsidP="007449C0">
      <w:pPr>
        <w:pStyle w:val="Anexapct1"/>
        <w:rPr>
          <w:sz w:val="24"/>
        </w:rPr>
      </w:pPr>
      <w:r w:rsidRPr="0085715D">
        <w:rPr>
          <w:sz w:val="24"/>
        </w:rPr>
        <w:t>La capitolul II sunt stabilite regulile pentru determinarea consecventă a stocurilor de carbon din sol. Capitolul III stabilește regula generală pentru calcularea stocurilor de carbon, care constau în două componente: carbonul organic din sol și stocul de carbon din vegetația aflată în sol și deasupra solului.</w:t>
      </w:r>
    </w:p>
    <w:p w14:paraId="5ECB7E31" w14:textId="77777777" w:rsidR="007449C0" w:rsidRPr="0085715D" w:rsidRDefault="007449C0" w:rsidP="007449C0">
      <w:pPr>
        <w:pStyle w:val="Anexapct1"/>
        <w:rPr>
          <w:sz w:val="24"/>
        </w:rPr>
      </w:pPr>
      <w:r w:rsidRPr="0085715D">
        <w:rPr>
          <w:sz w:val="24"/>
        </w:rPr>
        <w:t>Capitolul IV furnizează reguli detaliate pentru determinarea stocului de carbon organic din sol. Pentru solurile minerale, acest punct prevede opțiunea de respectare a unei metode care permite folosirea valorilor furnizate în orientări, precum și opțiunea de utilizare a unor metode alternative. Sunt descrise metodele pentru solurile organice, dar orientările nu conțin valori pentru determinarea stocului de carbon organic din solurile organice.</w:t>
      </w:r>
    </w:p>
    <w:p w14:paraId="3FB50055" w14:textId="77777777" w:rsidR="007449C0" w:rsidRPr="0085715D" w:rsidRDefault="007449C0" w:rsidP="007449C0">
      <w:pPr>
        <w:pStyle w:val="Anexapct1"/>
        <w:rPr>
          <w:sz w:val="24"/>
        </w:rPr>
      </w:pPr>
      <w:r w:rsidRPr="0085715D">
        <w:rPr>
          <w:sz w:val="24"/>
        </w:rPr>
        <w:t>Capitolul V prevede reguli detaliate cu privire la stocul de carbon din vegetație, dar acesta este relevant numai în cazul în care nu se optează pentru utilizarea valorilor pentru stocul de carbon din vegetația aflată în sol și deasupra solului prevăzute la capitolul VIII din orientări (utilizarea valorilor menționate la capitolul VIII nu este obligatorie și, în anumite cazuri, este posibil ca acesta să nu conțină valorile adecvate).</w:t>
      </w:r>
    </w:p>
    <w:p w14:paraId="1DDA9140" w14:textId="77777777" w:rsidR="007449C0" w:rsidRPr="0085715D" w:rsidRDefault="007449C0" w:rsidP="007449C0">
      <w:pPr>
        <w:pStyle w:val="Anexapct1"/>
        <w:rPr>
          <w:sz w:val="24"/>
        </w:rPr>
      </w:pPr>
      <w:r w:rsidRPr="0085715D">
        <w:rPr>
          <w:sz w:val="24"/>
        </w:rPr>
        <w:t>Capitolul VI stabilește regulile pentru selectarea valorilor adecvate în cazul în care se optează pentru utilizarea valorilor din orientări raportate la carbonul organic din solurile minerale (valorile sunt menționate la capitolele VI și VII). În aceste reguli se face referire la straturile de date privind regiunile climatice și tipurile de sol. Figurile 1 și 2 de mai jos se bazează pe straturile detaliate de date menționate.</w:t>
      </w:r>
    </w:p>
    <w:p w14:paraId="65030BF4" w14:textId="77777777" w:rsidR="007449C0" w:rsidRPr="0085715D" w:rsidRDefault="007449C0" w:rsidP="007449C0">
      <w:pPr>
        <w:pStyle w:val="Anexapct1"/>
        <w:rPr>
          <w:sz w:val="24"/>
        </w:rPr>
      </w:pPr>
      <w:r w:rsidRPr="0085715D">
        <w:rPr>
          <w:sz w:val="24"/>
        </w:rPr>
        <w:lastRenderedPageBreak/>
        <w:t>Capitolul VIII prezintă valorile pentru stocul de carbon din vegetația aflată în sol și deasupra solului, precum și parametrii asociați. Capitolele VII și VIII prezintă valorile pentru patru categorii de utilizări diferite ale terenului: terenuri agricole, culturi perene, pășuni și suprafețe împădurite.</w:t>
      </w:r>
    </w:p>
    <w:p w14:paraId="40EE8953" w14:textId="77777777" w:rsidR="007449C0" w:rsidRPr="0085715D" w:rsidRDefault="007449C0" w:rsidP="007449C0">
      <w:pPr>
        <w:rPr>
          <w:rStyle w:val="oj-italic"/>
          <w:b/>
          <w:bCs/>
          <w:color w:val="333333"/>
          <w:sz w:val="24"/>
        </w:rPr>
      </w:pPr>
      <w:r w:rsidRPr="0085715D">
        <w:rPr>
          <w:noProof/>
          <w:sz w:val="24"/>
        </w:rPr>
        <w:drawing>
          <wp:inline distT="0" distB="0" distL="0" distR="0" wp14:anchorId="772E8085" wp14:editId="4E05738A">
            <wp:extent cx="5762625" cy="2339340"/>
            <wp:effectExtent l="0" t="0" r="9525" b="3810"/>
            <wp:docPr id="405684207" name="Picture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2339340"/>
                    </a:xfrm>
                    <a:prstGeom prst="rect">
                      <a:avLst/>
                    </a:prstGeom>
                    <a:noFill/>
                    <a:ln>
                      <a:noFill/>
                    </a:ln>
                  </pic:spPr>
                </pic:pic>
              </a:graphicData>
            </a:graphic>
          </wp:inline>
        </w:drawing>
      </w:r>
    </w:p>
    <w:p w14:paraId="1A170E65" w14:textId="77777777" w:rsidR="007449C0" w:rsidRPr="0085715D" w:rsidRDefault="007449C0" w:rsidP="007449C0">
      <w:pPr>
        <w:jc w:val="center"/>
        <w:rPr>
          <w:rStyle w:val="oj-bold"/>
          <w:color w:val="333333"/>
          <w:sz w:val="24"/>
        </w:rPr>
      </w:pPr>
      <w:r w:rsidRPr="0085715D">
        <w:rPr>
          <w:rStyle w:val="oj-italic"/>
          <w:b/>
          <w:bCs/>
          <w:color w:val="333333"/>
          <w:sz w:val="24"/>
        </w:rPr>
        <w:t xml:space="preserve">Figura 1. </w:t>
      </w:r>
      <w:r w:rsidRPr="0085715D">
        <w:rPr>
          <w:rStyle w:val="oj-bold"/>
          <w:color w:val="333333"/>
          <w:sz w:val="24"/>
        </w:rPr>
        <w:t>Regiuni climatice.</w:t>
      </w:r>
    </w:p>
    <w:p w14:paraId="018FF8FC" w14:textId="77777777" w:rsidR="007449C0" w:rsidRPr="0085715D" w:rsidRDefault="007449C0" w:rsidP="007449C0">
      <w:pPr>
        <w:jc w:val="center"/>
        <w:rPr>
          <w:sz w:val="24"/>
        </w:rPr>
      </w:pPr>
      <w:r w:rsidRPr="0085715D">
        <w:rPr>
          <w:sz w:val="24"/>
        </w:rPr>
        <w:t>Legendă: 1 = tropicală, montană; 2 = tropicală, ploioasă; 3 = tropicală, umedă; 4 = tropicală, uscată; 5 = temperată caldă, umedă; 6 = temperată caldă, uscată; 7 = temperată rece, umedă; 8 = temperată rece, uscată; 9 = boreală, umedă; 10 = boreală, uscată; 11 = polară, umedă; 12 = polară, uscată.</w:t>
      </w:r>
    </w:p>
    <w:p w14:paraId="0B4F892F" w14:textId="77777777" w:rsidR="007449C0" w:rsidRPr="0085715D" w:rsidRDefault="007449C0" w:rsidP="007449C0">
      <w:pPr>
        <w:jc w:val="center"/>
        <w:rPr>
          <w:sz w:val="24"/>
        </w:rPr>
      </w:pPr>
    </w:p>
    <w:p w14:paraId="054E74F2" w14:textId="77777777" w:rsidR="007449C0" w:rsidRPr="0085715D" w:rsidRDefault="007449C0" w:rsidP="007449C0">
      <w:pPr>
        <w:pStyle w:val="Anexapct1"/>
        <w:numPr>
          <w:ilvl w:val="0"/>
          <w:numId w:val="0"/>
        </w:numPr>
        <w:ind w:left="431"/>
        <w:rPr>
          <w:sz w:val="24"/>
        </w:rPr>
      </w:pPr>
      <w:r w:rsidRPr="0085715D">
        <w:rPr>
          <w:noProof/>
          <w:sz w:val="24"/>
        </w:rPr>
        <w:drawing>
          <wp:inline distT="0" distB="0" distL="0" distR="0" wp14:anchorId="422E4D79" wp14:editId="055EFAB8">
            <wp:extent cx="5762625" cy="2339340"/>
            <wp:effectExtent l="0" t="0" r="9525" b="3810"/>
            <wp:docPr id="914140836" name="Picture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2339340"/>
                    </a:xfrm>
                    <a:prstGeom prst="rect">
                      <a:avLst/>
                    </a:prstGeom>
                    <a:noFill/>
                    <a:ln>
                      <a:noFill/>
                    </a:ln>
                  </pic:spPr>
                </pic:pic>
              </a:graphicData>
            </a:graphic>
          </wp:inline>
        </w:drawing>
      </w:r>
    </w:p>
    <w:p w14:paraId="2DE90E9E" w14:textId="77777777" w:rsidR="007449C0" w:rsidRPr="0085715D" w:rsidRDefault="007449C0" w:rsidP="007449C0">
      <w:pPr>
        <w:jc w:val="center"/>
        <w:rPr>
          <w:rStyle w:val="oj-bold"/>
          <w:color w:val="333333"/>
          <w:sz w:val="24"/>
        </w:rPr>
      </w:pPr>
      <w:r w:rsidRPr="0085715D">
        <w:rPr>
          <w:rStyle w:val="oj-italic"/>
          <w:b/>
          <w:bCs/>
          <w:color w:val="333333"/>
          <w:sz w:val="24"/>
        </w:rPr>
        <w:t xml:space="preserve">Figura 2. </w:t>
      </w:r>
      <w:r w:rsidRPr="0085715D">
        <w:rPr>
          <w:rStyle w:val="oj-bold"/>
          <w:color w:val="333333"/>
          <w:sz w:val="24"/>
        </w:rPr>
        <w:t>Distribuția geografică a tipurilor de soluri</w:t>
      </w:r>
    </w:p>
    <w:p w14:paraId="60E2830C" w14:textId="77777777" w:rsidR="007449C0" w:rsidRPr="0085715D" w:rsidRDefault="007449C0" w:rsidP="007449C0">
      <w:pPr>
        <w:jc w:val="center"/>
        <w:rPr>
          <w:rStyle w:val="oj-bold"/>
          <w:color w:val="333333"/>
          <w:sz w:val="24"/>
        </w:rPr>
      </w:pPr>
      <w:r w:rsidRPr="0085715D">
        <w:rPr>
          <w:color w:val="333333"/>
          <w:sz w:val="24"/>
        </w:rPr>
        <w:t xml:space="preserve">Legendă: 1 = organice; 2 = soluri nisipoase; 3 = soluri din zonele umede; 4 = soluri vulcanice; 5 = </w:t>
      </w:r>
      <w:proofErr w:type="spellStart"/>
      <w:r w:rsidRPr="0085715D">
        <w:rPr>
          <w:color w:val="333333"/>
          <w:sz w:val="24"/>
        </w:rPr>
        <w:t>spodosoluri</w:t>
      </w:r>
      <w:proofErr w:type="spellEnd"/>
      <w:r w:rsidRPr="0085715D">
        <w:rPr>
          <w:color w:val="333333"/>
          <w:sz w:val="24"/>
        </w:rPr>
        <w:t>; 6 = soluri argiloase cu activitate ridicată; 7 = soluri argiloase cu activitate scăzută; 8 = alte regiuni.</w:t>
      </w:r>
    </w:p>
    <w:p w14:paraId="6CCA5C07" w14:textId="77777777" w:rsidR="007449C0" w:rsidRPr="0085715D" w:rsidRDefault="007449C0" w:rsidP="007449C0">
      <w:pPr>
        <w:pStyle w:val="Capitol"/>
        <w:rPr>
          <w:sz w:val="24"/>
          <w:lang w:val="pt-BR"/>
        </w:rPr>
      </w:pPr>
      <w:r w:rsidRPr="0085715D">
        <w:rPr>
          <w:caps w:val="0"/>
          <w:sz w:val="24"/>
          <w:lang w:val="pt-BR"/>
        </w:rPr>
        <w:t>Capitolul I</w:t>
      </w:r>
      <w:r w:rsidRPr="0085715D">
        <w:rPr>
          <w:sz w:val="24"/>
          <w:lang w:val="pt-BR"/>
        </w:rPr>
        <w:t>I</w:t>
      </w:r>
    </w:p>
    <w:p w14:paraId="2A397A05" w14:textId="77777777" w:rsidR="007449C0" w:rsidRPr="0085715D" w:rsidRDefault="007449C0" w:rsidP="007449C0">
      <w:pPr>
        <w:pStyle w:val="Capitol"/>
        <w:rPr>
          <w:sz w:val="24"/>
        </w:rPr>
      </w:pPr>
      <w:r w:rsidRPr="0085715D">
        <w:rPr>
          <w:sz w:val="24"/>
        </w:rPr>
        <w:t xml:space="preserve">REPREZENTAREA CONSECVENTĂ A STOCURILOR </w:t>
      </w:r>
    </w:p>
    <w:p w14:paraId="7A0AE6DB" w14:textId="77777777" w:rsidR="007449C0" w:rsidRPr="0085715D" w:rsidRDefault="007449C0" w:rsidP="007449C0">
      <w:pPr>
        <w:pStyle w:val="Capitol"/>
        <w:rPr>
          <w:sz w:val="24"/>
        </w:rPr>
      </w:pPr>
      <w:r w:rsidRPr="0085715D">
        <w:rPr>
          <w:sz w:val="24"/>
        </w:rPr>
        <w:t>DE CARBON DIN SOL</w:t>
      </w:r>
    </w:p>
    <w:p w14:paraId="0F4765FC" w14:textId="77777777" w:rsidR="007449C0" w:rsidRPr="0085715D" w:rsidRDefault="007449C0" w:rsidP="007449C0">
      <w:pPr>
        <w:pStyle w:val="Anexapct1"/>
        <w:rPr>
          <w:sz w:val="24"/>
        </w:rPr>
      </w:pPr>
      <w:r w:rsidRPr="0085715D">
        <w:rPr>
          <w:sz w:val="24"/>
        </w:rPr>
        <w:lastRenderedPageBreak/>
        <w:t>Pentru determinarea cantității de carbon per unitate de suprafață asociate cu CS</w:t>
      </w:r>
      <w:r w:rsidRPr="0085715D">
        <w:rPr>
          <w:sz w:val="24"/>
          <w:vertAlign w:val="subscript"/>
        </w:rPr>
        <w:t>R</w:t>
      </w:r>
      <w:r w:rsidRPr="0085715D">
        <w:rPr>
          <w:sz w:val="24"/>
        </w:rPr>
        <w:t xml:space="preserve"> și CS</w:t>
      </w:r>
      <w:r w:rsidRPr="0085715D">
        <w:rPr>
          <w:sz w:val="24"/>
          <w:vertAlign w:val="subscript"/>
        </w:rPr>
        <w:t>A</w:t>
      </w:r>
      <w:r w:rsidRPr="0085715D">
        <w:rPr>
          <w:sz w:val="24"/>
        </w:rPr>
        <w:t xml:space="preserve"> se aplică următoarele reguli:</w:t>
      </w:r>
    </w:p>
    <w:p w14:paraId="412022EE" w14:textId="77777777" w:rsidR="007449C0" w:rsidRPr="0085715D" w:rsidRDefault="007449C0" w:rsidP="007449C0">
      <w:pPr>
        <w:pStyle w:val="Anexapct11"/>
        <w:rPr>
          <w:sz w:val="24"/>
        </w:rPr>
      </w:pPr>
      <w:r w:rsidRPr="0085715D">
        <w:rPr>
          <w:sz w:val="24"/>
        </w:rPr>
        <w:t>regiunea pentru care se calculează stocurile de carbon din sol va avea, pentru întreaga suprafață:</w:t>
      </w:r>
    </w:p>
    <w:p w14:paraId="08E8C8A6" w14:textId="77777777" w:rsidR="007449C0" w:rsidRPr="0085715D" w:rsidRDefault="007449C0" w:rsidP="007449C0">
      <w:pPr>
        <w:pStyle w:val="Anexapct111"/>
        <w:rPr>
          <w:sz w:val="24"/>
        </w:rPr>
      </w:pPr>
      <w:r w:rsidRPr="0085715D">
        <w:rPr>
          <w:sz w:val="24"/>
        </w:rPr>
        <w:t>condiții biofizice similare din punct de vedere al tipului de climă și de sol;</w:t>
      </w:r>
    </w:p>
    <w:p w14:paraId="65664705" w14:textId="77777777" w:rsidR="007449C0" w:rsidRPr="0085715D" w:rsidRDefault="007449C0" w:rsidP="007449C0">
      <w:pPr>
        <w:pStyle w:val="Anexapct111"/>
        <w:rPr>
          <w:sz w:val="24"/>
        </w:rPr>
      </w:pPr>
      <w:r w:rsidRPr="0085715D">
        <w:rPr>
          <w:sz w:val="24"/>
        </w:rPr>
        <w:t>un istoric similar al administrării din punct de vedere al lucrărilor de arătură;</w:t>
      </w:r>
    </w:p>
    <w:p w14:paraId="1FBF65EE" w14:textId="77777777" w:rsidR="007449C0" w:rsidRPr="0085715D" w:rsidRDefault="007449C0" w:rsidP="007449C0">
      <w:pPr>
        <w:pStyle w:val="Anexapct111"/>
        <w:rPr>
          <w:sz w:val="24"/>
        </w:rPr>
      </w:pPr>
      <w:r w:rsidRPr="0085715D">
        <w:rPr>
          <w:sz w:val="24"/>
        </w:rPr>
        <w:t>un istoric similar al intrărilor în ceea ce privește intrările de carbon la nivelul solului;</w:t>
      </w:r>
    </w:p>
    <w:p w14:paraId="0CB63082" w14:textId="77777777" w:rsidR="007449C0" w:rsidRPr="0085715D" w:rsidRDefault="007449C0" w:rsidP="007449C0">
      <w:pPr>
        <w:pStyle w:val="Anexapct11"/>
        <w:rPr>
          <w:sz w:val="24"/>
        </w:rPr>
      </w:pPr>
      <w:r w:rsidRPr="0085715D">
        <w:rPr>
          <w:sz w:val="24"/>
        </w:rPr>
        <w:t>cantitatea de carbon aferentă utilizării reale a terenului, CS</w:t>
      </w:r>
      <w:r w:rsidRPr="0085715D">
        <w:rPr>
          <w:sz w:val="24"/>
          <w:vertAlign w:val="subscript"/>
        </w:rPr>
        <w:t>A</w:t>
      </w:r>
      <w:r w:rsidRPr="0085715D">
        <w:rPr>
          <w:sz w:val="24"/>
        </w:rPr>
        <w:t>, se estimează ca:</w:t>
      </w:r>
    </w:p>
    <w:p w14:paraId="446FA4EC" w14:textId="77777777" w:rsidR="007449C0" w:rsidRPr="0085715D" w:rsidRDefault="007449C0" w:rsidP="007449C0">
      <w:pPr>
        <w:pStyle w:val="Anexapct111"/>
        <w:rPr>
          <w:sz w:val="24"/>
        </w:rPr>
      </w:pPr>
      <w:r w:rsidRPr="0085715D">
        <w:rPr>
          <w:sz w:val="24"/>
        </w:rPr>
        <w:t>în cazul pierderilor din stocul de carbon: stocul de carbon la echilibru pe care se estimează că terenul îl va atinge prin noua utilizare;</w:t>
      </w:r>
    </w:p>
    <w:p w14:paraId="0A16C655" w14:textId="77777777" w:rsidR="007449C0" w:rsidRPr="0085715D" w:rsidRDefault="007449C0" w:rsidP="007449C0">
      <w:pPr>
        <w:pStyle w:val="Anexapct111"/>
        <w:rPr>
          <w:sz w:val="24"/>
        </w:rPr>
      </w:pPr>
      <w:r w:rsidRPr="0085715D">
        <w:rPr>
          <w:sz w:val="24"/>
        </w:rPr>
        <w:t>în cazul acumulării stocului de carbon: stocul de carbon estimat după 20 de ani sau atunci când recolta ajunge la maturitate, fiind luată în considerare data cea mai recentă.</w:t>
      </w:r>
    </w:p>
    <w:p w14:paraId="26C36121" w14:textId="77777777" w:rsidR="007449C0" w:rsidRPr="0085715D" w:rsidRDefault="007449C0" w:rsidP="007449C0">
      <w:pPr>
        <w:pStyle w:val="Capitol"/>
        <w:rPr>
          <w:sz w:val="24"/>
        </w:rPr>
      </w:pPr>
      <w:r w:rsidRPr="0085715D">
        <w:rPr>
          <w:caps w:val="0"/>
          <w:sz w:val="24"/>
        </w:rPr>
        <w:t xml:space="preserve">Capitolul </w:t>
      </w:r>
      <w:r w:rsidRPr="0085715D">
        <w:rPr>
          <w:sz w:val="24"/>
        </w:rPr>
        <w:t>III</w:t>
      </w:r>
    </w:p>
    <w:p w14:paraId="3071F5F2" w14:textId="77777777" w:rsidR="007449C0" w:rsidRPr="0085715D" w:rsidRDefault="007449C0" w:rsidP="007449C0">
      <w:pPr>
        <w:pStyle w:val="Capitol"/>
        <w:rPr>
          <w:sz w:val="24"/>
        </w:rPr>
      </w:pPr>
      <w:r w:rsidRPr="0085715D">
        <w:rPr>
          <w:sz w:val="24"/>
        </w:rPr>
        <w:t>CALCULAREA STOCURILOR DE CARBON</w:t>
      </w:r>
    </w:p>
    <w:p w14:paraId="1EF51F48" w14:textId="77777777" w:rsidR="007449C0" w:rsidRPr="0085715D" w:rsidRDefault="007449C0" w:rsidP="007449C0">
      <w:pPr>
        <w:pStyle w:val="Anexapct1"/>
        <w:rPr>
          <w:sz w:val="24"/>
        </w:rPr>
      </w:pPr>
      <w:r w:rsidRPr="0085715D">
        <w:rPr>
          <w:sz w:val="24"/>
        </w:rPr>
        <w:t>Pentru calcularea </w:t>
      </w:r>
      <w:r w:rsidRPr="0085715D">
        <w:rPr>
          <w:i/>
          <w:iCs/>
          <w:sz w:val="24"/>
        </w:rPr>
        <w:t>CS</w:t>
      </w:r>
      <w:r w:rsidRPr="0085715D">
        <w:rPr>
          <w:i/>
          <w:iCs/>
          <w:sz w:val="24"/>
          <w:vertAlign w:val="subscript"/>
        </w:rPr>
        <w:t>R</w:t>
      </w:r>
      <w:r w:rsidRPr="0085715D">
        <w:rPr>
          <w:i/>
          <w:iCs/>
          <w:sz w:val="24"/>
        </w:rPr>
        <w:t> </w:t>
      </w:r>
      <w:r w:rsidRPr="0085715D">
        <w:rPr>
          <w:sz w:val="24"/>
        </w:rPr>
        <w:t>și a </w:t>
      </w:r>
      <w:r w:rsidRPr="0085715D">
        <w:rPr>
          <w:i/>
          <w:iCs/>
          <w:sz w:val="24"/>
        </w:rPr>
        <w:t>CS</w:t>
      </w:r>
      <w:r w:rsidRPr="0085715D">
        <w:rPr>
          <w:i/>
          <w:iCs/>
          <w:sz w:val="24"/>
          <w:vertAlign w:val="subscript"/>
        </w:rPr>
        <w:t>A</w:t>
      </w:r>
      <w:r w:rsidRPr="0085715D">
        <w:rPr>
          <w:i/>
          <w:iCs/>
          <w:sz w:val="24"/>
        </w:rPr>
        <w:t> </w:t>
      </w:r>
      <w:r w:rsidRPr="0085715D">
        <w:rPr>
          <w:sz w:val="24"/>
        </w:rPr>
        <w:t>se utilizează următoarea formulă:</w:t>
      </w:r>
    </w:p>
    <w:p w14:paraId="3CBDC2E1" w14:textId="77777777" w:rsidR="007449C0" w:rsidRPr="0085715D" w:rsidRDefault="007449C0" w:rsidP="007449C0">
      <w:pPr>
        <w:pStyle w:val="Anexapct1"/>
        <w:numPr>
          <w:ilvl w:val="0"/>
          <w:numId w:val="0"/>
        </w:numPr>
        <w:ind w:left="431"/>
        <w:jc w:val="center"/>
        <w:rPr>
          <w:sz w:val="24"/>
        </w:rPr>
      </w:pPr>
      <w:proofErr w:type="spellStart"/>
      <w:r w:rsidRPr="0085715D">
        <w:rPr>
          <w:i/>
          <w:iCs/>
          <w:sz w:val="24"/>
        </w:rPr>
        <w:t>CS</w:t>
      </w:r>
      <w:r w:rsidRPr="0085715D">
        <w:rPr>
          <w:i/>
          <w:iCs/>
          <w:sz w:val="24"/>
          <w:vertAlign w:val="subscript"/>
        </w:rPr>
        <w:t>i</w:t>
      </w:r>
      <w:proofErr w:type="spellEnd"/>
      <w:r w:rsidRPr="0085715D">
        <w:rPr>
          <w:i/>
          <w:iCs/>
          <w:sz w:val="24"/>
        </w:rPr>
        <w:t> </w:t>
      </w:r>
      <w:r w:rsidRPr="0085715D">
        <w:rPr>
          <w:sz w:val="24"/>
        </w:rPr>
        <w:t> = (</w:t>
      </w:r>
      <w:r w:rsidRPr="0085715D">
        <w:rPr>
          <w:i/>
          <w:iCs/>
          <w:sz w:val="24"/>
        </w:rPr>
        <w:t>SOC + C</w:t>
      </w:r>
      <w:r w:rsidRPr="0085715D">
        <w:rPr>
          <w:i/>
          <w:iCs/>
          <w:sz w:val="24"/>
          <w:vertAlign w:val="subscript"/>
        </w:rPr>
        <w:t>VEG</w:t>
      </w:r>
      <w:r w:rsidRPr="0085715D">
        <w:rPr>
          <w:i/>
          <w:iCs/>
          <w:sz w:val="24"/>
        </w:rPr>
        <w:t> </w:t>
      </w:r>
      <w:r w:rsidRPr="0085715D">
        <w:rPr>
          <w:sz w:val="24"/>
        </w:rPr>
        <w:t>) × </w:t>
      </w:r>
      <w:r w:rsidRPr="0085715D">
        <w:rPr>
          <w:i/>
          <w:iCs/>
          <w:sz w:val="24"/>
        </w:rPr>
        <w:t>A</w:t>
      </w:r>
    </w:p>
    <w:p w14:paraId="56EA14A4" w14:textId="77777777" w:rsidR="007449C0" w:rsidRPr="0085715D" w:rsidRDefault="007449C0" w:rsidP="007449C0">
      <w:pPr>
        <w:pStyle w:val="Anexapct1"/>
        <w:numPr>
          <w:ilvl w:val="0"/>
          <w:numId w:val="0"/>
        </w:numPr>
        <w:ind w:left="431"/>
        <w:jc w:val="left"/>
        <w:rPr>
          <w:sz w:val="24"/>
        </w:rPr>
      </w:pPr>
      <w:r w:rsidRPr="0085715D">
        <w:rPr>
          <w:sz w:val="24"/>
        </w:rPr>
        <w:t>unde:</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
        <w:gridCol w:w="8267"/>
      </w:tblGrid>
      <w:tr w:rsidR="007449C0" w:rsidRPr="0085715D" w14:paraId="6BD8FE2C" w14:textId="77777777" w:rsidTr="003D514F">
        <w:tc>
          <w:tcPr>
            <w:tcW w:w="773" w:type="dxa"/>
          </w:tcPr>
          <w:p w14:paraId="6D26CEC9"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CS</w:t>
            </w:r>
            <w:r w:rsidRPr="0085715D">
              <w:rPr>
                <w:rFonts w:ascii="Times New Roman" w:hAnsi="Times New Roman"/>
                <w:sz w:val="24"/>
                <w:vertAlign w:val="subscript"/>
              </w:rPr>
              <w:t>I</w:t>
            </w:r>
            <w:r w:rsidRPr="0085715D">
              <w:rPr>
                <w:rFonts w:ascii="Times New Roman" w:hAnsi="Times New Roman"/>
                <w:sz w:val="24"/>
              </w:rPr>
              <w:t> </w:t>
            </w:r>
          </w:p>
        </w:tc>
        <w:tc>
          <w:tcPr>
            <w:tcW w:w="9364" w:type="dxa"/>
          </w:tcPr>
          <w:p w14:paraId="04D7F4DA"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 cantitatea de carbon per unitate de suprafață asociată utilizării </w:t>
            </w:r>
            <w:r w:rsidRPr="0085715D">
              <w:rPr>
                <w:rFonts w:ascii="Times New Roman" w:hAnsi="Times New Roman"/>
                <w:i/>
                <w:iCs/>
                <w:sz w:val="24"/>
              </w:rPr>
              <w:t>i</w:t>
            </w:r>
            <w:r w:rsidRPr="0085715D">
              <w:rPr>
                <w:rFonts w:ascii="Times New Roman" w:hAnsi="Times New Roman"/>
                <w:sz w:val="24"/>
              </w:rPr>
              <w:t> a terenului (măsurată ca masă de carbon per unitate de suprafață, cuprinzând atât solul, cât și vegetația);</w:t>
            </w:r>
          </w:p>
        </w:tc>
      </w:tr>
      <w:tr w:rsidR="007449C0" w:rsidRPr="0085715D" w14:paraId="16EFEAA3" w14:textId="77777777" w:rsidTr="003D514F">
        <w:tc>
          <w:tcPr>
            <w:tcW w:w="773" w:type="dxa"/>
          </w:tcPr>
          <w:p w14:paraId="7E9BD9EA"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SOC</w:t>
            </w:r>
          </w:p>
          <w:p w14:paraId="3C03D0A2" w14:textId="77777777" w:rsidR="007449C0" w:rsidRPr="0085715D" w:rsidRDefault="007449C0" w:rsidP="003D514F">
            <w:pPr>
              <w:pStyle w:val="Anexapct1"/>
              <w:numPr>
                <w:ilvl w:val="0"/>
                <w:numId w:val="0"/>
              </w:numPr>
              <w:rPr>
                <w:rFonts w:ascii="Times New Roman" w:hAnsi="Times New Roman"/>
                <w:sz w:val="24"/>
              </w:rPr>
            </w:pPr>
          </w:p>
        </w:tc>
        <w:tc>
          <w:tcPr>
            <w:tcW w:w="9364" w:type="dxa"/>
          </w:tcPr>
          <w:p w14:paraId="79679C9B"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 cantitatea de carbon organic din sol (măsurată ca masă de carbon per hectar), calculată în conformitate cu capitolul IV;</w:t>
            </w:r>
          </w:p>
        </w:tc>
      </w:tr>
      <w:tr w:rsidR="007449C0" w:rsidRPr="0085715D" w14:paraId="68DE2317" w14:textId="77777777" w:rsidTr="003D514F">
        <w:tc>
          <w:tcPr>
            <w:tcW w:w="773" w:type="dxa"/>
          </w:tcPr>
          <w:p w14:paraId="0D091A4D"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VEG</w:t>
            </w:r>
          </w:p>
        </w:tc>
        <w:tc>
          <w:tcPr>
            <w:tcW w:w="9364" w:type="dxa"/>
          </w:tcPr>
          <w:p w14:paraId="3142C075"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 stocul de carbon din vegetația aflată în sol și deasupra solului (măsurat ca masă de carbon per hectar), calculat în conformitate cu capitolul V sau selectat din valorile adecvate de la capitolul VIII;</w:t>
            </w:r>
          </w:p>
        </w:tc>
      </w:tr>
      <w:tr w:rsidR="007449C0" w:rsidRPr="0085715D" w14:paraId="7CDBC958" w14:textId="77777777" w:rsidTr="003D514F">
        <w:tc>
          <w:tcPr>
            <w:tcW w:w="773" w:type="dxa"/>
          </w:tcPr>
          <w:p w14:paraId="2CF51A59"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A</w:t>
            </w:r>
          </w:p>
        </w:tc>
        <w:tc>
          <w:tcPr>
            <w:tcW w:w="9364" w:type="dxa"/>
          </w:tcPr>
          <w:p w14:paraId="52009EE0"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 coeficientul corespunzător suprafeței în cauză (măsurat ca număr de hectare per unitate de suprafață).</w:t>
            </w:r>
          </w:p>
        </w:tc>
      </w:tr>
    </w:tbl>
    <w:p w14:paraId="16C82A3C" w14:textId="77777777" w:rsidR="007449C0" w:rsidRPr="0085715D" w:rsidRDefault="007449C0" w:rsidP="007449C0">
      <w:pPr>
        <w:pStyle w:val="Capitol"/>
        <w:rPr>
          <w:sz w:val="24"/>
        </w:rPr>
      </w:pPr>
      <w:r w:rsidRPr="0085715D">
        <w:rPr>
          <w:caps w:val="0"/>
          <w:sz w:val="24"/>
        </w:rPr>
        <w:t xml:space="preserve">Capitolul </w:t>
      </w:r>
      <w:r w:rsidRPr="0085715D">
        <w:rPr>
          <w:sz w:val="24"/>
        </w:rPr>
        <w:t>IV</w:t>
      </w:r>
    </w:p>
    <w:p w14:paraId="1808FD9E" w14:textId="77777777" w:rsidR="007449C0" w:rsidRPr="0085715D" w:rsidRDefault="007449C0" w:rsidP="007449C0">
      <w:pPr>
        <w:pStyle w:val="Capitol"/>
        <w:rPr>
          <w:sz w:val="24"/>
        </w:rPr>
      </w:pPr>
      <w:r w:rsidRPr="0085715D">
        <w:rPr>
          <w:sz w:val="24"/>
        </w:rPr>
        <w:t>STOCUL DE CARBON ORGANIC DIN SOL</w:t>
      </w:r>
    </w:p>
    <w:p w14:paraId="2BF64442" w14:textId="77777777" w:rsidR="007449C0" w:rsidRPr="0085715D" w:rsidRDefault="007449C0" w:rsidP="007449C0">
      <w:pPr>
        <w:pStyle w:val="Sectiune"/>
        <w:rPr>
          <w:sz w:val="24"/>
        </w:rPr>
      </w:pPr>
      <w:r w:rsidRPr="0085715D">
        <w:rPr>
          <w:sz w:val="24"/>
        </w:rPr>
        <w:t>Secțiunea 1</w:t>
      </w:r>
    </w:p>
    <w:p w14:paraId="21A551C0" w14:textId="77777777" w:rsidR="007449C0" w:rsidRPr="0085715D" w:rsidRDefault="007449C0" w:rsidP="007449C0">
      <w:pPr>
        <w:pStyle w:val="Sectiune"/>
        <w:rPr>
          <w:sz w:val="24"/>
        </w:rPr>
      </w:pPr>
      <w:r w:rsidRPr="0085715D">
        <w:rPr>
          <w:sz w:val="24"/>
        </w:rPr>
        <w:t>Soluri minerale</w:t>
      </w:r>
    </w:p>
    <w:p w14:paraId="5E3DE7F3" w14:textId="77777777" w:rsidR="007449C0" w:rsidRPr="0085715D" w:rsidRDefault="007449C0" w:rsidP="007449C0">
      <w:pPr>
        <w:pStyle w:val="Anexapct1"/>
        <w:rPr>
          <w:sz w:val="24"/>
        </w:rPr>
      </w:pPr>
      <w:r w:rsidRPr="0085715D">
        <w:rPr>
          <w:sz w:val="24"/>
        </w:rPr>
        <w:t>Pentru calcularea </w:t>
      </w:r>
      <w:r w:rsidRPr="0085715D">
        <w:rPr>
          <w:i/>
          <w:iCs/>
          <w:sz w:val="24"/>
        </w:rPr>
        <w:t>SOC</w:t>
      </w:r>
      <w:r w:rsidRPr="0085715D">
        <w:rPr>
          <w:sz w:val="24"/>
        </w:rPr>
        <w:t> se utilizează următoarea formulă:</w:t>
      </w:r>
    </w:p>
    <w:p w14:paraId="07F82DC5" w14:textId="77777777" w:rsidR="007449C0" w:rsidRPr="0085715D" w:rsidRDefault="007449C0" w:rsidP="007449C0">
      <w:pPr>
        <w:jc w:val="center"/>
        <w:rPr>
          <w:sz w:val="24"/>
        </w:rPr>
      </w:pPr>
      <w:r w:rsidRPr="0085715D">
        <w:rPr>
          <w:i/>
          <w:iCs/>
          <w:sz w:val="24"/>
        </w:rPr>
        <w:t>SOC = SOC</w:t>
      </w:r>
      <w:r w:rsidRPr="0085715D">
        <w:rPr>
          <w:i/>
          <w:iCs/>
          <w:sz w:val="24"/>
          <w:vertAlign w:val="subscript"/>
        </w:rPr>
        <w:t>ST</w:t>
      </w:r>
      <w:r w:rsidRPr="0085715D">
        <w:rPr>
          <w:i/>
          <w:iCs/>
          <w:sz w:val="24"/>
        </w:rPr>
        <w:t> </w:t>
      </w:r>
      <w:r w:rsidRPr="0085715D">
        <w:rPr>
          <w:sz w:val="24"/>
        </w:rPr>
        <w:t> × </w:t>
      </w:r>
      <w:r w:rsidRPr="0085715D">
        <w:rPr>
          <w:i/>
          <w:iCs/>
          <w:sz w:val="24"/>
        </w:rPr>
        <w:t>F</w:t>
      </w:r>
      <w:r w:rsidRPr="0085715D">
        <w:rPr>
          <w:i/>
          <w:iCs/>
          <w:sz w:val="24"/>
          <w:vertAlign w:val="subscript"/>
        </w:rPr>
        <w:t>LU</w:t>
      </w:r>
      <w:r w:rsidRPr="0085715D">
        <w:rPr>
          <w:i/>
          <w:iCs/>
          <w:sz w:val="24"/>
        </w:rPr>
        <w:t> </w:t>
      </w:r>
      <w:r w:rsidRPr="0085715D">
        <w:rPr>
          <w:sz w:val="24"/>
        </w:rPr>
        <w:t> × </w:t>
      </w:r>
      <w:r w:rsidRPr="0085715D">
        <w:rPr>
          <w:i/>
          <w:iCs/>
          <w:sz w:val="24"/>
        </w:rPr>
        <w:t>F</w:t>
      </w:r>
      <w:r w:rsidRPr="0085715D">
        <w:rPr>
          <w:i/>
          <w:iCs/>
          <w:sz w:val="24"/>
          <w:vertAlign w:val="subscript"/>
        </w:rPr>
        <w:t>MG</w:t>
      </w:r>
      <w:r w:rsidRPr="0085715D">
        <w:rPr>
          <w:i/>
          <w:iCs/>
          <w:sz w:val="24"/>
        </w:rPr>
        <w:t> </w:t>
      </w:r>
      <w:r w:rsidRPr="0085715D">
        <w:rPr>
          <w:sz w:val="24"/>
        </w:rPr>
        <w:t> × </w:t>
      </w:r>
      <w:r w:rsidRPr="0085715D">
        <w:rPr>
          <w:i/>
          <w:iCs/>
          <w:sz w:val="24"/>
        </w:rPr>
        <w:t>F</w:t>
      </w:r>
      <w:r w:rsidRPr="0085715D">
        <w:rPr>
          <w:i/>
          <w:iCs/>
          <w:sz w:val="24"/>
          <w:vertAlign w:val="subscript"/>
        </w:rPr>
        <w:t>I</w:t>
      </w:r>
    </w:p>
    <w:p w14:paraId="5700A5E6" w14:textId="77777777" w:rsidR="007449C0" w:rsidRPr="0085715D" w:rsidRDefault="007449C0" w:rsidP="007449C0">
      <w:pPr>
        <w:rPr>
          <w:sz w:val="24"/>
        </w:rPr>
      </w:pPr>
      <w:r w:rsidRPr="0085715D">
        <w:rPr>
          <w:sz w:val="24"/>
        </w:rPr>
        <w:t>unde:</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8073"/>
      </w:tblGrid>
      <w:tr w:rsidR="007449C0" w:rsidRPr="0085715D" w14:paraId="4858B38C" w14:textId="77777777" w:rsidTr="003D514F">
        <w:tc>
          <w:tcPr>
            <w:tcW w:w="971" w:type="dxa"/>
          </w:tcPr>
          <w:p w14:paraId="4EE93F65"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SOC</w:t>
            </w:r>
          </w:p>
        </w:tc>
        <w:tc>
          <w:tcPr>
            <w:tcW w:w="9166" w:type="dxa"/>
          </w:tcPr>
          <w:p w14:paraId="6531F389"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cantitatea de carbon organic din sol (măsurată ca masă de carbon per hectar);</w:t>
            </w:r>
          </w:p>
        </w:tc>
      </w:tr>
      <w:tr w:rsidR="007449C0" w:rsidRPr="0085715D" w14:paraId="2DBC2441" w14:textId="77777777" w:rsidTr="003D514F">
        <w:tc>
          <w:tcPr>
            <w:tcW w:w="971" w:type="dxa"/>
          </w:tcPr>
          <w:p w14:paraId="0DECE777" w14:textId="77777777" w:rsidR="007449C0" w:rsidRPr="0085715D" w:rsidRDefault="007449C0" w:rsidP="003D514F">
            <w:pPr>
              <w:pStyle w:val="Anexapct1"/>
              <w:numPr>
                <w:ilvl w:val="0"/>
                <w:numId w:val="0"/>
              </w:numPr>
              <w:rPr>
                <w:rFonts w:ascii="Times New Roman" w:hAnsi="Times New Roman"/>
                <w:sz w:val="24"/>
              </w:rPr>
            </w:pPr>
            <w:r w:rsidRPr="0085715D">
              <w:rPr>
                <w:rFonts w:ascii="Times New Roman" w:hAnsi="Times New Roman"/>
                <w:sz w:val="24"/>
              </w:rPr>
              <w:t>SOC</w:t>
            </w:r>
            <w:r w:rsidRPr="0085715D">
              <w:rPr>
                <w:rFonts w:ascii="Times New Roman" w:hAnsi="Times New Roman"/>
                <w:sz w:val="24"/>
                <w:vertAlign w:val="subscript"/>
              </w:rPr>
              <w:t>ST</w:t>
            </w:r>
          </w:p>
        </w:tc>
        <w:tc>
          <w:tcPr>
            <w:tcW w:w="9166" w:type="dxa"/>
          </w:tcPr>
          <w:p w14:paraId="54787F65"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cantitatea standard de carbon organic din sol în stratul de 0-30 centimetri aflat la suprafața terenului (măsurată ca masă de carbon per hectar);</w:t>
            </w:r>
          </w:p>
        </w:tc>
      </w:tr>
      <w:tr w:rsidR="007449C0" w:rsidRPr="0085715D" w14:paraId="3E2EC50D" w14:textId="77777777" w:rsidTr="003D514F">
        <w:tc>
          <w:tcPr>
            <w:tcW w:w="971" w:type="dxa"/>
          </w:tcPr>
          <w:p w14:paraId="25C78DEF"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F</w:t>
            </w:r>
            <w:r w:rsidRPr="0085715D">
              <w:rPr>
                <w:rFonts w:ascii="Times New Roman" w:hAnsi="Times New Roman"/>
                <w:sz w:val="24"/>
                <w:vertAlign w:val="subscript"/>
              </w:rPr>
              <w:t>LU</w:t>
            </w:r>
            <w:r w:rsidRPr="0085715D">
              <w:rPr>
                <w:rFonts w:ascii="Times New Roman" w:hAnsi="Times New Roman"/>
                <w:sz w:val="24"/>
              </w:rPr>
              <w:t> </w:t>
            </w:r>
          </w:p>
          <w:p w14:paraId="739CC5C4" w14:textId="77777777" w:rsidR="007449C0" w:rsidRPr="0085715D" w:rsidRDefault="007449C0" w:rsidP="003D514F">
            <w:pPr>
              <w:pStyle w:val="Anexapct1"/>
              <w:numPr>
                <w:ilvl w:val="0"/>
                <w:numId w:val="0"/>
              </w:numPr>
              <w:rPr>
                <w:rFonts w:ascii="Times New Roman" w:hAnsi="Times New Roman"/>
                <w:sz w:val="24"/>
              </w:rPr>
            </w:pPr>
          </w:p>
        </w:tc>
        <w:tc>
          <w:tcPr>
            <w:tcW w:w="9166" w:type="dxa"/>
          </w:tcPr>
          <w:p w14:paraId="605BD607"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factorul de utilizare a terenului care reflectă diferența dintre cantitatea de carbon organic din sol asociată cu tipul de utilizare a terenului, în comparație cu cantitatea standard de carbon organic din sol;</w:t>
            </w:r>
          </w:p>
        </w:tc>
      </w:tr>
      <w:tr w:rsidR="007449C0" w:rsidRPr="0085715D" w14:paraId="304199EC" w14:textId="77777777" w:rsidTr="003D514F">
        <w:tc>
          <w:tcPr>
            <w:tcW w:w="971" w:type="dxa"/>
          </w:tcPr>
          <w:p w14:paraId="234A5CE4"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lastRenderedPageBreak/>
              <w:t>F</w:t>
            </w:r>
            <w:r w:rsidRPr="0085715D">
              <w:rPr>
                <w:rFonts w:ascii="Times New Roman" w:hAnsi="Times New Roman"/>
                <w:sz w:val="24"/>
                <w:vertAlign w:val="subscript"/>
              </w:rPr>
              <w:t>MG</w:t>
            </w:r>
          </w:p>
        </w:tc>
        <w:tc>
          <w:tcPr>
            <w:tcW w:w="9166" w:type="dxa"/>
          </w:tcPr>
          <w:p w14:paraId="76DA5025"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factorul de administrare care reflectă diferența dintre cantitatea de carbon organic din sol asociată cu practicile de principiu în materie de administrare, în comparație cu cantitatea standard de carbon organic din sol;</w:t>
            </w:r>
          </w:p>
        </w:tc>
      </w:tr>
      <w:tr w:rsidR="007449C0" w:rsidRPr="0085715D" w14:paraId="4231F929" w14:textId="77777777" w:rsidTr="003D514F">
        <w:tc>
          <w:tcPr>
            <w:tcW w:w="971" w:type="dxa"/>
          </w:tcPr>
          <w:p w14:paraId="5FBABD96"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F</w:t>
            </w:r>
            <w:r w:rsidRPr="0085715D">
              <w:rPr>
                <w:rFonts w:ascii="Times New Roman" w:hAnsi="Times New Roman"/>
                <w:sz w:val="24"/>
                <w:vertAlign w:val="subscript"/>
              </w:rPr>
              <w:t>I</w:t>
            </w:r>
          </w:p>
        </w:tc>
        <w:tc>
          <w:tcPr>
            <w:tcW w:w="9166" w:type="dxa"/>
          </w:tcPr>
          <w:p w14:paraId="1A080EF1"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factorul de intrare care reflectă diferența dintre cantitatea de carbon organic din sol asociată cu niveluri diferite ale intrărilor de carbon în sol, în comparație cu cantitatea standard de carbon organic din sol.</w:t>
            </w:r>
          </w:p>
        </w:tc>
      </w:tr>
    </w:tbl>
    <w:p w14:paraId="123069EC" w14:textId="77777777" w:rsidR="007449C0" w:rsidRPr="0085715D" w:rsidRDefault="007449C0" w:rsidP="007449C0">
      <w:pPr>
        <w:pStyle w:val="Anexapct11"/>
        <w:rPr>
          <w:sz w:val="24"/>
        </w:rPr>
      </w:pPr>
      <w:r w:rsidRPr="0085715D">
        <w:rPr>
          <w:sz w:val="24"/>
        </w:rPr>
        <w:t>Pentru </w:t>
      </w:r>
      <w:r w:rsidRPr="0085715D">
        <w:rPr>
          <w:i/>
          <w:iCs/>
          <w:sz w:val="24"/>
        </w:rPr>
        <w:t>SOC</w:t>
      </w:r>
      <w:r w:rsidRPr="0085715D">
        <w:rPr>
          <w:i/>
          <w:iCs/>
          <w:sz w:val="24"/>
          <w:vertAlign w:val="subscript"/>
        </w:rPr>
        <w:t>ST</w:t>
      </w:r>
      <w:r w:rsidRPr="0085715D">
        <w:rPr>
          <w:i/>
          <w:iCs/>
          <w:sz w:val="24"/>
        </w:rPr>
        <w:t> </w:t>
      </w:r>
      <w:r w:rsidRPr="0085715D">
        <w:rPr>
          <w:sz w:val="24"/>
        </w:rPr>
        <w:t>se aplică valorile adecvate prezentate la capitolul VI.</w:t>
      </w:r>
    </w:p>
    <w:p w14:paraId="665C35E9" w14:textId="77777777" w:rsidR="007449C0" w:rsidRPr="0085715D" w:rsidRDefault="007449C0" w:rsidP="007449C0">
      <w:pPr>
        <w:pStyle w:val="Anexapct11"/>
        <w:rPr>
          <w:sz w:val="24"/>
        </w:rPr>
      </w:pPr>
      <w:r w:rsidRPr="0085715D">
        <w:rPr>
          <w:sz w:val="24"/>
        </w:rPr>
        <w:t>Pentru </w:t>
      </w:r>
      <w:r w:rsidRPr="0085715D">
        <w:rPr>
          <w:i/>
          <w:iCs/>
          <w:sz w:val="24"/>
        </w:rPr>
        <w:t>F</w:t>
      </w:r>
      <w:r w:rsidRPr="0085715D">
        <w:rPr>
          <w:i/>
          <w:iCs/>
          <w:sz w:val="24"/>
          <w:vertAlign w:val="subscript"/>
        </w:rPr>
        <w:t>LU</w:t>
      </w:r>
      <w:r w:rsidRPr="0085715D">
        <w:rPr>
          <w:i/>
          <w:iCs/>
          <w:sz w:val="24"/>
        </w:rPr>
        <w:t> </w:t>
      </w:r>
      <w:r w:rsidRPr="0085715D">
        <w:rPr>
          <w:sz w:val="24"/>
        </w:rPr>
        <w:t>, </w:t>
      </w:r>
      <w:r w:rsidRPr="0085715D">
        <w:rPr>
          <w:i/>
          <w:iCs/>
          <w:sz w:val="24"/>
        </w:rPr>
        <w:t>F</w:t>
      </w:r>
      <w:r w:rsidRPr="0085715D">
        <w:rPr>
          <w:i/>
          <w:iCs/>
          <w:sz w:val="24"/>
          <w:vertAlign w:val="subscript"/>
        </w:rPr>
        <w:t>MG</w:t>
      </w:r>
      <w:r w:rsidRPr="0085715D">
        <w:rPr>
          <w:i/>
          <w:iCs/>
          <w:sz w:val="24"/>
        </w:rPr>
        <w:t> </w:t>
      </w:r>
      <w:r w:rsidRPr="0085715D">
        <w:rPr>
          <w:sz w:val="24"/>
        </w:rPr>
        <w:t>și </w:t>
      </w:r>
      <w:r w:rsidRPr="0085715D">
        <w:rPr>
          <w:i/>
          <w:iCs/>
          <w:sz w:val="24"/>
        </w:rPr>
        <w:t>F</w:t>
      </w:r>
      <w:r w:rsidRPr="0085715D">
        <w:rPr>
          <w:i/>
          <w:iCs/>
          <w:sz w:val="24"/>
          <w:vertAlign w:val="subscript"/>
        </w:rPr>
        <w:t>I</w:t>
      </w:r>
      <w:r w:rsidRPr="0085715D">
        <w:rPr>
          <w:i/>
          <w:iCs/>
          <w:sz w:val="24"/>
        </w:rPr>
        <w:t> </w:t>
      </w:r>
      <w:r w:rsidRPr="0085715D">
        <w:rPr>
          <w:sz w:val="24"/>
        </w:rPr>
        <w:t>se aplică valorile adecvate prezentate la capitolul VII.</w:t>
      </w:r>
    </w:p>
    <w:p w14:paraId="7A8D07CE" w14:textId="77777777" w:rsidR="007449C0" w:rsidRPr="0085715D" w:rsidRDefault="007449C0" w:rsidP="007449C0">
      <w:pPr>
        <w:pStyle w:val="Anexapct1"/>
        <w:rPr>
          <w:sz w:val="24"/>
        </w:rPr>
      </w:pPr>
      <w:r w:rsidRPr="0085715D">
        <w:rPr>
          <w:sz w:val="24"/>
        </w:rPr>
        <w:t>Ca alternativă la utilizarea formulei de mai sus, pentru determinarea </w:t>
      </w:r>
      <w:r w:rsidRPr="0085715D">
        <w:rPr>
          <w:i/>
          <w:iCs/>
          <w:sz w:val="24"/>
        </w:rPr>
        <w:t>SOC</w:t>
      </w:r>
      <w:r w:rsidRPr="0085715D">
        <w:rPr>
          <w:sz w:val="24"/>
        </w:rPr>
        <w:t> se pot folosi și alte metode adecvate, inclusiv măsurători. În măsura în care astfel de metode nu se bazează pe măsurători, acestea trebuie să ia în considerare clima, tipul solului, ocuparea solurilor, administrarea terenurilor și intrările.</w:t>
      </w:r>
    </w:p>
    <w:p w14:paraId="0F7153B7" w14:textId="77777777" w:rsidR="007449C0" w:rsidRPr="0085715D" w:rsidRDefault="007449C0" w:rsidP="007449C0">
      <w:pPr>
        <w:pStyle w:val="Sectiune"/>
        <w:rPr>
          <w:sz w:val="24"/>
        </w:rPr>
      </w:pPr>
      <w:r w:rsidRPr="0085715D">
        <w:rPr>
          <w:sz w:val="24"/>
        </w:rPr>
        <w:t>Secțiunea a 2-a</w:t>
      </w:r>
    </w:p>
    <w:p w14:paraId="09A539EC" w14:textId="77777777" w:rsidR="007449C0" w:rsidRPr="0085715D" w:rsidRDefault="007449C0" w:rsidP="007449C0">
      <w:pPr>
        <w:pStyle w:val="Sectiune"/>
        <w:rPr>
          <w:sz w:val="24"/>
        </w:rPr>
      </w:pPr>
      <w:r w:rsidRPr="0085715D">
        <w:rPr>
          <w:sz w:val="24"/>
        </w:rPr>
        <w:t>Soluri organice (</w:t>
      </w:r>
      <w:proofErr w:type="spellStart"/>
      <w:r w:rsidRPr="0085715D">
        <w:rPr>
          <w:sz w:val="24"/>
        </w:rPr>
        <w:t>histosoluri</w:t>
      </w:r>
      <w:proofErr w:type="spellEnd"/>
      <w:r w:rsidRPr="0085715D">
        <w:rPr>
          <w:sz w:val="24"/>
        </w:rPr>
        <w:t>)</w:t>
      </w:r>
    </w:p>
    <w:p w14:paraId="22ABCD2E" w14:textId="77777777" w:rsidR="007449C0" w:rsidRPr="0085715D" w:rsidRDefault="007449C0" w:rsidP="007449C0">
      <w:pPr>
        <w:pStyle w:val="Anexapct1"/>
        <w:rPr>
          <w:sz w:val="24"/>
        </w:rPr>
      </w:pPr>
      <w:r w:rsidRPr="0085715D">
        <w:rPr>
          <w:sz w:val="24"/>
        </w:rPr>
        <w:t>Pentru determinarea </w:t>
      </w:r>
      <w:r w:rsidRPr="0085715D">
        <w:rPr>
          <w:i/>
          <w:iCs/>
          <w:sz w:val="24"/>
        </w:rPr>
        <w:t>SOC</w:t>
      </w:r>
      <w:r w:rsidRPr="0085715D">
        <w:rPr>
          <w:sz w:val="24"/>
        </w:rPr>
        <w:t> se utilizează metode adecvate. Aceste metode trebuie să ia în considerare adâncimea totală a stratului de sol organic, precum și clima, ocuparea solurilor, administrarea terenurilor și intrările. De asemenea, aceste metode pot include măsurători.</w:t>
      </w:r>
    </w:p>
    <w:p w14:paraId="33EB2B43" w14:textId="77777777" w:rsidR="007449C0" w:rsidRPr="0085715D" w:rsidRDefault="007449C0" w:rsidP="007449C0">
      <w:pPr>
        <w:pStyle w:val="Anexapct1"/>
        <w:rPr>
          <w:sz w:val="24"/>
        </w:rPr>
      </w:pPr>
      <w:r w:rsidRPr="0085715D">
        <w:rPr>
          <w:sz w:val="24"/>
        </w:rPr>
        <w:t>În ceea ce privește stocul de carbon afectat de drenarea solului, pierderile de carbon în urma drenării se iau în considerare prin utilizarea unor metode adecvate. Aceste metode pot fi bazate pe pierderile anuale de carbon în urma drenării.</w:t>
      </w:r>
    </w:p>
    <w:p w14:paraId="5FE7831A" w14:textId="77777777" w:rsidR="007449C0" w:rsidRPr="0085715D" w:rsidRDefault="007449C0" w:rsidP="007449C0">
      <w:pPr>
        <w:pStyle w:val="Capitol"/>
        <w:rPr>
          <w:sz w:val="24"/>
        </w:rPr>
      </w:pPr>
      <w:r w:rsidRPr="0085715D">
        <w:rPr>
          <w:caps w:val="0"/>
          <w:sz w:val="24"/>
        </w:rPr>
        <w:t xml:space="preserve">Capitolul </w:t>
      </w:r>
      <w:r w:rsidRPr="0085715D">
        <w:rPr>
          <w:sz w:val="24"/>
        </w:rPr>
        <w:t>V</w:t>
      </w:r>
    </w:p>
    <w:p w14:paraId="4F9D6D83" w14:textId="77777777" w:rsidR="007449C0" w:rsidRPr="0085715D" w:rsidRDefault="007449C0" w:rsidP="007449C0">
      <w:pPr>
        <w:pStyle w:val="Capitol"/>
        <w:rPr>
          <w:sz w:val="24"/>
        </w:rPr>
      </w:pPr>
      <w:r w:rsidRPr="0085715D">
        <w:rPr>
          <w:sz w:val="24"/>
        </w:rPr>
        <w:t xml:space="preserve">STOCUL DE CARBON DIN VEGETAȚIA AFLATĂ ÎN SOL </w:t>
      </w:r>
    </w:p>
    <w:p w14:paraId="657F1819" w14:textId="77777777" w:rsidR="007449C0" w:rsidRPr="0085715D" w:rsidRDefault="007449C0" w:rsidP="007449C0">
      <w:pPr>
        <w:pStyle w:val="Capitol"/>
        <w:rPr>
          <w:sz w:val="24"/>
        </w:rPr>
      </w:pPr>
      <w:r w:rsidRPr="0085715D">
        <w:rPr>
          <w:sz w:val="24"/>
        </w:rPr>
        <w:t>ȘI DEASUPRA SOLULUI</w:t>
      </w:r>
    </w:p>
    <w:p w14:paraId="57CC6B4B" w14:textId="77777777" w:rsidR="007449C0" w:rsidRPr="0085715D" w:rsidRDefault="007449C0" w:rsidP="007449C0">
      <w:pPr>
        <w:pStyle w:val="Anexapct1"/>
        <w:rPr>
          <w:sz w:val="24"/>
        </w:rPr>
      </w:pPr>
      <w:r w:rsidRPr="0085715D">
        <w:rPr>
          <w:sz w:val="24"/>
        </w:rPr>
        <w:t>Cu excepția cazului în care se utilizează o valoare pentru </w:t>
      </w:r>
      <w:r w:rsidRPr="0085715D">
        <w:rPr>
          <w:i/>
          <w:iCs/>
          <w:sz w:val="24"/>
        </w:rPr>
        <w:t>C</w:t>
      </w:r>
      <w:r w:rsidRPr="0085715D">
        <w:rPr>
          <w:i/>
          <w:iCs/>
          <w:sz w:val="24"/>
          <w:vertAlign w:val="subscript"/>
        </w:rPr>
        <w:t>VEG</w:t>
      </w:r>
      <w:r w:rsidRPr="0085715D">
        <w:rPr>
          <w:i/>
          <w:iCs/>
          <w:sz w:val="24"/>
        </w:rPr>
        <w:t> </w:t>
      </w:r>
      <w:r w:rsidRPr="0085715D">
        <w:rPr>
          <w:sz w:val="24"/>
        </w:rPr>
        <w:t>stabilită la capitolul VIII, pentru calcularea </w:t>
      </w:r>
      <w:r w:rsidRPr="0085715D">
        <w:rPr>
          <w:i/>
          <w:iCs/>
          <w:sz w:val="24"/>
        </w:rPr>
        <w:t>C</w:t>
      </w:r>
      <w:r w:rsidRPr="0085715D">
        <w:rPr>
          <w:i/>
          <w:iCs/>
          <w:sz w:val="24"/>
          <w:vertAlign w:val="subscript"/>
        </w:rPr>
        <w:t>VEG</w:t>
      </w:r>
      <w:r w:rsidRPr="0085715D">
        <w:rPr>
          <w:i/>
          <w:iCs/>
          <w:sz w:val="24"/>
        </w:rPr>
        <w:t> </w:t>
      </w:r>
      <w:r w:rsidRPr="0085715D">
        <w:rPr>
          <w:sz w:val="24"/>
        </w:rPr>
        <w:t>se aplică următoarea formulă:</w:t>
      </w:r>
    </w:p>
    <w:p w14:paraId="583D11E2" w14:textId="77777777" w:rsidR="007449C0" w:rsidRPr="0085715D" w:rsidRDefault="007449C0" w:rsidP="007449C0">
      <w:pPr>
        <w:jc w:val="center"/>
        <w:rPr>
          <w:sz w:val="24"/>
        </w:rPr>
      </w:pPr>
      <w:r w:rsidRPr="0085715D">
        <w:rPr>
          <w:i/>
          <w:iCs/>
          <w:sz w:val="24"/>
        </w:rPr>
        <w:t>C</w:t>
      </w:r>
      <w:r w:rsidRPr="0085715D">
        <w:rPr>
          <w:i/>
          <w:iCs/>
          <w:sz w:val="24"/>
          <w:vertAlign w:val="subscript"/>
        </w:rPr>
        <w:t>VEG</w:t>
      </w:r>
      <w:r w:rsidRPr="0085715D">
        <w:rPr>
          <w:i/>
          <w:iCs/>
          <w:sz w:val="24"/>
        </w:rPr>
        <w:t> </w:t>
      </w:r>
      <w:r w:rsidRPr="0085715D">
        <w:rPr>
          <w:sz w:val="24"/>
        </w:rPr>
        <w:t>= </w:t>
      </w:r>
      <w:r w:rsidRPr="0085715D">
        <w:rPr>
          <w:i/>
          <w:iCs/>
          <w:sz w:val="24"/>
        </w:rPr>
        <w:t>C</w:t>
      </w:r>
      <w:r w:rsidRPr="0085715D">
        <w:rPr>
          <w:i/>
          <w:iCs/>
          <w:sz w:val="24"/>
          <w:vertAlign w:val="subscript"/>
        </w:rPr>
        <w:t>BM</w:t>
      </w:r>
      <w:r w:rsidRPr="0085715D">
        <w:rPr>
          <w:i/>
          <w:iCs/>
          <w:sz w:val="24"/>
        </w:rPr>
        <w:t> </w:t>
      </w:r>
      <w:r w:rsidRPr="0085715D">
        <w:rPr>
          <w:sz w:val="24"/>
        </w:rPr>
        <w:t> + </w:t>
      </w:r>
      <w:r w:rsidRPr="0085715D">
        <w:rPr>
          <w:i/>
          <w:iCs/>
          <w:sz w:val="24"/>
        </w:rPr>
        <w:t>C</w:t>
      </w:r>
      <w:r w:rsidRPr="0085715D">
        <w:rPr>
          <w:i/>
          <w:iCs/>
          <w:sz w:val="24"/>
          <w:vertAlign w:val="subscript"/>
        </w:rPr>
        <w:t>DOM</w:t>
      </w:r>
    </w:p>
    <w:p w14:paraId="39E3EBAF" w14:textId="77777777" w:rsidR="007449C0" w:rsidRPr="0085715D" w:rsidRDefault="007449C0" w:rsidP="007449C0">
      <w:pPr>
        <w:rPr>
          <w:sz w:val="24"/>
        </w:rPr>
      </w:pPr>
      <w:r w:rsidRPr="0085715D">
        <w:rPr>
          <w:sz w:val="24"/>
        </w:rPr>
        <w:t>unde:</w:t>
      </w:r>
    </w:p>
    <w:tbl>
      <w:tblPr>
        <w:tblStyle w:val="TableGrid"/>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9"/>
        <w:gridCol w:w="9103"/>
      </w:tblGrid>
      <w:tr w:rsidR="007449C0" w:rsidRPr="0085715D" w14:paraId="17ADC589" w14:textId="77777777" w:rsidTr="00671F38">
        <w:trPr>
          <w:trHeight w:val="754"/>
        </w:trPr>
        <w:tc>
          <w:tcPr>
            <w:tcW w:w="789" w:type="dxa"/>
          </w:tcPr>
          <w:p w14:paraId="77D57795"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VEG</w:t>
            </w:r>
            <w:r w:rsidRPr="0085715D">
              <w:rPr>
                <w:rFonts w:ascii="Times New Roman" w:hAnsi="Times New Roman"/>
                <w:sz w:val="24"/>
              </w:rPr>
              <w:t> </w:t>
            </w:r>
          </w:p>
          <w:p w14:paraId="53597541" w14:textId="77777777" w:rsidR="007449C0" w:rsidRPr="0085715D" w:rsidRDefault="007449C0" w:rsidP="003D514F">
            <w:pPr>
              <w:ind w:firstLine="0"/>
              <w:rPr>
                <w:rFonts w:ascii="Times New Roman" w:hAnsi="Times New Roman"/>
                <w:sz w:val="24"/>
              </w:rPr>
            </w:pPr>
          </w:p>
        </w:tc>
        <w:tc>
          <w:tcPr>
            <w:tcW w:w="9103" w:type="dxa"/>
          </w:tcPr>
          <w:p w14:paraId="29F42EA2"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vegetația aflată în sol și deasupra solului (măsurat ca masă de carbon per hectar);</w:t>
            </w:r>
          </w:p>
        </w:tc>
      </w:tr>
      <w:tr w:rsidR="007449C0" w:rsidRPr="0085715D" w14:paraId="68EBF69F" w14:textId="77777777" w:rsidTr="00671F38">
        <w:trPr>
          <w:trHeight w:val="772"/>
        </w:trPr>
        <w:tc>
          <w:tcPr>
            <w:tcW w:w="789" w:type="dxa"/>
          </w:tcPr>
          <w:p w14:paraId="007FD398"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BM</w:t>
            </w:r>
          </w:p>
        </w:tc>
        <w:tc>
          <w:tcPr>
            <w:tcW w:w="9103" w:type="dxa"/>
          </w:tcPr>
          <w:p w14:paraId="42E511E3"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în sol și deasupra solului (măsurat ca masă de carbon per hectar), calculat în conformitate cu secțiunea 1;</w:t>
            </w:r>
          </w:p>
        </w:tc>
      </w:tr>
      <w:tr w:rsidR="007449C0" w:rsidRPr="0085715D" w14:paraId="1EB7356F" w14:textId="77777777" w:rsidTr="00671F38">
        <w:trPr>
          <w:trHeight w:val="754"/>
        </w:trPr>
        <w:tc>
          <w:tcPr>
            <w:tcW w:w="789" w:type="dxa"/>
          </w:tcPr>
          <w:p w14:paraId="3F61302B"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DOM</w:t>
            </w:r>
          </w:p>
        </w:tc>
        <w:tc>
          <w:tcPr>
            <w:tcW w:w="9103" w:type="dxa"/>
          </w:tcPr>
          <w:p w14:paraId="0E81A582"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materia organică moartă aflat în sol și deasupra solului (măsurat ca masă de carbon per hectar), calculat în conformitate cu secțiunea a 2-a.</w:t>
            </w:r>
          </w:p>
        </w:tc>
      </w:tr>
    </w:tbl>
    <w:p w14:paraId="7589A88E" w14:textId="77777777" w:rsidR="007449C0" w:rsidRPr="0085715D" w:rsidRDefault="007449C0" w:rsidP="007449C0">
      <w:pPr>
        <w:pStyle w:val="Anexapct11"/>
        <w:rPr>
          <w:sz w:val="24"/>
        </w:rPr>
      </w:pPr>
      <w:r w:rsidRPr="0085715D">
        <w:rPr>
          <w:sz w:val="24"/>
        </w:rPr>
        <w:t>Pentru </w:t>
      </w:r>
      <w:r w:rsidRPr="0085715D">
        <w:rPr>
          <w:i/>
          <w:iCs/>
          <w:sz w:val="24"/>
        </w:rPr>
        <w:t>C</w:t>
      </w:r>
      <w:r w:rsidRPr="0085715D">
        <w:rPr>
          <w:sz w:val="24"/>
        </w:rPr>
        <w:t> </w:t>
      </w:r>
      <w:r w:rsidRPr="0085715D">
        <w:rPr>
          <w:i/>
          <w:iCs/>
          <w:sz w:val="24"/>
          <w:vertAlign w:val="subscript"/>
        </w:rPr>
        <w:t>DOM</w:t>
      </w:r>
      <w:r w:rsidRPr="0085715D">
        <w:rPr>
          <w:sz w:val="24"/>
          <w:vertAlign w:val="subscript"/>
        </w:rPr>
        <w:t> </w:t>
      </w:r>
      <w:r w:rsidRPr="0085715D">
        <w:rPr>
          <w:sz w:val="24"/>
        </w:rPr>
        <w:t>se poate utiliza valoarea 0, cu excepția suprafețelor împădurite al căror coronament este mai mare de 30 % – excluzând plantațiile forestiere.</w:t>
      </w:r>
    </w:p>
    <w:p w14:paraId="3D14497F" w14:textId="77777777" w:rsidR="007449C0" w:rsidRPr="0085715D" w:rsidRDefault="007449C0" w:rsidP="007449C0">
      <w:pPr>
        <w:pStyle w:val="Sectiune"/>
        <w:rPr>
          <w:sz w:val="24"/>
        </w:rPr>
      </w:pPr>
      <w:r w:rsidRPr="0085715D">
        <w:rPr>
          <w:sz w:val="24"/>
        </w:rPr>
        <w:t>Secțiunea 1</w:t>
      </w:r>
    </w:p>
    <w:p w14:paraId="4E5454FE" w14:textId="77777777" w:rsidR="007449C0" w:rsidRPr="0085715D" w:rsidRDefault="007449C0" w:rsidP="007449C0">
      <w:pPr>
        <w:pStyle w:val="Sectiune"/>
        <w:rPr>
          <w:sz w:val="24"/>
        </w:rPr>
      </w:pPr>
      <w:r w:rsidRPr="0085715D">
        <w:rPr>
          <w:sz w:val="24"/>
        </w:rPr>
        <w:t>Biomasa vie</w:t>
      </w:r>
    </w:p>
    <w:p w14:paraId="144D7589" w14:textId="77777777" w:rsidR="007449C0" w:rsidRPr="0085715D" w:rsidRDefault="007449C0" w:rsidP="007449C0">
      <w:pPr>
        <w:pStyle w:val="Anexapct1"/>
        <w:rPr>
          <w:sz w:val="24"/>
        </w:rPr>
      </w:pPr>
      <w:r w:rsidRPr="0085715D">
        <w:rPr>
          <w:sz w:val="24"/>
        </w:rPr>
        <w:t xml:space="preserve">Suma stocurilor de carbon din biomasa vie aflat în sol și deasupra solului </w:t>
      </w:r>
      <w:r w:rsidRPr="0085715D">
        <w:rPr>
          <w:i/>
          <w:iCs/>
          <w:sz w:val="24"/>
        </w:rPr>
        <w:t>C</w:t>
      </w:r>
      <w:r w:rsidRPr="0085715D">
        <w:rPr>
          <w:i/>
          <w:iCs/>
          <w:sz w:val="24"/>
          <w:vertAlign w:val="subscript"/>
        </w:rPr>
        <w:t>BM</w:t>
      </w:r>
      <w:r w:rsidRPr="0085715D">
        <w:rPr>
          <w:sz w:val="24"/>
        </w:rPr>
        <w:t xml:space="preserve"> se calculează conform formulei:</w:t>
      </w:r>
    </w:p>
    <w:p w14:paraId="7AA2B367" w14:textId="77777777" w:rsidR="007449C0" w:rsidRPr="0085715D" w:rsidRDefault="007449C0" w:rsidP="007449C0">
      <w:pPr>
        <w:jc w:val="center"/>
        <w:rPr>
          <w:sz w:val="24"/>
        </w:rPr>
      </w:pPr>
      <w:r w:rsidRPr="0085715D">
        <w:rPr>
          <w:i/>
          <w:iCs/>
          <w:sz w:val="24"/>
        </w:rPr>
        <w:lastRenderedPageBreak/>
        <w:t>C</w:t>
      </w:r>
      <w:r w:rsidRPr="0085715D">
        <w:rPr>
          <w:i/>
          <w:iCs/>
          <w:sz w:val="24"/>
          <w:vertAlign w:val="subscript"/>
        </w:rPr>
        <w:t>BM</w:t>
      </w:r>
      <w:r w:rsidRPr="0085715D">
        <w:rPr>
          <w:i/>
          <w:iCs/>
          <w:sz w:val="24"/>
        </w:rPr>
        <w:t> </w:t>
      </w:r>
      <w:r w:rsidRPr="0085715D">
        <w:rPr>
          <w:sz w:val="24"/>
        </w:rPr>
        <w:t>= </w:t>
      </w:r>
      <w:r w:rsidRPr="0085715D">
        <w:rPr>
          <w:i/>
          <w:iCs/>
          <w:sz w:val="24"/>
        </w:rPr>
        <w:t>C</w:t>
      </w:r>
      <w:r w:rsidRPr="0085715D">
        <w:rPr>
          <w:i/>
          <w:iCs/>
          <w:sz w:val="24"/>
          <w:vertAlign w:val="subscript"/>
        </w:rPr>
        <w:t>AGB</w:t>
      </w:r>
      <w:r w:rsidRPr="0085715D">
        <w:rPr>
          <w:i/>
          <w:iCs/>
          <w:sz w:val="24"/>
        </w:rPr>
        <w:t> </w:t>
      </w:r>
      <w:r w:rsidRPr="0085715D">
        <w:rPr>
          <w:sz w:val="24"/>
        </w:rPr>
        <w:t> + </w:t>
      </w:r>
      <w:r w:rsidRPr="0085715D">
        <w:rPr>
          <w:i/>
          <w:iCs/>
          <w:sz w:val="24"/>
        </w:rPr>
        <w:t>C</w:t>
      </w:r>
      <w:r w:rsidRPr="0085715D">
        <w:rPr>
          <w:i/>
          <w:iCs/>
          <w:sz w:val="24"/>
          <w:vertAlign w:val="subscript"/>
        </w:rPr>
        <w:t>BGB</w:t>
      </w:r>
    </w:p>
    <w:p w14:paraId="4EC95DD2" w14:textId="77777777" w:rsidR="007449C0" w:rsidRPr="0085715D" w:rsidRDefault="007449C0" w:rsidP="007449C0">
      <w:pPr>
        <w:rPr>
          <w:sz w:val="24"/>
        </w:rPr>
      </w:pPr>
      <w:r w:rsidRPr="0085715D">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
        <w:gridCol w:w="8618"/>
      </w:tblGrid>
      <w:tr w:rsidR="007449C0" w:rsidRPr="0085715D" w14:paraId="7AF1A871" w14:textId="77777777" w:rsidTr="003D514F">
        <w:tc>
          <w:tcPr>
            <w:tcW w:w="853" w:type="dxa"/>
          </w:tcPr>
          <w:p w14:paraId="1E210E3E"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BM</w:t>
            </w:r>
            <w:r w:rsidRPr="0085715D">
              <w:rPr>
                <w:rFonts w:ascii="Times New Roman" w:hAnsi="Times New Roman"/>
                <w:sz w:val="24"/>
              </w:rPr>
              <w:t> </w:t>
            </w:r>
          </w:p>
          <w:p w14:paraId="752C28E7" w14:textId="77777777" w:rsidR="007449C0" w:rsidRPr="0085715D" w:rsidRDefault="007449C0" w:rsidP="003D514F">
            <w:pPr>
              <w:ind w:firstLine="0"/>
              <w:rPr>
                <w:rFonts w:ascii="Times New Roman" w:hAnsi="Times New Roman"/>
                <w:sz w:val="24"/>
              </w:rPr>
            </w:pPr>
          </w:p>
        </w:tc>
        <w:tc>
          <w:tcPr>
            <w:tcW w:w="9715" w:type="dxa"/>
          </w:tcPr>
          <w:p w14:paraId="3A2A1197"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în sol și deasupra solului (măsurat ca masă de carbon per hectar);</w:t>
            </w:r>
          </w:p>
        </w:tc>
      </w:tr>
      <w:tr w:rsidR="007449C0" w:rsidRPr="0085715D" w14:paraId="7B9F3EB4" w14:textId="77777777" w:rsidTr="003D514F">
        <w:tc>
          <w:tcPr>
            <w:tcW w:w="853" w:type="dxa"/>
          </w:tcPr>
          <w:p w14:paraId="23D7E80B"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AGB</w:t>
            </w:r>
            <w:r w:rsidRPr="0085715D">
              <w:rPr>
                <w:rFonts w:ascii="Times New Roman" w:hAnsi="Times New Roman"/>
                <w:sz w:val="24"/>
              </w:rPr>
              <w:t> </w:t>
            </w:r>
          </w:p>
          <w:p w14:paraId="2CEDC48A" w14:textId="77777777" w:rsidR="007449C0" w:rsidRPr="0085715D" w:rsidRDefault="007449C0" w:rsidP="003D514F">
            <w:pPr>
              <w:ind w:firstLine="0"/>
              <w:rPr>
                <w:rFonts w:ascii="Times New Roman" w:hAnsi="Times New Roman"/>
                <w:sz w:val="24"/>
              </w:rPr>
            </w:pPr>
          </w:p>
        </w:tc>
        <w:tc>
          <w:tcPr>
            <w:tcW w:w="9715" w:type="dxa"/>
          </w:tcPr>
          <w:p w14:paraId="3899B41B"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deasupra solului (măsurat ca masă de carbon per hectar), calculat în conformitate cu pct. 15;</w:t>
            </w:r>
          </w:p>
        </w:tc>
      </w:tr>
      <w:tr w:rsidR="007449C0" w:rsidRPr="0085715D" w14:paraId="4C1F9E3D" w14:textId="77777777" w:rsidTr="003D514F">
        <w:tc>
          <w:tcPr>
            <w:tcW w:w="853" w:type="dxa"/>
          </w:tcPr>
          <w:p w14:paraId="273589DC"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BGB</w:t>
            </w:r>
          </w:p>
        </w:tc>
        <w:tc>
          <w:tcPr>
            <w:tcW w:w="9715" w:type="dxa"/>
          </w:tcPr>
          <w:p w14:paraId="4BF68A2C"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în sol (măsurat ca masă de carbon per hectar), calculat în conformitate cu pct. 16.</w:t>
            </w:r>
          </w:p>
        </w:tc>
      </w:tr>
    </w:tbl>
    <w:p w14:paraId="74066558" w14:textId="77777777" w:rsidR="007449C0" w:rsidRPr="0085715D" w:rsidRDefault="007449C0" w:rsidP="007449C0">
      <w:pPr>
        <w:pStyle w:val="Anexapct1"/>
        <w:rPr>
          <w:sz w:val="24"/>
        </w:rPr>
      </w:pPr>
      <w:r w:rsidRPr="0085715D">
        <w:rPr>
          <w:sz w:val="24"/>
        </w:rPr>
        <w:t>Stocul de carbon din biomasa vie aflat deasupra solului</w:t>
      </w:r>
      <w:r w:rsidRPr="0085715D">
        <w:rPr>
          <w:i/>
          <w:iCs/>
          <w:sz w:val="24"/>
        </w:rPr>
        <w:t xml:space="preserve"> C</w:t>
      </w:r>
      <w:r w:rsidRPr="0085715D">
        <w:rPr>
          <w:i/>
          <w:iCs/>
          <w:sz w:val="24"/>
          <w:vertAlign w:val="subscript"/>
        </w:rPr>
        <w:t>AGB</w:t>
      </w:r>
      <w:r w:rsidRPr="0085715D">
        <w:rPr>
          <w:sz w:val="24"/>
        </w:rPr>
        <w:t xml:space="preserve"> se calculează conform formulei:</w:t>
      </w:r>
    </w:p>
    <w:p w14:paraId="346AE358" w14:textId="77777777" w:rsidR="007449C0" w:rsidRPr="0085715D" w:rsidRDefault="007449C0" w:rsidP="007449C0">
      <w:pPr>
        <w:jc w:val="center"/>
        <w:rPr>
          <w:sz w:val="24"/>
        </w:rPr>
      </w:pPr>
      <w:r w:rsidRPr="0085715D">
        <w:rPr>
          <w:i/>
          <w:iCs/>
          <w:sz w:val="24"/>
        </w:rPr>
        <w:t>C</w:t>
      </w:r>
      <w:r w:rsidRPr="0085715D">
        <w:rPr>
          <w:i/>
          <w:iCs/>
          <w:sz w:val="24"/>
          <w:vertAlign w:val="subscript"/>
        </w:rPr>
        <w:t>AGB</w:t>
      </w:r>
      <w:r w:rsidRPr="0085715D">
        <w:rPr>
          <w:i/>
          <w:iCs/>
          <w:sz w:val="24"/>
        </w:rPr>
        <w:t> </w:t>
      </w:r>
      <w:r w:rsidRPr="0085715D">
        <w:rPr>
          <w:sz w:val="24"/>
        </w:rPr>
        <w:t>= </w:t>
      </w:r>
      <w:r w:rsidRPr="0085715D">
        <w:rPr>
          <w:i/>
          <w:iCs/>
          <w:sz w:val="24"/>
        </w:rPr>
        <w:t>B</w:t>
      </w:r>
      <w:r w:rsidRPr="0085715D">
        <w:rPr>
          <w:i/>
          <w:iCs/>
          <w:sz w:val="24"/>
          <w:vertAlign w:val="subscript"/>
        </w:rPr>
        <w:t>AGB</w:t>
      </w:r>
      <w:r w:rsidRPr="0085715D">
        <w:rPr>
          <w:i/>
          <w:iCs/>
          <w:sz w:val="24"/>
        </w:rPr>
        <w:t> </w:t>
      </w:r>
      <w:r w:rsidRPr="0085715D">
        <w:rPr>
          <w:sz w:val="24"/>
        </w:rPr>
        <w:t> × </w:t>
      </w:r>
      <w:r w:rsidRPr="0085715D">
        <w:rPr>
          <w:i/>
          <w:iCs/>
          <w:sz w:val="24"/>
        </w:rPr>
        <w:t>CF</w:t>
      </w:r>
      <w:r w:rsidRPr="0085715D">
        <w:rPr>
          <w:i/>
          <w:iCs/>
          <w:sz w:val="24"/>
          <w:vertAlign w:val="subscript"/>
        </w:rPr>
        <w:t>B</w:t>
      </w:r>
    </w:p>
    <w:p w14:paraId="03A082E9" w14:textId="77777777" w:rsidR="007449C0" w:rsidRPr="0085715D" w:rsidRDefault="007449C0" w:rsidP="007449C0">
      <w:pPr>
        <w:rPr>
          <w:sz w:val="24"/>
        </w:rPr>
      </w:pPr>
      <w:r w:rsidRPr="0085715D">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687"/>
      </w:tblGrid>
      <w:tr w:rsidR="007449C0" w:rsidRPr="0085715D" w14:paraId="4D284F06" w14:textId="77777777" w:rsidTr="003D514F">
        <w:tc>
          <w:tcPr>
            <w:tcW w:w="675" w:type="dxa"/>
          </w:tcPr>
          <w:p w14:paraId="3FCAD340"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AGB</w:t>
            </w:r>
            <w:r w:rsidRPr="0085715D">
              <w:rPr>
                <w:rFonts w:ascii="Times New Roman" w:hAnsi="Times New Roman"/>
                <w:sz w:val="24"/>
              </w:rPr>
              <w:t> </w:t>
            </w:r>
          </w:p>
          <w:p w14:paraId="63171757" w14:textId="77777777" w:rsidR="007449C0" w:rsidRPr="0085715D" w:rsidRDefault="007449C0" w:rsidP="003D514F">
            <w:pPr>
              <w:ind w:firstLine="0"/>
              <w:rPr>
                <w:rFonts w:ascii="Times New Roman" w:hAnsi="Times New Roman"/>
                <w:sz w:val="24"/>
              </w:rPr>
            </w:pPr>
          </w:p>
        </w:tc>
        <w:tc>
          <w:tcPr>
            <w:tcW w:w="9893" w:type="dxa"/>
          </w:tcPr>
          <w:p w14:paraId="07E73D53"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deasupra solului (măsurat ca masă de carbon per hectar);</w:t>
            </w:r>
          </w:p>
        </w:tc>
      </w:tr>
      <w:tr w:rsidR="007449C0" w:rsidRPr="0085715D" w14:paraId="25CA90F3" w14:textId="77777777" w:rsidTr="003D514F">
        <w:tc>
          <w:tcPr>
            <w:tcW w:w="675" w:type="dxa"/>
          </w:tcPr>
          <w:p w14:paraId="1E6C8A06"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B</w:t>
            </w:r>
            <w:r w:rsidRPr="0085715D">
              <w:rPr>
                <w:rFonts w:ascii="Times New Roman" w:hAnsi="Times New Roman"/>
                <w:sz w:val="24"/>
                <w:vertAlign w:val="subscript"/>
              </w:rPr>
              <w:t>AGB</w:t>
            </w:r>
            <w:r w:rsidRPr="0085715D">
              <w:rPr>
                <w:rFonts w:ascii="Times New Roman" w:hAnsi="Times New Roman"/>
                <w:sz w:val="24"/>
              </w:rPr>
              <w:t> </w:t>
            </w:r>
          </w:p>
          <w:p w14:paraId="44F7D0C9" w14:textId="77777777" w:rsidR="007449C0" w:rsidRPr="0085715D" w:rsidRDefault="007449C0" w:rsidP="003D514F">
            <w:pPr>
              <w:ind w:firstLine="0"/>
              <w:rPr>
                <w:rFonts w:ascii="Times New Roman" w:hAnsi="Times New Roman"/>
                <w:sz w:val="24"/>
              </w:rPr>
            </w:pPr>
          </w:p>
        </w:tc>
        <w:tc>
          <w:tcPr>
            <w:tcW w:w="9893" w:type="dxa"/>
          </w:tcPr>
          <w:p w14:paraId="7211893B"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greutatea biomasei vii aflate deasupra solului (măsurată ca masă de materie uscată per hectar);</w:t>
            </w:r>
          </w:p>
        </w:tc>
      </w:tr>
      <w:tr w:rsidR="007449C0" w:rsidRPr="0085715D" w14:paraId="26ECD77D" w14:textId="77777777" w:rsidTr="003D514F">
        <w:tc>
          <w:tcPr>
            <w:tcW w:w="675" w:type="dxa"/>
          </w:tcPr>
          <w:p w14:paraId="67277F22"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CF</w:t>
            </w:r>
            <w:r w:rsidRPr="0085715D">
              <w:rPr>
                <w:rFonts w:ascii="Times New Roman" w:hAnsi="Times New Roman"/>
                <w:sz w:val="24"/>
                <w:vertAlign w:val="subscript"/>
              </w:rPr>
              <w:t>B</w:t>
            </w:r>
            <w:r w:rsidRPr="0085715D">
              <w:rPr>
                <w:rFonts w:ascii="Times New Roman" w:hAnsi="Times New Roman"/>
                <w:sz w:val="24"/>
              </w:rPr>
              <w:t> </w:t>
            </w:r>
          </w:p>
          <w:p w14:paraId="714538C7" w14:textId="77777777" w:rsidR="007449C0" w:rsidRPr="0085715D" w:rsidRDefault="007449C0" w:rsidP="003D514F">
            <w:pPr>
              <w:ind w:firstLine="0"/>
              <w:rPr>
                <w:rFonts w:ascii="Times New Roman" w:hAnsi="Times New Roman"/>
                <w:sz w:val="24"/>
              </w:rPr>
            </w:pPr>
          </w:p>
        </w:tc>
        <w:tc>
          <w:tcPr>
            <w:tcW w:w="9893" w:type="dxa"/>
          </w:tcPr>
          <w:p w14:paraId="07A02D0C"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fracția de carbon a materiei uscate din biomasa vie (măsurată ca masă de carbon raportată la masa de materie uscată).</w:t>
            </w:r>
          </w:p>
        </w:tc>
      </w:tr>
    </w:tbl>
    <w:p w14:paraId="67139DBD" w14:textId="77777777" w:rsidR="007449C0" w:rsidRPr="0085715D" w:rsidRDefault="007449C0" w:rsidP="007449C0">
      <w:pPr>
        <w:pStyle w:val="Anexapct11"/>
        <w:rPr>
          <w:sz w:val="24"/>
        </w:rPr>
      </w:pPr>
      <w:r w:rsidRPr="0085715D">
        <w:rPr>
          <w:sz w:val="24"/>
        </w:rPr>
        <w:t>pentru terenurile agricole, culturile perene și plantațiile forestiere, valoarea pentru </w:t>
      </w:r>
      <w:r w:rsidRPr="0085715D">
        <w:rPr>
          <w:i/>
          <w:iCs/>
          <w:sz w:val="24"/>
        </w:rPr>
        <w:t>B</w:t>
      </w:r>
      <w:r w:rsidRPr="0085715D">
        <w:rPr>
          <w:i/>
          <w:iCs/>
          <w:sz w:val="24"/>
          <w:vertAlign w:val="subscript"/>
        </w:rPr>
        <w:t>AGB</w:t>
      </w:r>
      <w:r w:rsidRPr="0085715D">
        <w:rPr>
          <w:i/>
          <w:iCs/>
          <w:sz w:val="24"/>
        </w:rPr>
        <w:t> </w:t>
      </w:r>
      <w:r w:rsidRPr="0085715D">
        <w:rPr>
          <w:sz w:val="24"/>
        </w:rPr>
        <w:t>reprezintă greutatea medie a biomasei vii aflate deasupra solului în timpul ciclului de producție.</w:t>
      </w:r>
    </w:p>
    <w:p w14:paraId="769758DD" w14:textId="77777777" w:rsidR="007449C0" w:rsidRPr="0085715D" w:rsidRDefault="007449C0" w:rsidP="007449C0">
      <w:pPr>
        <w:pStyle w:val="Anexapct11"/>
        <w:rPr>
          <w:sz w:val="24"/>
        </w:rPr>
      </w:pPr>
      <w:r w:rsidRPr="0085715D">
        <w:rPr>
          <w:sz w:val="24"/>
        </w:rPr>
        <w:t>pentru </w:t>
      </w:r>
      <w:r w:rsidRPr="0085715D">
        <w:rPr>
          <w:i/>
          <w:iCs/>
          <w:sz w:val="24"/>
        </w:rPr>
        <w:t>CF</w:t>
      </w:r>
      <w:r w:rsidRPr="0085715D">
        <w:rPr>
          <w:i/>
          <w:iCs/>
          <w:sz w:val="24"/>
          <w:vertAlign w:val="subscript"/>
        </w:rPr>
        <w:t>B</w:t>
      </w:r>
      <w:r w:rsidRPr="0085715D">
        <w:rPr>
          <w:i/>
          <w:iCs/>
          <w:sz w:val="24"/>
        </w:rPr>
        <w:t> </w:t>
      </w:r>
      <w:r w:rsidRPr="0085715D">
        <w:rPr>
          <w:sz w:val="24"/>
        </w:rPr>
        <w:t>se poate utiliza valoarea de 0,47.</w:t>
      </w:r>
    </w:p>
    <w:p w14:paraId="27390422" w14:textId="77777777" w:rsidR="007449C0" w:rsidRPr="0085715D" w:rsidRDefault="007449C0" w:rsidP="007449C0">
      <w:pPr>
        <w:pStyle w:val="Anexapct1"/>
        <w:rPr>
          <w:sz w:val="24"/>
        </w:rPr>
      </w:pPr>
      <w:r w:rsidRPr="0085715D">
        <w:rPr>
          <w:sz w:val="24"/>
        </w:rPr>
        <w:t>Stocul de carbon din biomasa vie aflat în sol</w:t>
      </w:r>
      <w:r w:rsidRPr="0085715D">
        <w:rPr>
          <w:i/>
          <w:iCs/>
          <w:sz w:val="24"/>
        </w:rPr>
        <w:t xml:space="preserve"> </w:t>
      </w:r>
      <w:r w:rsidRPr="0085715D">
        <w:rPr>
          <w:rFonts w:eastAsia="Times New Roman"/>
          <w:i/>
          <w:iCs/>
          <w:sz w:val="24"/>
          <w:lang w:eastAsia="ro-RO"/>
        </w:rPr>
        <w:t>C</w:t>
      </w:r>
      <w:r w:rsidRPr="0085715D">
        <w:rPr>
          <w:rFonts w:eastAsia="Times New Roman"/>
          <w:i/>
          <w:iCs/>
          <w:sz w:val="24"/>
          <w:vertAlign w:val="subscript"/>
          <w:lang w:eastAsia="ro-RO"/>
        </w:rPr>
        <w:t>BGB</w:t>
      </w:r>
      <w:r w:rsidRPr="0085715D">
        <w:rPr>
          <w:sz w:val="24"/>
        </w:rPr>
        <w:t xml:space="preserve"> se calculează conform uneia dintre următoarele formule:</w:t>
      </w:r>
    </w:p>
    <w:p w14:paraId="51604AEA" w14:textId="77777777" w:rsidR="007449C0" w:rsidRPr="0085715D" w:rsidRDefault="007449C0" w:rsidP="007449C0">
      <w:pPr>
        <w:pStyle w:val="Anexapct11"/>
        <w:rPr>
          <w:rFonts w:eastAsia="Times New Roman"/>
          <w:sz w:val="24"/>
          <w:lang w:eastAsia="ro-RO"/>
        </w:rPr>
      </w:pPr>
      <w:r w:rsidRPr="0085715D">
        <w:rPr>
          <w:rFonts w:eastAsia="Times New Roman"/>
          <w:sz w:val="24"/>
          <w:lang w:eastAsia="ro-RO"/>
        </w:rPr>
        <w:t>formula 1:</w:t>
      </w:r>
    </w:p>
    <w:p w14:paraId="7626E68B" w14:textId="77777777" w:rsidR="007449C0" w:rsidRPr="0085715D" w:rsidRDefault="007449C0" w:rsidP="007449C0">
      <w:pPr>
        <w:pStyle w:val="Anexapct11"/>
        <w:numPr>
          <w:ilvl w:val="0"/>
          <w:numId w:val="0"/>
        </w:numPr>
        <w:ind w:left="431"/>
        <w:jc w:val="center"/>
        <w:rPr>
          <w:rFonts w:eastAsia="Times New Roman"/>
          <w:i/>
          <w:iCs/>
          <w:sz w:val="24"/>
          <w:lang w:eastAsia="ro-RO"/>
        </w:rPr>
      </w:pPr>
      <w:r w:rsidRPr="0085715D">
        <w:rPr>
          <w:rFonts w:eastAsia="Times New Roman"/>
          <w:i/>
          <w:iCs/>
          <w:sz w:val="24"/>
          <w:lang w:eastAsia="ro-RO"/>
        </w:rPr>
        <w:t>C</w:t>
      </w:r>
      <w:r w:rsidRPr="0085715D">
        <w:rPr>
          <w:rFonts w:eastAsia="Times New Roman"/>
          <w:i/>
          <w:iCs/>
          <w:sz w:val="24"/>
          <w:vertAlign w:val="subscript"/>
          <w:lang w:eastAsia="ro-RO"/>
        </w:rPr>
        <w:t>BGB</w:t>
      </w:r>
      <w:r w:rsidRPr="0085715D">
        <w:rPr>
          <w:rFonts w:eastAsia="Times New Roman"/>
          <w:i/>
          <w:iCs/>
          <w:sz w:val="24"/>
          <w:lang w:eastAsia="ro-RO"/>
        </w:rPr>
        <w:t> = B</w:t>
      </w:r>
      <w:r w:rsidRPr="0085715D">
        <w:rPr>
          <w:rFonts w:eastAsia="Times New Roman"/>
          <w:i/>
          <w:iCs/>
          <w:sz w:val="24"/>
          <w:vertAlign w:val="subscript"/>
          <w:lang w:eastAsia="ro-RO"/>
        </w:rPr>
        <w:t>BGB</w:t>
      </w:r>
      <w:r w:rsidRPr="0085715D">
        <w:rPr>
          <w:rFonts w:eastAsia="Times New Roman"/>
          <w:i/>
          <w:iCs/>
          <w:sz w:val="24"/>
          <w:lang w:eastAsia="ro-RO"/>
        </w:rPr>
        <w:t>  × CF</w:t>
      </w:r>
      <w:r w:rsidRPr="0085715D">
        <w:rPr>
          <w:rFonts w:eastAsia="Times New Roman"/>
          <w:i/>
          <w:iCs/>
          <w:sz w:val="24"/>
          <w:vertAlign w:val="subscript"/>
          <w:lang w:eastAsia="ro-RO"/>
        </w:rPr>
        <w:t>B</w:t>
      </w:r>
    </w:p>
    <w:p w14:paraId="4D676625" w14:textId="77777777" w:rsidR="007449C0" w:rsidRPr="0085715D" w:rsidRDefault="007449C0" w:rsidP="007449C0">
      <w:pPr>
        <w:rPr>
          <w:rFonts w:eastAsia="Times New Roman"/>
          <w:sz w:val="24"/>
          <w:lang w:eastAsia="ro-RO"/>
        </w:rPr>
      </w:pPr>
      <w:r w:rsidRPr="0085715D">
        <w:rPr>
          <w:rFonts w:eastAsia="Times New Roman"/>
          <w:sz w:val="24"/>
          <w:lang w:eastAsia="ro-RO"/>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8695"/>
      </w:tblGrid>
      <w:tr w:rsidR="007449C0" w:rsidRPr="0085715D" w14:paraId="1684EB04" w14:textId="77777777" w:rsidTr="003D514F">
        <w:tc>
          <w:tcPr>
            <w:tcW w:w="675" w:type="dxa"/>
          </w:tcPr>
          <w:p w14:paraId="12C678D4" w14:textId="77777777" w:rsidR="007449C0" w:rsidRPr="0085715D" w:rsidRDefault="007449C0" w:rsidP="003D514F">
            <w:pPr>
              <w:ind w:firstLine="0"/>
              <w:rPr>
                <w:rFonts w:ascii="Times New Roman" w:eastAsia="Times New Roman" w:hAnsi="Times New Roman"/>
                <w:sz w:val="24"/>
                <w:lang w:eastAsia="ro-RO"/>
              </w:rPr>
            </w:pPr>
            <w:r w:rsidRPr="0085715D">
              <w:rPr>
                <w:rFonts w:ascii="Times New Roman" w:eastAsia="Times New Roman" w:hAnsi="Times New Roman"/>
                <w:sz w:val="24"/>
                <w:lang w:eastAsia="ro-RO"/>
              </w:rPr>
              <w:t>C</w:t>
            </w:r>
            <w:r w:rsidRPr="0085715D">
              <w:rPr>
                <w:rFonts w:ascii="Times New Roman" w:eastAsia="Times New Roman" w:hAnsi="Times New Roman"/>
                <w:sz w:val="24"/>
                <w:vertAlign w:val="subscript"/>
                <w:lang w:eastAsia="ro-RO"/>
              </w:rPr>
              <w:t>BGB</w:t>
            </w:r>
            <w:r w:rsidRPr="0085715D">
              <w:rPr>
                <w:rFonts w:ascii="Times New Roman" w:eastAsia="Times New Roman" w:hAnsi="Times New Roman"/>
                <w:sz w:val="24"/>
                <w:lang w:eastAsia="ro-RO"/>
              </w:rPr>
              <w:t> </w:t>
            </w:r>
          </w:p>
          <w:p w14:paraId="63161942" w14:textId="77777777" w:rsidR="007449C0" w:rsidRPr="0085715D" w:rsidRDefault="007449C0" w:rsidP="003D514F">
            <w:pPr>
              <w:ind w:firstLine="0"/>
              <w:rPr>
                <w:rFonts w:ascii="Times New Roman" w:eastAsia="Times New Roman" w:hAnsi="Times New Roman"/>
                <w:sz w:val="24"/>
                <w:lang w:eastAsia="ro-RO"/>
              </w:rPr>
            </w:pPr>
          </w:p>
        </w:tc>
        <w:tc>
          <w:tcPr>
            <w:tcW w:w="9893" w:type="dxa"/>
          </w:tcPr>
          <w:p w14:paraId="61D3D450" w14:textId="77777777" w:rsidR="007449C0" w:rsidRPr="0085715D" w:rsidRDefault="007449C0" w:rsidP="003D514F">
            <w:pPr>
              <w:ind w:firstLine="0"/>
              <w:rPr>
                <w:rFonts w:ascii="Times New Roman" w:eastAsia="Times New Roman" w:hAnsi="Times New Roman"/>
                <w:sz w:val="24"/>
                <w:lang w:eastAsia="ro-RO"/>
              </w:rPr>
            </w:pPr>
            <w:r w:rsidRPr="0085715D">
              <w:rPr>
                <w:rFonts w:ascii="Times New Roman" w:eastAsia="Times New Roman" w:hAnsi="Times New Roman"/>
                <w:sz w:val="24"/>
                <w:lang w:eastAsia="ro-RO"/>
              </w:rPr>
              <w:t>= stocul de carbon din biomasa vie aflat în sol (măsurat ca masă de carbon per hectar);</w:t>
            </w:r>
          </w:p>
        </w:tc>
      </w:tr>
      <w:tr w:rsidR="007449C0" w:rsidRPr="0085715D" w14:paraId="0052D6A0" w14:textId="77777777" w:rsidTr="003D514F">
        <w:tc>
          <w:tcPr>
            <w:tcW w:w="675" w:type="dxa"/>
          </w:tcPr>
          <w:p w14:paraId="0438A5CA" w14:textId="77777777" w:rsidR="007449C0" w:rsidRPr="0085715D" w:rsidRDefault="007449C0" w:rsidP="003D514F">
            <w:pPr>
              <w:ind w:firstLine="0"/>
              <w:rPr>
                <w:rFonts w:ascii="Times New Roman" w:eastAsia="Times New Roman" w:hAnsi="Times New Roman"/>
                <w:sz w:val="24"/>
                <w:lang w:eastAsia="ro-RO"/>
              </w:rPr>
            </w:pPr>
            <w:r w:rsidRPr="0085715D">
              <w:rPr>
                <w:rFonts w:ascii="Times New Roman" w:eastAsia="Times New Roman" w:hAnsi="Times New Roman"/>
                <w:sz w:val="24"/>
                <w:lang w:eastAsia="ro-RO"/>
              </w:rPr>
              <w:t>B</w:t>
            </w:r>
            <w:r w:rsidRPr="0085715D">
              <w:rPr>
                <w:rFonts w:ascii="Times New Roman" w:eastAsia="Times New Roman" w:hAnsi="Times New Roman"/>
                <w:sz w:val="24"/>
                <w:vertAlign w:val="subscript"/>
                <w:lang w:eastAsia="ro-RO"/>
              </w:rPr>
              <w:t>BGB</w:t>
            </w:r>
            <w:r w:rsidRPr="0085715D">
              <w:rPr>
                <w:rFonts w:ascii="Times New Roman" w:eastAsia="Times New Roman" w:hAnsi="Times New Roman"/>
                <w:sz w:val="24"/>
                <w:lang w:eastAsia="ro-RO"/>
              </w:rPr>
              <w:t> </w:t>
            </w:r>
          </w:p>
          <w:p w14:paraId="0C3CE5BE" w14:textId="77777777" w:rsidR="007449C0" w:rsidRPr="0085715D" w:rsidRDefault="007449C0" w:rsidP="003D514F">
            <w:pPr>
              <w:ind w:firstLine="0"/>
              <w:rPr>
                <w:rFonts w:ascii="Times New Roman" w:eastAsia="Times New Roman" w:hAnsi="Times New Roman"/>
                <w:sz w:val="24"/>
                <w:lang w:eastAsia="ro-RO"/>
              </w:rPr>
            </w:pPr>
          </w:p>
        </w:tc>
        <w:tc>
          <w:tcPr>
            <w:tcW w:w="9893" w:type="dxa"/>
          </w:tcPr>
          <w:p w14:paraId="174655B6" w14:textId="77777777" w:rsidR="007449C0" w:rsidRPr="0085715D" w:rsidRDefault="007449C0" w:rsidP="003D514F">
            <w:pPr>
              <w:ind w:firstLine="0"/>
              <w:rPr>
                <w:rFonts w:ascii="Times New Roman" w:eastAsia="Times New Roman" w:hAnsi="Times New Roman"/>
                <w:sz w:val="24"/>
                <w:lang w:eastAsia="ro-RO"/>
              </w:rPr>
            </w:pPr>
            <w:r w:rsidRPr="0085715D">
              <w:rPr>
                <w:rFonts w:ascii="Times New Roman" w:eastAsia="Times New Roman" w:hAnsi="Times New Roman"/>
                <w:sz w:val="24"/>
                <w:lang w:eastAsia="ro-RO"/>
              </w:rPr>
              <w:t>= greutatea biomasei vii aflate în sol (măsurată ca masă de materie uscată per hectar);</w:t>
            </w:r>
          </w:p>
        </w:tc>
      </w:tr>
      <w:tr w:rsidR="007449C0" w:rsidRPr="0085715D" w14:paraId="3BC6B376" w14:textId="77777777" w:rsidTr="003D514F">
        <w:tc>
          <w:tcPr>
            <w:tcW w:w="675" w:type="dxa"/>
          </w:tcPr>
          <w:p w14:paraId="050071C0" w14:textId="77777777" w:rsidR="007449C0" w:rsidRPr="0085715D" w:rsidRDefault="007449C0" w:rsidP="003D514F">
            <w:pPr>
              <w:ind w:firstLine="0"/>
              <w:rPr>
                <w:rFonts w:ascii="Times New Roman" w:eastAsia="Times New Roman" w:hAnsi="Times New Roman"/>
                <w:sz w:val="24"/>
                <w:lang w:eastAsia="ro-RO"/>
              </w:rPr>
            </w:pPr>
            <w:r w:rsidRPr="0085715D">
              <w:rPr>
                <w:rFonts w:ascii="Times New Roman" w:eastAsia="Times New Roman" w:hAnsi="Times New Roman"/>
                <w:sz w:val="24"/>
                <w:lang w:eastAsia="ro-RO"/>
              </w:rPr>
              <w:t>CF</w:t>
            </w:r>
            <w:r w:rsidRPr="0085715D">
              <w:rPr>
                <w:rFonts w:ascii="Times New Roman" w:eastAsia="Times New Roman" w:hAnsi="Times New Roman"/>
                <w:sz w:val="24"/>
                <w:vertAlign w:val="subscript"/>
                <w:lang w:eastAsia="ro-RO"/>
              </w:rPr>
              <w:t>B</w:t>
            </w:r>
            <w:r w:rsidRPr="0085715D">
              <w:rPr>
                <w:rFonts w:ascii="Times New Roman" w:eastAsia="Times New Roman" w:hAnsi="Times New Roman"/>
                <w:b/>
                <w:bCs/>
                <w:sz w:val="24"/>
                <w:lang w:eastAsia="ro-RO"/>
              </w:rPr>
              <w:t> </w:t>
            </w:r>
          </w:p>
          <w:p w14:paraId="7D187A03" w14:textId="77777777" w:rsidR="007449C0" w:rsidRPr="0085715D" w:rsidRDefault="007449C0" w:rsidP="003D514F">
            <w:pPr>
              <w:ind w:firstLine="0"/>
              <w:rPr>
                <w:rFonts w:ascii="Times New Roman" w:eastAsia="Times New Roman" w:hAnsi="Times New Roman"/>
                <w:sz w:val="24"/>
                <w:lang w:eastAsia="ro-RO"/>
              </w:rPr>
            </w:pPr>
          </w:p>
        </w:tc>
        <w:tc>
          <w:tcPr>
            <w:tcW w:w="9893" w:type="dxa"/>
          </w:tcPr>
          <w:p w14:paraId="2F0DB432" w14:textId="77777777" w:rsidR="007449C0" w:rsidRPr="0085715D" w:rsidRDefault="007449C0" w:rsidP="003D514F">
            <w:pPr>
              <w:ind w:firstLine="0"/>
              <w:rPr>
                <w:rFonts w:ascii="Times New Roman" w:eastAsia="Times New Roman" w:hAnsi="Times New Roman"/>
                <w:sz w:val="24"/>
                <w:lang w:eastAsia="ro-RO"/>
              </w:rPr>
            </w:pPr>
            <w:r w:rsidRPr="0085715D">
              <w:rPr>
                <w:rFonts w:ascii="Times New Roman" w:eastAsia="Times New Roman" w:hAnsi="Times New Roman"/>
                <w:sz w:val="24"/>
                <w:lang w:eastAsia="ro-RO"/>
              </w:rPr>
              <w:t>= fracția de carbon a materiei uscate din biomasa vie (măsurată ca masă de carbon raportată la masa de materie uscată).</w:t>
            </w:r>
          </w:p>
        </w:tc>
      </w:tr>
    </w:tbl>
    <w:p w14:paraId="50DF92C7" w14:textId="77777777" w:rsidR="007449C0" w:rsidRPr="0085715D" w:rsidRDefault="007449C0" w:rsidP="007449C0">
      <w:pPr>
        <w:pStyle w:val="Anexapct111"/>
        <w:rPr>
          <w:rFonts w:eastAsia="Times New Roman"/>
          <w:sz w:val="24"/>
          <w:lang w:eastAsia="ro-RO"/>
        </w:rPr>
      </w:pPr>
      <w:r w:rsidRPr="0085715D">
        <w:rPr>
          <w:rFonts w:eastAsia="Times New Roman"/>
          <w:sz w:val="24"/>
          <w:lang w:eastAsia="ro-RO"/>
        </w:rPr>
        <w:t>pentru terenurile agricole, culturile perene și plantațiile forestiere, valoarea pentru </w:t>
      </w:r>
      <w:r w:rsidRPr="0085715D">
        <w:rPr>
          <w:rFonts w:eastAsia="Times New Roman"/>
          <w:i/>
          <w:iCs/>
          <w:sz w:val="24"/>
          <w:lang w:eastAsia="ro-RO"/>
        </w:rPr>
        <w:t>B</w:t>
      </w:r>
      <w:r w:rsidRPr="0085715D">
        <w:rPr>
          <w:rFonts w:eastAsia="Times New Roman"/>
          <w:i/>
          <w:iCs/>
          <w:sz w:val="24"/>
          <w:vertAlign w:val="subscript"/>
          <w:lang w:eastAsia="ro-RO"/>
        </w:rPr>
        <w:t>BGB</w:t>
      </w:r>
      <w:r w:rsidRPr="0085715D">
        <w:rPr>
          <w:rFonts w:eastAsia="Times New Roman"/>
          <w:i/>
          <w:iCs/>
          <w:sz w:val="24"/>
          <w:lang w:eastAsia="ro-RO"/>
        </w:rPr>
        <w:t> </w:t>
      </w:r>
      <w:r w:rsidRPr="0085715D">
        <w:rPr>
          <w:rFonts w:eastAsia="Times New Roman"/>
          <w:sz w:val="24"/>
          <w:lang w:eastAsia="ro-RO"/>
        </w:rPr>
        <w:t>reprezintă greutatea medie a biomasei vii aflate în sol în timpul ciclului de producție.</w:t>
      </w:r>
    </w:p>
    <w:p w14:paraId="2C0EBF20" w14:textId="77777777" w:rsidR="007449C0" w:rsidRPr="0085715D" w:rsidRDefault="007449C0" w:rsidP="007449C0">
      <w:pPr>
        <w:pStyle w:val="Anexapct111"/>
        <w:rPr>
          <w:sz w:val="24"/>
        </w:rPr>
      </w:pPr>
      <w:r w:rsidRPr="0085715D">
        <w:rPr>
          <w:rFonts w:eastAsia="Times New Roman"/>
          <w:sz w:val="24"/>
          <w:lang w:eastAsia="ro-RO"/>
        </w:rPr>
        <w:t>pentru </w:t>
      </w:r>
      <w:r w:rsidRPr="0085715D">
        <w:rPr>
          <w:rFonts w:eastAsia="Times New Roman"/>
          <w:i/>
          <w:iCs/>
          <w:sz w:val="24"/>
          <w:lang w:eastAsia="ro-RO"/>
        </w:rPr>
        <w:t>CF</w:t>
      </w:r>
      <w:r w:rsidRPr="0085715D">
        <w:rPr>
          <w:rFonts w:eastAsia="Times New Roman"/>
          <w:i/>
          <w:iCs/>
          <w:sz w:val="24"/>
          <w:vertAlign w:val="subscript"/>
          <w:lang w:eastAsia="ro-RO"/>
        </w:rPr>
        <w:t>B</w:t>
      </w:r>
      <w:r w:rsidRPr="0085715D">
        <w:rPr>
          <w:rFonts w:eastAsia="Times New Roman"/>
          <w:i/>
          <w:iCs/>
          <w:sz w:val="24"/>
          <w:lang w:eastAsia="ro-RO"/>
        </w:rPr>
        <w:t> </w:t>
      </w:r>
      <w:r w:rsidRPr="0085715D">
        <w:rPr>
          <w:rFonts w:eastAsia="Times New Roman"/>
          <w:sz w:val="24"/>
          <w:lang w:eastAsia="ro-RO"/>
        </w:rPr>
        <w:t>se poate utiliza valoarea de 0,47.</w:t>
      </w:r>
    </w:p>
    <w:p w14:paraId="4CC6F881" w14:textId="77777777" w:rsidR="007449C0" w:rsidRPr="0085715D" w:rsidRDefault="007449C0" w:rsidP="007449C0">
      <w:pPr>
        <w:pStyle w:val="Anexapct11"/>
        <w:rPr>
          <w:sz w:val="24"/>
        </w:rPr>
      </w:pPr>
      <w:r w:rsidRPr="0085715D">
        <w:rPr>
          <w:sz w:val="24"/>
        </w:rPr>
        <w:t>formula 2:</w:t>
      </w:r>
    </w:p>
    <w:p w14:paraId="08384A74" w14:textId="77777777" w:rsidR="007449C0" w:rsidRPr="0085715D" w:rsidRDefault="007449C0" w:rsidP="007449C0">
      <w:pPr>
        <w:jc w:val="center"/>
        <w:rPr>
          <w:rFonts w:eastAsia="Times New Roman"/>
          <w:sz w:val="24"/>
        </w:rPr>
      </w:pPr>
      <w:r w:rsidRPr="0085715D">
        <w:rPr>
          <w:rStyle w:val="oj-italic"/>
          <w:i/>
          <w:iCs/>
          <w:color w:val="333333"/>
          <w:sz w:val="24"/>
        </w:rPr>
        <w:t>C</w:t>
      </w:r>
      <w:r w:rsidRPr="0085715D">
        <w:rPr>
          <w:rStyle w:val="oj-sub"/>
          <w:i/>
          <w:iCs/>
          <w:color w:val="333333"/>
          <w:sz w:val="24"/>
          <w:vertAlign w:val="subscript"/>
        </w:rPr>
        <w:t>BGB</w:t>
      </w:r>
      <w:r w:rsidRPr="0085715D">
        <w:rPr>
          <w:rStyle w:val="oj-italic"/>
          <w:i/>
          <w:iCs/>
          <w:color w:val="333333"/>
          <w:sz w:val="24"/>
        </w:rPr>
        <w:t> </w:t>
      </w:r>
      <w:r w:rsidRPr="0085715D">
        <w:rPr>
          <w:sz w:val="24"/>
        </w:rPr>
        <w:t>= </w:t>
      </w:r>
      <w:r w:rsidRPr="0085715D">
        <w:rPr>
          <w:rStyle w:val="oj-italic"/>
          <w:i/>
          <w:iCs/>
          <w:color w:val="333333"/>
          <w:sz w:val="24"/>
        </w:rPr>
        <w:t>C</w:t>
      </w:r>
      <w:r w:rsidRPr="0085715D">
        <w:rPr>
          <w:rStyle w:val="oj-sub"/>
          <w:i/>
          <w:iCs/>
          <w:color w:val="333333"/>
          <w:sz w:val="24"/>
          <w:vertAlign w:val="subscript"/>
        </w:rPr>
        <w:t>AGB</w:t>
      </w:r>
      <w:r w:rsidRPr="0085715D">
        <w:rPr>
          <w:rStyle w:val="oj-italic"/>
          <w:i/>
          <w:iCs/>
          <w:color w:val="333333"/>
          <w:sz w:val="24"/>
        </w:rPr>
        <w:t> </w:t>
      </w:r>
      <w:r w:rsidRPr="0085715D">
        <w:rPr>
          <w:sz w:val="24"/>
        </w:rPr>
        <w:t> × </w:t>
      </w:r>
      <w:r w:rsidRPr="0085715D">
        <w:rPr>
          <w:rStyle w:val="oj-italic"/>
          <w:i/>
          <w:iCs/>
          <w:color w:val="333333"/>
          <w:sz w:val="24"/>
        </w:rPr>
        <w:t>R</w:t>
      </w:r>
    </w:p>
    <w:p w14:paraId="728CF298" w14:textId="77777777" w:rsidR="007449C0" w:rsidRPr="0085715D" w:rsidRDefault="007449C0" w:rsidP="007449C0">
      <w:pPr>
        <w:rPr>
          <w:sz w:val="24"/>
        </w:rPr>
      </w:pPr>
      <w:r w:rsidRPr="0085715D">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8687"/>
      </w:tblGrid>
      <w:tr w:rsidR="007449C0" w:rsidRPr="0085715D" w14:paraId="21F914DC" w14:textId="77777777" w:rsidTr="003D514F">
        <w:tc>
          <w:tcPr>
            <w:tcW w:w="534" w:type="dxa"/>
          </w:tcPr>
          <w:p w14:paraId="2443A2BD" w14:textId="77777777" w:rsidR="007449C0" w:rsidRPr="0085715D" w:rsidRDefault="007449C0" w:rsidP="003D514F">
            <w:pPr>
              <w:ind w:firstLine="0"/>
              <w:rPr>
                <w:rFonts w:ascii="Times New Roman" w:hAnsi="Times New Roman"/>
                <w:sz w:val="24"/>
              </w:rPr>
            </w:pPr>
            <w:r w:rsidRPr="0085715D">
              <w:rPr>
                <w:rStyle w:val="oj-bold"/>
                <w:rFonts w:ascii="Times New Roman" w:hAnsi="Times New Roman"/>
                <w:color w:val="333333"/>
                <w:sz w:val="24"/>
              </w:rPr>
              <w:t>C</w:t>
            </w:r>
            <w:r w:rsidRPr="0085715D">
              <w:rPr>
                <w:rStyle w:val="oj-sub"/>
                <w:rFonts w:ascii="Times New Roman" w:hAnsi="Times New Roman"/>
                <w:color w:val="333333"/>
                <w:sz w:val="24"/>
                <w:vertAlign w:val="subscript"/>
              </w:rPr>
              <w:t>BGB</w:t>
            </w:r>
            <w:r w:rsidRPr="0085715D">
              <w:rPr>
                <w:rStyle w:val="oj-bold"/>
                <w:rFonts w:ascii="Times New Roman" w:hAnsi="Times New Roman"/>
                <w:color w:val="333333"/>
                <w:sz w:val="24"/>
              </w:rPr>
              <w:t> </w:t>
            </w:r>
          </w:p>
          <w:p w14:paraId="51C6E754" w14:textId="77777777" w:rsidR="007449C0" w:rsidRPr="0085715D" w:rsidRDefault="007449C0" w:rsidP="003D514F">
            <w:pPr>
              <w:ind w:firstLine="0"/>
              <w:rPr>
                <w:rFonts w:ascii="Times New Roman" w:hAnsi="Times New Roman"/>
                <w:sz w:val="24"/>
              </w:rPr>
            </w:pPr>
          </w:p>
        </w:tc>
        <w:tc>
          <w:tcPr>
            <w:tcW w:w="10034" w:type="dxa"/>
          </w:tcPr>
          <w:p w14:paraId="56A563F8"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în sol (măsurat ca masă de carbon per hectar);</w:t>
            </w:r>
          </w:p>
        </w:tc>
      </w:tr>
      <w:tr w:rsidR="007449C0" w:rsidRPr="0085715D" w14:paraId="3C554A5D" w14:textId="77777777" w:rsidTr="003D514F">
        <w:tc>
          <w:tcPr>
            <w:tcW w:w="534" w:type="dxa"/>
          </w:tcPr>
          <w:p w14:paraId="6BA207BF" w14:textId="77777777" w:rsidR="007449C0" w:rsidRPr="0085715D" w:rsidRDefault="007449C0" w:rsidP="003D514F">
            <w:pPr>
              <w:ind w:firstLine="0"/>
              <w:rPr>
                <w:rFonts w:ascii="Times New Roman" w:hAnsi="Times New Roman"/>
                <w:sz w:val="24"/>
              </w:rPr>
            </w:pPr>
            <w:r w:rsidRPr="0085715D">
              <w:rPr>
                <w:rStyle w:val="oj-bold"/>
                <w:rFonts w:ascii="Times New Roman" w:hAnsi="Times New Roman"/>
                <w:color w:val="333333"/>
                <w:sz w:val="24"/>
              </w:rPr>
              <w:lastRenderedPageBreak/>
              <w:t>C</w:t>
            </w:r>
            <w:r w:rsidRPr="0085715D">
              <w:rPr>
                <w:rStyle w:val="oj-sub"/>
                <w:rFonts w:ascii="Times New Roman" w:hAnsi="Times New Roman"/>
                <w:color w:val="333333"/>
                <w:sz w:val="24"/>
                <w:vertAlign w:val="subscript"/>
              </w:rPr>
              <w:t>AGB</w:t>
            </w:r>
            <w:r w:rsidRPr="0085715D">
              <w:rPr>
                <w:rStyle w:val="oj-bold"/>
                <w:rFonts w:ascii="Times New Roman" w:hAnsi="Times New Roman"/>
                <w:color w:val="333333"/>
                <w:sz w:val="24"/>
              </w:rPr>
              <w:t> </w:t>
            </w:r>
          </w:p>
          <w:p w14:paraId="421023B2" w14:textId="77777777" w:rsidR="007449C0" w:rsidRPr="0085715D" w:rsidRDefault="007449C0" w:rsidP="003D514F">
            <w:pPr>
              <w:ind w:firstLine="0"/>
              <w:rPr>
                <w:rFonts w:ascii="Times New Roman" w:hAnsi="Times New Roman"/>
                <w:sz w:val="24"/>
              </w:rPr>
            </w:pPr>
          </w:p>
        </w:tc>
        <w:tc>
          <w:tcPr>
            <w:tcW w:w="10034" w:type="dxa"/>
          </w:tcPr>
          <w:p w14:paraId="00364081"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biomasa vie aflat deasupra solului (măsurat ca masă de carbon per hectar);</w:t>
            </w:r>
          </w:p>
        </w:tc>
      </w:tr>
      <w:tr w:rsidR="007449C0" w:rsidRPr="0085715D" w14:paraId="783580C4" w14:textId="77777777" w:rsidTr="003D514F">
        <w:tc>
          <w:tcPr>
            <w:tcW w:w="534" w:type="dxa"/>
          </w:tcPr>
          <w:p w14:paraId="2F129FCA" w14:textId="77777777" w:rsidR="007449C0" w:rsidRPr="0085715D" w:rsidRDefault="007449C0" w:rsidP="003D514F">
            <w:pPr>
              <w:ind w:firstLine="0"/>
              <w:rPr>
                <w:rFonts w:ascii="Times New Roman" w:hAnsi="Times New Roman"/>
                <w:sz w:val="24"/>
              </w:rPr>
            </w:pPr>
            <w:r w:rsidRPr="0085715D">
              <w:rPr>
                <w:rStyle w:val="oj-bold"/>
                <w:rFonts w:ascii="Times New Roman" w:hAnsi="Times New Roman"/>
                <w:color w:val="333333"/>
                <w:sz w:val="24"/>
              </w:rPr>
              <w:t>R</w:t>
            </w:r>
          </w:p>
          <w:p w14:paraId="7888CD9D" w14:textId="77777777" w:rsidR="007449C0" w:rsidRPr="0085715D" w:rsidRDefault="007449C0" w:rsidP="003D514F">
            <w:pPr>
              <w:ind w:firstLine="0"/>
              <w:rPr>
                <w:rFonts w:ascii="Times New Roman" w:hAnsi="Times New Roman"/>
                <w:sz w:val="24"/>
              </w:rPr>
            </w:pPr>
          </w:p>
        </w:tc>
        <w:tc>
          <w:tcPr>
            <w:tcW w:w="10034" w:type="dxa"/>
          </w:tcPr>
          <w:p w14:paraId="3344F9F2"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raportul dintre stocul de carbon din biomasa vie aflat în sol și stocul de carbon din biomasa vie aflat deasupra solului.</w:t>
            </w:r>
          </w:p>
        </w:tc>
      </w:tr>
    </w:tbl>
    <w:p w14:paraId="3799E6D3" w14:textId="77777777" w:rsidR="007449C0" w:rsidRPr="0085715D" w:rsidRDefault="007449C0" w:rsidP="007449C0">
      <w:pPr>
        <w:pStyle w:val="Anexapct111"/>
        <w:rPr>
          <w:sz w:val="24"/>
        </w:rPr>
      </w:pPr>
      <w:r w:rsidRPr="0085715D">
        <w:rPr>
          <w:sz w:val="24"/>
        </w:rPr>
        <w:t>se pot utiliza valorile adecvate pentru </w:t>
      </w:r>
      <w:r w:rsidRPr="0085715D">
        <w:rPr>
          <w:rStyle w:val="oj-italic"/>
          <w:i/>
          <w:iCs/>
          <w:color w:val="333333"/>
          <w:sz w:val="24"/>
        </w:rPr>
        <w:t>R</w:t>
      </w:r>
      <w:r w:rsidRPr="0085715D">
        <w:rPr>
          <w:sz w:val="24"/>
        </w:rPr>
        <w:t> stabilite la capitolul VIII.</w:t>
      </w:r>
    </w:p>
    <w:p w14:paraId="2638FDCD" w14:textId="77777777" w:rsidR="007449C0" w:rsidRPr="0085715D" w:rsidRDefault="007449C0" w:rsidP="007449C0">
      <w:pPr>
        <w:pStyle w:val="Sectiune"/>
        <w:rPr>
          <w:sz w:val="24"/>
        </w:rPr>
      </w:pPr>
      <w:r w:rsidRPr="0085715D">
        <w:rPr>
          <w:sz w:val="24"/>
        </w:rPr>
        <w:t>Secțiunea a 2-a</w:t>
      </w:r>
    </w:p>
    <w:p w14:paraId="736D7072" w14:textId="77777777" w:rsidR="007449C0" w:rsidRPr="0085715D" w:rsidRDefault="007449C0" w:rsidP="007449C0">
      <w:pPr>
        <w:pStyle w:val="Sectiune"/>
        <w:rPr>
          <w:sz w:val="24"/>
        </w:rPr>
      </w:pPr>
      <w:r w:rsidRPr="0085715D">
        <w:rPr>
          <w:sz w:val="24"/>
        </w:rPr>
        <w:t>Materia organică moartă</w:t>
      </w:r>
    </w:p>
    <w:p w14:paraId="487FB07D" w14:textId="77777777" w:rsidR="007449C0" w:rsidRPr="0085715D" w:rsidRDefault="007449C0" w:rsidP="007449C0">
      <w:pPr>
        <w:pStyle w:val="Anexapct1"/>
        <w:rPr>
          <w:sz w:val="24"/>
        </w:rPr>
      </w:pPr>
      <w:r w:rsidRPr="0085715D">
        <w:rPr>
          <w:sz w:val="24"/>
        </w:rPr>
        <w:t xml:space="preserve">Suma stocurilor de carbon din materia organică moartă aflat în sol și deasupra solului </w:t>
      </w:r>
      <w:r w:rsidRPr="0085715D">
        <w:rPr>
          <w:rStyle w:val="oj-italic"/>
          <w:i/>
          <w:iCs/>
          <w:color w:val="333333"/>
          <w:sz w:val="24"/>
        </w:rPr>
        <w:t>C</w:t>
      </w:r>
      <w:r w:rsidRPr="0085715D">
        <w:rPr>
          <w:rStyle w:val="oj-sub"/>
          <w:i/>
          <w:iCs/>
          <w:color w:val="333333"/>
          <w:sz w:val="24"/>
          <w:vertAlign w:val="subscript"/>
        </w:rPr>
        <w:t>DOM</w:t>
      </w:r>
      <w:r w:rsidRPr="0085715D">
        <w:rPr>
          <w:sz w:val="24"/>
        </w:rPr>
        <w:t xml:space="preserve"> se calculează conform formulei:</w:t>
      </w:r>
    </w:p>
    <w:p w14:paraId="65A2749D" w14:textId="77777777" w:rsidR="007449C0" w:rsidRPr="0085715D" w:rsidRDefault="007449C0" w:rsidP="007449C0">
      <w:pPr>
        <w:jc w:val="center"/>
        <w:rPr>
          <w:i/>
          <w:iCs/>
          <w:sz w:val="24"/>
        </w:rPr>
      </w:pPr>
      <w:r w:rsidRPr="0085715D">
        <w:rPr>
          <w:rStyle w:val="oj-italic"/>
          <w:i/>
          <w:iCs/>
          <w:color w:val="333333"/>
          <w:sz w:val="24"/>
        </w:rPr>
        <w:t>C</w:t>
      </w:r>
      <w:r w:rsidRPr="0085715D">
        <w:rPr>
          <w:rStyle w:val="oj-sub"/>
          <w:i/>
          <w:iCs/>
          <w:color w:val="333333"/>
          <w:sz w:val="24"/>
          <w:vertAlign w:val="subscript"/>
        </w:rPr>
        <w:t>DOM</w:t>
      </w:r>
      <w:r w:rsidRPr="0085715D">
        <w:rPr>
          <w:rStyle w:val="oj-italic"/>
          <w:i/>
          <w:iCs/>
          <w:color w:val="333333"/>
          <w:sz w:val="24"/>
        </w:rPr>
        <w:t> </w:t>
      </w:r>
      <w:r w:rsidRPr="0085715D">
        <w:rPr>
          <w:i/>
          <w:iCs/>
          <w:sz w:val="24"/>
        </w:rPr>
        <w:t>= </w:t>
      </w:r>
      <w:r w:rsidRPr="0085715D">
        <w:rPr>
          <w:rStyle w:val="oj-italic"/>
          <w:i/>
          <w:iCs/>
          <w:color w:val="333333"/>
          <w:sz w:val="24"/>
        </w:rPr>
        <w:t>C</w:t>
      </w:r>
      <w:r w:rsidRPr="0085715D">
        <w:rPr>
          <w:rStyle w:val="oj-sub"/>
          <w:i/>
          <w:iCs/>
          <w:color w:val="333333"/>
          <w:sz w:val="24"/>
          <w:vertAlign w:val="subscript"/>
        </w:rPr>
        <w:t>DW</w:t>
      </w:r>
      <w:r w:rsidRPr="0085715D">
        <w:rPr>
          <w:rStyle w:val="oj-italic"/>
          <w:i/>
          <w:iCs/>
          <w:color w:val="333333"/>
          <w:sz w:val="24"/>
        </w:rPr>
        <w:t> </w:t>
      </w:r>
      <w:r w:rsidRPr="0085715D">
        <w:rPr>
          <w:i/>
          <w:iCs/>
          <w:sz w:val="24"/>
        </w:rPr>
        <w:t> + </w:t>
      </w:r>
      <w:r w:rsidRPr="0085715D">
        <w:rPr>
          <w:rStyle w:val="oj-italic"/>
          <w:i/>
          <w:iCs/>
          <w:color w:val="333333"/>
          <w:sz w:val="24"/>
        </w:rPr>
        <w:t>C</w:t>
      </w:r>
      <w:r w:rsidRPr="0085715D">
        <w:rPr>
          <w:rStyle w:val="oj-sub"/>
          <w:i/>
          <w:iCs/>
          <w:color w:val="333333"/>
          <w:sz w:val="24"/>
          <w:vertAlign w:val="subscript"/>
        </w:rPr>
        <w:t>LI</w:t>
      </w:r>
    </w:p>
    <w:p w14:paraId="246096A2" w14:textId="77777777" w:rsidR="007449C0" w:rsidRPr="0085715D" w:rsidRDefault="007449C0" w:rsidP="007449C0">
      <w:pPr>
        <w:rPr>
          <w:sz w:val="24"/>
        </w:rPr>
      </w:pPr>
      <w:r w:rsidRPr="0085715D">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651"/>
      </w:tblGrid>
      <w:tr w:rsidR="007449C0" w:rsidRPr="0085715D" w14:paraId="577E4C06" w14:textId="77777777" w:rsidTr="003D514F">
        <w:tc>
          <w:tcPr>
            <w:tcW w:w="534" w:type="dxa"/>
          </w:tcPr>
          <w:p w14:paraId="287F9866" w14:textId="77777777" w:rsidR="007449C0" w:rsidRPr="0085715D" w:rsidRDefault="007449C0" w:rsidP="003D514F">
            <w:pPr>
              <w:ind w:firstLine="0"/>
              <w:rPr>
                <w:rFonts w:ascii="Times New Roman" w:hAnsi="Times New Roman"/>
                <w:sz w:val="24"/>
              </w:rPr>
            </w:pPr>
            <w:r w:rsidRPr="0085715D">
              <w:rPr>
                <w:rStyle w:val="oj-bold"/>
                <w:rFonts w:ascii="Times New Roman" w:hAnsi="Times New Roman"/>
                <w:color w:val="333333"/>
                <w:sz w:val="24"/>
              </w:rPr>
              <w:t>C</w:t>
            </w:r>
            <w:r w:rsidRPr="0085715D">
              <w:rPr>
                <w:rStyle w:val="oj-sub"/>
                <w:rFonts w:ascii="Times New Roman" w:hAnsi="Times New Roman"/>
                <w:color w:val="333333"/>
                <w:sz w:val="24"/>
                <w:vertAlign w:val="subscript"/>
              </w:rPr>
              <w:t>DOM</w:t>
            </w:r>
            <w:r w:rsidRPr="0085715D">
              <w:rPr>
                <w:rStyle w:val="oj-bold"/>
                <w:rFonts w:ascii="Times New Roman" w:hAnsi="Times New Roman"/>
                <w:color w:val="333333"/>
                <w:sz w:val="24"/>
              </w:rPr>
              <w:t> </w:t>
            </w:r>
          </w:p>
          <w:p w14:paraId="420648D6" w14:textId="77777777" w:rsidR="007449C0" w:rsidRPr="0085715D" w:rsidRDefault="007449C0" w:rsidP="003D514F">
            <w:pPr>
              <w:ind w:firstLine="0"/>
              <w:rPr>
                <w:rFonts w:ascii="Times New Roman" w:hAnsi="Times New Roman"/>
                <w:sz w:val="24"/>
              </w:rPr>
            </w:pPr>
          </w:p>
        </w:tc>
        <w:tc>
          <w:tcPr>
            <w:tcW w:w="10034" w:type="dxa"/>
          </w:tcPr>
          <w:p w14:paraId="06251409"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materia organică moartă aflat în sol și deasupra solului (măsurat ca masă de carbon per hectar);</w:t>
            </w:r>
          </w:p>
        </w:tc>
      </w:tr>
      <w:tr w:rsidR="007449C0" w:rsidRPr="0085715D" w14:paraId="1EBC1363" w14:textId="77777777" w:rsidTr="003D514F">
        <w:tc>
          <w:tcPr>
            <w:tcW w:w="534" w:type="dxa"/>
          </w:tcPr>
          <w:p w14:paraId="23376935" w14:textId="77777777" w:rsidR="007449C0" w:rsidRPr="0085715D" w:rsidRDefault="007449C0" w:rsidP="003D514F">
            <w:pPr>
              <w:ind w:firstLine="0"/>
              <w:rPr>
                <w:rFonts w:ascii="Times New Roman" w:hAnsi="Times New Roman"/>
                <w:sz w:val="24"/>
              </w:rPr>
            </w:pPr>
            <w:r w:rsidRPr="0085715D">
              <w:rPr>
                <w:rStyle w:val="oj-bold"/>
                <w:rFonts w:ascii="Times New Roman" w:hAnsi="Times New Roman"/>
                <w:color w:val="333333"/>
                <w:sz w:val="24"/>
              </w:rPr>
              <w:t>C</w:t>
            </w:r>
            <w:r w:rsidRPr="0085715D">
              <w:rPr>
                <w:rStyle w:val="oj-sub"/>
                <w:rFonts w:ascii="Times New Roman" w:hAnsi="Times New Roman"/>
                <w:color w:val="333333"/>
                <w:sz w:val="24"/>
                <w:vertAlign w:val="subscript"/>
              </w:rPr>
              <w:t>DW</w:t>
            </w:r>
            <w:r w:rsidRPr="0085715D">
              <w:rPr>
                <w:rStyle w:val="oj-bold"/>
                <w:rFonts w:ascii="Times New Roman" w:hAnsi="Times New Roman"/>
                <w:color w:val="333333"/>
                <w:sz w:val="24"/>
              </w:rPr>
              <w:t> </w:t>
            </w:r>
          </w:p>
          <w:p w14:paraId="1FCBE6BB" w14:textId="77777777" w:rsidR="007449C0" w:rsidRPr="0085715D" w:rsidRDefault="007449C0" w:rsidP="003D514F">
            <w:pPr>
              <w:ind w:firstLine="0"/>
              <w:rPr>
                <w:rFonts w:ascii="Times New Roman" w:hAnsi="Times New Roman"/>
                <w:sz w:val="24"/>
              </w:rPr>
            </w:pPr>
          </w:p>
        </w:tc>
        <w:tc>
          <w:tcPr>
            <w:tcW w:w="10034" w:type="dxa"/>
          </w:tcPr>
          <w:p w14:paraId="6C5F4A8E"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fondul de lemn mort (măsurat ca masă de carbon per hectar), calculat în conformitate cu pct. 18;</w:t>
            </w:r>
          </w:p>
        </w:tc>
      </w:tr>
      <w:tr w:rsidR="007449C0" w:rsidRPr="0085715D" w14:paraId="3D272748" w14:textId="77777777" w:rsidTr="003D514F">
        <w:tc>
          <w:tcPr>
            <w:tcW w:w="534" w:type="dxa"/>
          </w:tcPr>
          <w:p w14:paraId="304082B9" w14:textId="77777777" w:rsidR="007449C0" w:rsidRPr="0085715D" w:rsidRDefault="007449C0" w:rsidP="003D514F">
            <w:pPr>
              <w:ind w:firstLine="0"/>
              <w:rPr>
                <w:rFonts w:ascii="Times New Roman" w:hAnsi="Times New Roman"/>
                <w:sz w:val="24"/>
              </w:rPr>
            </w:pPr>
            <w:r w:rsidRPr="0085715D">
              <w:rPr>
                <w:rStyle w:val="oj-bold"/>
                <w:rFonts w:ascii="Times New Roman" w:hAnsi="Times New Roman"/>
                <w:color w:val="333333"/>
                <w:sz w:val="24"/>
              </w:rPr>
              <w:t>C</w:t>
            </w:r>
            <w:r w:rsidRPr="0085715D">
              <w:rPr>
                <w:rStyle w:val="oj-sub"/>
                <w:rFonts w:ascii="Times New Roman" w:hAnsi="Times New Roman"/>
                <w:color w:val="333333"/>
                <w:sz w:val="24"/>
                <w:vertAlign w:val="subscript"/>
              </w:rPr>
              <w:t>LI</w:t>
            </w:r>
            <w:r w:rsidRPr="0085715D">
              <w:rPr>
                <w:rStyle w:val="oj-bold"/>
                <w:rFonts w:ascii="Times New Roman" w:hAnsi="Times New Roman"/>
                <w:b/>
                <w:bCs/>
                <w:color w:val="333333"/>
                <w:sz w:val="24"/>
              </w:rPr>
              <w:t> </w:t>
            </w:r>
          </w:p>
          <w:p w14:paraId="35E3D12B" w14:textId="77777777" w:rsidR="007449C0" w:rsidRPr="0085715D" w:rsidRDefault="007449C0" w:rsidP="003D514F">
            <w:pPr>
              <w:ind w:firstLine="0"/>
              <w:rPr>
                <w:rFonts w:ascii="Times New Roman" w:hAnsi="Times New Roman"/>
                <w:sz w:val="24"/>
              </w:rPr>
            </w:pPr>
          </w:p>
        </w:tc>
        <w:tc>
          <w:tcPr>
            <w:tcW w:w="10034" w:type="dxa"/>
          </w:tcPr>
          <w:p w14:paraId="7FDC2FEA"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litieră (măsurat ca masă de carbon per hectar), calculat în conformitate cu pct. 19.</w:t>
            </w:r>
          </w:p>
        </w:tc>
      </w:tr>
    </w:tbl>
    <w:p w14:paraId="221AD7FD" w14:textId="77777777" w:rsidR="007449C0" w:rsidRPr="0085715D" w:rsidRDefault="007449C0" w:rsidP="007449C0">
      <w:pPr>
        <w:pStyle w:val="Anexapct1"/>
        <w:rPr>
          <w:sz w:val="24"/>
        </w:rPr>
      </w:pPr>
      <w:r w:rsidRPr="0085715D">
        <w:rPr>
          <w:sz w:val="24"/>
        </w:rPr>
        <w:t xml:space="preserve">Stocul de carbon din fondul de lemn mort </w:t>
      </w:r>
      <w:r w:rsidRPr="0085715D">
        <w:rPr>
          <w:i/>
          <w:iCs/>
          <w:sz w:val="24"/>
        </w:rPr>
        <w:t>C</w:t>
      </w:r>
      <w:r w:rsidRPr="0085715D">
        <w:rPr>
          <w:i/>
          <w:iCs/>
          <w:sz w:val="24"/>
          <w:vertAlign w:val="subscript"/>
        </w:rPr>
        <w:t>DW</w:t>
      </w:r>
      <w:r w:rsidRPr="0085715D">
        <w:rPr>
          <w:sz w:val="24"/>
        </w:rPr>
        <w:t xml:space="preserve"> se calculează conform formulei:</w:t>
      </w:r>
    </w:p>
    <w:p w14:paraId="7ADCCEC9" w14:textId="77777777" w:rsidR="007449C0" w:rsidRPr="0085715D" w:rsidRDefault="007449C0" w:rsidP="007449C0">
      <w:pPr>
        <w:jc w:val="center"/>
        <w:rPr>
          <w:i/>
          <w:iCs/>
          <w:sz w:val="24"/>
        </w:rPr>
      </w:pPr>
      <w:r w:rsidRPr="0085715D">
        <w:rPr>
          <w:i/>
          <w:iCs/>
          <w:sz w:val="24"/>
        </w:rPr>
        <w:t>C</w:t>
      </w:r>
      <w:r w:rsidRPr="0085715D">
        <w:rPr>
          <w:i/>
          <w:iCs/>
          <w:sz w:val="24"/>
          <w:vertAlign w:val="subscript"/>
        </w:rPr>
        <w:t>DW</w:t>
      </w:r>
      <w:r w:rsidRPr="0085715D">
        <w:rPr>
          <w:i/>
          <w:iCs/>
          <w:sz w:val="24"/>
        </w:rPr>
        <w:t> = DOM</w:t>
      </w:r>
      <w:r w:rsidRPr="0085715D">
        <w:rPr>
          <w:i/>
          <w:iCs/>
          <w:sz w:val="24"/>
          <w:vertAlign w:val="subscript"/>
        </w:rPr>
        <w:t>DW</w:t>
      </w:r>
      <w:r w:rsidRPr="0085715D">
        <w:rPr>
          <w:i/>
          <w:iCs/>
          <w:sz w:val="24"/>
        </w:rPr>
        <w:t>  × CF</w:t>
      </w:r>
      <w:r w:rsidRPr="0085715D">
        <w:rPr>
          <w:i/>
          <w:iCs/>
          <w:sz w:val="24"/>
          <w:vertAlign w:val="subscript"/>
        </w:rPr>
        <w:t>DW</w:t>
      </w:r>
    </w:p>
    <w:p w14:paraId="03F5F8F9" w14:textId="77777777" w:rsidR="007449C0" w:rsidRPr="0085715D" w:rsidRDefault="007449C0" w:rsidP="007449C0">
      <w:pPr>
        <w:rPr>
          <w:sz w:val="24"/>
        </w:rPr>
      </w:pPr>
      <w:r w:rsidRPr="0085715D">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8358"/>
      </w:tblGrid>
      <w:tr w:rsidR="007449C0" w:rsidRPr="0085715D" w14:paraId="3C21D1E3" w14:textId="77777777" w:rsidTr="003D514F">
        <w:tc>
          <w:tcPr>
            <w:tcW w:w="675" w:type="dxa"/>
          </w:tcPr>
          <w:p w14:paraId="0E5D16FE"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w:t>
            </w:r>
            <w:r w:rsidRPr="0085715D">
              <w:rPr>
                <w:rFonts w:ascii="Times New Roman" w:hAnsi="Times New Roman"/>
                <w:sz w:val="24"/>
                <w:vertAlign w:val="subscript"/>
              </w:rPr>
              <w:t>DW</w:t>
            </w:r>
            <w:r w:rsidRPr="0085715D">
              <w:rPr>
                <w:rFonts w:ascii="Times New Roman" w:hAnsi="Times New Roman"/>
                <w:sz w:val="24"/>
              </w:rPr>
              <w:t> </w:t>
            </w:r>
          </w:p>
          <w:p w14:paraId="2447BA09" w14:textId="77777777" w:rsidR="007449C0" w:rsidRPr="0085715D" w:rsidRDefault="007449C0" w:rsidP="003D514F">
            <w:pPr>
              <w:ind w:firstLine="0"/>
              <w:rPr>
                <w:rFonts w:ascii="Times New Roman" w:hAnsi="Times New Roman"/>
                <w:sz w:val="24"/>
              </w:rPr>
            </w:pPr>
          </w:p>
        </w:tc>
        <w:tc>
          <w:tcPr>
            <w:tcW w:w="9893" w:type="dxa"/>
          </w:tcPr>
          <w:p w14:paraId="6EB8A1BD"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stocul de carbon din fondul de lemn mort (măsurat ca masă de carbon per hectar);</w:t>
            </w:r>
          </w:p>
        </w:tc>
      </w:tr>
      <w:tr w:rsidR="007449C0" w:rsidRPr="0085715D" w14:paraId="2E46043C" w14:textId="77777777" w:rsidTr="003D514F">
        <w:tc>
          <w:tcPr>
            <w:tcW w:w="675" w:type="dxa"/>
          </w:tcPr>
          <w:p w14:paraId="787DBF9D"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DOM</w:t>
            </w:r>
            <w:r w:rsidRPr="0085715D">
              <w:rPr>
                <w:rFonts w:ascii="Times New Roman" w:hAnsi="Times New Roman"/>
                <w:sz w:val="24"/>
                <w:vertAlign w:val="subscript"/>
              </w:rPr>
              <w:t>DW</w:t>
            </w:r>
            <w:r w:rsidRPr="0085715D">
              <w:rPr>
                <w:rFonts w:ascii="Times New Roman" w:hAnsi="Times New Roman"/>
                <w:sz w:val="24"/>
              </w:rPr>
              <w:t> </w:t>
            </w:r>
          </w:p>
          <w:p w14:paraId="0B2CD530" w14:textId="77777777" w:rsidR="007449C0" w:rsidRPr="0085715D" w:rsidRDefault="007449C0" w:rsidP="003D514F">
            <w:pPr>
              <w:ind w:firstLine="0"/>
              <w:rPr>
                <w:rFonts w:ascii="Times New Roman" w:hAnsi="Times New Roman"/>
                <w:sz w:val="24"/>
              </w:rPr>
            </w:pPr>
          </w:p>
        </w:tc>
        <w:tc>
          <w:tcPr>
            <w:tcW w:w="9893" w:type="dxa"/>
          </w:tcPr>
          <w:p w14:paraId="51FB3C52"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greutatea fondului de lemn mort (măsurată ca masă de materie uscată per hectar);</w:t>
            </w:r>
          </w:p>
        </w:tc>
      </w:tr>
      <w:tr w:rsidR="007449C0" w:rsidRPr="0085715D" w14:paraId="063E129E" w14:textId="77777777" w:rsidTr="003D514F">
        <w:tc>
          <w:tcPr>
            <w:tcW w:w="675" w:type="dxa"/>
          </w:tcPr>
          <w:p w14:paraId="4F1D4198"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CF</w:t>
            </w:r>
            <w:r w:rsidRPr="0085715D">
              <w:rPr>
                <w:rFonts w:ascii="Times New Roman" w:hAnsi="Times New Roman"/>
                <w:sz w:val="24"/>
                <w:vertAlign w:val="subscript"/>
              </w:rPr>
              <w:t>DW</w:t>
            </w:r>
            <w:r w:rsidRPr="0085715D">
              <w:rPr>
                <w:rFonts w:ascii="Times New Roman" w:hAnsi="Times New Roman"/>
                <w:b/>
                <w:bCs/>
                <w:sz w:val="24"/>
              </w:rPr>
              <w:t> </w:t>
            </w:r>
          </w:p>
          <w:p w14:paraId="306A4F38" w14:textId="77777777" w:rsidR="007449C0" w:rsidRPr="0085715D" w:rsidRDefault="007449C0" w:rsidP="003D514F">
            <w:pPr>
              <w:ind w:firstLine="0"/>
              <w:rPr>
                <w:rFonts w:ascii="Times New Roman" w:hAnsi="Times New Roman"/>
                <w:sz w:val="24"/>
              </w:rPr>
            </w:pPr>
          </w:p>
        </w:tc>
        <w:tc>
          <w:tcPr>
            <w:tcW w:w="9893" w:type="dxa"/>
          </w:tcPr>
          <w:p w14:paraId="796DD981"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fracția de carbon a materiei uscate din fondul de lemn mort (măsurată ca masă de carbon raportată la masa de materie uscată).</w:t>
            </w:r>
          </w:p>
        </w:tc>
      </w:tr>
    </w:tbl>
    <w:p w14:paraId="165CE87B" w14:textId="77777777" w:rsidR="007449C0" w:rsidRPr="0085715D" w:rsidRDefault="007449C0" w:rsidP="007449C0">
      <w:pPr>
        <w:pStyle w:val="Anexapct11"/>
        <w:rPr>
          <w:sz w:val="24"/>
        </w:rPr>
      </w:pPr>
      <w:r w:rsidRPr="0085715D">
        <w:rPr>
          <w:sz w:val="24"/>
        </w:rPr>
        <w:t>Pentru CF</w:t>
      </w:r>
      <w:r w:rsidRPr="0085715D">
        <w:rPr>
          <w:sz w:val="24"/>
          <w:vertAlign w:val="subscript"/>
        </w:rPr>
        <w:t>DW</w:t>
      </w:r>
      <w:r w:rsidRPr="0085715D">
        <w:rPr>
          <w:sz w:val="24"/>
        </w:rPr>
        <w:t> se poate utiliza valoarea de 0,5.</w:t>
      </w:r>
    </w:p>
    <w:p w14:paraId="054F6930" w14:textId="77777777" w:rsidR="007449C0" w:rsidRPr="0085715D" w:rsidRDefault="007449C0" w:rsidP="007449C0">
      <w:pPr>
        <w:pStyle w:val="Anexapct1"/>
        <w:rPr>
          <w:sz w:val="24"/>
        </w:rPr>
      </w:pPr>
      <w:r w:rsidRPr="0085715D">
        <w:rPr>
          <w:rStyle w:val="oj-italic"/>
          <w:sz w:val="24"/>
        </w:rPr>
        <w:t>Stocul de carbon din litieră</w:t>
      </w:r>
      <w:r w:rsidRPr="0085715D">
        <w:rPr>
          <w:rStyle w:val="oj-italic"/>
          <w:i/>
          <w:iCs/>
          <w:sz w:val="24"/>
        </w:rPr>
        <w:t xml:space="preserve"> C</w:t>
      </w:r>
      <w:r w:rsidRPr="0085715D">
        <w:rPr>
          <w:rStyle w:val="oj-sub"/>
          <w:i/>
          <w:iCs/>
          <w:sz w:val="24"/>
          <w:vertAlign w:val="subscript"/>
        </w:rPr>
        <w:t>LI</w:t>
      </w:r>
      <w:r w:rsidRPr="0085715D">
        <w:rPr>
          <w:rStyle w:val="oj-italic"/>
          <w:sz w:val="24"/>
        </w:rPr>
        <w:t xml:space="preserve"> </w:t>
      </w:r>
      <w:r w:rsidRPr="0085715D">
        <w:rPr>
          <w:sz w:val="24"/>
        </w:rPr>
        <w:t>se calculează conform formulei:</w:t>
      </w:r>
    </w:p>
    <w:p w14:paraId="52831A3F" w14:textId="77777777" w:rsidR="007449C0" w:rsidRPr="0085715D" w:rsidRDefault="007449C0" w:rsidP="007449C0">
      <w:pPr>
        <w:jc w:val="center"/>
        <w:rPr>
          <w:sz w:val="24"/>
        </w:rPr>
      </w:pPr>
      <w:r w:rsidRPr="0085715D">
        <w:rPr>
          <w:i/>
          <w:iCs/>
          <w:sz w:val="24"/>
        </w:rPr>
        <w:t>C</w:t>
      </w:r>
      <w:r w:rsidRPr="0085715D">
        <w:rPr>
          <w:i/>
          <w:iCs/>
          <w:sz w:val="24"/>
          <w:vertAlign w:val="subscript"/>
        </w:rPr>
        <w:t>LI</w:t>
      </w:r>
      <w:r w:rsidRPr="0085715D">
        <w:rPr>
          <w:i/>
          <w:iCs/>
          <w:sz w:val="24"/>
        </w:rPr>
        <w:t> </w:t>
      </w:r>
      <w:r w:rsidRPr="0085715D">
        <w:rPr>
          <w:sz w:val="24"/>
        </w:rPr>
        <w:t>= </w:t>
      </w:r>
      <w:r w:rsidRPr="0085715D">
        <w:rPr>
          <w:i/>
          <w:iCs/>
          <w:sz w:val="24"/>
        </w:rPr>
        <w:t>DOM</w:t>
      </w:r>
      <w:r w:rsidRPr="0085715D">
        <w:rPr>
          <w:i/>
          <w:iCs/>
          <w:sz w:val="24"/>
          <w:vertAlign w:val="subscript"/>
        </w:rPr>
        <w:t>LI</w:t>
      </w:r>
      <w:r w:rsidRPr="0085715D">
        <w:rPr>
          <w:i/>
          <w:iCs/>
          <w:sz w:val="24"/>
        </w:rPr>
        <w:t> </w:t>
      </w:r>
      <w:r w:rsidRPr="0085715D">
        <w:rPr>
          <w:sz w:val="24"/>
        </w:rPr>
        <w:t> × </w:t>
      </w:r>
      <w:r w:rsidRPr="0085715D">
        <w:rPr>
          <w:i/>
          <w:iCs/>
          <w:sz w:val="24"/>
        </w:rPr>
        <w:t>CF</w:t>
      </w:r>
      <w:r w:rsidRPr="0085715D">
        <w:rPr>
          <w:i/>
          <w:iCs/>
          <w:sz w:val="24"/>
          <w:vertAlign w:val="subscript"/>
        </w:rPr>
        <w:t>LI</w:t>
      </w:r>
    </w:p>
    <w:p w14:paraId="0A92CB7D" w14:textId="77777777" w:rsidR="007449C0" w:rsidRPr="0085715D" w:rsidRDefault="007449C0" w:rsidP="007449C0">
      <w:pPr>
        <w:rPr>
          <w:sz w:val="24"/>
        </w:rPr>
      </w:pPr>
      <w:r w:rsidRPr="0085715D">
        <w:rPr>
          <w:sz w:val="24"/>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73"/>
      </w:tblGrid>
      <w:tr w:rsidR="007449C0" w:rsidRPr="0085715D" w14:paraId="7D83F32D" w14:textId="77777777" w:rsidTr="003D514F">
        <w:tc>
          <w:tcPr>
            <w:tcW w:w="959" w:type="dxa"/>
          </w:tcPr>
          <w:p w14:paraId="3C9543C4" w14:textId="77777777" w:rsidR="007449C0" w:rsidRPr="0085715D" w:rsidRDefault="007449C0" w:rsidP="003D514F">
            <w:pPr>
              <w:ind w:firstLine="0"/>
              <w:rPr>
                <w:rFonts w:ascii="Times New Roman" w:eastAsia="Times New Roman" w:hAnsi="Times New Roman"/>
                <w:sz w:val="24"/>
              </w:rPr>
            </w:pPr>
            <w:r w:rsidRPr="0085715D">
              <w:rPr>
                <w:rStyle w:val="oj-bold"/>
                <w:rFonts w:ascii="Times New Roman" w:hAnsi="Times New Roman"/>
                <w:color w:val="333333"/>
                <w:sz w:val="24"/>
              </w:rPr>
              <w:t>C</w:t>
            </w:r>
            <w:r w:rsidRPr="0085715D">
              <w:rPr>
                <w:rStyle w:val="oj-sub"/>
                <w:rFonts w:ascii="Times New Roman" w:hAnsi="Times New Roman"/>
                <w:color w:val="333333"/>
                <w:sz w:val="24"/>
                <w:vertAlign w:val="subscript"/>
              </w:rPr>
              <w:t>LI</w:t>
            </w:r>
            <w:r w:rsidRPr="0085715D">
              <w:rPr>
                <w:rStyle w:val="oj-bold"/>
                <w:rFonts w:ascii="Times New Roman" w:hAnsi="Times New Roman"/>
                <w:color w:val="333333"/>
                <w:sz w:val="24"/>
              </w:rPr>
              <w:t> </w:t>
            </w:r>
          </w:p>
        </w:tc>
        <w:tc>
          <w:tcPr>
            <w:tcW w:w="9609" w:type="dxa"/>
          </w:tcPr>
          <w:p w14:paraId="45558960" w14:textId="77777777" w:rsidR="007449C0" w:rsidRPr="0085715D" w:rsidRDefault="007449C0" w:rsidP="003D514F">
            <w:pPr>
              <w:ind w:firstLine="0"/>
              <w:rPr>
                <w:rFonts w:ascii="Times New Roman" w:eastAsia="Times New Roman" w:hAnsi="Times New Roman"/>
                <w:sz w:val="24"/>
              </w:rPr>
            </w:pPr>
            <w:r w:rsidRPr="0085715D">
              <w:rPr>
                <w:rFonts w:ascii="Times New Roman" w:hAnsi="Times New Roman"/>
                <w:sz w:val="24"/>
              </w:rPr>
              <w:t>= stocul de carbon din litieră (măsurat ca masă de carbon per hectar);</w:t>
            </w:r>
          </w:p>
        </w:tc>
      </w:tr>
      <w:tr w:rsidR="007449C0" w:rsidRPr="0085715D" w14:paraId="691874D6" w14:textId="77777777" w:rsidTr="003D514F">
        <w:tc>
          <w:tcPr>
            <w:tcW w:w="959" w:type="dxa"/>
          </w:tcPr>
          <w:p w14:paraId="4A14F43E" w14:textId="77777777" w:rsidR="007449C0" w:rsidRPr="0085715D" w:rsidRDefault="007449C0" w:rsidP="003D514F">
            <w:pPr>
              <w:ind w:firstLine="0"/>
              <w:rPr>
                <w:rFonts w:ascii="Times New Roman" w:eastAsia="Times New Roman" w:hAnsi="Times New Roman"/>
                <w:sz w:val="24"/>
              </w:rPr>
            </w:pPr>
            <w:r w:rsidRPr="0085715D">
              <w:rPr>
                <w:rStyle w:val="oj-bold"/>
                <w:rFonts w:ascii="Times New Roman" w:hAnsi="Times New Roman"/>
                <w:color w:val="333333"/>
                <w:sz w:val="24"/>
              </w:rPr>
              <w:t>DOM</w:t>
            </w:r>
            <w:r w:rsidRPr="0085715D">
              <w:rPr>
                <w:rStyle w:val="oj-sub"/>
                <w:rFonts w:ascii="Times New Roman" w:hAnsi="Times New Roman"/>
                <w:color w:val="333333"/>
                <w:sz w:val="24"/>
                <w:vertAlign w:val="subscript"/>
              </w:rPr>
              <w:t>LI</w:t>
            </w:r>
            <w:r w:rsidRPr="0085715D">
              <w:rPr>
                <w:rStyle w:val="oj-bold"/>
                <w:rFonts w:ascii="Times New Roman" w:hAnsi="Times New Roman"/>
                <w:color w:val="333333"/>
                <w:sz w:val="24"/>
              </w:rPr>
              <w:t> </w:t>
            </w:r>
          </w:p>
        </w:tc>
        <w:tc>
          <w:tcPr>
            <w:tcW w:w="9609" w:type="dxa"/>
          </w:tcPr>
          <w:p w14:paraId="20EAC1C5"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greutatea litierei (măsurată ca masă de materie uscată per hectar);</w:t>
            </w:r>
          </w:p>
        </w:tc>
      </w:tr>
      <w:tr w:rsidR="007449C0" w:rsidRPr="0085715D" w14:paraId="21754527" w14:textId="77777777" w:rsidTr="003D514F">
        <w:tc>
          <w:tcPr>
            <w:tcW w:w="959" w:type="dxa"/>
          </w:tcPr>
          <w:p w14:paraId="6A472083" w14:textId="77777777" w:rsidR="007449C0" w:rsidRPr="0085715D" w:rsidRDefault="007449C0" w:rsidP="003D514F">
            <w:pPr>
              <w:ind w:firstLine="0"/>
              <w:rPr>
                <w:rFonts w:ascii="Times New Roman" w:eastAsia="Times New Roman" w:hAnsi="Times New Roman"/>
                <w:sz w:val="24"/>
              </w:rPr>
            </w:pPr>
            <w:r w:rsidRPr="0085715D">
              <w:rPr>
                <w:rStyle w:val="oj-bold"/>
                <w:rFonts w:ascii="Times New Roman" w:hAnsi="Times New Roman"/>
                <w:color w:val="333333"/>
                <w:sz w:val="24"/>
              </w:rPr>
              <w:t>CF</w:t>
            </w:r>
            <w:r w:rsidRPr="0085715D">
              <w:rPr>
                <w:rStyle w:val="oj-sub"/>
                <w:rFonts w:ascii="Times New Roman" w:hAnsi="Times New Roman"/>
                <w:color w:val="333333"/>
                <w:sz w:val="24"/>
                <w:vertAlign w:val="subscript"/>
              </w:rPr>
              <w:t>LI</w:t>
            </w:r>
            <w:r w:rsidRPr="0085715D">
              <w:rPr>
                <w:rStyle w:val="oj-bold"/>
                <w:rFonts w:ascii="Times New Roman" w:hAnsi="Times New Roman"/>
                <w:b/>
                <w:bCs/>
                <w:color w:val="333333"/>
                <w:sz w:val="24"/>
              </w:rPr>
              <w:t> </w:t>
            </w:r>
          </w:p>
        </w:tc>
        <w:tc>
          <w:tcPr>
            <w:tcW w:w="9609" w:type="dxa"/>
          </w:tcPr>
          <w:p w14:paraId="45B73B93" w14:textId="77777777" w:rsidR="007449C0" w:rsidRPr="0085715D" w:rsidRDefault="007449C0" w:rsidP="003D514F">
            <w:pPr>
              <w:ind w:firstLine="0"/>
              <w:rPr>
                <w:rFonts w:ascii="Times New Roman" w:hAnsi="Times New Roman"/>
                <w:sz w:val="24"/>
              </w:rPr>
            </w:pPr>
            <w:r w:rsidRPr="0085715D">
              <w:rPr>
                <w:rFonts w:ascii="Times New Roman" w:hAnsi="Times New Roman"/>
                <w:sz w:val="24"/>
              </w:rPr>
              <w:t>= fracția de carbon a materiei uscate din litieră (măsurată ca masă de carbon raportată la masa de materie uscată).</w:t>
            </w:r>
          </w:p>
        </w:tc>
      </w:tr>
    </w:tbl>
    <w:p w14:paraId="2AEABF56" w14:textId="77777777" w:rsidR="007449C0" w:rsidRPr="0085715D" w:rsidRDefault="007449C0" w:rsidP="007449C0">
      <w:pPr>
        <w:pStyle w:val="Anexapct11"/>
        <w:rPr>
          <w:sz w:val="24"/>
        </w:rPr>
      </w:pPr>
      <w:r w:rsidRPr="0085715D">
        <w:rPr>
          <w:sz w:val="24"/>
        </w:rPr>
        <w:t>Pentru </w:t>
      </w:r>
      <w:r w:rsidRPr="0085715D">
        <w:rPr>
          <w:rStyle w:val="oj-italic"/>
          <w:i/>
          <w:iCs/>
          <w:color w:val="333333"/>
          <w:sz w:val="24"/>
        </w:rPr>
        <w:t>CF</w:t>
      </w:r>
      <w:r w:rsidRPr="0085715D">
        <w:rPr>
          <w:rStyle w:val="oj-sub"/>
          <w:i/>
          <w:iCs/>
          <w:color w:val="333333"/>
          <w:sz w:val="24"/>
          <w:vertAlign w:val="subscript"/>
        </w:rPr>
        <w:t>LI</w:t>
      </w:r>
      <w:r w:rsidRPr="0085715D">
        <w:rPr>
          <w:rStyle w:val="oj-italic"/>
          <w:i/>
          <w:iCs/>
          <w:color w:val="333333"/>
          <w:sz w:val="24"/>
        </w:rPr>
        <w:t> </w:t>
      </w:r>
      <w:r w:rsidRPr="0085715D">
        <w:rPr>
          <w:sz w:val="24"/>
        </w:rPr>
        <w:t>se poate utiliza valoarea de 0,4.</w:t>
      </w:r>
    </w:p>
    <w:p w14:paraId="0ABB1BBD" w14:textId="77777777" w:rsidR="007449C0" w:rsidRPr="0085715D" w:rsidRDefault="007449C0" w:rsidP="007449C0">
      <w:pPr>
        <w:pStyle w:val="Capitol"/>
        <w:rPr>
          <w:sz w:val="24"/>
        </w:rPr>
      </w:pPr>
      <w:r w:rsidRPr="0085715D">
        <w:rPr>
          <w:caps w:val="0"/>
          <w:sz w:val="24"/>
        </w:rPr>
        <w:t xml:space="preserve">Capitolul </w:t>
      </w:r>
      <w:r w:rsidRPr="0085715D">
        <w:rPr>
          <w:sz w:val="24"/>
        </w:rPr>
        <w:t>VI</w:t>
      </w:r>
    </w:p>
    <w:p w14:paraId="4723DECD" w14:textId="77777777" w:rsidR="007449C0" w:rsidRPr="0085715D" w:rsidRDefault="007449C0" w:rsidP="007449C0">
      <w:pPr>
        <w:pStyle w:val="Capitol"/>
        <w:rPr>
          <w:sz w:val="24"/>
        </w:rPr>
      </w:pPr>
      <w:r w:rsidRPr="0085715D">
        <w:rPr>
          <w:sz w:val="24"/>
        </w:rPr>
        <w:t>STOCUL STANDARD DE CARBON DIN SOLURILE MINERALE</w:t>
      </w:r>
    </w:p>
    <w:p w14:paraId="462740B4" w14:textId="77777777" w:rsidR="007449C0" w:rsidRPr="0085715D" w:rsidRDefault="007449C0" w:rsidP="007449C0">
      <w:pPr>
        <w:pStyle w:val="Anexapct1"/>
        <w:rPr>
          <w:rFonts w:eastAsia="Times New Roman"/>
          <w:sz w:val="24"/>
          <w:lang w:eastAsia="ro-RO"/>
        </w:rPr>
      </w:pPr>
      <w:r w:rsidRPr="0085715D">
        <w:rPr>
          <w:rFonts w:eastAsia="Times New Roman"/>
          <w:sz w:val="24"/>
          <w:lang w:eastAsia="ro-RO"/>
        </w:rPr>
        <w:t>Din tabelul 1 se selectează o valoare pentru </w:t>
      </w:r>
      <w:r w:rsidRPr="0085715D">
        <w:rPr>
          <w:rFonts w:eastAsia="Times New Roman"/>
          <w:i/>
          <w:iCs/>
          <w:sz w:val="24"/>
          <w:lang w:eastAsia="ro-RO"/>
        </w:rPr>
        <w:t>SOC</w:t>
      </w:r>
      <w:r w:rsidRPr="0085715D">
        <w:rPr>
          <w:rFonts w:eastAsia="Times New Roman"/>
          <w:i/>
          <w:iCs/>
          <w:sz w:val="24"/>
          <w:vertAlign w:val="subscript"/>
          <w:lang w:eastAsia="ro-RO"/>
        </w:rPr>
        <w:t>ST</w:t>
      </w:r>
      <w:r w:rsidRPr="0085715D">
        <w:rPr>
          <w:rFonts w:eastAsia="Times New Roman"/>
          <w:i/>
          <w:iCs/>
          <w:sz w:val="24"/>
          <w:lang w:eastAsia="ro-RO"/>
        </w:rPr>
        <w:t> </w:t>
      </w:r>
      <w:r w:rsidRPr="0085715D">
        <w:rPr>
          <w:rFonts w:eastAsia="Times New Roman"/>
          <w:sz w:val="24"/>
          <w:lang w:eastAsia="ro-RO"/>
        </w:rPr>
        <w:t>, pe baza regiunii climatice adecvate și a tipului de sol al suprafeței în cauză, prezentate la pct. 21 și 22.</w:t>
      </w:r>
    </w:p>
    <w:p w14:paraId="6AEA183F"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w:t>
      </w:r>
    </w:p>
    <w:p w14:paraId="31B12771" w14:textId="77777777" w:rsidR="007449C0" w:rsidRPr="0085715D" w:rsidRDefault="007449C0" w:rsidP="007449C0">
      <w:pPr>
        <w:pStyle w:val="Sectiune"/>
        <w:rPr>
          <w:rFonts w:eastAsia="Times New Roman"/>
          <w:color w:val="333333"/>
          <w:sz w:val="24"/>
          <w:lang w:eastAsia="ro-RO"/>
        </w:rPr>
      </w:pPr>
      <w:r w:rsidRPr="0085715D">
        <w:rPr>
          <w:rFonts w:eastAsia="Times New Roman"/>
          <w:color w:val="333333"/>
          <w:sz w:val="24"/>
          <w:lang w:eastAsia="ro-RO"/>
        </w:rPr>
        <w:lastRenderedPageBreak/>
        <w:t>SOC</w:t>
      </w:r>
      <w:r w:rsidRPr="0085715D">
        <w:rPr>
          <w:rFonts w:eastAsia="Times New Roman"/>
          <w:color w:val="333333"/>
          <w:sz w:val="24"/>
          <w:vertAlign w:val="subscript"/>
          <w:lang w:eastAsia="ro-RO"/>
        </w:rPr>
        <w:t>ST,</w:t>
      </w:r>
      <w:r w:rsidRPr="0085715D">
        <w:rPr>
          <w:rFonts w:eastAsia="Times New Roman"/>
          <w:color w:val="333333"/>
          <w:sz w:val="24"/>
          <w:lang w:eastAsia="ro-RO"/>
        </w:rPr>
        <w:t> cantitatea standard de carbon organic din sol în stratul de 0-30 centimetri aflat la suprafața terenului</w:t>
      </w:r>
    </w:p>
    <w:tbl>
      <w:tblPr>
        <w:tblW w:w="4858"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09"/>
        <w:gridCol w:w="1499"/>
        <w:gridCol w:w="1452"/>
        <w:gridCol w:w="1144"/>
        <w:gridCol w:w="1438"/>
        <w:gridCol w:w="1170"/>
        <w:gridCol w:w="1065"/>
      </w:tblGrid>
      <w:tr w:rsidR="007449C0" w:rsidRPr="0085715D" w14:paraId="46629135" w14:textId="77777777" w:rsidTr="003D514F">
        <w:trPr>
          <w:jc w:val="center"/>
        </w:trPr>
        <w:tc>
          <w:tcPr>
            <w:tcW w:w="5000" w:type="pct"/>
            <w:gridSpan w:val="7"/>
            <w:shd w:val="clear" w:color="auto" w:fill="FFFFFF"/>
            <w:vAlign w:val="center"/>
            <w:hideMark/>
          </w:tcPr>
          <w:p w14:paraId="7442EBF2" w14:textId="77777777" w:rsidR="007449C0" w:rsidRPr="0085715D" w:rsidRDefault="007449C0" w:rsidP="003D514F">
            <w:pPr>
              <w:spacing w:before="60" w:after="60" w:line="312" w:lineRule="atLeast"/>
              <w:ind w:firstLine="0"/>
              <w:jc w:val="right"/>
              <w:rPr>
                <w:color w:val="333333"/>
                <w:sz w:val="24"/>
                <w:lang w:eastAsia="ro-RO"/>
              </w:rPr>
            </w:pPr>
            <w:r w:rsidRPr="0085715D">
              <w:rPr>
                <w:color w:val="333333"/>
                <w:sz w:val="24"/>
                <w:lang w:eastAsia="ro-RO"/>
              </w:rPr>
              <w:t>(tone de carbon per hectar)</w:t>
            </w:r>
          </w:p>
        </w:tc>
      </w:tr>
      <w:tr w:rsidR="007449C0" w:rsidRPr="0085715D" w14:paraId="0B04FABA"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69867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4109" w:type="pct"/>
            <w:gridSpan w:val="6"/>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58E98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Tipul de sol</w:t>
            </w:r>
          </w:p>
        </w:tc>
      </w:tr>
      <w:tr w:rsidR="007449C0" w:rsidRPr="0085715D" w14:paraId="02F36611"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37B00" w14:textId="77777777" w:rsidR="007449C0" w:rsidRPr="0085715D" w:rsidRDefault="007449C0" w:rsidP="003D514F">
            <w:pPr>
              <w:spacing w:before="120" w:line="312" w:lineRule="atLeast"/>
              <w:ind w:firstLine="0"/>
              <w:jc w:val="center"/>
              <w:rPr>
                <w:color w:val="333333"/>
                <w:sz w:val="24"/>
                <w:lang w:eastAsia="ro-RO"/>
              </w:rPr>
            </w:pP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28923"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Soluri argiloase cu activitate ridicată</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3F142"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Soluri argiloase cu activitate redusă</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B603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Soluri nisipoase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820B0" w14:textId="77777777" w:rsidR="007449C0" w:rsidRPr="0085715D" w:rsidRDefault="007449C0" w:rsidP="003D514F">
            <w:pPr>
              <w:spacing w:before="60" w:after="60" w:line="312" w:lineRule="atLeast"/>
              <w:ind w:right="195" w:firstLine="0"/>
              <w:rPr>
                <w:b/>
                <w:bCs/>
                <w:color w:val="333333"/>
                <w:sz w:val="24"/>
                <w:lang w:eastAsia="ro-RO"/>
              </w:rPr>
            </w:pPr>
            <w:proofErr w:type="spellStart"/>
            <w:r w:rsidRPr="0085715D">
              <w:rPr>
                <w:b/>
                <w:bCs/>
                <w:color w:val="333333"/>
                <w:sz w:val="24"/>
                <w:lang w:eastAsia="ro-RO"/>
              </w:rPr>
              <w:t>Spodosoluri</w:t>
            </w:r>
            <w:proofErr w:type="spellEnd"/>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AC493"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Soluri vulcanice</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3FD9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Soluri din zonele umede</w:t>
            </w:r>
          </w:p>
        </w:tc>
      </w:tr>
      <w:tr w:rsidR="007449C0" w:rsidRPr="0085715D" w14:paraId="7924B3D7"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4E9F4B4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Boreală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6D57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8AA80"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1A9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6F5A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1B4DD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68EE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146</w:t>
            </w:r>
          </w:p>
        </w:tc>
      </w:tr>
      <w:tr w:rsidR="007449C0" w:rsidRPr="0085715D" w14:paraId="785EFCF4"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1014385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rece,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C2378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50</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9DCD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8E13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4EA05"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2C95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3BEE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87</w:t>
            </w:r>
          </w:p>
        </w:tc>
      </w:tr>
      <w:tr w:rsidR="007449C0" w:rsidRPr="0085715D" w14:paraId="1CFA3758"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6F1B0B7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rece,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37A3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95</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493C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85</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6269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42F6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B382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5A00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87</w:t>
            </w:r>
          </w:p>
        </w:tc>
      </w:tr>
      <w:tr w:rsidR="007449C0" w:rsidRPr="0085715D" w14:paraId="7A199224"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4629E0F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948B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66EA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24</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04AB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F6250"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B7F5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1E6A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88</w:t>
            </w:r>
          </w:p>
        </w:tc>
      </w:tr>
      <w:tr w:rsidR="007449C0" w:rsidRPr="0085715D" w14:paraId="237F8CB5"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42085F3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ACA9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A6FA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B068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D567B8"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8C43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BC7E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88</w:t>
            </w:r>
          </w:p>
        </w:tc>
      </w:tr>
      <w:tr w:rsidR="007449C0" w:rsidRPr="0085715D" w14:paraId="1B2F5C55"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6F45B54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uscată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911A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6326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35</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900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3A9CC"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55BDF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68C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86</w:t>
            </w:r>
          </w:p>
        </w:tc>
      </w:tr>
      <w:tr w:rsidR="007449C0" w:rsidRPr="0085715D" w14:paraId="2D97F73C"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02F5E50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umedă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0D1B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65</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ABAA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47</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B70FE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E9E118"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6D16D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1BD4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86</w:t>
            </w:r>
          </w:p>
        </w:tc>
      </w:tr>
      <w:tr w:rsidR="007449C0" w:rsidRPr="0085715D" w14:paraId="72F851C0"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39F47E8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ploioasă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7EB8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44</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42B2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60</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87A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103C0"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9C8D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BF0F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86</w:t>
            </w:r>
          </w:p>
        </w:tc>
      </w:tr>
      <w:tr w:rsidR="007449C0" w:rsidRPr="0085715D" w14:paraId="07795946" w14:textId="77777777" w:rsidTr="003D514F">
        <w:trPr>
          <w:jc w:val="center"/>
        </w:trPr>
        <w:tc>
          <w:tcPr>
            <w:tcW w:w="891" w:type="pct"/>
            <w:tcBorders>
              <w:top w:val="single" w:sz="6" w:space="0" w:color="000000"/>
              <w:left w:val="single" w:sz="6" w:space="0" w:color="000000"/>
              <w:bottom w:val="single" w:sz="6" w:space="0" w:color="000000"/>
              <w:right w:val="single" w:sz="6" w:space="0" w:color="000000"/>
            </w:tcBorders>
            <w:shd w:val="clear" w:color="auto" w:fill="FFFFFF"/>
            <w:hideMark/>
          </w:tcPr>
          <w:p w14:paraId="3B65360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montană</w:t>
            </w:r>
          </w:p>
        </w:tc>
        <w:tc>
          <w:tcPr>
            <w:tcW w:w="9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6670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88</w:t>
            </w:r>
          </w:p>
        </w:tc>
        <w:tc>
          <w:tcPr>
            <w:tcW w:w="91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AA7F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63</w:t>
            </w:r>
          </w:p>
        </w:tc>
        <w:tc>
          <w:tcPr>
            <w:tcW w:w="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AB2A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59208"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w:t>
            </w:r>
          </w:p>
        </w:tc>
        <w:tc>
          <w:tcPr>
            <w:tcW w:w="5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0080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2086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86</w:t>
            </w:r>
          </w:p>
        </w:tc>
      </w:tr>
    </w:tbl>
    <w:p w14:paraId="55627D96" w14:textId="77777777" w:rsidR="007449C0" w:rsidRPr="0085715D" w:rsidRDefault="007449C0" w:rsidP="007449C0">
      <w:pPr>
        <w:pStyle w:val="Anexapct1"/>
        <w:spacing w:before="240"/>
        <w:rPr>
          <w:rFonts w:eastAsia="Times New Roman"/>
          <w:sz w:val="24"/>
          <w:lang w:eastAsia="ro-RO"/>
        </w:rPr>
      </w:pPr>
      <w:r w:rsidRPr="0085715D">
        <w:rPr>
          <w:rFonts w:eastAsia="Times New Roman"/>
          <w:sz w:val="24"/>
          <w:lang w:eastAsia="ro-RO"/>
        </w:rPr>
        <w:t>Regiunea climatică adecvată pentru selectarea valorii </w:t>
      </w:r>
      <w:r w:rsidRPr="0085715D">
        <w:rPr>
          <w:rFonts w:eastAsia="Times New Roman"/>
          <w:i/>
          <w:iCs/>
          <w:sz w:val="24"/>
          <w:lang w:eastAsia="ro-RO"/>
        </w:rPr>
        <w:t>SOC</w:t>
      </w:r>
      <w:r w:rsidRPr="0085715D">
        <w:rPr>
          <w:rFonts w:eastAsia="Times New Roman"/>
          <w:i/>
          <w:iCs/>
          <w:sz w:val="24"/>
          <w:vertAlign w:val="subscript"/>
          <w:lang w:eastAsia="ro-RO"/>
        </w:rPr>
        <w:t>ST</w:t>
      </w:r>
      <w:r w:rsidRPr="0085715D">
        <w:rPr>
          <w:rFonts w:eastAsia="Times New Roman"/>
          <w:i/>
          <w:iCs/>
          <w:sz w:val="24"/>
          <w:lang w:eastAsia="ro-RO"/>
        </w:rPr>
        <w:t> </w:t>
      </w:r>
      <w:r w:rsidRPr="0085715D">
        <w:rPr>
          <w:rFonts w:eastAsia="Times New Roman"/>
          <w:sz w:val="24"/>
          <w:lang w:eastAsia="ro-RO"/>
        </w:rPr>
        <w:t>corespunzătoare se determină pe baza straturilor de date privind regiunile climatice furnizate de Serviciul Hidrometeorologic de Stat.</w:t>
      </w:r>
    </w:p>
    <w:p w14:paraId="3E78D54F" w14:textId="77777777" w:rsidR="007449C0" w:rsidRPr="0085715D" w:rsidRDefault="007449C0" w:rsidP="007449C0">
      <w:pPr>
        <w:pStyle w:val="Anexapct1"/>
        <w:rPr>
          <w:rFonts w:eastAsia="Times New Roman"/>
          <w:sz w:val="24"/>
          <w:lang w:eastAsia="ro-RO"/>
        </w:rPr>
      </w:pPr>
      <w:r w:rsidRPr="0085715D">
        <w:rPr>
          <w:rFonts w:eastAsia="Times New Roman"/>
          <w:sz w:val="24"/>
          <w:lang w:eastAsia="ro-RO"/>
        </w:rPr>
        <w:t>Tipul de sol adecvat se determină în conformitate cu figura 3.</w:t>
      </w:r>
    </w:p>
    <w:p w14:paraId="3C9C0E2B" w14:textId="77777777" w:rsidR="007449C0" w:rsidRPr="0085715D" w:rsidRDefault="007449C0" w:rsidP="007449C0">
      <w:pPr>
        <w:rPr>
          <w:sz w:val="24"/>
        </w:rPr>
      </w:pPr>
      <w:r w:rsidRPr="0085715D">
        <w:rPr>
          <w:noProof/>
          <w:sz w:val="24"/>
        </w:rPr>
        <w:lastRenderedPageBreak/>
        <w:drawing>
          <wp:inline distT="0" distB="0" distL="0" distR="0" wp14:anchorId="27C51D91" wp14:editId="500C0A68">
            <wp:extent cx="5241925" cy="5571490"/>
            <wp:effectExtent l="0" t="0" r="0" b="0"/>
            <wp:docPr id="1750405804" name="Picture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1925" cy="5571490"/>
                    </a:xfrm>
                    <a:prstGeom prst="rect">
                      <a:avLst/>
                    </a:prstGeom>
                    <a:noFill/>
                    <a:ln>
                      <a:noFill/>
                    </a:ln>
                  </pic:spPr>
                </pic:pic>
              </a:graphicData>
            </a:graphic>
          </wp:inline>
        </w:drawing>
      </w:r>
    </w:p>
    <w:p w14:paraId="49D852A0" w14:textId="77777777" w:rsidR="007449C0" w:rsidRPr="0085715D" w:rsidRDefault="007449C0" w:rsidP="007449C0">
      <w:pPr>
        <w:jc w:val="center"/>
        <w:rPr>
          <w:sz w:val="24"/>
        </w:rPr>
      </w:pPr>
      <w:r w:rsidRPr="0085715D">
        <w:rPr>
          <w:b/>
          <w:bCs/>
          <w:sz w:val="24"/>
        </w:rPr>
        <w:t xml:space="preserve">Figura 3. </w:t>
      </w:r>
      <w:r w:rsidRPr="0085715D">
        <w:rPr>
          <w:sz w:val="24"/>
        </w:rPr>
        <w:t>Clasificarea tipurilor de soluri</w:t>
      </w:r>
    </w:p>
    <w:p w14:paraId="0AE69726" w14:textId="77777777" w:rsidR="007449C0" w:rsidRPr="0085715D" w:rsidRDefault="007449C0" w:rsidP="007449C0">
      <w:pPr>
        <w:pStyle w:val="Capitol"/>
        <w:rPr>
          <w:sz w:val="24"/>
        </w:rPr>
      </w:pPr>
      <w:r w:rsidRPr="0085715D">
        <w:rPr>
          <w:caps w:val="0"/>
          <w:sz w:val="24"/>
        </w:rPr>
        <w:t xml:space="preserve">Capitolul </w:t>
      </w:r>
      <w:r w:rsidRPr="0085715D">
        <w:rPr>
          <w:sz w:val="24"/>
        </w:rPr>
        <w:t>VII</w:t>
      </w:r>
    </w:p>
    <w:p w14:paraId="4B414A2C" w14:textId="77777777" w:rsidR="007449C0" w:rsidRPr="0085715D" w:rsidRDefault="007449C0" w:rsidP="007449C0">
      <w:pPr>
        <w:pStyle w:val="Capitol"/>
        <w:rPr>
          <w:sz w:val="24"/>
        </w:rPr>
      </w:pPr>
      <w:r w:rsidRPr="0085715D">
        <w:rPr>
          <w:sz w:val="24"/>
        </w:rPr>
        <w:t>FACTORII CARE REFLECTĂ DIFERENȚA DINTRE CANTITATEA DE CARBON ORGANIC DIN SOL ÎN COMPARAȚIE CU CANTITATEA STANDARD DE CARBON ORGANIC DIN SOL</w:t>
      </w:r>
    </w:p>
    <w:p w14:paraId="22C74AC2" w14:textId="77777777" w:rsidR="007449C0" w:rsidRPr="0085715D" w:rsidRDefault="007449C0" w:rsidP="007449C0">
      <w:pPr>
        <w:pStyle w:val="Anexapct1"/>
        <w:rPr>
          <w:sz w:val="24"/>
        </w:rPr>
      </w:pPr>
      <w:r w:rsidRPr="0085715D">
        <w:rPr>
          <w:sz w:val="24"/>
        </w:rPr>
        <w:t>Valorile adecvate pentru </w:t>
      </w:r>
      <w:r w:rsidRPr="0085715D">
        <w:rPr>
          <w:i/>
          <w:iCs/>
          <w:sz w:val="24"/>
        </w:rPr>
        <w:t>F</w:t>
      </w:r>
      <w:r w:rsidRPr="0085715D">
        <w:rPr>
          <w:i/>
          <w:iCs/>
          <w:sz w:val="24"/>
          <w:vertAlign w:val="subscript"/>
        </w:rPr>
        <w:t>LU</w:t>
      </w:r>
      <w:r w:rsidRPr="0085715D">
        <w:rPr>
          <w:i/>
          <w:iCs/>
          <w:sz w:val="24"/>
        </w:rPr>
        <w:t> </w:t>
      </w:r>
      <w:r w:rsidRPr="0085715D">
        <w:rPr>
          <w:sz w:val="24"/>
        </w:rPr>
        <w:t>, </w:t>
      </w:r>
      <w:r w:rsidRPr="0085715D">
        <w:rPr>
          <w:i/>
          <w:iCs/>
          <w:sz w:val="24"/>
        </w:rPr>
        <w:t>F</w:t>
      </w:r>
      <w:r w:rsidRPr="0085715D">
        <w:rPr>
          <w:i/>
          <w:iCs/>
          <w:sz w:val="24"/>
          <w:vertAlign w:val="subscript"/>
        </w:rPr>
        <w:t>MG</w:t>
      </w:r>
      <w:r w:rsidRPr="0085715D">
        <w:rPr>
          <w:i/>
          <w:iCs/>
          <w:sz w:val="24"/>
        </w:rPr>
        <w:t> </w:t>
      </w:r>
      <w:r w:rsidRPr="0085715D">
        <w:rPr>
          <w:sz w:val="24"/>
        </w:rPr>
        <w:t>și </w:t>
      </w:r>
      <w:r w:rsidRPr="0085715D">
        <w:rPr>
          <w:i/>
          <w:iCs/>
          <w:sz w:val="24"/>
        </w:rPr>
        <w:t>F</w:t>
      </w:r>
      <w:r w:rsidRPr="0085715D">
        <w:rPr>
          <w:i/>
          <w:iCs/>
          <w:sz w:val="24"/>
          <w:vertAlign w:val="subscript"/>
        </w:rPr>
        <w:t>I</w:t>
      </w:r>
      <w:r w:rsidRPr="0085715D">
        <w:rPr>
          <w:i/>
          <w:iCs/>
          <w:sz w:val="24"/>
        </w:rPr>
        <w:t> </w:t>
      </w:r>
      <w:r w:rsidRPr="0085715D">
        <w:rPr>
          <w:sz w:val="24"/>
        </w:rPr>
        <w:t>se selectează din tabelele de la prezentul capitol. Pentru calcularea </w:t>
      </w:r>
      <w:r w:rsidRPr="0085715D">
        <w:rPr>
          <w:i/>
          <w:iCs/>
          <w:sz w:val="24"/>
        </w:rPr>
        <w:t>CS</w:t>
      </w:r>
      <w:r w:rsidRPr="0085715D">
        <w:rPr>
          <w:i/>
          <w:iCs/>
          <w:sz w:val="24"/>
          <w:vertAlign w:val="subscript"/>
        </w:rPr>
        <w:t>R</w:t>
      </w:r>
      <w:r w:rsidRPr="0085715D">
        <w:rPr>
          <w:i/>
          <w:iCs/>
          <w:sz w:val="24"/>
        </w:rPr>
        <w:t> </w:t>
      </w:r>
      <w:r w:rsidRPr="0085715D">
        <w:rPr>
          <w:sz w:val="24"/>
        </w:rPr>
        <w:t>, factorul de administrare și factorul de intrare corespunzători sunt cei aplicați în ianuarie 2008. Pentru calcularea </w:t>
      </w:r>
      <w:r w:rsidRPr="0085715D">
        <w:rPr>
          <w:i/>
          <w:iCs/>
          <w:sz w:val="24"/>
        </w:rPr>
        <w:t>CS</w:t>
      </w:r>
      <w:r w:rsidRPr="0085715D">
        <w:rPr>
          <w:i/>
          <w:iCs/>
          <w:sz w:val="24"/>
          <w:vertAlign w:val="subscript"/>
        </w:rPr>
        <w:t>A</w:t>
      </w:r>
      <w:r w:rsidRPr="0085715D">
        <w:rPr>
          <w:i/>
          <w:iCs/>
          <w:sz w:val="24"/>
        </w:rPr>
        <w:t> </w:t>
      </w:r>
      <w:r w:rsidRPr="0085715D">
        <w:rPr>
          <w:sz w:val="24"/>
        </w:rPr>
        <w:t>, factorul de administrare și factorul de intrare corespunzători sunt cei aplicați și care conduc la echilibrul stocului de carbon respectiv.</w:t>
      </w:r>
    </w:p>
    <w:p w14:paraId="528BC6F9" w14:textId="77777777" w:rsidR="007449C0" w:rsidRPr="0085715D" w:rsidRDefault="007449C0" w:rsidP="007449C0">
      <w:pPr>
        <w:pStyle w:val="Anexapct1"/>
        <w:rPr>
          <w:sz w:val="24"/>
        </w:rPr>
      </w:pPr>
      <w:r w:rsidRPr="0085715D">
        <w:rPr>
          <w:sz w:val="24"/>
        </w:rPr>
        <w:t>Terenuri agricole:</w:t>
      </w:r>
    </w:p>
    <w:p w14:paraId="575D17C5"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2</w:t>
      </w:r>
    </w:p>
    <w:p w14:paraId="2965CE30"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Factorii pentru terenurile agricole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03"/>
        <w:gridCol w:w="1726"/>
        <w:gridCol w:w="1726"/>
        <w:gridCol w:w="2000"/>
        <w:gridCol w:w="630"/>
        <w:gridCol w:w="630"/>
        <w:gridCol w:w="630"/>
      </w:tblGrid>
      <w:tr w:rsidR="007449C0" w:rsidRPr="0085715D" w14:paraId="0DF85DF5" w14:textId="77777777" w:rsidTr="003D514F">
        <w:tc>
          <w:tcPr>
            <w:tcW w:w="11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3D75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lastRenderedPageBreak/>
              <w:t>Regiune climatică</w:t>
            </w:r>
          </w:p>
        </w:tc>
        <w:tc>
          <w:tcPr>
            <w:tcW w:w="9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7E3A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Utilizarea terenului</w:t>
            </w:r>
          </w:p>
          <w:p w14:paraId="0935D52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LU</w:t>
            </w:r>
            <w:r w:rsidRPr="0085715D">
              <w:rPr>
                <w:b/>
                <w:bCs/>
                <w:i/>
                <w:iCs/>
                <w:color w:val="333333"/>
                <w:sz w:val="24"/>
                <w:lang w:eastAsia="ro-RO"/>
              </w:rPr>
              <w:t> </w:t>
            </w:r>
            <w:r w:rsidRPr="0085715D">
              <w:rPr>
                <w:b/>
                <w:bCs/>
                <w:color w:val="333333"/>
                <w:sz w:val="24"/>
                <w:lang w:eastAsia="ro-RO"/>
              </w:rPr>
              <w:t>)</w:t>
            </w:r>
          </w:p>
        </w:tc>
        <w:tc>
          <w:tcPr>
            <w:tcW w:w="9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F6F04"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Administrare</w:t>
            </w:r>
          </w:p>
          <w:p w14:paraId="2992E69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MG</w:t>
            </w:r>
            <w:r w:rsidRPr="0085715D">
              <w:rPr>
                <w:b/>
                <w:bCs/>
                <w:i/>
                <w:iCs/>
                <w:color w:val="333333"/>
                <w:sz w:val="24"/>
                <w:lang w:eastAsia="ro-RO"/>
              </w:rPr>
              <w:t> </w:t>
            </w:r>
            <w:r w:rsidRPr="0085715D">
              <w:rPr>
                <w:b/>
                <w:bCs/>
                <w:color w:val="333333"/>
                <w:sz w:val="24"/>
                <w:lang w:eastAsia="ro-RO"/>
              </w:rPr>
              <w:t>)</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A4E555"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Intrare</w:t>
            </w:r>
          </w:p>
          <w:p w14:paraId="67FEA36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I</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E8E3D"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3975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2EFD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I</w:t>
            </w:r>
          </w:p>
        </w:tc>
      </w:tr>
      <w:tr w:rsidR="007449C0" w:rsidRPr="0085715D" w14:paraId="784DA41C" w14:textId="77777777" w:rsidTr="003D514F">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C3938BA"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Temperată/Boreală, uscată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A41FE4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0C5BBC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2433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8B6F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F3D5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08A1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721E0D47"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DC2A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06917"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0C5F96"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BDB3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622D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2E1E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A222C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2D2608D4"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F051D6"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027BA"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0F220"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56A4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BDA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C8E28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79C5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1AA3580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D8894"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D6E4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BA150"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82A8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4DDF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4BB9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DDF7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56A63BEF"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52FC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5DAD4"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98B715"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45FB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8ED7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9A22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D878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00AC5480"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6288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C86D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D1BB4"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C942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C1B6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4B8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098A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0B6521A4"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25736"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8B2F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6BF51"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65D7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D872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7084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6A56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48C107A0"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8384A"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4531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3610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E500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16B3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8A35A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39355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53858B23"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E72F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D78DF"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32E89D"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12B49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5D6E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10BB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A679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208D6AF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791C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09E36"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287C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001C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0643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16B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C693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273A1202"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DC65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00446"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0E2A6"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B3BF7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504C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6451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5D06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230B498D"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1AED7"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D5F5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EB84F"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E1A1B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5BC6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1A7E5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E64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26E01CD6" w14:textId="77777777" w:rsidTr="003D514F">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3115CB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Temperată/Boreală, umedă/ploioasă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C1DF48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3AAD0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D733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9ADE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60E46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276F2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67EAAA56"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F0658"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35E8D"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EEF02"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40AE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20EF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3E5A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F0B8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29446F99"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59317"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897C5"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3462C"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7C52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3215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3CF7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AEA8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6F47189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A14A7"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733D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DA664"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4FC8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48BBB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5E17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B7CD2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10F191A0"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87C34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C6ED1"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913F57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D5A4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E4E6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51DC9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8888B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66E66CD1"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6C62F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E94A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8F1B2"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CE59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FFCD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28B2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258D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E073CE2"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989E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D60E8"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5B57E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83EE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A181F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422C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7B0D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4368148D"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786C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AC14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6C9F0"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DFF0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CF59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7C56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BF44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791F74C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E93254"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C7079"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CB38F0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2B47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1360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2A8B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F968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3DF0FD2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053DB"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DD6B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41D3A"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20A9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CE335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4E95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9CE0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80701DE"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D175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436D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8F40D"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7930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05A7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C83A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30BC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64544B83"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F8D2C"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79D8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4693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53CE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DDF5D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CC1A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DCBE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7B537199" w14:textId="77777777" w:rsidTr="003D514F">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0E1BE5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Tropicală, uscată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4F58E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212A58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61A4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0B83B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7EBF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4B36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02AA2220"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39EC1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235C1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1A6FE"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02BA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857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85AC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FFA8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A9BABBC"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BD16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C7971"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BB08D"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90FC8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4585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E4CF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B522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144F3EE7"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83805"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9E0CC"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1C8CE"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A1406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FB64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FE6D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F73F9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6D30EEE5"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CDC7D"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138692"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31E5CB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8A65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3004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D662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4A3E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59583FAE"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9AB73"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30FC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022B3"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0000B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88E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FFEC2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31D4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71B4FD7"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FEA34"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188743"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9DBEB"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6CA9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800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8B334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A495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13F63D04"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2B36A"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9A7D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90E7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DCD4E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F99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0D90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21F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11EEBDD8"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F7E05"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26F2A"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CF86F0"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784F2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133D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F2F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739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1FBF1A7F"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5C85C"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43071"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3094F"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D9069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FE3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0874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3458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01EFC47D"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8346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045F1"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77EA32"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60559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1819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5C20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101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3515B0B5"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191CD"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34DA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5D00A"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9ACC1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94CB5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90CB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A838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27D443CD" w14:textId="77777777" w:rsidTr="003D514F">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C28EC9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Tropicală, umedă/ploioasă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0938B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D1B8D9"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AD13A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8D28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24AF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35E4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2E0845E3"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9D4E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A96E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C4A6D"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0130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624A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89D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FA70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3D9A1E16"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DEDC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8D799"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83C14D"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B941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C3BF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68E1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5C3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400B676E"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0F44D"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924A8"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03671"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57F1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980E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204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C635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606B7273"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8BBF9B"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24C36"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72A89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A245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1BB2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5D04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469C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580E076C"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12A096"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7692C"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7A65D2"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102E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93B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B21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5028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64D9DB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F9E0B"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ED46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6528B"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99F7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6C97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C513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3B90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650FBBFD"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A8C927"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9BC2D"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4F079"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A41E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EFCA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E91D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EC24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5F01D87C"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ABBA78"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1D541B"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30405D"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1FE3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33B7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CD46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DC95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22B4F12F"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AEAA1"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81DAC"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471AA3"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5C02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A337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57A7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C88C2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F39FCD3"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56315"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06C94A"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4D941"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F3D0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4E1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2832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EA98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172C8F77"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51C9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7BDC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494A9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FA35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A908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78D4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35E1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21477DA4" w14:textId="77777777" w:rsidTr="003D514F">
        <w:tc>
          <w:tcPr>
            <w:tcW w:w="116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388812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Tropicală, montană</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D076F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Cultivat</w:t>
            </w: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671810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6EECF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848A6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E7BB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9DF83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0,94</w:t>
            </w:r>
          </w:p>
        </w:tc>
      </w:tr>
      <w:tr w:rsidR="007449C0" w:rsidRPr="0085715D" w14:paraId="6BF2B59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ABD07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6A82C3"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73887"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043A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20F2E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36FE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968B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700A5AD"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DCA95"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C196DC"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562DE"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EBC8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439E1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5061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868F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1,41</w:t>
            </w:r>
          </w:p>
        </w:tc>
      </w:tr>
      <w:tr w:rsidR="007449C0" w:rsidRPr="0085715D" w14:paraId="1E9B3E3A"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0A9A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A24CB"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25C82"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3BC1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34C36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8637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B9B8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r>
      <w:tr w:rsidR="007449C0" w:rsidRPr="0085715D" w14:paraId="2C1A1180"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EEDFE"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D0896"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6F17C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F99A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6D21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7AE0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D0AF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0,94</w:t>
            </w:r>
          </w:p>
        </w:tc>
      </w:tr>
      <w:tr w:rsidR="007449C0" w:rsidRPr="0085715D" w14:paraId="47A5EA62"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E33B0"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1DF1F"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98F96"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659D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159C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DD3A5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43E4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75B05506"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D7B4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0E5BA8"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F1D38"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0910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7E53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294D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4551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1,41</w:t>
            </w:r>
          </w:p>
        </w:tc>
      </w:tr>
      <w:tr w:rsidR="007449C0" w:rsidRPr="0085715D" w14:paraId="24797A3C"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BABDF2"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159CA4"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73477" w14:textId="77777777" w:rsidR="007449C0" w:rsidRPr="0085715D" w:rsidRDefault="007449C0" w:rsidP="003D514F">
            <w:pPr>
              <w:ind w:firstLine="0"/>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14A0D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BD37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D4B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703A4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r>
      <w:tr w:rsidR="007449C0" w:rsidRPr="0085715D" w14:paraId="0AD4BC34"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3169A" w14:textId="77777777" w:rsidR="007449C0" w:rsidRPr="0085715D" w:rsidRDefault="007449C0" w:rsidP="003D514F">
            <w:pPr>
              <w:ind w:firstLine="0"/>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704BD" w14:textId="77777777" w:rsidR="007449C0" w:rsidRPr="0085715D" w:rsidRDefault="007449C0" w:rsidP="003D514F">
            <w:pPr>
              <w:ind w:firstLine="0"/>
              <w:rPr>
                <w:color w:val="333333"/>
                <w:sz w:val="24"/>
                <w:lang w:eastAsia="ro-RO"/>
              </w:rPr>
            </w:pPr>
          </w:p>
        </w:tc>
        <w:tc>
          <w:tcPr>
            <w:tcW w:w="95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9D84A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F5D04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4432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40D2B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1C1C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0,94</w:t>
            </w:r>
          </w:p>
        </w:tc>
      </w:tr>
      <w:tr w:rsidR="007449C0" w:rsidRPr="0085715D" w14:paraId="32F2EAF7"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4CB7E" w14:textId="77777777" w:rsidR="007449C0" w:rsidRPr="0085715D" w:rsidRDefault="007449C0" w:rsidP="003D514F">
            <w:pPr>
              <w:ind w:firstLine="0"/>
              <w:jc w:val="left"/>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3F67E1" w14:textId="77777777" w:rsidR="007449C0" w:rsidRPr="0085715D" w:rsidRDefault="007449C0" w:rsidP="003D514F">
            <w:pPr>
              <w:ind w:firstLine="0"/>
              <w:jc w:val="left"/>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10B0A" w14:textId="77777777" w:rsidR="007449C0" w:rsidRPr="0085715D" w:rsidRDefault="007449C0" w:rsidP="003D514F">
            <w:pPr>
              <w:ind w:firstLine="0"/>
              <w:jc w:val="left"/>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1527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5F5F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8A41A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046DB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0E50ACB6"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CD083" w14:textId="77777777" w:rsidR="007449C0" w:rsidRPr="0085715D" w:rsidRDefault="007449C0" w:rsidP="003D514F">
            <w:pPr>
              <w:ind w:firstLine="0"/>
              <w:jc w:val="left"/>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7EFB4" w14:textId="77777777" w:rsidR="007449C0" w:rsidRPr="0085715D" w:rsidRDefault="007449C0" w:rsidP="003D514F">
            <w:pPr>
              <w:ind w:firstLine="0"/>
              <w:jc w:val="left"/>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3BC7C" w14:textId="77777777" w:rsidR="007449C0" w:rsidRPr="0085715D" w:rsidRDefault="007449C0" w:rsidP="003D514F">
            <w:pPr>
              <w:ind w:firstLine="0"/>
              <w:jc w:val="left"/>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2B0B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179B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79EF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A9E8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1,41</w:t>
            </w:r>
          </w:p>
        </w:tc>
      </w:tr>
      <w:tr w:rsidR="007449C0" w:rsidRPr="0085715D" w14:paraId="3639AC1D" w14:textId="77777777" w:rsidTr="003D514F">
        <w:tc>
          <w:tcPr>
            <w:tcW w:w="116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E8BC6" w14:textId="77777777" w:rsidR="007449C0" w:rsidRPr="0085715D" w:rsidRDefault="007449C0" w:rsidP="003D514F">
            <w:pPr>
              <w:ind w:firstLine="0"/>
              <w:jc w:val="left"/>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44F39D" w14:textId="77777777" w:rsidR="007449C0" w:rsidRPr="0085715D" w:rsidRDefault="007449C0" w:rsidP="003D514F">
            <w:pPr>
              <w:ind w:firstLine="0"/>
              <w:jc w:val="left"/>
              <w:rPr>
                <w:color w:val="333333"/>
                <w:sz w:val="24"/>
                <w:lang w:eastAsia="ro-RO"/>
              </w:rPr>
            </w:pPr>
          </w:p>
        </w:tc>
        <w:tc>
          <w:tcPr>
            <w:tcW w:w="95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4288DA" w14:textId="77777777" w:rsidR="007449C0" w:rsidRPr="0085715D" w:rsidRDefault="007449C0" w:rsidP="003D514F">
            <w:pPr>
              <w:ind w:firstLine="0"/>
              <w:jc w:val="left"/>
              <w:rPr>
                <w:color w:val="333333"/>
                <w:sz w:val="24"/>
                <w:lang w:eastAsia="ro-RO"/>
              </w:rPr>
            </w:pPr>
          </w:p>
        </w:tc>
        <w:tc>
          <w:tcPr>
            <w:tcW w:w="111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9039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B7D0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7CF0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2E31C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r>
    </w:tbl>
    <w:p w14:paraId="5D8CAD2D" w14:textId="77777777" w:rsidR="007449C0" w:rsidRPr="0085715D" w:rsidRDefault="007449C0" w:rsidP="007449C0">
      <w:pPr>
        <w:pStyle w:val="Anexapct1"/>
        <w:spacing w:before="240"/>
        <w:rPr>
          <w:sz w:val="24"/>
        </w:rPr>
      </w:pPr>
      <w:r w:rsidRPr="0085715D">
        <w:rPr>
          <w:sz w:val="24"/>
        </w:rPr>
        <w:t>Tabelul 3 oferă îndrumări pentru selectarea valorilor adecvate din tabelele 2 și 4.</w:t>
      </w:r>
    </w:p>
    <w:p w14:paraId="78DC6C9D"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3</w:t>
      </w:r>
    </w:p>
    <w:p w14:paraId="3B3FB800"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 xml:space="preserve">Îndrumări privind administrarea și intrările în cazul terenurilor agricole </w:t>
      </w:r>
    </w:p>
    <w:p w14:paraId="1682A04F"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și al culturilor perene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34"/>
        <w:gridCol w:w="7011"/>
      </w:tblGrid>
      <w:tr w:rsidR="007449C0" w:rsidRPr="0085715D" w14:paraId="061E5D5B"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4CB50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A1F45"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Îndrumări</w:t>
            </w:r>
          </w:p>
        </w:tc>
      </w:tr>
      <w:tr w:rsidR="007449C0" w:rsidRPr="0085715D" w14:paraId="46D07219"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F023E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lastRenderedPageBreak/>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9D54F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Perturbare majoră a solului cu inversare completă și/sau operațiuni de arat frecvente (în cursul anului). În momentul plantării, o suprafață redusă (de exemplu &lt; 30 %) este acoperită de resturi.</w:t>
            </w:r>
          </w:p>
        </w:tc>
      </w:tr>
      <w:tr w:rsidR="007449C0" w:rsidRPr="0085715D" w14:paraId="5161554D"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5B60D1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21D7D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Arat primar și/sau secundar, dar cu o perturbare redusă a solului (de obicei superficială și fără o inversare completă a solului) și care, în mod obișnuit, lasă suprafața acoperită cu resturi în proporție &gt; 30 % în momentul plantării.</w:t>
            </w:r>
          </w:p>
        </w:tc>
      </w:tr>
      <w:tr w:rsidR="007449C0" w:rsidRPr="0085715D" w14:paraId="5E03EEA7"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1245D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0EEF6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Însămânțare directă fără arat primar, cu o perturbare minimă a solului în zona de însămânțare. În general se utilizează erbicide pentru a ține sub control buruienile.</w:t>
            </w:r>
          </w:p>
        </w:tc>
      </w:tr>
      <w:tr w:rsidR="007449C0" w:rsidRPr="0085715D" w14:paraId="29C61242"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E7768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B9F3A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Intrarea scăzută provenită din resturi se datorează îndepărtării acestora (prin colectare sau ardere), înțelenirii frecvente, producției de culturi care conduc la o cantitate redusă de resturi (de exemplu legume, tutun, bumbac), absenței fertilizării sau cultivării plantelor fixatoare de azot.</w:t>
            </w:r>
          </w:p>
        </w:tc>
      </w:tr>
      <w:tr w:rsidR="007449C0" w:rsidRPr="0085715D" w14:paraId="32FC1C68"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B742B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87776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Reprezentativă pentru cultivarea anuală a cerealelor, caz în care toate resturile rămân pe teren. Dacă resturile sunt îndepărtate, se adaugă materie organică suplimentară (de exemplu îngrășământ natural). De asemenea, este necesară fertilizarea minerală sau rotația cu culturi fixatoare de azot.</w:t>
            </w:r>
          </w:p>
        </w:tc>
      </w:tr>
      <w:tr w:rsidR="007449C0" w:rsidRPr="0085715D" w14:paraId="5BAB27DB"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DA9CE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1D23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o intrare de carbon semnificativ mai ridicată față de intrarea medie de carbon a sistemelor de administrare a culturilor, datorită unei practici suplimentare de adăugare regulată a îngrășământului de origine animală.</w:t>
            </w:r>
          </w:p>
        </w:tc>
      </w:tr>
      <w:tr w:rsidR="007449C0" w:rsidRPr="0085715D" w14:paraId="41E33C9D"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024D12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78A1C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intrări de resturi de la cultura precedentă semnificativ mai mari față de intrarea medie de carbon a sistemelor de administrare a culturilor, datorită unor practici suplimentare, cum ar fi producția de culturi care conduc la cantități ridicate de resturi, utilizarea de îngrășăminte ecologice, culturi de acoperire, pârloage ameliorate cu vegetație, irigații, utilizarea frecventă a ierburilor perene în rotația anuală a culturilor, dar fără aplicarea de îngrășăminte (a se vedea rândul de mai sus).</w:t>
            </w:r>
          </w:p>
        </w:tc>
      </w:tr>
    </w:tbl>
    <w:p w14:paraId="45992D66" w14:textId="77777777" w:rsidR="007449C0" w:rsidRPr="0085715D" w:rsidRDefault="007449C0" w:rsidP="007449C0">
      <w:pPr>
        <w:pStyle w:val="Anexapct1"/>
        <w:spacing w:before="240"/>
        <w:rPr>
          <w:rFonts w:eastAsia="Times New Roman"/>
          <w:sz w:val="24"/>
          <w:lang w:eastAsia="ro-RO"/>
        </w:rPr>
      </w:pPr>
      <w:r w:rsidRPr="0085715D">
        <w:rPr>
          <w:rFonts w:eastAsia="Times New Roman"/>
          <w:sz w:val="24"/>
          <w:lang w:eastAsia="ro-RO"/>
        </w:rPr>
        <w:t> Culturi perene:</w:t>
      </w:r>
    </w:p>
    <w:p w14:paraId="206F7E25"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4</w:t>
      </w:r>
    </w:p>
    <w:p w14:paraId="70470DFB"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Factorii pentru culturi perene, respectiv culturi multianuale ale căror tulpini nu se recoltează în fiecare an, precum speciile forestiere cu ciclu de producție scurt și palmierul de ulei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04"/>
        <w:gridCol w:w="1597"/>
        <w:gridCol w:w="1802"/>
        <w:gridCol w:w="1698"/>
        <w:gridCol w:w="584"/>
        <w:gridCol w:w="630"/>
        <w:gridCol w:w="630"/>
      </w:tblGrid>
      <w:tr w:rsidR="007449C0" w:rsidRPr="0085715D" w14:paraId="3D25ABFB"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F04D64"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5F53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Utilizarea terenului</w:t>
            </w:r>
          </w:p>
          <w:p w14:paraId="242DB4A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lastRenderedPageBreak/>
              <w:t>(</w:t>
            </w:r>
            <w:r w:rsidRPr="0085715D">
              <w:rPr>
                <w:b/>
                <w:bCs/>
                <w:i/>
                <w:iCs/>
                <w:color w:val="333333"/>
                <w:sz w:val="24"/>
                <w:lang w:eastAsia="ro-RO"/>
              </w:rPr>
              <w:t>F</w:t>
            </w:r>
            <w:r w:rsidRPr="0085715D">
              <w:rPr>
                <w:b/>
                <w:bCs/>
                <w:i/>
                <w:iCs/>
                <w:color w:val="333333"/>
                <w:sz w:val="24"/>
                <w:vertAlign w:val="subscript"/>
                <w:lang w:eastAsia="ro-RO"/>
              </w:rPr>
              <w:t>LU</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8F4F8"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lastRenderedPageBreak/>
              <w:t>Administrare</w:t>
            </w:r>
          </w:p>
          <w:p w14:paraId="235A705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MG</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46D74"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Intrare</w:t>
            </w:r>
          </w:p>
          <w:p w14:paraId="5C37EFA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I</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1C4D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8560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904B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I</w:t>
            </w:r>
          </w:p>
        </w:tc>
      </w:tr>
      <w:tr w:rsidR="007449C0" w:rsidRPr="0085715D" w14:paraId="67D94B4C"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43801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94FBB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78A939F"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4E0E4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7B47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3ACF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FA1A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4B4BD98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A955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F6E8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F7DDE"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FC853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905BF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4CE4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B230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5DA3EB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5C26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09F0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17157"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25C702"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07E9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5C2D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E0BDB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3F7B8CE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4BF4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B0DF6"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38A49"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BCC5FF"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4994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A451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9519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3DD55EC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8862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9F6E04"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14C8639"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5D900"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2B9D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0D84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708B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016848C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177B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9B01E"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6618A"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B8C1AD"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ADBD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FD6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C8D38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D39BB4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BBABA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B48DC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F7FB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C37A1A"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0237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E6FC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287A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03B41E0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338F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3D13DA"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F6DE9"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9843B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A5C3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034D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8294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34ED8DB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FA8F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2B439"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38BF0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0564F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ED6C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19C7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5BEF0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19B0284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61E1AC"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B4E8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1C44C"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F49DA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10E3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9B729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86C5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074641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534BC"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C4D21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C5BE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1E727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19953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D7C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2A867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59C89AA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05AF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E6756"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F0B2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A0BF13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31DC9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E77D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FBE6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0338C008"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E1268B"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B909FB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4B83F2"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11C6B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202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331B0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125E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473B03D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2B989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89E71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7284F2"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62DE80"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FEC33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50D3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2811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0E4C817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105CA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02A7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929D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36C91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D42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5F5C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33623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3F3C2B4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0ED09A"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563C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1E691"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E72CA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A802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7F1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B2538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504119F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55219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F5FBFE"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5D0EEDA"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681F2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FDBA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B8B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B7764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704C015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8F18C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7C0D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E2437"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70349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E39D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D63F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0CE6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8CC615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DB527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7C1E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67B81"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4CF3BB"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2F2E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8FEE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8B59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0383CAF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F128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5DF2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E40B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C5A81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F2F2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01A0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3168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6EA3D98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DB5EC"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92349"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9B676F"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DBE4D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6EBF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63C3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1D92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2E220ED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DB4CA"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D76A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6D091C"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032BFF"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BBB1A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B093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E64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7A95F77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10CF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C953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60FB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45AF0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9825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9ACF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DD23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5692254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49E7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071FA"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184D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724A9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3F01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3FC5B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1631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3F879E23"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AC945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AC3CA5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43715D2"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4CF06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08F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6EAD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D3BB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1B6B5A4A"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A7E5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5D3FA6"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F82B2"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25B3C5"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E3C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149DC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F483A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7C433F7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737A5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290A9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7F20F"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5E1F6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6EF0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DE0F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C981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5BDE0D4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75A9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AB43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04A4A"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9EEE72"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E650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E6A0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ECC3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3F5EC7B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F99A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6A577"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267B3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5163D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002C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2848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651D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5C12684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FFE0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086B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CFB3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CDE339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6CF93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0E3D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52299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AF45E3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38927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57AB0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A3165"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55CC7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1530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2B526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4A3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4547EA7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E792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9E671"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DA55C4"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191C7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64E58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65B0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E5C4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3071C92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B8231"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E8843"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97E52E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4006BF"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F8D2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6DAC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2B97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r>
      <w:tr w:rsidR="007449C0" w:rsidRPr="0085715D" w14:paraId="3A5C8C3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F66A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516A4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66472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C4B9E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D7E4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8176A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0D15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CAC8DA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BF300"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5F26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079F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E39C79"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69A1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2067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E360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1,37</w:t>
            </w:r>
          </w:p>
        </w:tc>
      </w:tr>
      <w:tr w:rsidR="007449C0" w:rsidRPr="0085715D" w14:paraId="3993B2A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22B7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A1CC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E6F4E"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00F6F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0EAC9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0987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5E52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1,04</w:t>
            </w:r>
          </w:p>
        </w:tc>
      </w:tr>
      <w:tr w:rsidR="007449C0" w:rsidRPr="0085715D" w14:paraId="12928693"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3962B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E8D139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534A31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61045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061C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4305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E543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3A01481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163C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DDA3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8E1F9"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91C23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4404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383A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F0BB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768A2D6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787A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5CD23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93DB4"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C1054B"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5057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F33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B6092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1BAACE1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CBB8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24411"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A11D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BB8B39"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D8D80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3977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5DEA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4D6F360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1D92C"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52E05"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2236923"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851CB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C3AE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C8B4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7268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1B9D927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77C08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18756"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199A1"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7F6F7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4B22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34E4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2F821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2EE54D8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08428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D45C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BC6FA"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2D482D"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6BAA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A30C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A46A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399A002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DC4495"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FCA5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34182"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34C51D"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A957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3FA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A444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550288F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5BAE0"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F1F3B"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BDFDF0"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C3C26B"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661C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2FAF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3D65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0,92</w:t>
            </w:r>
          </w:p>
        </w:tc>
      </w:tr>
      <w:tr w:rsidR="007449C0" w:rsidRPr="0085715D" w14:paraId="6CE2F53A"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C6E60"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333722"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D7008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3BE11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7AD2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F9F9E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3B7E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0B56EF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6A9E1"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007AA"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2BFF3"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8ABA2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14262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9C5D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8CBF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12672B4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DCD79"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05E1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D68EF8"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37882C"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FF62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42D48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F951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439DA977"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F35AB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Tropicală, montană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EC1339"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Culturi perene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FAA250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completă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5B8E0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39DF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10D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53C44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0,94</w:t>
            </w:r>
          </w:p>
        </w:tc>
      </w:tr>
      <w:tr w:rsidR="007449C0" w:rsidRPr="0085715D" w14:paraId="0874F3C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B139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C88F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01DA9"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4ECEBD"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DE35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E6EFF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0F0D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DB0431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7DFB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D8C6C"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1067E"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F2E1F9"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D3CAE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BB14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D7F0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1,41</w:t>
            </w:r>
          </w:p>
        </w:tc>
      </w:tr>
      <w:tr w:rsidR="007449C0" w:rsidRPr="0085715D" w14:paraId="42B2E89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B48F0"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9E8D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666F26"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C2E5F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DE4F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4B6B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230B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r>
      <w:tr w:rsidR="007449C0" w:rsidRPr="0085715D" w14:paraId="7EEEAD2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0DC96"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B657F"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218E6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Arătură parțială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60FA61"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249D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874E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C914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0,94</w:t>
            </w:r>
          </w:p>
        </w:tc>
      </w:tr>
      <w:tr w:rsidR="007449C0" w:rsidRPr="0085715D" w14:paraId="25F91F4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5B951"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530D8D"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3BABBE"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3889D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0CD3A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0595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10A78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0D4CC64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2744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4E266"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E4BE1"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01D4FF"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527C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E4FCA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C6A7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1,41</w:t>
            </w:r>
          </w:p>
        </w:tc>
      </w:tr>
      <w:tr w:rsidR="007449C0" w:rsidRPr="0085715D" w14:paraId="0EDC770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02980"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4EFCF"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10D002"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08C794"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DD2CF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3D6E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83D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r>
      <w:tr w:rsidR="007449C0" w:rsidRPr="0085715D" w14:paraId="2517D43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01247"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9FE7D" w14:textId="77777777" w:rsidR="007449C0" w:rsidRPr="0085715D" w:rsidRDefault="007449C0" w:rsidP="003D514F">
            <w:pPr>
              <w:ind w:firstLine="0"/>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84F34E"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Fără lucrări de arătură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76AE6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Scăzută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DB90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014F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01B6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0,94</w:t>
            </w:r>
          </w:p>
        </w:tc>
      </w:tr>
      <w:tr w:rsidR="007449C0" w:rsidRPr="0085715D" w14:paraId="00FEFE6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5631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26BDFA"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52CCC7"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86C788"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19E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B46B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55BC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3F137F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324E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5B0663"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0D4D0"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C10907"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cu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8426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EE84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2519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1,41</w:t>
            </w:r>
          </w:p>
        </w:tc>
      </w:tr>
      <w:tr w:rsidR="007449C0" w:rsidRPr="0085715D" w14:paraId="13920CD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BFED4"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BE288" w14:textId="77777777" w:rsidR="007449C0" w:rsidRPr="0085715D" w:rsidRDefault="007449C0" w:rsidP="003D514F">
            <w:pPr>
              <w:ind w:firstLine="0"/>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E5B3E" w14:textId="77777777" w:rsidR="007449C0" w:rsidRPr="0085715D" w:rsidRDefault="007449C0" w:rsidP="003D514F">
            <w:pPr>
              <w:ind w:firstLine="0"/>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F5F1936" w14:textId="77777777" w:rsidR="007449C0" w:rsidRPr="0085715D" w:rsidRDefault="007449C0" w:rsidP="003D514F">
            <w:pPr>
              <w:spacing w:before="60" w:after="60" w:line="312" w:lineRule="atLeast"/>
              <w:ind w:firstLine="0"/>
              <w:rPr>
                <w:color w:val="333333"/>
                <w:sz w:val="24"/>
                <w:lang w:eastAsia="ro-RO"/>
              </w:rPr>
            </w:pPr>
            <w:r w:rsidRPr="0085715D">
              <w:rPr>
                <w:color w:val="333333"/>
                <w:sz w:val="24"/>
                <w:lang w:eastAsia="ro-RO"/>
              </w:rPr>
              <w:t>Ridicată, fără îngrășământ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57159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E42E0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C78DA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1,08</w:t>
            </w:r>
          </w:p>
        </w:tc>
      </w:tr>
    </w:tbl>
    <w:p w14:paraId="650397C1" w14:textId="77777777" w:rsidR="007449C0" w:rsidRPr="0085715D" w:rsidRDefault="007449C0" w:rsidP="007449C0">
      <w:pPr>
        <w:pStyle w:val="Anexapct1"/>
        <w:spacing w:before="240"/>
        <w:rPr>
          <w:sz w:val="24"/>
        </w:rPr>
      </w:pPr>
      <w:r w:rsidRPr="0085715D">
        <w:rPr>
          <w:sz w:val="24"/>
        </w:rPr>
        <w:t>Tabelul 3 oferă îndrumări pentru selectarea valorilor adecvate din tabelul 4.</w:t>
      </w:r>
    </w:p>
    <w:p w14:paraId="55E1A66C" w14:textId="77777777" w:rsidR="007449C0" w:rsidRPr="0085715D" w:rsidRDefault="007449C0" w:rsidP="007449C0">
      <w:pPr>
        <w:pStyle w:val="Anexapct1"/>
        <w:rPr>
          <w:sz w:val="24"/>
        </w:rPr>
      </w:pPr>
      <w:r w:rsidRPr="0085715D">
        <w:rPr>
          <w:sz w:val="24"/>
        </w:rPr>
        <w:t>Pășuni:</w:t>
      </w:r>
    </w:p>
    <w:p w14:paraId="4CBA58DF"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5</w:t>
      </w:r>
    </w:p>
    <w:p w14:paraId="23F04279"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Factorii pentru pășuni, inclusiv savane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18"/>
        <w:gridCol w:w="1796"/>
        <w:gridCol w:w="2030"/>
        <w:gridCol w:w="957"/>
        <w:gridCol w:w="584"/>
        <w:gridCol w:w="630"/>
        <w:gridCol w:w="630"/>
      </w:tblGrid>
      <w:tr w:rsidR="007449C0" w:rsidRPr="0085715D" w14:paraId="626A9F86"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2DF2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84BD6"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Utilizarea terenului</w:t>
            </w:r>
          </w:p>
          <w:p w14:paraId="10723B12"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LU</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0CB5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Administrare</w:t>
            </w:r>
          </w:p>
          <w:p w14:paraId="7B95FCC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MG</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10651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Intrare</w:t>
            </w:r>
          </w:p>
          <w:p w14:paraId="44041A85"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w:t>
            </w:r>
            <w:r w:rsidRPr="0085715D">
              <w:rPr>
                <w:b/>
                <w:bCs/>
                <w:i/>
                <w:iCs/>
                <w:color w:val="333333"/>
                <w:sz w:val="24"/>
                <w:lang w:eastAsia="ro-RO"/>
              </w:rPr>
              <w:t>F</w:t>
            </w:r>
            <w:r w:rsidRPr="0085715D">
              <w:rPr>
                <w:b/>
                <w:bCs/>
                <w:i/>
                <w:iCs/>
                <w:color w:val="333333"/>
                <w:sz w:val="24"/>
                <w:vertAlign w:val="subscript"/>
                <w:lang w:eastAsia="ro-RO"/>
              </w:rPr>
              <w:t>I</w:t>
            </w:r>
            <w:r w:rsidRPr="0085715D">
              <w:rPr>
                <w:b/>
                <w:bCs/>
                <w:i/>
                <w:iCs/>
                <w:color w:val="333333"/>
                <w:sz w:val="24"/>
                <w:lang w:eastAsia="ro-RO"/>
              </w:rPr>
              <w:t> </w:t>
            </w:r>
            <w:r w:rsidRPr="0085715D">
              <w:rPr>
                <w:b/>
                <w:bCs/>
                <w:color w:val="333333"/>
                <w:sz w:val="24"/>
                <w:lang w:eastAsia="ro-RO"/>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7A4C5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062C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A41C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F</w:t>
            </w:r>
            <w:r w:rsidRPr="0085715D">
              <w:rPr>
                <w:b/>
                <w:bCs/>
                <w:i/>
                <w:iCs/>
                <w:color w:val="333333"/>
                <w:sz w:val="24"/>
                <w:vertAlign w:val="subscript"/>
                <w:lang w:eastAsia="ro-RO"/>
              </w:rPr>
              <w:t>I</w:t>
            </w:r>
          </w:p>
        </w:tc>
      </w:tr>
      <w:tr w:rsidR="007449C0" w:rsidRPr="0085715D" w14:paraId="4C7426F2"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76B9E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lastRenderedPageBreak/>
              <w:t>Temperată/Boreală,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C6FE8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1E730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C30B1F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8D87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5A88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FCFC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759578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6E2B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34C6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817A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7FB5D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FA29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E53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30B6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1FF9277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0435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4444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DB882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02CA1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0E7A6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A249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DB2A7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29B741F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6BF35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26AA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A1742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F2224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A18C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4232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34E80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348746B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A9B9C"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0ABA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26FD5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D2B9D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F696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AA2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55CC3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5D336F3"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B1EA2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Temperată/Boreală,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87088B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0390D2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BA47A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B3A7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DDCF3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2C2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6377D8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FC26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2814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644A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25906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21E1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9C55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5075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40A9D78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D6A31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B9268"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6C6C9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8E70F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F74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E506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0304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325B72F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F5DD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FF998"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96F2B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E94C2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BB54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5824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323A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3D0B830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55671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0812B"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D48483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07D1B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4D1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ECB9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6594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B89E1EB"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DAFABD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61402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E8318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BFE0F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5C83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F663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1EDB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9DF809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ACDD0C"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8E5AF"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0399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2F7AC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86F5D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92447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9AA1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76CD972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5C05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C13B2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07F83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C9A7F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3DE76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436F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E3B1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24AAA4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C9D0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17BCB"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4721E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ED01E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F94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0BD3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7516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4C1213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2E86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B120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00A45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AD5DB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22E7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C9EE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82B4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1C1B37FA"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239CA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umedă/ploioasă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13CDD6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Savană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06772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152E7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4604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0E3D7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9B9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08C50A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F38C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204A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297D1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B1CAC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E11A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B9400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A94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7C4F23D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EBCA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8566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37209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EAC8D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743C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04D9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E408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0A86A7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1E8E9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50825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A4C40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02415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2D6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2D195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32BDC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4F4309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84C6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75BE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3DF3B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BB161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4C023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FDF43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E9B9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64A945C9"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6F831C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montană,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9A3F8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Pășuni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83627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65ACA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9D3D5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46EEB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40166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44A6942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7295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9584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C70A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EBE20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4C364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B6A6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CFF9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1,11</w:t>
            </w:r>
          </w:p>
        </w:tc>
      </w:tr>
      <w:tr w:rsidR="007449C0" w:rsidRPr="0085715D" w14:paraId="1A2ACFB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E9ADF"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83CC6"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A030A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773D6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B5DE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D42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97A6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5A87DCC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0503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21D8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F4A6D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B0EF7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FFAD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76D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29BE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r w:rsidR="007449C0" w:rsidRPr="0085715D" w14:paraId="4F01E17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EE43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5E4DB"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5954F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1E46E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3C3D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D15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B301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r>
    </w:tbl>
    <w:p w14:paraId="163361A8" w14:textId="77777777" w:rsidR="007449C0" w:rsidRPr="0085715D" w:rsidRDefault="007449C0" w:rsidP="007449C0">
      <w:pPr>
        <w:pStyle w:val="Anexapct1"/>
        <w:spacing w:before="240"/>
        <w:rPr>
          <w:sz w:val="24"/>
        </w:rPr>
      </w:pPr>
      <w:r w:rsidRPr="0085715D">
        <w:rPr>
          <w:sz w:val="24"/>
        </w:rPr>
        <w:t>Tabelul 6 oferă îndrumări pentru selectarea valorilor adecvate din tabelul 5.</w:t>
      </w:r>
    </w:p>
    <w:p w14:paraId="4C363230" w14:textId="77777777" w:rsidR="007449C0" w:rsidRPr="0085715D" w:rsidRDefault="007449C0" w:rsidP="007449C0">
      <w:pPr>
        <w:pStyle w:val="Sectiune"/>
        <w:rPr>
          <w:sz w:val="24"/>
        </w:rPr>
      </w:pPr>
      <w:r w:rsidRPr="0085715D">
        <w:rPr>
          <w:sz w:val="24"/>
        </w:rPr>
        <w:lastRenderedPageBreak/>
        <w:t>Tabelul 6</w:t>
      </w:r>
    </w:p>
    <w:p w14:paraId="56303234" w14:textId="77777777" w:rsidR="007449C0" w:rsidRPr="0085715D" w:rsidRDefault="007449C0" w:rsidP="007449C0">
      <w:pPr>
        <w:pStyle w:val="Sectiune"/>
        <w:rPr>
          <w:sz w:val="24"/>
        </w:rPr>
      </w:pPr>
      <w:r w:rsidRPr="0085715D">
        <w:rPr>
          <w:sz w:val="24"/>
        </w:rPr>
        <w:t>Îndrumări privind administrarea și intrările în cazul pășunilor</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10"/>
        <w:gridCol w:w="7035"/>
      </w:tblGrid>
      <w:tr w:rsidR="007449C0" w:rsidRPr="0085715D" w14:paraId="6509E5AC"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02DBC5"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Administrare/Intrare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5D71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Îndrumări</w:t>
            </w:r>
          </w:p>
        </w:tc>
      </w:tr>
      <w:tr w:rsidR="007449C0" w:rsidRPr="0085715D" w14:paraId="4D6225D9"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BCE08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Ameliorată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FEB49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o pășune care este administrată în mod durabil, cu o presiune pastorală moderată, și care admite cel puțin o lucrare de ameliorare (de exemplu fertilizare, ameliorarea speciilor, irigație).</w:t>
            </w:r>
          </w:p>
        </w:tc>
      </w:tr>
      <w:tr w:rsidR="007449C0" w:rsidRPr="0085715D" w14:paraId="3363C0DA"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952C36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 administrare minimă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1E605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o pășune nedegradată și administrată în mod durabil, dar fără ameliorări semnificative de administrare.</w:t>
            </w:r>
          </w:p>
        </w:tc>
      </w:tr>
      <w:tr w:rsidR="007449C0" w:rsidRPr="0085715D" w14:paraId="00EDAA96"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4EA48B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Moderat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F4159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o pășune afectată de pășunatul excesiv sau moderat degradată, cu o productivitate întrucâtva redusă (comparativ cu pășunile naturale sau cu cele cu administrare minimă) și care nu primește intrări administrative.</w:t>
            </w:r>
          </w:p>
        </w:tc>
      </w:tr>
      <w:tr w:rsidR="007449C0" w:rsidRPr="0085715D" w14:paraId="322E2800"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B5F6D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Grav 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CC42D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Implică o scădere majoră a productivității și a acoperirii vegetale pe termen lung, din cauza unei degradări mecanice grave a vegetației și/sau a eroziunii severe a solului.</w:t>
            </w:r>
          </w:p>
        </w:tc>
      </w:tr>
      <w:tr w:rsidR="007449C0" w:rsidRPr="0085715D" w14:paraId="09F13805"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FC14A5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Medie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4CAF6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Se aplică atunci când nu au fost utilizate alte intrări administrative.</w:t>
            </w:r>
          </w:p>
        </w:tc>
      </w:tr>
      <w:tr w:rsidR="007449C0" w:rsidRPr="0085715D" w14:paraId="60F15C6C"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FEBD2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Ridicată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AA865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Se aplică pășunii ameliorate pentru care s-au utilizat una sau mai multe intrări/ameliorări administrative suplimentare (ceea ce depășește acest nivel trebuie clasificat drept pășune ameliorată).</w:t>
            </w:r>
          </w:p>
        </w:tc>
      </w:tr>
    </w:tbl>
    <w:p w14:paraId="267395BE" w14:textId="77777777" w:rsidR="007449C0" w:rsidRPr="0085715D" w:rsidRDefault="007449C0" w:rsidP="007449C0">
      <w:pPr>
        <w:pStyle w:val="Anexapct1"/>
        <w:spacing w:before="240"/>
        <w:rPr>
          <w:sz w:val="24"/>
        </w:rPr>
      </w:pPr>
      <w:r w:rsidRPr="0085715D">
        <w:rPr>
          <w:sz w:val="24"/>
        </w:rPr>
        <w:t>Suprafețe împădurite:</w:t>
      </w:r>
    </w:p>
    <w:p w14:paraId="3B447330" w14:textId="77777777" w:rsidR="007449C0" w:rsidRPr="0085715D" w:rsidRDefault="007449C0" w:rsidP="007449C0">
      <w:pPr>
        <w:pStyle w:val="Sectiune"/>
        <w:rPr>
          <w:sz w:val="24"/>
        </w:rPr>
      </w:pPr>
      <w:r w:rsidRPr="0085715D">
        <w:rPr>
          <w:rStyle w:val="oj-italic"/>
          <w:sz w:val="24"/>
        </w:rPr>
        <w:t>Tabelul 7</w:t>
      </w:r>
    </w:p>
    <w:p w14:paraId="4C03D81F" w14:textId="77777777" w:rsidR="007449C0" w:rsidRPr="0085715D" w:rsidRDefault="007449C0" w:rsidP="007449C0">
      <w:pPr>
        <w:pStyle w:val="Sectiune"/>
        <w:rPr>
          <w:sz w:val="24"/>
        </w:rPr>
      </w:pPr>
      <w:r w:rsidRPr="0085715D">
        <w:rPr>
          <w:rStyle w:val="oj-bold"/>
          <w:sz w:val="24"/>
        </w:rPr>
        <w:t>Factorii pentru suprafețele împădurite al căror coronament este de cel puțin 10 %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76"/>
        <w:gridCol w:w="2624"/>
        <w:gridCol w:w="1597"/>
        <w:gridCol w:w="957"/>
        <w:gridCol w:w="630"/>
        <w:gridCol w:w="628"/>
        <w:gridCol w:w="433"/>
      </w:tblGrid>
      <w:tr w:rsidR="007449C0" w:rsidRPr="0085715D" w14:paraId="4D741383"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6F561"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05518"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Utilizarea terenului</w:t>
            </w:r>
          </w:p>
          <w:p w14:paraId="744D3ECD"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w:t>
            </w:r>
            <w:r w:rsidRPr="0085715D">
              <w:rPr>
                <w:rStyle w:val="oj-italic"/>
                <w:b/>
                <w:bCs/>
                <w:i/>
                <w:iCs/>
                <w:color w:val="333333"/>
              </w:rPr>
              <w:t>F</w:t>
            </w:r>
            <w:r w:rsidRPr="0085715D">
              <w:rPr>
                <w:rStyle w:val="oj-sub"/>
                <w:b/>
                <w:bCs/>
                <w:i/>
                <w:iCs/>
                <w:color w:val="333333"/>
                <w:vertAlign w:val="subscript"/>
              </w:rPr>
              <w:t>LU</w:t>
            </w:r>
            <w:r w:rsidRPr="0085715D">
              <w:rPr>
                <w:rStyle w:val="oj-italic"/>
                <w:b/>
                <w:bCs/>
                <w:i/>
                <w:iCs/>
                <w:color w:val="333333"/>
              </w:rPr>
              <w:t> </w:t>
            </w:r>
            <w:r w:rsidRPr="0085715D">
              <w:rPr>
                <w:b/>
                <w:bCs/>
                <w:color w:val="333333"/>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F2A72"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Administrare</w:t>
            </w:r>
          </w:p>
          <w:p w14:paraId="0DBC2784"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w:t>
            </w:r>
            <w:r w:rsidRPr="0085715D">
              <w:rPr>
                <w:rStyle w:val="oj-italic"/>
                <w:b/>
                <w:bCs/>
                <w:i/>
                <w:iCs/>
                <w:color w:val="333333"/>
              </w:rPr>
              <w:t>F</w:t>
            </w:r>
            <w:r w:rsidRPr="0085715D">
              <w:rPr>
                <w:rStyle w:val="oj-sub"/>
                <w:b/>
                <w:bCs/>
                <w:i/>
                <w:iCs/>
                <w:color w:val="333333"/>
                <w:vertAlign w:val="subscript"/>
              </w:rPr>
              <w:t>MG</w:t>
            </w:r>
            <w:r w:rsidRPr="0085715D">
              <w:rPr>
                <w:rStyle w:val="oj-italic"/>
                <w:b/>
                <w:bCs/>
                <w:i/>
                <w:iCs/>
                <w:color w:val="333333"/>
              </w:rPr>
              <w:t> </w:t>
            </w:r>
            <w:r w:rsidRPr="0085715D">
              <w:rPr>
                <w:b/>
                <w:bCs/>
                <w:color w:val="333333"/>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44AD1A"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Intrare</w:t>
            </w:r>
          </w:p>
          <w:p w14:paraId="13B17020"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b/>
                <w:bCs/>
                <w:color w:val="333333"/>
              </w:rPr>
              <w:t>(</w:t>
            </w:r>
            <w:r w:rsidRPr="0085715D">
              <w:rPr>
                <w:rStyle w:val="oj-italic"/>
                <w:b/>
                <w:bCs/>
                <w:i/>
                <w:iCs/>
                <w:color w:val="333333"/>
              </w:rPr>
              <w:t>F</w:t>
            </w:r>
            <w:r w:rsidRPr="0085715D">
              <w:rPr>
                <w:rStyle w:val="oj-sub"/>
                <w:b/>
                <w:bCs/>
                <w:i/>
                <w:iCs/>
                <w:color w:val="333333"/>
                <w:vertAlign w:val="subscript"/>
              </w:rPr>
              <w:t>I</w:t>
            </w:r>
            <w:r w:rsidRPr="0085715D">
              <w:rPr>
                <w:rStyle w:val="oj-italic"/>
                <w:b/>
                <w:bCs/>
                <w:i/>
                <w:iCs/>
                <w:color w:val="333333"/>
              </w:rPr>
              <w:t> </w:t>
            </w:r>
            <w:r w:rsidRPr="0085715D">
              <w:rPr>
                <w:b/>
                <w:bCs/>
                <w:color w:val="333333"/>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73F83"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rStyle w:val="oj-italic"/>
                <w:b/>
                <w:bCs/>
                <w:i/>
                <w:iCs/>
                <w:color w:val="333333"/>
              </w:rPr>
              <w:t>F</w:t>
            </w:r>
            <w:r w:rsidRPr="0085715D">
              <w:rPr>
                <w:rStyle w:val="oj-sub"/>
                <w:b/>
                <w:bCs/>
                <w:i/>
                <w:iCs/>
                <w:color w:val="333333"/>
                <w:vertAlign w:val="subscript"/>
              </w:rPr>
              <w:t>LU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BC4DCC"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rStyle w:val="oj-italic"/>
                <w:b/>
                <w:bCs/>
                <w:i/>
                <w:iCs/>
                <w:color w:val="333333"/>
              </w:rPr>
              <w:t>F</w:t>
            </w:r>
            <w:r w:rsidRPr="0085715D">
              <w:rPr>
                <w:rStyle w:val="oj-sub"/>
                <w:b/>
                <w:bCs/>
                <w:i/>
                <w:iCs/>
                <w:color w:val="333333"/>
                <w:vertAlign w:val="subscript"/>
              </w:rPr>
              <w:t>MG</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15059" w14:textId="77777777" w:rsidR="007449C0" w:rsidRPr="0085715D" w:rsidRDefault="007449C0" w:rsidP="003D514F">
            <w:pPr>
              <w:pStyle w:val="oj-tbl-hdr"/>
              <w:spacing w:before="60" w:beforeAutospacing="0" w:after="60" w:afterAutospacing="0" w:line="312" w:lineRule="atLeast"/>
              <w:ind w:right="195"/>
              <w:jc w:val="center"/>
              <w:rPr>
                <w:b/>
                <w:bCs/>
                <w:color w:val="333333"/>
              </w:rPr>
            </w:pPr>
            <w:r w:rsidRPr="0085715D">
              <w:rPr>
                <w:rStyle w:val="oj-italic"/>
                <w:b/>
                <w:bCs/>
                <w:i/>
                <w:iCs/>
                <w:color w:val="333333"/>
              </w:rPr>
              <w:t>F</w:t>
            </w:r>
            <w:r w:rsidRPr="0085715D">
              <w:rPr>
                <w:rStyle w:val="oj-sub"/>
                <w:b/>
                <w:bCs/>
                <w:i/>
                <w:iCs/>
                <w:color w:val="333333"/>
                <w:vertAlign w:val="subscript"/>
              </w:rPr>
              <w:t>I</w:t>
            </w:r>
          </w:p>
        </w:tc>
      </w:tr>
      <w:tr w:rsidR="007449C0" w:rsidRPr="0085715D" w14:paraId="320F8A4B"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1D76BC"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60F272"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Pădure autohtonă (nedegradată)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41EBD5" w14:textId="77777777" w:rsidR="007449C0" w:rsidRPr="0085715D" w:rsidRDefault="007449C0" w:rsidP="003D514F">
            <w:pPr>
              <w:pStyle w:val="oj-tbl-txt"/>
              <w:spacing w:before="60" w:beforeAutospacing="0" w:after="60" w:afterAutospacing="0" w:line="312" w:lineRule="atLeast"/>
              <w:rPr>
                <w:color w:val="333333"/>
                <w:vertAlign w:val="superscript"/>
              </w:rPr>
            </w:pPr>
            <w:r w:rsidRPr="0085715D">
              <w:rPr>
                <w:color w:val="333333"/>
              </w:rPr>
              <w:t>n/a</w:t>
            </w:r>
            <w:r w:rsidRPr="0085715D">
              <w:rPr>
                <w:color w:val="333333"/>
                <w:vertAlign w:val="superscript"/>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01444A"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592BD"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B3DEB" w14:textId="77777777" w:rsidR="007449C0" w:rsidRPr="0085715D" w:rsidRDefault="007449C0" w:rsidP="003D514F">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833185" w14:textId="77777777" w:rsidR="007449C0" w:rsidRPr="0085715D" w:rsidRDefault="007449C0" w:rsidP="003D514F">
            <w:pPr>
              <w:pStyle w:val="oj-normal"/>
              <w:spacing w:before="120" w:beforeAutospacing="0" w:after="0" w:afterAutospacing="0" w:line="312" w:lineRule="atLeast"/>
              <w:jc w:val="center"/>
              <w:rPr>
                <w:color w:val="333333"/>
              </w:rPr>
            </w:pPr>
          </w:p>
        </w:tc>
      </w:tr>
      <w:tr w:rsidR="007449C0" w:rsidRPr="0085715D" w14:paraId="6ADA3430"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3923F5"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253722"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Pădure administrată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C0F7FA"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F62FD9"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685C1"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60292"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D837E"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1</w:t>
            </w:r>
          </w:p>
        </w:tc>
      </w:tr>
      <w:tr w:rsidR="007449C0" w:rsidRPr="0085715D" w14:paraId="6F4DBF3E"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0111736"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Tropicală,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B46389"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5B4E58"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AD95C11"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DA056"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ECEADE" w14:textId="77777777" w:rsidR="007449C0" w:rsidRPr="0085715D" w:rsidRDefault="007449C0" w:rsidP="003D514F">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B2881" w14:textId="77777777" w:rsidR="007449C0" w:rsidRPr="0085715D" w:rsidRDefault="007449C0" w:rsidP="003D514F">
            <w:pPr>
              <w:pStyle w:val="oj-normal"/>
              <w:spacing w:before="120" w:beforeAutospacing="0" w:after="0" w:afterAutospacing="0" w:line="312" w:lineRule="atLeast"/>
              <w:jc w:val="center"/>
              <w:rPr>
                <w:color w:val="333333"/>
              </w:rPr>
            </w:pPr>
          </w:p>
        </w:tc>
      </w:tr>
      <w:tr w:rsidR="007449C0" w:rsidRPr="0085715D" w14:paraId="2A04E09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AE9A53" w14:textId="77777777" w:rsidR="007449C0" w:rsidRPr="0085715D" w:rsidRDefault="007449C0" w:rsidP="003D514F">
            <w:pPr>
              <w:rPr>
                <w:color w:val="333333"/>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630BBE"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C6243B"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68CBB7"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5C14FB"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DB16E" w14:textId="77777777" w:rsidR="007449C0" w:rsidRPr="0085715D" w:rsidRDefault="007449C0" w:rsidP="003D514F">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ACB769" w14:textId="77777777" w:rsidR="007449C0" w:rsidRPr="0085715D" w:rsidRDefault="007449C0" w:rsidP="003D514F">
            <w:pPr>
              <w:pStyle w:val="oj-normal"/>
              <w:spacing w:before="120" w:beforeAutospacing="0" w:after="0" w:afterAutospacing="0" w:line="312" w:lineRule="atLeast"/>
              <w:jc w:val="center"/>
              <w:rPr>
                <w:color w:val="333333"/>
              </w:rPr>
            </w:pPr>
          </w:p>
        </w:tc>
      </w:tr>
      <w:tr w:rsidR="007449C0" w:rsidRPr="0085715D" w14:paraId="12BF31AA"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82878C4"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Temperată/Boreală, umedă/uscată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ADB95D"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Culturi itinerante – pârloagă scurtată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AD0D8A"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ED180F"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0E8BD"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AD8D13" w14:textId="77777777" w:rsidR="007449C0" w:rsidRPr="0085715D" w:rsidRDefault="007449C0" w:rsidP="003D514F">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09F9C1" w14:textId="77777777" w:rsidR="007449C0" w:rsidRPr="0085715D" w:rsidRDefault="007449C0" w:rsidP="003D514F">
            <w:pPr>
              <w:pStyle w:val="oj-normal"/>
              <w:spacing w:before="120" w:beforeAutospacing="0" w:after="0" w:afterAutospacing="0" w:line="312" w:lineRule="atLeast"/>
              <w:jc w:val="center"/>
              <w:rPr>
                <w:color w:val="333333"/>
              </w:rPr>
            </w:pPr>
          </w:p>
        </w:tc>
      </w:tr>
      <w:tr w:rsidR="007449C0" w:rsidRPr="0085715D" w14:paraId="4FE168F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10459" w14:textId="77777777" w:rsidR="007449C0" w:rsidRPr="0085715D" w:rsidRDefault="007449C0" w:rsidP="003D514F">
            <w:pPr>
              <w:rPr>
                <w:color w:val="333333"/>
                <w:sz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70B003"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Culturi itinerante – pârloagă la maturitate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1D293A"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C34A25" w14:textId="77777777" w:rsidR="007449C0" w:rsidRPr="0085715D" w:rsidRDefault="007449C0" w:rsidP="003D514F">
            <w:pPr>
              <w:pStyle w:val="oj-tbl-txt"/>
              <w:spacing w:before="60" w:beforeAutospacing="0" w:after="60" w:afterAutospacing="0" w:line="312" w:lineRule="atLeast"/>
              <w:rPr>
                <w:color w:val="333333"/>
              </w:rPr>
            </w:pPr>
            <w:r w:rsidRPr="0085715D">
              <w:rPr>
                <w:color w:val="333333"/>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05080" w14:textId="77777777" w:rsidR="007449C0" w:rsidRPr="0085715D" w:rsidRDefault="007449C0" w:rsidP="003D514F">
            <w:pPr>
              <w:pStyle w:val="oj-tbl-num"/>
              <w:spacing w:before="60" w:beforeAutospacing="0" w:after="60" w:afterAutospacing="0" w:line="312" w:lineRule="atLeast"/>
              <w:ind w:right="195"/>
              <w:jc w:val="center"/>
              <w:rPr>
                <w:color w:val="333333"/>
              </w:rPr>
            </w:pPr>
            <w:r w:rsidRPr="0085715D">
              <w:rPr>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CF6EC" w14:textId="77777777" w:rsidR="007449C0" w:rsidRPr="0085715D" w:rsidRDefault="007449C0" w:rsidP="003D514F">
            <w:pPr>
              <w:pStyle w:val="oj-normal"/>
              <w:spacing w:before="120" w:beforeAutospacing="0" w:after="0" w:afterAutospacing="0" w:line="312" w:lineRule="atLeast"/>
              <w:jc w:val="center"/>
              <w:rPr>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98CF6" w14:textId="77777777" w:rsidR="007449C0" w:rsidRPr="0085715D" w:rsidRDefault="007449C0" w:rsidP="003D514F">
            <w:pPr>
              <w:pStyle w:val="oj-normal"/>
              <w:spacing w:before="120" w:beforeAutospacing="0" w:after="0" w:afterAutospacing="0" w:line="312" w:lineRule="atLeast"/>
              <w:jc w:val="center"/>
              <w:rPr>
                <w:color w:val="333333"/>
              </w:rPr>
            </w:pPr>
          </w:p>
        </w:tc>
      </w:tr>
    </w:tbl>
    <w:p w14:paraId="1583F2DE" w14:textId="77777777" w:rsidR="007449C0" w:rsidRPr="0085715D" w:rsidRDefault="007449C0" w:rsidP="007449C0">
      <w:pPr>
        <w:pStyle w:val="Anexapct1"/>
        <w:numPr>
          <w:ilvl w:val="0"/>
          <w:numId w:val="0"/>
        </w:numPr>
        <w:rPr>
          <w:sz w:val="24"/>
        </w:rPr>
      </w:pPr>
      <w:r w:rsidRPr="0085715D">
        <w:rPr>
          <w:sz w:val="24"/>
          <w:vertAlign w:val="superscript"/>
        </w:rPr>
        <w:lastRenderedPageBreak/>
        <w:t>(1)</w:t>
      </w:r>
      <w:r w:rsidRPr="0085715D">
        <w:rPr>
          <w:sz w:val="24"/>
        </w:rPr>
        <w:t> </w:t>
      </w:r>
      <w:r w:rsidRPr="0085715D">
        <w:rPr>
          <w:i/>
          <w:iCs/>
          <w:sz w:val="24"/>
        </w:rPr>
        <w:t>n/a = nu se aplică; în aceste cazuri, F</w:t>
      </w:r>
      <w:r w:rsidRPr="0085715D">
        <w:rPr>
          <w:i/>
          <w:iCs/>
          <w:sz w:val="24"/>
          <w:vertAlign w:val="subscript"/>
        </w:rPr>
        <w:t>MG</w:t>
      </w:r>
      <w:r w:rsidRPr="0085715D">
        <w:rPr>
          <w:i/>
          <w:iCs/>
          <w:sz w:val="24"/>
        </w:rPr>
        <w:t> și F</w:t>
      </w:r>
      <w:r w:rsidRPr="0085715D">
        <w:rPr>
          <w:i/>
          <w:iCs/>
          <w:sz w:val="24"/>
          <w:vertAlign w:val="subscript"/>
        </w:rPr>
        <w:t>I</w:t>
      </w:r>
      <w:r w:rsidRPr="0085715D">
        <w:rPr>
          <w:i/>
          <w:iCs/>
          <w:sz w:val="24"/>
        </w:rPr>
        <w:t> nu se aplică, iar pentru calcularea SOC se poate utiliza următoarea formulă: SOC = SOC</w:t>
      </w:r>
      <w:r w:rsidRPr="0085715D">
        <w:rPr>
          <w:i/>
          <w:iCs/>
          <w:sz w:val="24"/>
          <w:vertAlign w:val="subscript"/>
        </w:rPr>
        <w:t>ST</w:t>
      </w:r>
      <w:r w:rsidRPr="0085715D">
        <w:rPr>
          <w:i/>
          <w:iCs/>
          <w:sz w:val="24"/>
        </w:rPr>
        <w:t>  × F</w:t>
      </w:r>
      <w:r w:rsidRPr="0085715D">
        <w:rPr>
          <w:i/>
          <w:iCs/>
          <w:sz w:val="24"/>
          <w:vertAlign w:val="subscript"/>
        </w:rPr>
        <w:t>LU</w:t>
      </w:r>
      <w:r w:rsidRPr="0085715D">
        <w:rPr>
          <w:i/>
          <w:iCs/>
          <w:sz w:val="24"/>
        </w:rPr>
        <w:t>.</w:t>
      </w:r>
    </w:p>
    <w:p w14:paraId="0208F828" w14:textId="77777777" w:rsidR="007449C0" w:rsidRPr="0085715D" w:rsidRDefault="007449C0" w:rsidP="007449C0">
      <w:pPr>
        <w:pStyle w:val="Anexapct1"/>
        <w:spacing w:before="240"/>
        <w:rPr>
          <w:sz w:val="24"/>
        </w:rPr>
      </w:pPr>
      <w:r w:rsidRPr="0085715D">
        <w:rPr>
          <w:sz w:val="24"/>
        </w:rPr>
        <w:t>Tabelul 8 oferă îndrumări pentru selectarea valorilor adecvate din tabelul 7.</w:t>
      </w:r>
    </w:p>
    <w:p w14:paraId="2D24D147" w14:textId="77777777" w:rsidR="007449C0" w:rsidRPr="0085715D" w:rsidRDefault="007449C0" w:rsidP="007449C0">
      <w:pPr>
        <w:pStyle w:val="Sectiune"/>
        <w:rPr>
          <w:sz w:val="24"/>
        </w:rPr>
      </w:pPr>
      <w:r w:rsidRPr="0085715D">
        <w:rPr>
          <w:sz w:val="24"/>
        </w:rPr>
        <w:t>Tabelul 8</w:t>
      </w:r>
    </w:p>
    <w:p w14:paraId="787D53DA" w14:textId="77777777" w:rsidR="007449C0" w:rsidRPr="0085715D" w:rsidRDefault="007449C0" w:rsidP="007449C0">
      <w:pPr>
        <w:pStyle w:val="Sectiune"/>
        <w:rPr>
          <w:rFonts w:eastAsia="Times New Roman"/>
          <w:sz w:val="24"/>
          <w:lang w:eastAsia="ro-RO"/>
        </w:rPr>
      </w:pPr>
      <w:r w:rsidRPr="0085715D">
        <w:rPr>
          <w:sz w:val="24"/>
        </w:rPr>
        <w:t>Îndrumări privind</w:t>
      </w:r>
      <w:r w:rsidRPr="0085715D">
        <w:rPr>
          <w:rFonts w:eastAsia="Times New Roman"/>
          <w:sz w:val="24"/>
          <w:lang w:eastAsia="ro-RO"/>
        </w:rPr>
        <w:t xml:space="preserve"> utilizarea terenului în cazul suprafețelor împădurite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15"/>
        <w:gridCol w:w="7630"/>
      </w:tblGrid>
      <w:tr w:rsidR="007449C0" w:rsidRPr="0085715D" w14:paraId="7B497F80" w14:textId="77777777" w:rsidTr="003D514F">
        <w:tc>
          <w:tcPr>
            <w:tcW w:w="96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06D8D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Utilizarea terenului</w:t>
            </w:r>
          </w:p>
        </w:tc>
        <w:tc>
          <w:tcPr>
            <w:tcW w:w="40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999A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Îndrumări</w:t>
            </w:r>
          </w:p>
        </w:tc>
      </w:tr>
      <w:tr w:rsidR="007449C0" w:rsidRPr="0085715D" w14:paraId="796E1BC3" w14:textId="77777777" w:rsidTr="003D514F">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4DAD42C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autohtonă</w:t>
            </w:r>
          </w:p>
          <w:p w14:paraId="0AE831C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(nedegradată)</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08CB46F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o pădure autohtonă sau o pădure nedegradată, administrată în mod durabil, pe termen lung.</w:t>
            </w:r>
          </w:p>
        </w:tc>
      </w:tr>
      <w:tr w:rsidR="007449C0" w:rsidRPr="0085715D" w14:paraId="4984E416" w14:textId="77777777" w:rsidTr="003D514F">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102C043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Culturi itinerante</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03AAC64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Culturi itinerante permanente, în cazul în care pădurea tropicală sau terenul împădurit este defrișat(ă) pentru a planta culturi anuale pentru o perioadă scurtă de timp (de exemplu 3-5 ani), iar apoi culturile sunt abandonate pentru ca pădurile să se regenereze.</w:t>
            </w:r>
          </w:p>
        </w:tc>
      </w:tr>
      <w:tr w:rsidR="007449C0" w:rsidRPr="0085715D" w14:paraId="022226F7" w14:textId="77777777" w:rsidTr="003D514F">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0A2F017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Pârloagă la maturitate</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485864D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situații în care vegetația forestieră revine la un stadiu de maturitate sau aproape de maturitate înainte de a fi din nou defrișată în scopul utilizării ca teren agricol.</w:t>
            </w:r>
          </w:p>
        </w:tc>
      </w:tr>
      <w:tr w:rsidR="007449C0" w:rsidRPr="0085715D" w14:paraId="06D66AA9" w14:textId="77777777" w:rsidTr="003D514F">
        <w:tc>
          <w:tcPr>
            <w:tcW w:w="961" w:type="pct"/>
            <w:tcBorders>
              <w:top w:val="single" w:sz="6" w:space="0" w:color="000000"/>
              <w:left w:val="single" w:sz="6" w:space="0" w:color="000000"/>
              <w:bottom w:val="single" w:sz="6" w:space="0" w:color="000000"/>
              <w:right w:val="single" w:sz="6" w:space="0" w:color="000000"/>
            </w:tcBorders>
            <w:shd w:val="clear" w:color="auto" w:fill="FFFFFF"/>
            <w:hideMark/>
          </w:tcPr>
          <w:p w14:paraId="733D797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Pârloagă scurtată</w:t>
            </w:r>
          </w:p>
        </w:tc>
        <w:tc>
          <w:tcPr>
            <w:tcW w:w="4039" w:type="pct"/>
            <w:tcBorders>
              <w:top w:val="single" w:sz="6" w:space="0" w:color="000000"/>
              <w:left w:val="single" w:sz="6" w:space="0" w:color="000000"/>
              <w:bottom w:val="single" w:sz="6" w:space="0" w:color="000000"/>
              <w:right w:val="single" w:sz="6" w:space="0" w:color="000000"/>
            </w:tcBorders>
            <w:shd w:val="clear" w:color="auto" w:fill="FFFFFF"/>
            <w:hideMark/>
          </w:tcPr>
          <w:p w14:paraId="1868C83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Reprezintă situații în care nu se ajunge la refacerea vegetației forestiere înainte ca aceasta să fie defrișată din nou.</w:t>
            </w:r>
          </w:p>
        </w:tc>
      </w:tr>
    </w:tbl>
    <w:p w14:paraId="6AC68618" w14:textId="77777777" w:rsidR="007449C0" w:rsidRPr="0085715D" w:rsidRDefault="007449C0" w:rsidP="007449C0">
      <w:pPr>
        <w:pStyle w:val="Capitol"/>
        <w:rPr>
          <w:sz w:val="24"/>
        </w:rPr>
      </w:pPr>
      <w:r w:rsidRPr="0085715D">
        <w:rPr>
          <w:caps w:val="0"/>
          <w:sz w:val="24"/>
        </w:rPr>
        <w:t xml:space="preserve">Capitolul </w:t>
      </w:r>
      <w:r w:rsidRPr="0085715D">
        <w:rPr>
          <w:sz w:val="24"/>
        </w:rPr>
        <w:t>VIII</w:t>
      </w:r>
    </w:p>
    <w:p w14:paraId="5D134978" w14:textId="77777777" w:rsidR="007449C0" w:rsidRPr="0085715D" w:rsidRDefault="007449C0" w:rsidP="007449C0">
      <w:pPr>
        <w:pStyle w:val="Capitol"/>
        <w:rPr>
          <w:sz w:val="24"/>
        </w:rPr>
      </w:pPr>
      <w:r w:rsidRPr="0085715D">
        <w:rPr>
          <w:sz w:val="24"/>
        </w:rPr>
        <w:t>VALORILE STOCULUI DE CARBON DIN VEGETAȚIA AFLATĂ ÎN SOL ȘI DEASUPRA SOLULUI</w:t>
      </w:r>
    </w:p>
    <w:p w14:paraId="47F65915" w14:textId="77777777" w:rsidR="007449C0" w:rsidRPr="0085715D" w:rsidRDefault="007449C0" w:rsidP="007449C0">
      <w:pPr>
        <w:pStyle w:val="Anexapct1"/>
        <w:spacing w:before="240"/>
        <w:rPr>
          <w:sz w:val="24"/>
        </w:rPr>
      </w:pPr>
      <w:r w:rsidRPr="0085715D">
        <w:rPr>
          <w:sz w:val="24"/>
        </w:rPr>
        <w:t>Pentru </w:t>
      </w:r>
      <w:r w:rsidRPr="0085715D">
        <w:rPr>
          <w:i/>
          <w:iCs/>
          <w:sz w:val="24"/>
        </w:rPr>
        <w:t>C</w:t>
      </w:r>
      <w:r w:rsidRPr="0085715D">
        <w:rPr>
          <w:i/>
          <w:iCs/>
          <w:sz w:val="24"/>
          <w:vertAlign w:val="subscript"/>
        </w:rPr>
        <w:t>VEG</w:t>
      </w:r>
      <w:r w:rsidRPr="0085715D">
        <w:rPr>
          <w:i/>
          <w:iCs/>
          <w:sz w:val="24"/>
        </w:rPr>
        <w:t> </w:t>
      </w:r>
      <w:r w:rsidRPr="0085715D">
        <w:rPr>
          <w:sz w:val="24"/>
        </w:rPr>
        <w:t>sau </w:t>
      </w:r>
      <w:r w:rsidRPr="0085715D">
        <w:rPr>
          <w:i/>
          <w:iCs/>
          <w:sz w:val="24"/>
        </w:rPr>
        <w:t>R</w:t>
      </w:r>
      <w:r w:rsidRPr="0085715D">
        <w:rPr>
          <w:sz w:val="24"/>
        </w:rPr>
        <w:t> pot fi utilizate valorile adecvate stabilite la acest capitol.</w:t>
      </w:r>
    </w:p>
    <w:p w14:paraId="50C46853" w14:textId="77777777" w:rsidR="007449C0" w:rsidRPr="0085715D" w:rsidRDefault="007449C0" w:rsidP="007449C0">
      <w:pPr>
        <w:pStyle w:val="Anexapct1"/>
        <w:rPr>
          <w:sz w:val="24"/>
        </w:rPr>
      </w:pPr>
      <w:r w:rsidRPr="0085715D">
        <w:rPr>
          <w:sz w:val="24"/>
        </w:rPr>
        <w:t>Terenuri agricole:</w:t>
      </w:r>
    </w:p>
    <w:p w14:paraId="19E30EFF"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9</w:t>
      </w:r>
    </w:p>
    <w:p w14:paraId="36C3141F"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terenuri agricole (în general)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433"/>
        <w:gridCol w:w="5012"/>
      </w:tblGrid>
      <w:tr w:rsidR="007449C0" w:rsidRPr="0085715D" w14:paraId="7E73B0F8"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7A7AD"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87D73"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24918A4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carbon/hectar)</w:t>
            </w:r>
          </w:p>
        </w:tc>
      </w:tr>
      <w:tr w:rsidR="007449C0" w:rsidRPr="0085715D" w14:paraId="05238D34"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903BE" w14:textId="77777777" w:rsidR="007449C0" w:rsidRPr="0085715D" w:rsidRDefault="007449C0" w:rsidP="003D514F">
            <w:pPr>
              <w:spacing w:before="60" w:after="60" w:line="312" w:lineRule="atLeast"/>
              <w:ind w:firstLine="0"/>
              <w:jc w:val="center"/>
              <w:rPr>
                <w:color w:val="333333"/>
                <w:sz w:val="24"/>
                <w:lang w:eastAsia="ro-RO"/>
              </w:rPr>
            </w:pPr>
            <w:r w:rsidRPr="0085715D">
              <w:rPr>
                <w:color w:val="333333"/>
                <w:sz w:val="24"/>
                <w:lang w:eastAsia="ro-RO"/>
              </w:rPr>
              <w:t>Toate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F16E5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w:t>
            </w:r>
          </w:p>
        </w:tc>
      </w:tr>
    </w:tbl>
    <w:p w14:paraId="3FECA5FC"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10</w:t>
      </w:r>
    </w:p>
    <w:p w14:paraId="74A880D2"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trestia de zahăr (specific)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1837"/>
        <w:gridCol w:w="2397"/>
        <w:gridCol w:w="2122"/>
        <w:gridCol w:w="1945"/>
      </w:tblGrid>
      <w:tr w:rsidR="007449C0" w:rsidRPr="0085715D" w14:paraId="39263FB9"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2F50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F9179"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C86C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B667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7E6A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65A9AB8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r>
      <w:tr w:rsidR="007449C0" w:rsidRPr="0085715D" w14:paraId="4DEE51B8"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67625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8347E0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uscată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0D44F0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E9848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D407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4,2</w:t>
            </w:r>
          </w:p>
        </w:tc>
      </w:tr>
      <w:tr w:rsidR="007449C0" w:rsidRPr="0085715D" w14:paraId="5088BCA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1E6C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FE99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20D2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6F078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FA92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w:t>
            </w:r>
          </w:p>
        </w:tc>
      </w:tr>
      <w:tr w:rsidR="007449C0" w:rsidRPr="0085715D" w14:paraId="00BD80F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B9D55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B3F4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F86A1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00B4E7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E486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w:t>
            </w:r>
          </w:p>
        </w:tc>
      </w:tr>
      <w:tr w:rsidR="007449C0" w:rsidRPr="0085715D" w14:paraId="5067B76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08ADB8"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FD0B3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AA50C9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E1F8B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067B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4,2</w:t>
            </w:r>
          </w:p>
        </w:tc>
      </w:tr>
      <w:tr w:rsidR="007449C0" w:rsidRPr="0085715D" w14:paraId="2F30C5C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33DF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DD16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7229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78358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AA815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w:t>
            </w:r>
          </w:p>
        </w:tc>
      </w:tr>
      <w:tr w:rsidR="007449C0" w:rsidRPr="0085715D" w14:paraId="59EDBE5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FBDE6"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5C52E9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ploioasă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89A4C3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26B04F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AA64E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w:t>
            </w:r>
          </w:p>
        </w:tc>
      </w:tr>
      <w:tr w:rsidR="007449C0" w:rsidRPr="0085715D" w14:paraId="0DE1328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C1A4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9B7C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BB21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3C1F0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7F475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w:t>
            </w:r>
          </w:p>
        </w:tc>
      </w:tr>
      <w:tr w:rsidR="007449C0" w:rsidRPr="0085715D" w14:paraId="1BEB4B73"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35CD91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Subtropical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00EB9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5C094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DDC76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6D08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4,8</w:t>
            </w:r>
          </w:p>
        </w:tc>
      </w:tr>
      <w:tr w:rsidR="007449C0" w:rsidRPr="0085715D" w14:paraId="180725E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BA4449"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0DA5F4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umedă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48576C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2A067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Centrală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79AB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w:t>
            </w:r>
          </w:p>
        </w:tc>
      </w:tr>
      <w:tr w:rsidR="007449C0" w:rsidRPr="0085715D" w14:paraId="36F3824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45534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988E2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2535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9352D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DF05E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4,8</w:t>
            </w:r>
          </w:p>
        </w:tc>
      </w:tr>
    </w:tbl>
    <w:p w14:paraId="36D8EF20" w14:textId="77777777" w:rsidR="007449C0" w:rsidRPr="0085715D" w:rsidRDefault="007449C0" w:rsidP="007449C0">
      <w:pPr>
        <w:pStyle w:val="Anexapct1"/>
        <w:spacing w:before="240"/>
        <w:rPr>
          <w:rFonts w:eastAsia="Times New Roman"/>
          <w:sz w:val="24"/>
          <w:lang w:eastAsia="ro-RO"/>
        </w:rPr>
      </w:pPr>
      <w:r w:rsidRPr="0085715D">
        <w:rPr>
          <w:rFonts w:eastAsia="Times New Roman"/>
          <w:sz w:val="24"/>
          <w:lang w:eastAsia="ro-RO"/>
        </w:rPr>
        <w:t>Culturi perene, respectiv culturi multianuale ale căror tulpini nu se recoltează în fiecare an, precum speciile forestiere cu ciclu de producție scurt și palmierul de ulei:</w:t>
      </w:r>
    </w:p>
    <w:p w14:paraId="3B5A6D9A"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11</w:t>
      </w:r>
    </w:p>
    <w:p w14:paraId="172B71A8"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culturi perene (în general)</w:t>
      </w:r>
    </w:p>
    <w:tbl>
      <w:tblPr>
        <w:tblW w:w="3491"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52"/>
        <w:gridCol w:w="2842"/>
      </w:tblGrid>
      <w:tr w:rsidR="007449C0" w:rsidRPr="0085715D" w14:paraId="568DD99C" w14:textId="77777777" w:rsidTr="003D514F">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40328"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A2086"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2CEE8C6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r>
      <w:tr w:rsidR="007449C0" w:rsidRPr="0085715D" w14:paraId="1BF69DF3" w14:textId="77777777" w:rsidTr="003D514F">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1AE20F5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(toate regimurile de umiditate)</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426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43,2</w:t>
            </w:r>
          </w:p>
        </w:tc>
      </w:tr>
      <w:tr w:rsidR="007449C0" w:rsidRPr="0085715D" w14:paraId="6F8C695B" w14:textId="77777777" w:rsidTr="003D514F">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5F1640D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uscată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C1DEC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6,2</w:t>
            </w:r>
          </w:p>
        </w:tc>
      </w:tr>
      <w:tr w:rsidR="007449C0" w:rsidRPr="0085715D" w14:paraId="5ACDCEF5" w14:textId="77777777" w:rsidTr="003D514F">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78B2CC0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umedă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93D9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14,4</w:t>
            </w:r>
          </w:p>
        </w:tc>
      </w:tr>
      <w:tr w:rsidR="007449C0" w:rsidRPr="0085715D" w14:paraId="22A731D2" w14:textId="77777777" w:rsidTr="003D514F">
        <w:trPr>
          <w:jc w:val="center"/>
        </w:trPr>
        <w:tc>
          <w:tcPr>
            <w:tcW w:w="2845" w:type="pct"/>
            <w:tcBorders>
              <w:top w:val="single" w:sz="6" w:space="0" w:color="000000"/>
              <w:left w:val="single" w:sz="6" w:space="0" w:color="000000"/>
              <w:bottom w:val="single" w:sz="6" w:space="0" w:color="000000"/>
              <w:right w:val="single" w:sz="6" w:space="0" w:color="000000"/>
            </w:tcBorders>
            <w:shd w:val="clear" w:color="auto" w:fill="FFFFFF"/>
            <w:hideMark/>
          </w:tcPr>
          <w:p w14:paraId="248970E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ploioasă</w:t>
            </w:r>
          </w:p>
        </w:tc>
        <w:tc>
          <w:tcPr>
            <w:tcW w:w="215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C6CD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34,3</w:t>
            </w:r>
          </w:p>
        </w:tc>
      </w:tr>
    </w:tbl>
    <w:p w14:paraId="032EF8FE"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12</w:t>
      </w:r>
    </w:p>
    <w:p w14:paraId="3C12E87D"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culturi perene specifice</w:t>
      </w:r>
    </w:p>
    <w:tbl>
      <w:tblPr>
        <w:tblW w:w="321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816"/>
        <w:gridCol w:w="1678"/>
        <w:gridCol w:w="2583"/>
      </w:tblGrid>
      <w:tr w:rsidR="007449C0" w:rsidRPr="0085715D" w14:paraId="791F0218" w14:textId="77777777" w:rsidTr="003D514F">
        <w:trPr>
          <w:jc w:val="center"/>
        </w:trPr>
        <w:tc>
          <w:tcPr>
            <w:tcW w:w="149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DD07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138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E23F0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Tipul culturii</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99411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3F63F79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r>
      <w:tr w:rsidR="007449C0" w:rsidRPr="0085715D" w14:paraId="675C9D6B" w14:textId="77777777" w:rsidTr="003D514F">
        <w:trPr>
          <w:jc w:val="center"/>
        </w:trPr>
        <w:tc>
          <w:tcPr>
            <w:tcW w:w="149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5A05E8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Toate</w:t>
            </w: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6457858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Nuci de cocos</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9C0F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75</w:t>
            </w:r>
          </w:p>
        </w:tc>
      </w:tr>
      <w:tr w:rsidR="007449C0" w:rsidRPr="0085715D" w14:paraId="6455024E" w14:textId="77777777" w:rsidTr="003D514F">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FFBF8" w14:textId="77777777" w:rsidR="007449C0" w:rsidRPr="0085715D" w:rsidRDefault="007449C0" w:rsidP="003D514F">
            <w:pPr>
              <w:ind w:firstLine="0"/>
              <w:jc w:val="left"/>
              <w:rPr>
                <w:color w:val="333333"/>
                <w:sz w:val="24"/>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6B423AB9" w14:textId="77777777" w:rsidR="007449C0" w:rsidRPr="0085715D" w:rsidRDefault="007449C0" w:rsidP="003D514F">
            <w:pPr>
              <w:spacing w:before="60" w:after="60" w:line="312" w:lineRule="atLeast"/>
              <w:ind w:firstLine="0"/>
              <w:jc w:val="left"/>
              <w:rPr>
                <w:color w:val="333333"/>
                <w:sz w:val="24"/>
                <w:lang w:eastAsia="ro-RO"/>
              </w:rPr>
            </w:pPr>
            <w:proofErr w:type="spellStart"/>
            <w:r w:rsidRPr="0085715D">
              <w:rPr>
                <w:color w:val="333333"/>
                <w:sz w:val="24"/>
                <w:lang w:eastAsia="ro-RO"/>
              </w:rPr>
              <w:t>Jatropha</w:t>
            </w:r>
            <w:proofErr w:type="spellEnd"/>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D3BF0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17,5</w:t>
            </w:r>
          </w:p>
        </w:tc>
      </w:tr>
      <w:tr w:rsidR="007449C0" w:rsidRPr="0085715D" w14:paraId="6686F063" w14:textId="77777777" w:rsidTr="003D514F">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64719" w14:textId="77777777" w:rsidR="007449C0" w:rsidRPr="0085715D" w:rsidRDefault="007449C0" w:rsidP="003D514F">
            <w:pPr>
              <w:ind w:firstLine="0"/>
              <w:jc w:val="left"/>
              <w:rPr>
                <w:color w:val="333333"/>
                <w:sz w:val="24"/>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1F225EFA" w14:textId="77777777" w:rsidR="007449C0" w:rsidRPr="0085715D" w:rsidRDefault="007449C0" w:rsidP="003D514F">
            <w:pPr>
              <w:spacing w:before="60" w:after="60" w:line="312" w:lineRule="atLeast"/>
              <w:ind w:firstLine="0"/>
              <w:jc w:val="left"/>
              <w:rPr>
                <w:color w:val="333333"/>
                <w:sz w:val="24"/>
                <w:lang w:eastAsia="ro-RO"/>
              </w:rPr>
            </w:pPr>
            <w:proofErr w:type="spellStart"/>
            <w:r w:rsidRPr="0085715D">
              <w:rPr>
                <w:color w:val="333333"/>
                <w:sz w:val="24"/>
                <w:lang w:eastAsia="ro-RO"/>
              </w:rPr>
              <w:t>Jojoba</w:t>
            </w:r>
            <w:proofErr w:type="spellEnd"/>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A26EF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2,4</w:t>
            </w:r>
          </w:p>
        </w:tc>
      </w:tr>
      <w:tr w:rsidR="007449C0" w:rsidRPr="0085715D" w14:paraId="65A10019" w14:textId="77777777" w:rsidTr="003D514F">
        <w:trPr>
          <w:jc w:val="center"/>
        </w:trPr>
        <w:tc>
          <w:tcPr>
            <w:tcW w:w="149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C0E1D3" w14:textId="77777777" w:rsidR="007449C0" w:rsidRPr="0085715D" w:rsidRDefault="007449C0" w:rsidP="003D514F">
            <w:pPr>
              <w:ind w:firstLine="0"/>
              <w:jc w:val="left"/>
              <w:rPr>
                <w:color w:val="333333"/>
                <w:sz w:val="24"/>
                <w:lang w:eastAsia="ro-RO"/>
              </w:rPr>
            </w:pPr>
          </w:p>
        </w:tc>
        <w:tc>
          <w:tcPr>
            <w:tcW w:w="1381" w:type="pct"/>
            <w:tcBorders>
              <w:top w:val="single" w:sz="6" w:space="0" w:color="000000"/>
              <w:left w:val="single" w:sz="6" w:space="0" w:color="000000"/>
              <w:bottom w:val="single" w:sz="6" w:space="0" w:color="000000"/>
              <w:right w:val="single" w:sz="6" w:space="0" w:color="000000"/>
            </w:tcBorders>
            <w:shd w:val="clear" w:color="auto" w:fill="FFFFFF"/>
            <w:hideMark/>
          </w:tcPr>
          <w:p w14:paraId="3FA4500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Palmier de ulei</w:t>
            </w:r>
          </w:p>
        </w:tc>
        <w:tc>
          <w:tcPr>
            <w:tcW w:w="212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E86A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60</w:t>
            </w:r>
          </w:p>
        </w:tc>
      </w:tr>
    </w:tbl>
    <w:p w14:paraId="6C8D9ED7" w14:textId="77777777" w:rsidR="007449C0" w:rsidRPr="0085715D" w:rsidRDefault="007449C0" w:rsidP="007449C0">
      <w:pPr>
        <w:pStyle w:val="Anexapct1"/>
        <w:spacing w:before="240"/>
        <w:rPr>
          <w:rFonts w:eastAsia="Times New Roman"/>
          <w:sz w:val="24"/>
          <w:lang w:eastAsia="ro-RO"/>
        </w:rPr>
      </w:pPr>
      <w:r w:rsidRPr="0085715D">
        <w:rPr>
          <w:rFonts w:eastAsia="Times New Roman"/>
          <w:sz w:val="24"/>
          <w:lang w:eastAsia="ro-RO"/>
        </w:rPr>
        <w:t>Pășuni:</w:t>
      </w:r>
    </w:p>
    <w:p w14:paraId="10137D31"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13</w:t>
      </w:r>
    </w:p>
    <w:p w14:paraId="56B6879B"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pășuni – cu excepția zonei de tufăriș (în general)</w:t>
      </w:r>
    </w:p>
    <w:tbl>
      <w:tblPr>
        <w:tblW w:w="267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49"/>
        <w:gridCol w:w="2195"/>
      </w:tblGrid>
      <w:tr w:rsidR="007449C0" w:rsidRPr="0085715D" w14:paraId="568ADADD"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7D381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DFB69"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1002CD4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r>
      <w:tr w:rsidR="007449C0" w:rsidRPr="0085715D" w14:paraId="6D15E663"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27FB2C9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Boreală – uscată și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ABB0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4,3</w:t>
            </w:r>
          </w:p>
        </w:tc>
      </w:tr>
      <w:tr w:rsidR="007449C0" w:rsidRPr="0085715D" w14:paraId="6AC2F47C"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7C3464E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rece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10561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3,3</w:t>
            </w:r>
          </w:p>
        </w:tc>
      </w:tr>
      <w:tr w:rsidR="007449C0" w:rsidRPr="0085715D" w14:paraId="3349D5AA"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542A343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rece –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292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6,8</w:t>
            </w:r>
          </w:p>
        </w:tc>
      </w:tr>
      <w:tr w:rsidR="007449C0" w:rsidRPr="0085715D" w14:paraId="65A193DE"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3296A59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C3D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3,1</w:t>
            </w:r>
          </w:p>
        </w:tc>
      </w:tr>
      <w:tr w:rsidR="007449C0" w:rsidRPr="0085715D" w14:paraId="689B3D5C"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02B2A20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F0CD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6,8</w:t>
            </w:r>
          </w:p>
        </w:tc>
      </w:tr>
      <w:tr w:rsidR="007449C0" w:rsidRPr="0085715D" w14:paraId="6D41E583"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268DF34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 uscată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BB94A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4,4</w:t>
            </w:r>
          </w:p>
        </w:tc>
      </w:tr>
      <w:tr w:rsidR="007449C0" w:rsidRPr="0085715D" w14:paraId="614E4D28" w14:textId="77777777" w:rsidTr="003D514F">
        <w:trPr>
          <w:jc w:val="center"/>
        </w:trPr>
        <w:tc>
          <w:tcPr>
            <w:tcW w:w="2824" w:type="pct"/>
            <w:tcBorders>
              <w:top w:val="single" w:sz="6" w:space="0" w:color="000000"/>
              <w:left w:val="single" w:sz="6" w:space="0" w:color="000000"/>
              <w:bottom w:val="single" w:sz="6" w:space="0" w:color="000000"/>
              <w:right w:val="single" w:sz="6" w:space="0" w:color="000000"/>
            </w:tcBorders>
            <w:shd w:val="clear" w:color="auto" w:fill="FFFFFF"/>
            <w:hideMark/>
          </w:tcPr>
          <w:p w14:paraId="140ECA8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Tropicală – umedă și ploioasă</w:t>
            </w:r>
          </w:p>
        </w:tc>
        <w:tc>
          <w:tcPr>
            <w:tcW w:w="217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7D55B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8,1</w:t>
            </w:r>
          </w:p>
        </w:tc>
      </w:tr>
    </w:tbl>
    <w:p w14:paraId="13F2E528"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14</w:t>
      </w:r>
    </w:p>
    <w:p w14:paraId="684DD90A"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 xml:space="preserve">Valorile de vegetație pentru </w:t>
      </w:r>
      <w:proofErr w:type="spellStart"/>
      <w:r w:rsidRPr="0085715D">
        <w:rPr>
          <w:rFonts w:eastAsia="Times New Roman"/>
          <w:sz w:val="24"/>
          <w:lang w:eastAsia="ro-RO"/>
        </w:rPr>
        <w:t>Miscanthus</w:t>
      </w:r>
      <w:proofErr w:type="spellEnd"/>
      <w:r w:rsidRPr="0085715D">
        <w:rPr>
          <w:rFonts w:eastAsia="Times New Roman"/>
          <w:sz w:val="24"/>
          <w:lang w:eastAsia="ro-RO"/>
        </w:rPr>
        <w:t xml:space="preserve"> (specific)</w:t>
      </w:r>
    </w:p>
    <w:tbl>
      <w:tblPr>
        <w:tblW w:w="4652"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1766"/>
        <w:gridCol w:w="2046"/>
        <w:gridCol w:w="1533"/>
        <w:gridCol w:w="2299"/>
      </w:tblGrid>
      <w:tr w:rsidR="007449C0" w:rsidRPr="0085715D" w14:paraId="453C93CC"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8C469A"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Domeniu</w:t>
            </w:r>
          </w:p>
        </w:tc>
        <w:tc>
          <w:tcPr>
            <w:tcW w:w="1016" w:type="pct"/>
            <w:tcBorders>
              <w:top w:val="single" w:sz="6" w:space="0" w:color="000000"/>
              <w:left w:val="single" w:sz="6" w:space="0" w:color="000000"/>
              <w:bottom w:val="single" w:sz="6" w:space="0" w:color="000000"/>
              <w:right w:val="single" w:sz="6" w:space="0" w:color="000000"/>
            </w:tcBorders>
            <w:shd w:val="clear" w:color="auto" w:fill="FFFFFF"/>
            <w:hideMark/>
          </w:tcPr>
          <w:p w14:paraId="597D3FF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Regiune climatică</w:t>
            </w:r>
          </w:p>
        </w:tc>
        <w:tc>
          <w:tcPr>
            <w:tcW w:w="1176" w:type="pct"/>
            <w:tcBorders>
              <w:top w:val="single" w:sz="6" w:space="0" w:color="000000"/>
              <w:left w:val="single" w:sz="6" w:space="0" w:color="000000"/>
              <w:bottom w:val="single" w:sz="6" w:space="0" w:color="000000"/>
              <w:right w:val="single" w:sz="6" w:space="0" w:color="000000"/>
            </w:tcBorders>
            <w:shd w:val="clear" w:color="auto" w:fill="FFFFFF"/>
            <w:hideMark/>
          </w:tcPr>
          <w:p w14:paraId="350C8FA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Zonă ecologică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3DF08D41"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Continent</w:t>
            </w:r>
          </w:p>
        </w:tc>
        <w:tc>
          <w:tcPr>
            <w:tcW w:w="1322" w:type="pct"/>
            <w:tcBorders>
              <w:top w:val="single" w:sz="6" w:space="0" w:color="000000"/>
              <w:left w:val="single" w:sz="6" w:space="0" w:color="000000"/>
              <w:bottom w:val="single" w:sz="6" w:space="0" w:color="000000"/>
              <w:right w:val="single" w:sz="6" w:space="0" w:color="000000"/>
            </w:tcBorders>
            <w:shd w:val="clear" w:color="auto" w:fill="FFFFFF"/>
            <w:hideMark/>
          </w:tcPr>
          <w:p w14:paraId="5067D34D"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3A21FEE6"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r>
      <w:tr w:rsidR="007449C0" w:rsidRPr="0085715D" w14:paraId="3957B991" w14:textId="77777777" w:rsidTr="003D514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FED59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Subtropical</w:t>
            </w:r>
          </w:p>
        </w:tc>
        <w:tc>
          <w:tcPr>
            <w:tcW w:w="101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54216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Temperată caldă, uscată</w:t>
            </w:r>
          </w:p>
        </w:tc>
        <w:tc>
          <w:tcPr>
            <w:tcW w:w="1176"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C930ED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uscată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60AD297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Europa</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BBE1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w:t>
            </w:r>
          </w:p>
        </w:tc>
      </w:tr>
      <w:tr w:rsidR="007449C0" w:rsidRPr="0085715D" w14:paraId="4F7DDAB8"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6C16B" w14:textId="77777777" w:rsidR="007449C0" w:rsidRPr="0085715D" w:rsidRDefault="007449C0" w:rsidP="003D514F">
            <w:pPr>
              <w:ind w:firstLine="0"/>
              <w:jc w:val="left"/>
              <w:rPr>
                <w:color w:val="333333"/>
                <w:sz w:val="24"/>
                <w:lang w:eastAsia="ro-RO"/>
              </w:rPr>
            </w:pPr>
          </w:p>
        </w:tc>
        <w:tc>
          <w:tcPr>
            <w:tcW w:w="10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72C97" w14:textId="77777777" w:rsidR="007449C0" w:rsidRPr="0085715D" w:rsidRDefault="007449C0" w:rsidP="003D514F">
            <w:pPr>
              <w:ind w:firstLine="0"/>
              <w:jc w:val="left"/>
              <w:rPr>
                <w:color w:val="333333"/>
                <w:sz w:val="24"/>
                <w:lang w:eastAsia="ro-RO"/>
              </w:rPr>
            </w:pPr>
          </w:p>
        </w:tc>
        <w:tc>
          <w:tcPr>
            <w:tcW w:w="117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68D79" w14:textId="77777777" w:rsidR="007449C0" w:rsidRPr="0085715D" w:rsidRDefault="007449C0" w:rsidP="003D514F">
            <w:pPr>
              <w:ind w:firstLine="0"/>
              <w:jc w:val="left"/>
              <w:rPr>
                <w:color w:val="333333"/>
                <w:sz w:val="24"/>
                <w:lang w:eastAsia="ro-RO"/>
              </w:rPr>
            </w:pP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528E350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4E76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14,9</w:t>
            </w:r>
          </w:p>
        </w:tc>
      </w:tr>
      <w:tr w:rsidR="007449C0" w:rsidRPr="0085715D" w14:paraId="1C4F3402"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C9432" w14:textId="77777777" w:rsidR="007449C0" w:rsidRPr="0085715D" w:rsidRDefault="007449C0" w:rsidP="003D514F">
            <w:pPr>
              <w:ind w:firstLine="0"/>
              <w:jc w:val="left"/>
              <w:rPr>
                <w:color w:val="333333"/>
                <w:sz w:val="24"/>
                <w:lang w:eastAsia="ro-RO"/>
              </w:rPr>
            </w:pPr>
          </w:p>
        </w:tc>
        <w:tc>
          <w:tcPr>
            <w:tcW w:w="1016"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0E0359" w14:textId="77777777" w:rsidR="007449C0" w:rsidRPr="0085715D" w:rsidRDefault="007449C0" w:rsidP="003D514F">
            <w:pPr>
              <w:ind w:firstLine="0"/>
              <w:jc w:val="left"/>
              <w:rPr>
                <w:color w:val="333333"/>
                <w:sz w:val="24"/>
                <w:lang w:eastAsia="ro-RO"/>
              </w:rPr>
            </w:pPr>
          </w:p>
        </w:tc>
        <w:tc>
          <w:tcPr>
            <w:tcW w:w="1176" w:type="pct"/>
            <w:tcBorders>
              <w:top w:val="single" w:sz="6" w:space="0" w:color="000000"/>
              <w:left w:val="single" w:sz="6" w:space="0" w:color="000000"/>
              <w:bottom w:val="single" w:sz="6" w:space="0" w:color="000000"/>
              <w:right w:val="single" w:sz="6" w:space="0" w:color="000000"/>
            </w:tcBorders>
            <w:shd w:val="clear" w:color="auto" w:fill="FFFFFF"/>
            <w:hideMark/>
          </w:tcPr>
          <w:p w14:paraId="41A36E9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Stepă subtropicală</w:t>
            </w:r>
          </w:p>
        </w:tc>
        <w:tc>
          <w:tcPr>
            <w:tcW w:w="881" w:type="pct"/>
            <w:tcBorders>
              <w:top w:val="single" w:sz="6" w:space="0" w:color="000000"/>
              <w:left w:val="single" w:sz="6" w:space="0" w:color="000000"/>
              <w:bottom w:val="single" w:sz="6" w:space="0" w:color="000000"/>
              <w:right w:val="single" w:sz="6" w:space="0" w:color="000000"/>
            </w:tcBorders>
            <w:shd w:val="clear" w:color="auto" w:fill="FFFFFF"/>
            <w:hideMark/>
          </w:tcPr>
          <w:p w14:paraId="35D630B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13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75CC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14,9</w:t>
            </w:r>
          </w:p>
        </w:tc>
      </w:tr>
    </w:tbl>
    <w:p w14:paraId="258AF1FE"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15</w:t>
      </w:r>
    </w:p>
    <w:p w14:paraId="5E7258C4"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zonele de tufăriș, respectiv terenuri cu vegetație alcătuită preponderent din plante lemnoase cu înălțimi mai mici de 5 metri, care nu prezintă trăsături caracteristice arborilor</w:t>
      </w:r>
    </w:p>
    <w:tbl>
      <w:tblPr>
        <w:tblW w:w="3354"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28"/>
        <w:gridCol w:w="2583"/>
        <w:gridCol w:w="2325"/>
      </w:tblGrid>
      <w:tr w:rsidR="007449C0" w:rsidRPr="0085715D" w14:paraId="25BE8DB1" w14:textId="77777777" w:rsidTr="003D514F">
        <w:trPr>
          <w:jc w:val="center"/>
        </w:trPr>
        <w:tc>
          <w:tcPr>
            <w:tcW w:w="112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C43995"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Domeniu</w:t>
            </w:r>
          </w:p>
        </w:tc>
        <w:tc>
          <w:tcPr>
            <w:tcW w:w="203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E1F5EC"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Continent</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A4550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775F8001"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lastRenderedPageBreak/>
              <w:t>(tone carbon per hectar)</w:t>
            </w:r>
          </w:p>
        </w:tc>
      </w:tr>
      <w:tr w:rsidR="007449C0" w:rsidRPr="0085715D" w14:paraId="4353A3C6" w14:textId="77777777" w:rsidTr="003D514F">
        <w:trPr>
          <w:jc w:val="center"/>
        </w:trPr>
        <w:tc>
          <w:tcPr>
            <w:tcW w:w="112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A4E855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lastRenderedPageBreak/>
              <w:t>Tropical</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515EEDE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92B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46</w:t>
            </w:r>
          </w:p>
        </w:tc>
      </w:tr>
      <w:tr w:rsidR="007449C0" w:rsidRPr="0085715D" w14:paraId="31804567"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BEB7AC"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1992C0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B142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53</w:t>
            </w:r>
          </w:p>
        </w:tc>
      </w:tr>
      <w:tr w:rsidR="007449C0" w:rsidRPr="0085715D" w14:paraId="53E14AD5"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F358C3"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32A0EA3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6DEE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39</w:t>
            </w:r>
          </w:p>
        </w:tc>
      </w:tr>
      <w:tr w:rsidR="007449C0" w:rsidRPr="0085715D" w14:paraId="7C87705B"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0B934"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7CDC1F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7759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46</w:t>
            </w:r>
          </w:p>
        </w:tc>
      </w:tr>
      <w:tr w:rsidR="007449C0" w:rsidRPr="0085715D" w14:paraId="5793944E"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E43F9"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39B29D7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Australia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4FE1B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46</w:t>
            </w:r>
          </w:p>
        </w:tc>
      </w:tr>
      <w:tr w:rsidR="007449C0" w:rsidRPr="0085715D" w14:paraId="22ABE5A7" w14:textId="77777777" w:rsidTr="003D514F">
        <w:trPr>
          <w:jc w:val="center"/>
        </w:trPr>
        <w:tc>
          <w:tcPr>
            <w:tcW w:w="1127"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AD583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Subtropical</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3C1E14B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C948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43</w:t>
            </w:r>
          </w:p>
        </w:tc>
      </w:tr>
      <w:tr w:rsidR="007449C0" w:rsidRPr="0085715D" w14:paraId="47FBFDCB"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5F7E2"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F53662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1CF5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50</w:t>
            </w:r>
          </w:p>
        </w:tc>
      </w:tr>
      <w:tr w:rsidR="007449C0" w:rsidRPr="0085715D" w14:paraId="04B5B75F"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42FA3"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37E4405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5A9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37</w:t>
            </w:r>
          </w:p>
        </w:tc>
      </w:tr>
      <w:tr w:rsidR="007449C0" w:rsidRPr="0085715D" w14:paraId="32C3BEA3"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87853"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593CE69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Europa</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5F70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37</w:t>
            </w:r>
          </w:p>
        </w:tc>
      </w:tr>
      <w:tr w:rsidR="007449C0" w:rsidRPr="0085715D" w14:paraId="7F4B4378" w14:textId="77777777" w:rsidTr="003D514F">
        <w:trPr>
          <w:jc w:val="center"/>
        </w:trPr>
        <w:tc>
          <w:tcPr>
            <w:tcW w:w="1127"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7531EF" w14:textId="77777777" w:rsidR="007449C0" w:rsidRPr="0085715D" w:rsidRDefault="007449C0" w:rsidP="003D514F">
            <w:pPr>
              <w:ind w:firstLine="0"/>
              <w:jc w:val="left"/>
              <w:rPr>
                <w:color w:val="333333"/>
                <w:sz w:val="24"/>
                <w:lang w:eastAsia="ro-RO"/>
              </w:rPr>
            </w:pP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1D09529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1A67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43</w:t>
            </w:r>
          </w:p>
        </w:tc>
      </w:tr>
      <w:tr w:rsidR="007449C0" w:rsidRPr="0085715D" w14:paraId="4772B548" w14:textId="77777777" w:rsidTr="003D514F">
        <w:trPr>
          <w:jc w:val="center"/>
        </w:trPr>
        <w:tc>
          <w:tcPr>
            <w:tcW w:w="1127" w:type="pct"/>
            <w:tcBorders>
              <w:top w:val="single" w:sz="6" w:space="0" w:color="000000"/>
              <w:left w:val="single" w:sz="6" w:space="0" w:color="000000"/>
              <w:bottom w:val="single" w:sz="6" w:space="0" w:color="000000"/>
              <w:right w:val="single" w:sz="6" w:space="0" w:color="000000"/>
            </w:tcBorders>
            <w:shd w:val="clear" w:color="auto" w:fill="FFFFFF"/>
            <w:hideMark/>
          </w:tcPr>
          <w:p w14:paraId="05684D8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w:t>
            </w:r>
          </w:p>
        </w:tc>
        <w:tc>
          <w:tcPr>
            <w:tcW w:w="2038" w:type="pct"/>
            <w:tcBorders>
              <w:top w:val="single" w:sz="6" w:space="0" w:color="000000"/>
              <w:left w:val="single" w:sz="6" w:space="0" w:color="000000"/>
              <w:bottom w:val="single" w:sz="6" w:space="0" w:color="000000"/>
              <w:right w:val="single" w:sz="6" w:space="0" w:color="000000"/>
            </w:tcBorders>
            <w:shd w:val="clear" w:color="auto" w:fill="FFFFFF"/>
            <w:hideMark/>
          </w:tcPr>
          <w:p w14:paraId="0D73F6E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Global</w:t>
            </w:r>
          </w:p>
        </w:tc>
        <w:tc>
          <w:tcPr>
            <w:tcW w:w="183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4169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7,4</w:t>
            </w:r>
          </w:p>
        </w:tc>
      </w:tr>
    </w:tbl>
    <w:p w14:paraId="16A1679F" w14:textId="77777777" w:rsidR="007449C0" w:rsidRPr="0085715D" w:rsidRDefault="007449C0" w:rsidP="007449C0">
      <w:pPr>
        <w:pStyle w:val="Anexapct1"/>
        <w:spacing w:before="240"/>
        <w:rPr>
          <w:rFonts w:eastAsia="Times New Roman"/>
          <w:sz w:val="24"/>
          <w:lang w:eastAsia="ro-RO"/>
        </w:rPr>
      </w:pPr>
      <w:r w:rsidRPr="0085715D">
        <w:rPr>
          <w:rFonts w:eastAsia="Times New Roman"/>
          <w:sz w:val="24"/>
          <w:lang w:eastAsia="ro-RO"/>
        </w:rPr>
        <w:t>Suprafețe împădurite:</w:t>
      </w:r>
    </w:p>
    <w:p w14:paraId="4910F7C8"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16</w:t>
      </w:r>
    </w:p>
    <w:p w14:paraId="2AFE9643"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suprafețele împădurite cu un coronament cuprins între 10 % și 30 % – excluzând plantațiile forestiere</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05"/>
        <w:gridCol w:w="2718"/>
        <w:gridCol w:w="3098"/>
        <w:gridCol w:w="2210"/>
        <w:gridCol w:w="514"/>
      </w:tblGrid>
      <w:tr w:rsidR="007449C0" w:rsidRPr="0085715D" w14:paraId="56725207" w14:textId="77777777" w:rsidTr="003D514F">
        <w:trPr>
          <w:jc w:val="center"/>
        </w:trPr>
        <w:tc>
          <w:tcPr>
            <w:tcW w:w="99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D763A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Domeniu</w:t>
            </w:r>
          </w:p>
        </w:tc>
        <w:tc>
          <w:tcPr>
            <w:tcW w:w="1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7CDC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Zonă ecologică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EDEC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Continent</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65AA2"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1CFFAB81"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3459D"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R</w:t>
            </w:r>
          </w:p>
        </w:tc>
      </w:tr>
      <w:tr w:rsidR="007449C0" w:rsidRPr="0085715D" w14:paraId="5BB98F5E" w14:textId="77777777" w:rsidTr="003D514F">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1C70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C8A3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pluvială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F4EC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EDAD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DAE0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0,37</w:t>
            </w:r>
          </w:p>
        </w:tc>
      </w:tr>
      <w:tr w:rsidR="007449C0" w:rsidRPr="0085715D" w14:paraId="5BB91B54"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DE0A9"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0B998"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BCBBF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47C2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ABFB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0,37</w:t>
            </w:r>
          </w:p>
        </w:tc>
      </w:tr>
      <w:tr w:rsidR="007449C0" w:rsidRPr="0085715D" w14:paraId="3386CC8F"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5A5588"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903174"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5E9F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D4C6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58AA3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0,37</w:t>
            </w:r>
          </w:p>
        </w:tc>
      </w:tr>
      <w:tr w:rsidR="007449C0" w:rsidRPr="0085715D" w14:paraId="2DBA126A"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255DA"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4661C"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E18D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1AB8D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191F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0,37</w:t>
            </w:r>
          </w:p>
        </w:tc>
      </w:tr>
      <w:tr w:rsidR="007449C0" w:rsidRPr="0085715D" w14:paraId="519D726D"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614A3E"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A0F4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umedă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D9001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E46DF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B2B6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D03B67E"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B8F40"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F340F3"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F74A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FC1F3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4638F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026BD6A"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CCF0C"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FDFF2"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EFF8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EF71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21</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5983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644980F8"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D6CB0"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7F8C54"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75E0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F723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D4D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CA3E90B"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5A0DA"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58C79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uscată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ED405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9759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1CA2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631F046F"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302668"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3E54B4"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4426A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C97E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AC90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67C82092"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9FBA1"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71925"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C691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9AB7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2FE7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3E0AE0F7"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673FC"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C3016"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D95E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6CBD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EDC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23A9C228"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52BF6"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545A1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tropicală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117A3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9DFC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5B9D2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3F509E6"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A4735"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DA8B74"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4BAC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1D613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286D4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F8B23AE"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896C82"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49AA8"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7DFA4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7F23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472F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59A1B84"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E49BA9"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466E2"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BA05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2812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13EF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7DD38695" w14:textId="77777777" w:rsidTr="003D514F">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E8C3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Subtropical</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5FE1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umedă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15F3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4FB1D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6DA5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6F7C299B"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F04CE"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82449"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24C90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005F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12C4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4F6DFE61"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5517B9"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BC3CA"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2DCF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405F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35</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558F7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606D3A71"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4BEE2"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BB04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uscată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76FC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5753F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E346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04D02EE1"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7F7E3"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9D9C74"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87D19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7FE08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552A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1088D017"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32449"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B3E75A"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F319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DB1F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20BB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4A78DB83"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3BCF2"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491C5"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A8DDC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1D3E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ACA8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5F7453C0"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8A0017"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32417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Stepă subtropicală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06DE5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8C23C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4FB9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53994977"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DD7AD"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7C30A"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2438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7482C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A011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048FB884"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44035"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01343"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2FBB4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110C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E59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0A8C855A"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A65707"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56E6D"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4A1EF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3D67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80F3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42866B7A" w14:textId="77777777" w:rsidTr="003D514F">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E4956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w:t>
            </w: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4463B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din zona temperat oceanică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322E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Europa</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4EB83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D9D3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6F4C4672"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60F3F"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3BB40"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037E8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92F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79</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40E98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CFB9FD1"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77228"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23545A"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67E92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Noua Zeelandă</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8123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43</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8FF0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AA52247"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EE481"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00D898"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20DB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Sud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619A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21</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2D72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0C16ED29"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0C439"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4B50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din zona temperat continentală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1537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9BBD1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30D6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17C6ECE"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4FA36"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FCBEB"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F029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2227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14</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0BB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2661B452"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3ACF4"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FED77F"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DE83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298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A2B7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1FE10B0F"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F6397"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C5B5E"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9F1E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00F83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F27A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52344703"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20CAD"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D149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temperată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EC23E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AF59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1D82E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5E8E37DE"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952F88"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D4E66"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5584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953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569B3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726CE1B0"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022F25"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D75CB6"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0C636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EEDA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F8A6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27272063"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1B022A"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EEE61"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7BF95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1A8E3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CE087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6D675436" w14:textId="77777777" w:rsidTr="003D514F">
        <w:trPr>
          <w:jc w:val="center"/>
        </w:trPr>
        <w:tc>
          <w:tcPr>
            <w:tcW w:w="99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122C1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lastRenderedPageBreak/>
              <w:t>Boreal</w:t>
            </w:r>
          </w:p>
        </w:tc>
        <w:tc>
          <w:tcPr>
            <w:tcW w:w="143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31413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boreală de conifere</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9EFDC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7A49E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20CF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F7DDFAD"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1693BB"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E270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boreală de tundră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B227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4EAD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32373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685CB4FB"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AB262" w14:textId="77777777" w:rsidR="007449C0" w:rsidRPr="0085715D" w:rsidRDefault="007449C0" w:rsidP="003D514F">
            <w:pPr>
              <w:ind w:firstLine="0"/>
              <w:jc w:val="left"/>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A3ED5" w14:textId="77777777" w:rsidR="007449C0" w:rsidRPr="0085715D" w:rsidRDefault="007449C0" w:rsidP="003D514F">
            <w:pPr>
              <w:ind w:firstLine="0"/>
              <w:jc w:val="left"/>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9342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021CD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98DA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B46A671"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7F58C" w14:textId="77777777" w:rsidR="007449C0" w:rsidRPr="0085715D" w:rsidRDefault="007449C0" w:rsidP="003D514F">
            <w:pPr>
              <w:ind w:firstLine="0"/>
              <w:jc w:val="left"/>
              <w:rPr>
                <w:color w:val="333333"/>
                <w:sz w:val="24"/>
                <w:lang w:eastAsia="ro-RO"/>
              </w:rPr>
            </w:pPr>
          </w:p>
        </w:tc>
        <w:tc>
          <w:tcPr>
            <w:tcW w:w="1439"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3D91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boreală</w:t>
            </w: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B5FE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A1A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7593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88D7F88" w14:textId="77777777" w:rsidTr="003D514F">
        <w:trPr>
          <w:jc w:val="center"/>
        </w:trPr>
        <w:tc>
          <w:tcPr>
            <w:tcW w:w="99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C0282" w14:textId="77777777" w:rsidR="007449C0" w:rsidRPr="0085715D" w:rsidRDefault="007449C0" w:rsidP="003D514F">
            <w:pPr>
              <w:ind w:firstLine="0"/>
              <w:jc w:val="center"/>
              <w:rPr>
                <w:color w:val="333333"/>
                <w:sz w:val="24"/>
                <w:lang w:eastAsia="ro-RO"/>
              </w:rPr>
            </w:pPr>
          </w:p>
        </w:tc>
        <w:tc>
          <w:tcPr>
            <w:tcW w:w="1439"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91DAD" w14:textId="77777777" w:rsidR="007449C0" w:rsidRPr="0085715D" w:rsidRDefault="007449C0" w:rsidP="003D514F">
            <w:pPr>
              <w:ind w:firstLine="0"/>
              <w:jc w:val="center"/>
              <w:rPr>
                <w:color w:val="333333"/>
                <w:sz w:val="24"/>
                <w:lang w:eastAsia="ro-RO"/>
              </w:rPr>
            </w:pPr>
          </w:p>
        </w:tc>
        <w:tc>
          <w:tcPr>
            <w:tcW w:w="16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457A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(&gt; 20 ani)</w:t>
            </w:r>
          </w:p>
        </w:tc>
        <w:tc>
          <w:tcPr>
            <w:tcW w:w="11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0296E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27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3E67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bl>
    <w:p w14:paraId="27625A80"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17</w:t>
      </w:r>
    </w:p>
    <w:p w14:paraId="0336AF07"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suprafețele împădurite cu un coronament mai mare de 30 % – excluzând plantațiile forestiere</w:t>
      </w: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5"/>
        <w:gridCol w:w="2749"/>
        <w:gridCol w:w="3039"/>
        <w:gridCol w:w="2512"/>
      </w:tblGrid>
      <w:tr w:rsidR="007449C0" w:rsidRPr="0085715D" w14:paraId="501FE11C" w14:textId="77777777" w:rsidTr="003D514F">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560CE"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BFA0B1"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49FAF"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EE04D"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r w:rsidRPr="0085715D">
              <w:rPr>
                <w:b/>
                <w:bCs/>
                <w:i/>
                <w:iCs/>
                <w:color w:val="333333"/>
                <w:sz w:val="24"/>
                <w:lang w:eastAsia="ro-RO"/>
              </w:rPr>
              <w:t> </w:t>
            </w:r>
            <w:r w:rsidRPr="0085715D">
              <w:rPr>
                <w:b/>
                <w:bCs/>
                <w:color w:val="333333"/>
                <w:sz w:val="24"/>
                <w:lang w:eastAsia="ro-RO"/>
              </w:rPr>
              <w:t>(tone carbon per hectar)</w:t>
            </w:r>
          </w:p>
        </w:tc>
      </w:tr>
      <w:tr w:rsidR="007449C0" w:rsidRPr="0085715D" w14:paraId="43EFAF81" w14:textId="77777777" w:rsidTr="003D514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0BC1D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817562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1E1E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32CE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204</w:t>
            </w:r>
          </w:p>
        </w:tc>
      </w:tr>
      <w:tr w:rsidR="007449C0" w:rsidRPr="0085715D" w14:paraId="114CEF5A"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CCA2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54B97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5B44D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D0B0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198</w:t>
            </w:r>
          </w:p>
        </w:tc>
      </w:tr>
      <w:tr w:rsidR="007449C0" w:rsidRPr="0085715D" w14:paraId="41BD0B4A"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7011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10448"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4DF17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35E5C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185</w:t>
            </w:r>
          </w:p>
        </w:tc>
      </w:tr>
      <w:tr w:rsidR="007449C0" w:rsidRPr="0085715D" w14:paraId="10C6A3ED"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6E35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2D133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471A2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3C0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230</w:t>
            </w:r>
          </w:p>
        </w:tc>
      </w:tr>
      <w:tr w:rsidR="007449C0" w:rsidRPr="0085715D" w14:paraId="4F25B279"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8B7F95"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AA51B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0DCA7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1D5A8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156</w:t>
            </w:r>
          </w:p>
        </w:tc>
      </w:tr>
      <w:tr w:rsidR="007449C0" w:rsidRPr="0085715D" w14:paraId="6451EA5F"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C9AD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0DA7A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E5F20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821AF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133</w:t>
            </w:r>
          </w:p>
        </w:tc>
      </w:tr>
      <w:tr w:rsidR="007449C0" w:rsidRPr="0085715D" w14:paraId="6395CBE0"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91A8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9B629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231C5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41B3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110</w:t>
            </w:r>
          </w:p>
        </w:tc>
      </w:tr>
      <w:tr w:rsidR="007449C0" w:rsidRPr="0085715D" w14:paraId="2998D269"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B2C9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B4D8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C9899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F0D2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174</w:t>
            </w:r>
          </w:p>
        </w:tc>
      </w:tr>
      <w:tr w:rsidR="007449C0" w:rsidRPr="0085715D" w14:paraId="594A001D"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CCB00"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94BC6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0DA45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66C2C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77</w:t>
            </w:r>
          </w:p>
        </w:tc>
      </w:tr>
      <w:tr w:rsidR="007449C0" w:rsidRPr="0085715D" w14:paraId="0591AD9D"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3338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B7C9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B82E9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0EA8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131</w:t>
            </w:r>
          </w:p>
        </w:tc>
      </w:tr>
      <w:tr w:rsidR="007449C0" w:rsidRPr="0085715D" w14:paraId="64C7E8D4"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E037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9835F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5A112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4FE9C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83</w:t>
            </w:r>
          </w:p>
        </w:tc>
      </w:tr>
      <w:tr w:rsidR="007449C0" w:rsidRPr="0085715D" w14:paraId="61743BB7"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3C0B0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092C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8B470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027D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101</w:t>
            </w:r>
          </w:p>
        </w:tc>
      </w:tr>
      <w:tr w:rsidR="007449C0" w:rsidRPr="0085715D" w14:paraId="2ACBDF3C"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3BD90"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D2C0E3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2AF43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84C8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77</w:t>
            </w:r>
          </w:p>
        </w:tc>
      </w:tr>
      <w:tr w:rsidR="007449C0" w:rsidRPr="0085715D" w14:paraId="1CAE6A16"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FC9A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6EE3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8EA8A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9BA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94</w:t>
            </w:r>
          </w:p>
        </w:tc>
      </w:tr>
      <w:tr w:rsidR="007449C0" w:rsidRPr="0085715D" w14:paraId="1FDDD142"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89E0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2D8F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8B647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98E03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88</w:t>
            </w:r>
          </w:p>
        </w:tc>
      </w:tr>
      <w:tr w:rsidR="007449C0" w:rsidRPr="0085715D" w14:paraId="510C1D66"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1847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327D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8B2FF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BB71D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130</w:t>
            </w:r>
          </w:p>
        </w:tc>
      </w:tr>
      <w:tr w:rsidR="007449C0" w:rsidRPr="0085715D" w14:paraId="766CE150" w14:textId="77777777" w:rsidTr="003D514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8D0C46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C0B379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5FD6E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C4F16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132</w:t>
            </w:r>
          </w:p>
        </w:tc>
      </w:tr>
      <w:tr w:rsidR="007449C0" w:rsidRPr="0085715D" w14:paraId="0EB7BB28"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CBA6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8543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8A2B3E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DD093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109</w:t>
            </w:r>
          </w:p>
        </w:tc>
      </w:tr>
      <w:tr w:rsidR="007449C0" w:rsidRPr="0085715D" w14:paraId="1CF10693"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3B32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4C3C1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1AA8AF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A2C1C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173</w:t>
            </w:r>
          </w:p>
        </w:tc>
      </w:tr>
      <w:tr w:rsidR="007449C0" w:rsidRPr="0085715D" w14:paraId="3AA570D7"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9604F9"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49C0E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7A9F8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70C0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88</w:t>
            </w:r>
          </w:p>
        </w:tc>
      </w:tr>
      <w:tr w:rsidR="007449C0" w:rsidRPr="0085715D" w14:paraId="4BA6D59D"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6AB1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7A0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DC554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1675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130</w:t>
            </w:r>
          </w:p>
        </w:tc>
      </w:tr>
      <w:tr w:rsidR="007449C0" w:rsidRPr="0085715D" w14:paraId="7C09C7D6"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DD3C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2812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71019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7E57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82</w:t>
            </w:r>
          </w:p>
        </w:tc>
      </w:tr>
      <w:tr w:rsidR="007449C0" w:rsidRPr="0085715D" w14:paraId="5ED5C7FC"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447E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6C61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969B55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EE72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100</w:t>
            </w:r>
          </w:p>
        </w:tc>
      </w:tr>
      <w:tr w:rsidR="007449C0" w:rsidRPr="0085715D" w14:paraId="770BC0D8"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65F712"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C4564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B2F2C2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BE854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46</w:t>
            </w:r>
          </w:p>
        </w:tc>
      </w:tr>
      <w:tr w:rsidR="007449C0" w:rsidRPr="0085715D" w14:paraId="503DC2AD"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2065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9485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B88EF3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4D36D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53</w:t>
            </w:r>
          </w:p>
        </w:tc>
      </w:tr>
      <w:tr w:rsidR="007449C0" w:rsidRPr="0085715D" w14:paraId="36A7BE06"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2485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DA46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1977E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9F3B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41</w:t>
            </w:r>
          </w:p>
        </w:tc>
      </w:tr>
      <w:tr w:rsidR="007449C0" w:rsidRPr="0085715D" w14:paraId="35A9A2D9"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1C06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EE92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34B20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(insulară)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9D82A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47</w:t>
            </w:r>
          </w:p>
        </w:tc>
      </w:tr>
      <w:tr w:rsidR="007449C0" w:rsidRPr="0085715D" w14:paraId="112E2639" w14:textId="77777777" w:rsidTr="003D514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D93BC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D82C3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2641A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Europa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B0A81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84</w:t>
            </w:r>
          </w:p>
        </w:tc>
      </w:tr>
      <w:tr w:rsidR="007449C0" w:rsidRPr="0085715D" w14:paraId="31D24920"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D095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BFDA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F9F18E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C48D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406</w:t>
            </w:r>
          </w:p>
        </w:tc>
      </w:tr>
      <w:tr w:rsidR="007449C0" w:rsidRPr="0085715D" w14:paraId="6B5CBEA2"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C2A3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FD494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F181B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09F72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227</w:t>
            </w:r>
          </w:p>
        </w:tc>
      </w:tr>
      <w:tr w:rsidR="007449C0" w:rsidRPr="0085715D" w14:paraId="604C3EDA"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A30B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C54B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4AE81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5AA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120</w:t>
            </w:r>
          </w:p>
        </w:tc>
      </w:tr>
      <w:tr w:rsidR="007449C0" w:rsidRPr="0085715D" w14:paraId="68145240"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41812"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5EC537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din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49D4E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79FE0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27</w:t>
            </w:r>
          </w:p>
        </w:tc>
      </w:tr>
      <w:tr w:rsidR="007449C0" w:rsidRPr="0085715D" w14:paraId="754374AE"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4420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7070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2464D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D5DC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87</w:t>
            </w:r>
          </w:p>
        </w:tc>
      </w:tr>
      <w:tr w:rsidR="007449C0" w:rsidRPr="0085715D" w14:paraId="038ACC0C"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02BC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D233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3D340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02913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51</w:t>
            </w:r>
          </w:p>
        </w:tc>
      </w:tr>
      <w:tr w:rsidR="007449C0" w:rsidRPr="0085715D" w14:paraId="49065987"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C297A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039A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F0BC2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FAB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93</w:t>
            </w:r>
          </w:p>
        </w:tc>
      </w:tr>
      <w:tr w:rsidR="007449C0" w:rsidRPr="0085715D" w14:paraId="16681B65"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A55FC5"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57C63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temperată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5CB21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2891A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75</w:t>
            </w:r>
          </w:p>
        </w:tc>
      </w:tr>
      <w:tr w:rsidR="007449C0" w:rsidRPr="0085715D" w14:paraId="5C0E63D8"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EFAAD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AAA7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EA6A5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DDCD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93</w:t>
            </w:r>
          </w:p>
        </w:tc>
      </w:tr>
      <w:tr w:rsidR="007449C0" w:rsidRPr="0085715D" w14:paraId="088D36CF"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194EB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D252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B8551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5251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45</w:t>
            </w:r>
          </w:p>
        </w:tc>
      </w:tr>
      <w:tr w:rsidR="007449C0" w:rsidRPr="0085715D" w14:paraId="6CE60172"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C46F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BA57A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C276A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F4A6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93</w:t>
            </w:r>
          </w:p>
        </w:tc>
      </w:tr>
      <w:tr w:rsidR="007449C0" w:rsidRPr="0085715D" w14:paraId="1032630F" w14:textId="77777777" w:rsidTr="003D514F">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D25CD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Boreal</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3F6EB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boreală de conifere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86D2B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FBDD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53</w:t>
            </w:r>
          </w:p>
        </w:tc>
      </w:tr>
      <w:tr w:rsidR="007449C0" w:rsidRPr="0085715D" w14:paraId="638B0DA8"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EDF48"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D98CD2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02747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B788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26</w:t>
            </w:r>
          </w:p>
        </w:tc>
      </w:tr>
      <w:tr w:rsidR="007449C0" w:rsidRPr="0085715D" w14:paraId="10A548C9"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7DEB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8EA6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5540E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A846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35</w:t>
            </w:r>
          </w:p>
        </w:tc>
      </w:tr>
      <w:tr w:rsidR="007449C0" w:rsidRPr="0085715D" w14:paraId="5CB5806E"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E607E9"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6CA34A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53080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76C6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32</w:t>
            </w:r>
          </w:p>
        </w:tc>
      </w:tr>
      <w:tr w:rsidR="007449C0" w:rsidRPr="0085715D" w14:paraId="1A8A05CA" w14:textId="77777777" w:rsidTr="003D514F">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CE8D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D0A4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290D40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America de Nord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4241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53</w:t>
            </w:r>
          </w:p>
        </w:tc>
      </w:tr>
    </w:tbl>
    <w:p w14:paraId="3C0CD207"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Tabelul 18</w:t>
      </w:r>
    </w:p>
    <w:p w14:paraId="52E2207F" w14:textId="77777777" w:rsidR="007449C0" w:rsidRPr="0085715D" w:rsidRDefault="007449C0" w:rsidP="007449C0">
      <w:pPr>
        <w:pStyle w:val="Sectiune"/>
        <w:rPr>
          <w:rFonts w:eastAsia="Times New Roman"/>
          <w:sz w:val="24"/>
          <w:lang w:eastAsia="ro-RO"/>
        </w:rPr>
      </w:pPr>
      <w:r w:rsidRPr="0085715D">
        <w:rPr>
          <w:rFonts w:eastAsia="Times New Roman"/>
          <w:sz w:val="24"/>
          <w:lang w:eastAsia="ro-RO"/>
        </w:rPr>
        <w:t>Valorile de vegetație pentru plantațiile forestiere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44"/>
        <w:gridCol w:w="3068"/>
        <w:gridCol w:w="2892"/>
        <w:gridCol w:w="1711"/>
        <w:gridCol w:w="630"/>
      </w:tblGrid>
      <w:tr w:rsidR="007449C0" w:rsidRPr="0085715D" w14:paraId="2D712FC0" w14:textId="77777777" w:rsidTr="003D514F">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058CB1"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Domeniu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33300"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Zonă ecologică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85287"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Continent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2E27B"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C</w:t>
            </w:r>
            <w:r w:rsidRPr="0085715D">
              <w:rPr>
                <w:b/>
                <w:bCs/>
                <w:i/>
                <w:iCs/>
                <w:color w:val="333333"/>
                <w:sz w:val="24"/>
                <w:vertAlign w:val="subscript"/>
                <w:lang w:eastAsia="ro-RO"/>
              </w:rPr>
              <w:t>VEG</w:t>
            </w:r>
          </w:p>
          <w:p w14:paraId="04374F92"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color w:val="333333"/>
                <w:sz w:val="24"/>
                <w:lang w:eastAsia="ro-RO"/>
              </w:rPr>
              <w:t>(tone carbon per hectar)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F44112" w14:textId="77777777" w:rsidR="007449C0" w:rsidRPr="0085715D" w:rsidRDefault="007449C0" w:rsidP="003D514F">
            <w:pPr>
              <w:spacing w:before="60" w:after="60" w:line="312" w:lineRule="atLeast"/>
              <w:ind w:right="195" w:firstLine="0"/>
              <w:jc w:val="center"/>
              <w:rPr>
                <w:b/>
                <w:bCs/>
                <w:color w:val="333333"/>
                <w:sz w:val="24"/>
                <w:lang w:eastAsia="ro-RO"/>
              </w:rPr>
            </w:pPr>
            <w:r w:rsidRPr="0085715D">
              <w:rPr>
                <w:b/>
                <w:bCs/>
                <w:i/>
                <w:iCs/>
                <w:color w:val="333333"/>
                <w:sz w:val="24"/>
                <w:lang w:eastAsia="ro-RO"/>
              </w:rPr>
              <w:t>R</w:t>
            </w:r>
          </w:p>
        </w:tc>
      </w:tr>
      <w:tr w:rsidR="007449C0" w:rsidRPr="0085715D" w14:paraId="250E19BD"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A4194E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0FACFB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pluvială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0073B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64A05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796B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68AF845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FE3C0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1C69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83D485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DA44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64DE4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F3C5D5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74A28C"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C9D6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7ED89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751A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51E6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33CE4A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5991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5FC47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00649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1FD58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4EE89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6A00BD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1DD78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E23A98"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EED04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925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EA67E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C18125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F3F10F"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382C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6CB3D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CAEC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ACAE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AF1709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51D9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CD700B"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F501A5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EFB8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4634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940D3E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9038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863F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7027E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726E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C33E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7A76009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F1A3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D982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72164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CCDE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2D36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D03678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2AF8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57B5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292DD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F7EC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F2F3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AAED3D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6E335"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B67413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umedă de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3CE5F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4E330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883A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D9202C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2A25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AFAB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11E64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CCFF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8244B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B5A1C1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098C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0FA8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47114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E0E7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2E680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4D991F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3F9F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C861B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5ADC5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4BEE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CFCC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29F4CF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C0A0DF"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8481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22028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C7D80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735F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631A140A"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590EC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7C63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9C56D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BB6F2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A44C9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5E031A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FBAC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CEA1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1C413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FE361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EE8A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7B0E2FC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DD852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48CB9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B7CEE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851D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B8CFF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569F21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C06B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971A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7A7DE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C8CB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E20B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AA0FE9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8F52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61DE1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91FB0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86A9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D6F3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F3A475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34CEF"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BB262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B3318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8105C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874E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06F693A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FCAF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B4BC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8846B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E113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B7DF1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1DF61E1A"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C4CB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7951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CE9AC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5540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6960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0F5464F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ED8E9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3BA6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91E35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CA909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9B57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3C4692C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10D9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297B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62529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75D4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9207E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0CC7E64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79659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AF30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68AFF2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C702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7B6A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03E3C12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962E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B3BAC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310C77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03CD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EC3CC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5326F70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75FDE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9AC07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D57EF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5F5A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DA24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249F9FA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E07A6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387B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63B802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13DC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CBA2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525AC5E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D7A6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D90F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80365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282C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4EC7F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58A8C62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7AB33"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71FB3C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Zonă tropicală de tufăriș</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6406A4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AEEB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53ED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D7B9E4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C780C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A4BA6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90906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01CBE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9995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766DEC9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72F7C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97A6A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E0C14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2FF7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EEF65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495AD7B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9DCC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7B79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8B6BC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B2B38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DC35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962510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2406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E713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8AEA4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49A9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EC7C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828062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B7A5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1650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42D75F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1355F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5479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C6C43E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0FD0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6EC5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55FC3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949F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57FC0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1E02740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6BB7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02419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9BC9C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985E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3C7B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12EE2CA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2B011F"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6D968"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5F27C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5AB3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0690C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10E7BB6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36871"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D3AA13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D47F04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AD00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C7C4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C74702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E416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F0E3F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A664DC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C1A27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3197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D1A210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F490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A2837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29A3CD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D621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9FA7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4B7FCF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1470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BDE62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342D0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F655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F9C9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F73296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15A7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857E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4210F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92975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4F83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C0EC67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07281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99902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73C494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D37D6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EF87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A0367F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E0D03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A1D4E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F70AD6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B9374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8BCB4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A91A70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B87FD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E3B4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10494D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DEC2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A0A1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9EF189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100B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449EF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946E4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736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3E9D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A84B55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8EAB3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B922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32EA7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599A3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E18A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1C6E8869"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02E331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Subtropical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76B84D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umedă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D4643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503E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33C5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622DB9E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73DD7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3F65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A0E7F3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32198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9EF4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7F168AF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1D2D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19E7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688BA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2527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2A66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512E031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E25DC"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5F33C6"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521E6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434D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4C38D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1F0B8CDE"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9B23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7DE6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69BBBD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2A15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560B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2DC109D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7F25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80D2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6E6BE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FA1F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4669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4EE90BE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48760"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FEA662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subtropicală uscată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E5D14A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DE6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A3CC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0,28</w:t>
            </w:r>
          </w:p>
        </w:tc>
      </w:tr>
      <w:tr w:rsidR="007449C0" w:rsidRPr="0085715D" w14:paraId="46E4926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7AD97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477D3"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A5C73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7B86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B4A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1052DA3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0CC9C"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6650B"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99F582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66F8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F10B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6F4C92C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8AF42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C4890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C8BE3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36D99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464ED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13E1E59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A6FCD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3E680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287BB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E689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FCF5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578474A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31B96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A2A5A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BA779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BFB2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00D8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17D57B0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CC8E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33CDF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70345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96059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614D0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274083E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CD7A9"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A69B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3C6DDD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834E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3431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2555183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1B6A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9B85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41523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FD0BA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B524E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2787E00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EEA9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9AECB"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436DB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5331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5CDD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698DF8F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9EAE6"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BA52D2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Stepă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C31D5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8A3E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5FD2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58B40FC7"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50B4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F4E3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C81AC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8F24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2820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668ABF0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E241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AE47E"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2C655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914A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D9EDF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5DEAB04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D010B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D2E4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84CA2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B559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04B0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72621D7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91C6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3BDB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D1D99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553F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C309F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19A4808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19581"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A15B1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306A6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EE4B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9C8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758B7C3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E348D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DD70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8DF754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A3B63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1E1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6379802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28558C"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68525"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0EB98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F6B4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315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5EF8C206"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36729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718E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E3D83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9D46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87208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418D7D2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8433D"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8339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B5FAC5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3CEA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B2A2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4F84676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615B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C905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BAE2C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ABF7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B0038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0,32</w:t>
            </w:r>
          </w:p>
        </w:tc>
      </w:tr>
      <w:tr w:rsidR="007449C0" w:rsidRPr="0085715D" w14:paraId="7628EBF4"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EA817"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03488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Masive muntoase din zona subtropicală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016803"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00B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BA10F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B93BB2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0D9E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3C92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A9E33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FB33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A275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01AF1FB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E8CE5"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F017F6"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D4326C"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9F556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BB65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094391A"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08FD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AF537"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51DFBB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Africa </w:t>
            </w:r>
            <w:proofErr w:type="spellStart"/>
            <w:r w:rsidRPr="0085715D">
              <w:rPr>
                <w:i/>
                <w:iCs/>
                <w:color w:val="333333"/>
                <w:sz w:val="24"/>
                <w:lang w:eastAsia="ro-RO"/>
              </w:rPr>
              <w:t>Pinus</w:t>
            </w:r>
            <w:proofErr w:type="spellEnd"/>
            <w:r w:rsidRPr="0085715D">
              <w:rPr>
                <w:color w:val="333333"/>
                <w:sz w:val="24"/>
                <w:lang w:eastAsia="ro-RO"/>
              </w:rPr>
              <w:t> sp.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FB42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E962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F05FAE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F84D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8299D"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4E1290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Eucalyptus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FC5D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589D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CAC0705"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7958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F8666"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1C3DFA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Pinus</w:t>
            </w:r>
            <w:proofErr w:type="spellEnd"/>
            <w:r w:rsidRPr="0085715D">
              <w:rPr>
                <w:color w:val="333333"/>
                <w:sz w:val="24"/>
                <w:lang w:eastAsia="ro-RO"/>
              </w:rPr>
              <w:t> sp.</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7F96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71E2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9F9B5F9"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9630A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4FE0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0218B7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w:t>
            </w:r>
            <w:proofErr w:type="spellStart"/>
            <w:r w:rsidRPr="0085715D">
              <w:rPr>
                <w:i/>
                <w:iCs/>
                <w:color w:val="333333"/>
                <w:sz w:val="24"/>
                <w:lang w:eastAsia="ro-RO"/>
              </w:rPr>
              <w:t>Tectona</w:t>
            </w:r>
            <w:proofErr w:type="spellEnd"/>
            <w:r w:rsidRPr="0085715D">
              <w:rPr>
                <w:i/>
                <w:iCs/>
                <w:color w:val="333333"/>
                <w:sz w:val="24"/>
                <w:lang w:eastAsia="ro-RO"/>
              </w:rPr>
              <w:t xml:space="preserve"> </w:t>
            </w:r>
            <w:proofErr w:type="spellStart"/>
            <w:r w:rsidRPr="0085715D">
              <w:rPr>
                <w:i/>
                <w:iCs/>
                <w:color w:val="333333"/>
                <w:sz w:val="24"/>
                <w:lang w:eastAsia="ro-RO"/>
              </w:rPr>
              <w:t>grandis</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EF131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BB42A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5337316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6E41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9A0B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06B23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 și de Sud alte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EEE05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220C1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0366FF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E8B0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D8E3F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9AD37D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foioase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442226"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DEECFC"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2597216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135B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653B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659F9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altele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A7579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8147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561143D"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1E9616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lastRenderedPageBreak/>
              <w:t>Temperat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49B4D5"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din zona temperat oceanică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3AB2D1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E944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BC42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69383DB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23C9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EBD4F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35696C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1F7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D9E2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5FD37E8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56F2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A4F4F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955A4FB"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70C7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95546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0B60D15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9169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3B49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8C488C8"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C03EC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4C47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5226A08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4C73A4"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FD1D6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E463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9B77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BFAB9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0052F8B0"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E8A792"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7147AF"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AD7CE8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Noua Zeelandă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AF599"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4CBF4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2B15BED8"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B2F03"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E74CF9"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80CE3A"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74799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851C5"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2364A27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73ADC"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A9F45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și masive muntoase in zona temperat continentală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0EC4E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foioase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5C1D0"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9433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689FA52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8C6DA"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B1986C"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D31516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foioase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CEB6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AED7F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2A51EC7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07AA6"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E213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0C74C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conifere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E8A24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6492B"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35354072"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EA2040"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E3EA80"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DA813A2"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conifere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5ED3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6B30A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2FC3141C"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6127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FD3F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E2CDE4"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1A20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0FC1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687570FD"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73A48"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3BA44"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FDA1F1"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Sud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A48DA"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9DD2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0,27</w:t>
            </w:r>
          </w:p>
        </w:tc>
      </w:tr>
      <w:tr w:rsidR="007449C0" w:rsidRPr="0085715D" w14:paraId="686BD1D6" w14:textId="77777777" w:rsidTr="003D514F">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C7C7BB0"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Boreal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EA210B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de conifere și masive muntoase din zona boreală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A680709"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2B3D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1A3B8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6210F9BB"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DE65F"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B860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E30B6B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F83D2"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0DF3D"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726F524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95B37"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D367A"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5FDCEF"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AB84E8"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6881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4CE0E9F"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3BCDE" w14:textId="77777777" w:rsidR="007449C0" w:rsidRPr="0085715D" w:rsidRDefault="007449C0" w:rsidP="003D514F">
            <w:pPr>
              <w:ind w:firstLine="0"/>
              <w:jc w:val="left"/>
              <w:rPr>
                <w:color w:val="333333"/>
                <w:sz w:val="24"/>
                <w:lang w:eastAsia="ro-RO"/>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161531D"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Pădure boreală de tundră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DBE376E"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&gt;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16421"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B38C7"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44502531"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3CBEB"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2CE42"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F2FBCA7"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Asia, Europa ≤ 20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5241E"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75763"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r w:rsidR="007449C0" w:rsidRPr="0085715D" w14:paraId="3EC6E8D3" w14:textId="77777777" w:rsidTr="003D514F">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AF936E" w14:textId="77777777" w:rsidR="007449C0" w:rsidRPr="0085715D" w:rsidRDefault="007449C0" w:rsidP="003D514F">
            <w:pPr>
              <w:ind w:firstLine="0"/>
              <w:jc w:val="left"/>
              <w:rPr>
                <w:color w:val="333333"/>
                <w:sz w:val="24"/>
                <w:lang w:eastAsia="ro-RO"/>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7B981" w14:textId="77777777" w:rsidR="007449C0" w:rsidRPr="0085715D" w:rsidRDefault="007449C0" w:rsidP="003D514F">
            <w:pPr>
              <w:ind w:firstLine="0"/>
              <w:jc w:val="left"/>
              <w:rPr>
                <w:color w:val="333333"/>
                <w:sz w:val="24"/>
                <w:lang w:eastAsia="ro-RO"/>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E545BD6" w14:textId="77777777" w:rsidR="007449C0" w:rsidRPr="0085715D" w:rsidRDefault="007449C0" w:rsidP="003D514F">
            <w:pPr>
              <w:spacing w:before="60" w:after="60" w:line="312" w:lineRule="atLeast"/>
              <w:ind w:firstLine="0"/>
              <w:jc w:val="left"/>
              <w:rPr>
                <w:color w:val="333333"/>
                <w:sz w:val="24"/>
                <w:lang w:eastAsia="ro-RO"/>
              </w:rPr>
            </w:pPr>
            <w:r w:rsidRPr="0085715D">
              <w:rPr>
                <w:color w:val="333333"/>
                <w:sz w:val="24"/>
                <w:lang w:eastAsia="ro-RO"/>
              </w:rPr>
              <w:t>America de Nord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3EFA4"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1D4AAF" w14:textId="77777777" w:rsidR="007449C0" w:rsidRPr="0085715D" w:rsidRDefault="007449C0" w:rsidP="003D514F">
            <w:pPr>
              <w:spacing w:before="60" w:after="60" w:line="312" w:lineRule="atLeast"/>
              <w:ind w:right="195" w:firstLine="0"/>
              <w:jc w:val="center"/>
              <w:rPr>
                <w:color w:val="333333"/>
                <w:sz w:val="24"/>
                <w:lang w:eastAsia="ro-RO"/>
              </w:rPr>
            </w:pPr>
            <w:r w:rsidRPr="0085715D">
              <w:rPr>
                <w:color w:val="333333"/>
                <w:sz w:val="24"/>
                <w:lang w:eastAsia="ro-RO"/>
              </w:rPr>
              <w:t>0,24</w:t>
            </w:r>
          </w:p>
        </w:tc>
      </w:tr>
    </w:tbl>
    <w:p w14:paraId="4AFD06BD" w14:textId="77777777" w:rsidR="007449C0" w:rsidRDefault="007449C0" w:rsidP="00AD5002">
      <w:pPr>
        <w:pStyle w:val="Anexapct1"/>
        <w:numPr>
          <w:ilvl w:val="0"/>
          <w:numId w:val="0"/>
        </w:numPr>
        <w:ind w:left="431"/>
      </w:pPr>
    </w:p>
    <w:p w14:paraId="5BA7D1C7" w14:textId="75366528" w:rsidR="00AD5002" w:rsidRDefault="00AD5002" w:rsidP="002724C1">
      <w:r w:rsidRPr="00671F38">
        <w:rPr>
          <w:b/>
          <w:bCs/>
        </w:rPr>
        <w:t>4.</w:t>
      </w:r>
      <w:r>
        <w:t xml:space="preserve"> Hotărârea Guvernului </w:t>
      </w:r>
      <w:r w:rsidRPr="00827721">
        <w:t>nr. 74/2025 cu privire la aprobarea Regulamentului privind calculul consumului de energie din surse regenerabile (Monitorul Oficial al Republicii Moldova, 2025, nr. 100-103 art. 98), se modifică după cum urmează:</w:t>
      </w:r>
    </w:p>
    <w:p w14:paraId="0A57690C" w14:textId="7DCE5057" w:rsidR="002724C1" w:rsidRDefault="002724C1" w:rsidP="001B317F">
      <w:r>
        <w:t>4.1</w:t>
      </w:r>
      <w:r w:rsidR="001E1DFC">
        <w:t>.</w:t>
      </w:r>
      <w:r>
        <w:t xml:space="preserve"> În </w:t>
      </w:r>
      <w:r w:rsidRPr="00827721">
        <w:t>Regulamentul privind calculul consumului de energie din surse regenerabile</w:t>
      </w:r>
      <w:r>
        <w:t>:</w:t>
      </w:r>
    </w:p>
    <w:p w14:paraId="62792003" w14:textId="7E8A9D4A" w:rsidR="001B317F" w:rsidRDefault="001B317F" w:rsidP="00671F38">
      <w:r>
        <w:t xml:space="preserve">4.1.1. </w:t>
      </w:r>
      <w:r w:rsidRPr="001B317F">
        <w:t>clauza de armonizare se completează cu următorul cuprins:</w:t>
      </w:r>
    </w:p>
    <w:p w14:paraId="04309483" w14:textId="77777777" w:rsidR="00AD5002" w:rsidRDefault="00AD5002" w:rsidP="001B317F">
      <w:r>
        <w:lastRenderedPageBreak/>
        <w:t xml:space="preserve">- transpune integral </w:t>
      </w:r>
      <w:r w:rsidRPr="00F84887">
        <w:t>Directiva delegată (UE) 2024/1405 a Comisiei din 14 martie 2024 de modificare a anexei IX la Directiva (UE) 2018/2001 a Parlamentului European și a Consiliului în ceea ce privește adăugarea de materii prime pentru producția de biocombustibili și biogaz</w:t>
      </w:r>
      <w:r w:rsidRPr="00827721">
        <w:t>, publicat în Jurnalul Oficial al Uniunii Europene</w:t>
      </w:r>
      <w:r>
        <w:t>, seria</w:t>
      </w:r>
      <w:r w:rsidRPr="00827721">
        <w:t xml:space="preserve"> L </w:t>
      </w:r>
      <w:r w:rsidRPr="00D143B9">
        <w:t>2024/1405</w:t>
      </w:r>
      <w:r>
        <w:t xml:space="preserve"> </w:t>
      </w:r>
      <w:r w:rsidRPr="00827721">
        <w:t xml:space="preserve">din </w:t>
      </w:r>
      <w:r>
        <w:t>17</w:t>
      </w:r>
      <w:r w:rsidRPr="00827721">
        <w:t xml:space="preserve"> </w:t>
      </w:r>
      <w:r>
        <w:t>mai</w:t>
      </w:r>
      <w:r w:rsidRPr="00827721">
        <w:t xml:space="preserve"> 202</w:t>
      </w:r>
      <w:r>
        <w:t>4</w:t>
      </w:r>
      <w:r w:rsidRPr="00827721">
        <w:t xml:space="preserve"> (CELEX: </w:t>
      </w:r>
      <w:r w:rsidRPr="00B3509A">
        <w:t>32024L1405</w:t>
      </w:r>
      <w:r w:rsidRPr="00827721">
        <w:t>)</w:t>
      </w:r>
      <w:r>
        <w:t>;</w:t>
      </w:r>
    </w:p>
    <w:p w14:paraId="56BE0AFA" w14:textId="2DA90D4A" w:rsidR="00AD5002" w:rsidRDefault="00EA5E61" w:rsidP="00671F38">
      <w:r>
        <w:t>4.</w:t>
      </w:r>
      <w:r w:rsidR="001B317F">
        <w:t>1</w:t>
      </w:r>
      <w:r>
        <w:t>.2</w:t>
      </w:r>
      <w:r w:rsidR="001E1DFC">
        <w:t>.</w:t>
      </w:r>
      <w:r>
        <w:t xml:space="preserve"> </w:t>
      </w:r>
      <w:r w:rsidR="00AD5002" w:rsidRPr="00AE641C">
        <w:t>la</w:t>
      </w:r>
      <w:r w:rsidR="00AD5002">
        <w:t xml:space="preserve"> pct. 3 după textul „(</w:t>
      </w:r>
      <w:r w:rsidR="00AD5002" w:rsidRPr="00F303FA">
        <w:t xml:space="preserve">în continuare – </w:t>
      </w:r>
      <w:r w:rsidR="00AD5002" w:rsidRPr="00F303FA">
        <w:rPr>
          <w:i/>
          <w:iCs/>
        </w:rPr>
        <w:t>Legea nr. 10/2016</w:t>
      </w:r>
      <w:r w:rsidR="00AD5002" w:rsidRPr="00F303FA">
        <w:t>)</w:t>
      </w:r>
      <w:r w:rsidR="00AD5002">
        <w:t xml:space="preserve">” se completează </w:t>
      </w:r>
      <w:r>
        <w:t>cu următorul text</w:t>
      </w:r>
      <w:r w:rsidR="00AD5002">
        <w:t>:</w:t>
      </w:r>
    </w:p>
    <w:p w14:paraId="53B80B29" w14:textId="0E515F18" w:rsidR="00AD5002" w:rsidRDefault="00AD5002" w:rsidP="00AD5002">
      <w:r>
        <w:t>„</w:t>
      </w:r>
      <w:r w:rsidR="00D23383">
        <w:t>,</w:t>
      </w:r>
      <w:r w:rsidRPr="006226BB">
        <w:t xml:space="preserve">în </w:t>
      </w:r>
      <w:r w:rsidRPr="00F303FA">
        <w:t>Hotărârea Guvernului nr. 53/2025 privind aprobarea Regulamentului cu privire la criteriile de durabilitate și de reducere a emisiilor de gaze cu efect de seră pentru biocarburanți, biolichide și combustibilii din biomasă și a Metodologiei de calcul al impactului biocarburanților, biolichidelor și combustibililor din biomasă asupra emisiilor de gaze cu efect de seră</w:t>
      </w:r>
      <w:r>
        <w:t>”</w:t>
      </w:r>
    </w:p>
    <w:p w14:paraId="36C39640" w14:textId="592B6E45" w:rsidR="00020D28" w:rsidRDefault="00EA5E61">
      <w:pPr>
        <w:rPr>
          <w:lang w:eastAsia="ru-RU"/>
        </w:rPr>
      </w:pPr>
      <w:r>
        <w:rPr>
          <w:lang w:eastAsia="ru-RU"/>
        </w:rPr>
        <w:t>4.</w:t>
      </w:r>
      <w:r w:rsidR="00580C18">
        <w:rPr>
          <w:lang w:eastAsia="ru-RU"/>
        </w:rPr>
        <w:t>1</w:t>
      </w:r>
      <w:r>
        <w:rPr>
          <w:lang w:eastAsia="ru-RU"/>
        </w:rPr>
        <w:t>.3</w:t>
      </w:r>
      <w:r w:rsidR="001E1DFC">
        <w:rPr>
          <w:lang w:eastAsia="ru-RU"/>
        </w:rPr>
        <w:t>.</w:t>
      </w:r>
      <w:r>
        <w:rPr>
          <w:lang w:eastAsia="ru-RU"/>
        </w:rPr>
        <w:t xml:space="preserve"> </w:t>
      </w:r>
      <w:r w:rsidR="001E1DFC">
        <w:rPr>
          <w:lang w:eastAsia="ru-RU"/>
        </w:rPr>
        <w:t>la pct. 3</w:t>
      </w:r>
      <w:r w:rsidR="00020D28">
        <w:rPr>
          <w:lang w:eastAsia="ru-RU"/>
        </w:rPr>
        <w:t>:</w:t>
      </w:r>
    </w:p>
    <w:p w14:paraId="191BF5CD" w14:textId="72322FD2" w:rsidR="00020D28" w:rsidRDefault="00020D28">
      <w:pPr>
        <w:rPr>
          <w:lang w:eastAsia="ru-RU"/>
        </w:rPr>
      </w:pPr>
      <w:r>
        <w:rPr>
          <w:lang w:eastAsia="ru-RU"/>
        </w:rPr>
        <w:t xml:space="preserve">4.1.3.1 </w:t>
      </w:r>
      <w:r w:rsidR="001E1DFC">
        <w:rPr>
          <w:lang w:eastAsia="ru-RU"/>
        </w:rPr>
        <w:t xml:space="preserve"> </w:t>
      </w:r>
      <w:r w:rsidR="00580C18">
        <w:rPr>
          <w:lang w:eastAsia="ru-RU"/>
        </w:rPr>
        <w:t xml:space="preserve">se exclud subpct. </w:t>
      </w:r>
      <w:r w:rsidR="00580C18" w:rsidRPr="0003068E">
        <w:rPr>
          <w:lang w:eastAsia="ru-RU"/>
        </w:rPr>
        <w:t>3.3-3.9,</w:t>
      </w:r>
    </w:p>
    <w:p w14:paraId="1444838E" w14:textId="519674A6" w:rsidR="00020D28" w:rsidRDefault="00020D28" w:rsidP="00020D28">
      <w:pPr>
        <w:rPr>
          <w:lang w:eastAsia="ru-RU"/>
        </w:rPr>
      </w:pPr>
      <w:r>
        <w:rPr>
          <w:lang w:eastAsia="ru-RU"/>
        </w:rPr>
        <w:t xml:space="preserve">4.1.3.2 </w:t>
      </w:r>
      <w:r w:rsidRPr="0003068E">
        <w:rPr>
          <w:lang w:eastAsia="ru-RU"/>
        </w:rPr>
        <w:t>la subpct. 3.10</w:t>
      </w:r>
      <w:r>
        <w:rPr>
          <w:lang w:eastAsia="ru-RU"/>
        </w:rPr>
        <w:t xml:space="preserve"> </w:t>
      </w:r>
      <w:r w:rsidRPr="0003068E">
        <w:rPr>
          <w:lang w:eastAsia="ru-RU"/>
        </w:rPr>
        <w:t xml:space="preserve">cuvântul „biocombustibili” se substituie cu </w:t>
      </w:r>
      <w:r w:rsidR="00864888">
        <w:rPr>
          <w:lang w:eastAsia="ru-RU"/>
        </w:rPr>
        <w:t xml:space="preserve">cuvântul </w:t>
      </w:r>
      <w:r w:rsidRPr="0003068E">
        <w:rPr>
          <w:lang w:eastAsia="ru-RU"/>
        </w:rPr>
        <w:t>„biocarburanți</w:t>
      </w:r>
      <w:r w:rsidR="00864888" w:rsidRPr="00864888">
        <w:rPr>
          <w:lang w:eastAsia="ru-RU"/>
        </w:rPr>
        <w:t xml:space="preserve"> </w:t>
      </w:r>
      <w:r w:rsidR="00864888">
        <w:rPr>
          <w:lang w:eastAsia="ru-RU"/>
        </w:rPr>
        <w:t xml:space="preserve">”, </w:t>
      </w:r>
      <w:r w:rsidR="00864888" w:rsidRPr="0003068E">
        <w:rPr>
          <w:lang w:eastAsia="ru-RU"/>
        </w:rPr>
        <w:t>conform regulilor gramaticale</w:t>
      </w:r>
      <w:r w:rsidRPr="0003068E">
        <w:rPr>
          <w:lang w:eastAsia="ru-RU"/>
        </w:rPr>
        <w:t>”;</w:t>
      </w:r>
    </w:p>
    <w:p w14:paraId="6240B31A" w14:textId="0A617491" w:rsidR="00020D28" w:rsidRDefault="00020D28" w:rsidP="00020D28">
      <w:pPr>
        <w:rPr>
          <w:lang w:eastAsia="ru-RU"/>
        </w:rPr>
      </w:pPr>
      <w:r>
        <w:rPr>
          <w:lang w:eastAsia="ru-RU"/>
        </w:rPr>
        <w:t>4.1.3.3 se exclude subpct.</w:t>
      </w:r>
      <w:r w:rsidR="00580C18" w:rsidRPr="0003068E">
        <w:rPr>
          <w:lang w:eastAsia="ru-RU"/>
        </w:rPr>
        <w:t xml:space="preserve"> 3.11</w:t>
      </w:r>
      <w:r>
        <w:rPr>
          <w:lang w:eastAsia="ru-RU"/>
        </w:rPr>
        <w:t>;</w:t>
      </w:r>
      <w:r w:rsidR="00580C18" w:rsidRPr="0003068E">
        <w:rPr>
          <w:lang w:eastAsia="ru-RU"/>
        </w:rPr>
        <w:t xml:space="preserve"> </w:t>
      </w:r>
    </w:p>
    <w:p w14:paraId="3C450BD4" w14:textId="439B0422" w:rsidR="00FC6727" w:rsidRDefault="00020D28" w:rsidP="00671F38">
      <w:pPr>
        <w:rPr>
          <w:lang w:eastAsia="ru-RU"/>
        </w:rPr>
      </w:pPr>
      <w:r>
        <w:rPr>
          <w:lang w:eastAsia="ru-RU"/>
        </w:rPr>
        <w:t xml:space="preserve">4.1.3.3 se exclud subpct. </w:t>
      </w:r>
      <w:r w:rsidR="00580C18" w:rsidRPr="0003068E">
        <w:rPr>
          <w:lang w:eastAsia="ru-RU"/>
        </w:rPr>
        <w:t xml:space="preserve">3.13 </w:t>
      </w:r>
      <w:r w:rsidR="00580C18">
        <w:rPr>
          <w:lang w:eastAsia="ru-RU"/>
        </w:rPr>
        <w:t xml:space="preserve">și </w:t>
      </w:r>
      <w:r w:rsidR="00580C18" w:rsidRPr="0003068E">
        <w:rPr>
          <w:lang w:eastAsia="ru-RU"/>
        </w:rPr>
        <w:t>3.14</w:t>
      </w:r>
      <w:r w:rsidR="00580C18">
        <w:rPr>
          <w:lang w:eastAsia="ru-RU"/>
        </w:rPr>
        <w:t>;</w:t>
      </w:r>
    </w:p>
    <w:p w14:paraId="28201CE9" w14:textId="0DCB1058" w:rsidR="00FC6727" w:rsidRDefault="00FC6727" w:rsidP="00671F38">
      <w:pPr>
        <w:rPr>
          <w:lang w:eastAsia="ru-RU"/>
        </w:rPr>
      </w:pPr>
      <w:r>
        <w:rPr>
          <w:lang w:eastAsia="ru-RU"/>
        </w:rPr>
        <w:t>4.</w:t>
      </w:r>
      <w:r w:rsidR="001E1DFC">
        <w:rPr>
          <w:lang w:eastAsia="ru-RU"/>
        </w:rPr>
        <w:t>1</w:t>
      </w:r>
      <w:r>
        <w:rPr>
          <w:lang w:eastAsia="ru-RU"/>
        </w:rPr>
        <w:t>.4</w:t>
      </w:r>
      <w:r w:rsidR="001E1DFC">
        <w:rPr>
          <w:lang w:eastAsia="ru-RU"/>
        </w:rPr>
        <w:t>.</w:t>
      </w:r>
      <w:r w:rsidR="00523D82">
        <w:rPr>
          <w:lang w:eastAsia="ru-RU"/>
        </w:rPr>
        <w:t xml:space="preserve"> </w:t>
      </w:r>
      <w:r w:rsidR="00523D82" w:rsidRPr="0003068E">
        <w:rPr>
          <w:lang w:eastAsia="ru-RU"/>
        </w:rPr>
        <w:t xml:space="preserve">la </w:t>
      </w:r>
      <w:r w:rsidR="00864888">
        <w:rPr>
          <w:lang w:eastAsia="ru-RU"/>
        </w:rPr>
        <w:t xml:space="preserve">pct. 12, </w:t>
      </w:r>
      <w:r w:rsidR="00523D82" w:rsidRPr="0003068E">
        <w:rPr>
          <w:lang w:eastAsia="ru-RU"/>
        </w:rPr>
        <w:t>subpct.  12.2, și 12.3</w:t>
      </w:r>
      <w:r w:rsidR="00864888">
        <w:rPr>
          <w:lang w:eastAsia="ru-RU"/>
        </w:rPr>
        <w:t>,</w:t>
      </w:r>
      <w:r w:rsidR="00523D82" w:rsidRPr="0003068E">
        <w:rPr>
          <w:lang w:eastAsia="ru-RU"/>
        </w:rPr>
        <w:t xml:space="preserve"> </w:t>
      </w:r>
      <w:r w:rsidRPr="0003068E">
        <w:rPr>
          <w:lang w:eastAsia="ru-RU"/>
        </w:rPr>
        <w:t xml:space="preserve">cuvântul „biocombustibili” se substituie cu </w:t>
      </w:r>
      <w:r w:rsidR="00864888">
        <w:rPr>
          <w:lang w:eastAsia="ru-RU"/>
        </w:rPr>
        <w:t xml:space="preserve">cuvântul </w:t>
      </w:r>
      <w:r w:rsidRPr="0003068E">
        <w:rPr>
          <w:lang w:eastAsia="ru-RU"/>
        </w:rPr>
        <w:t>„biocarburanți</w:t>
      </w:r>
      <w:r w:rsidR="00864888" w:rsidRPr="00864888">
        <w:rPr>
          <w:lang w:eastAsia="ru-RU"/>
        </w:rPr>
        <w:t xml:space="preserve"> </w:t>
      </w:r>
      <w:r w:rsidR="00864888" w:rsidRPr="0003068E">
        <w:rPr>
          <w:lang w:eastAsia="ru-RU"/>
        </w:rPr>
        <w:t>”conform regulilor gramaticale</w:t>
      </w:r>
      <w:r w:rsidRPr="0003068E">
        <w:rPr>
          <w:lang w:eastAsia="ru-RU"/>
        </w:rPr>
        <w:t>;</w:t>
      </w:r>
      <w:r w:rsidR="00864888" w:rsidRPr="00864888">
        <w:rPr>
          <w:lang w:eastAsia="ru-RU"/>
        </w:rPr>
        <w:t xml:space="preserve"> </w:t>
      </w:r>
    </w:p>
    <w:p w14:paraId="504D6F91" w14:textId="0FE727AC" w:rsidR="00FC6727" w:rsidRDefault="00FC6727" w:rsidP="00FC6727">
      <w:pPr>
        <w:pStyle w:val="Anexapct11"/>
        <w:numPr>
          <w:ilvl w:val="0"/>
          <w:numId w:val="0"/>
        </w:numPr>
        <w:ind w:left="431"/>
        <w:rPr>
          <w:lang w:eastAsia="ru-RU"/>
        </w:rPr>
      </w:pPr>
      <w:r>
        <w:rPr>
          <w:lang w:eastAsia="ru-RU"/>
        </w:rPr>
        <w:t>4.</w:t>
      </w:r>
      <w:r w:rsidR="001E1DFC">
        <w:rPr>
          <w:lang w:eastAsia="ru-RU"/>
        </w:rPr>
        <w:t>1</w:t>
      </w:r>
      <w:r>
        <w:rPr>
          <w:lang w:eastAsia="ru-RU"/>
        </w:rPr>
        <w:t>.5</w:t>
      </w:r>
      <w:r w:rsidR="001E1DFC">
        <w:rPr>
          <w:lang w:eastAsia="ru-RU"/>
        </w:rPr>
        <w:t>.</w:t>
      </w:r>
      <w:r>
        <w:rPr>
          <w:lang w:eastAsia="ru-RU"/>
        </w:rPr>
        <w:t xml:space="preserve"> </w:t>
      </w:r>
      <w:r w:rsidR="001E1DFC">
        <w:rPr>
          <w:lang w:eastAsia="ru-RU"/>
        </w:rPr>
        <w:t>l</w:t>
      </w:r>
      <w:r>
        <w:rPr>
          <w:lang w:eastAsia="ru-RU"/>
        </w:rPr>
        <w:t xml:space="preserve">a </w:t>
      </w:r>
      <w:r w:rsidR="001E1DFC">
        <w:rPr>
          <w:lang w:eastAsia="ru-RU"/>
        </w:rPr>
        <w:t>a</w:t>
      </w:r>
      <w:r>
        <w:rPr>
          <w:lang w:eastAsia="ru-RU"/>
        </w:rPr>
        <w:t>nexa nr. 3</w:t>
      </w:r>
      <w:r w:rsidR="001E1DFC">
        <w:rPr>
          <w:lang w:eastAsia="ru-RU"/>
        </w:rPr>
        <w:t>:</w:t>
      </w:r>
    </w:p>
    <w:p w14:paraId="43417D55" w14:textId="69ACB715" w:rsidR="00AD5002" w:rsidRDefault="00FC6727" w:rsidP="00671F38">
      <w:pPr>
        <w:pStyle w:val="Anexapct11"/>
        <w:numPr>
          <w:ilvl w:val="0"/>
          <w:numId w:val="0"/>
        </w:numPr>
        <w:ind w:left="431"/>
        <w:rPr>
          <w:lang w:eastAsia="ru-RU"/>
        </w:rPr>
      </w:pPr>
      <w:r>
        <w:rPr>
          <w:lang w:eastAsia="ru-RU"/>
        </w:rPr>
        <w:t>4.</w:t>
      </w:r>
      <w:r w:rsidR="001E1DFC">
        <w:rPr>
          <w:lang w:eastAsia="ru-RU"/>
        </w:rPr>
        <w:t>1</w:t>
      </w:r>
      <w:r>
        <w:rPr>
          <w:lang w:eastAsia="ru-RU"/>
        </w:rPr>
        <w:t>.5.1</w:t>
      </w:r>
      <w:r w:rsidR="001E1DFC">
        <w:rPr>
          <w:lang w:eastAsia="ru-RU"/>
        </w:rPr>
        <w:t>.</w:t>
      </w:r>
      <w:r>
        <w:rPr>
          <w:lang w:eastAsia="ru-RU"/>
        </w:rPr>
        <w:t xml:space="preserve"> </w:t>
      </w:r>
      <w:r w:rsidR="000B52F6">
        <w:rPr>
          <w:lang w:eastAsia="ru-RU"/>
        </w:rPr>
        <w:t>p</w:t>
      </w:r>
      <w:r>
        <w:rPr>
          <w:lang w:eastAsia="ru-RU"/>
        </w:rPr>
        <w:t>artea A se completează cu literele r)-v) cu următorul cuprins:</w:t>
      </w:r>
    </w:p>
    <w:p w14:paraId="4271FDFF" w14:textId="77777777" w:rsidR="00AD5002" w:rsidRPr="009E50A5" w:rsidRDefault="00AD5002" w:rsidP="000B52F6">
      <w:pPr>
        <w:rPr>
          <w:lang w:eastAsia="ru-RU"/>
        </w:rPr>
      </w:pPr>
      <w:r>
        <w:rPr>
          <w:lang w:eastAsia="ru-RU"/>
        </w:rPr>
        <w:t>„</w:t>
      </w:r>
      <w:r w:rsidRPr="009E50A5">
        <w:rPr>
          <w:lang w:eastAsia="ru-RU"/>
        </w:rPr>
        <w:t>r)</w:t>
      </w:r>
      <w:r>
        <w:rPr>
          <w:lang w:eastAsia="ru-RU"/>
        </w:rPr>
        <w:t xml:space="preserve"> </w:t>
      </w:r>
      <w:r w:rsidRPr="009E50A5">
        <w:rPr>
          <w:lang w:eastAsia="ru-RU"/>
        </w:rPr>
        <w:t>uleiuri de fuzel provenite din distilare alcoolică;</w:t>
      </w:r>
    </w:p>
    <w:p w14:paraId="2A29EA7E" w14:textId="77777777" w:rsidR="00AD5002" w:rsidRPr="009E50A5" w:rsidRDefault="00AD5002" w:rsidP="000B52F6">
      <w:pPr>
        <w:rPr>
          <w:lang w:eastAsia="ru-RU"/>
        </w:rPr>
      </w:pPr>
      <w:r w:rsidRPr="009E50A5">
        <w:rPr>
          <w:lang w:eastAsia="ru-RU"/>
        </w:rPr>
        <w:t>s)</w:t>
      </w:r>
      <w:r>
        <w:rPr>
          <w:lang w:eastAsia="ru-RU"/>
        </w:rPr>
        <w:t xml:space="preserve"> </w:t>
      </w:r>
      <w:r w:rsidRPr="009E50A5">
        <w:rPr>
          <w:lang w:eastAsia="ru-RU"/>
        </w:rPr>
        <w:t xml:space="preserve">metanol brut din celuloză </w:t>
      </w:r>
      <w:proofErr w:type="spellStart"/>
      <w:r w:rsidRPr="009E50A5">
        <w:rPr>
          <w:lang w:eastAsia="ru-RU"/>
        </w:rPr>
        <w:t>kraft</w:t>
      </w:r>
      <w:proofErr w:type="spellEnd"/>
      <w:r w:rsidRPr="009E50A5">
        <w:rPr>
          <w:lang w:eastAsia="ru-RU"/>
        </w:rPr>
        <w:t xml:space="preserve"> rezultată din producția de pastă de lemn;</w:t>
      </w:r>
    </w:p>
    <w:p w14:paraId="2515A8DC" w14:textId="77777777" w:rsidR="00AD5002" w:rsidRPr="009E50A5" w:rsidRDefault="00AD5002" w:rsidP="000B52F6">
      <w:pPr>
        <w:rPr>
          <w:lang w:eastAsia="ru-RU"/>
        </w:rPr>
      </w:pPr>
      <w:r w:rsidRPr="009E50A5">
        <w:rPr>
          <w:lang w:eastAsia="ru-RU"/>
        </w:rPr>
        <w:t>t)</w:t>
      </w:r>
      <w:r>
        <w:rPr>
          <w:lang w:eastAsia="ru-RU"/>
        </w:rPr>
        <w:t xml:space="preserve"> </w:t>
      </w:r>
      <w:r w:rsidRPr="009E50A5">
        <w:rPr>
          <w:lang w:eastAsia="ru-RU"/>
        </w:rPr>
        <w:t xml:space="preserve">culturi intermediare, precum culturile intercalate și culturile de protecție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sunt utilizate pentru producția de </w:t>
      </w:r>
      <w:r w:rsidRPr="00BB0A9A">
        <w:t>bioc</w:t>
      </w:r>
      <w:r>
        <w:t>arburanți</w:t>
      </w:r>
      <w:r w:rsidRPr="009E50A5">
        <w:rPr>
          <w:lang w:eastAsia="ru-RU"/>
        </w:rPr>
        <w:t xml:space="preserve"> pentru sectorul aviației;</w:t>
      </w:r>
    </w:p>
    <w:p w14:paraId="4AFBC588" w14:textId="77777777" w:rsidR="00AD5002" w:rsidRPr="009E50A5" w:rsidRDefault="00AD5002" w:rsidP="000B52F6">
      <w:pPr>
        <w:rPr>
          <w:lang w:eastAsia="ru-RU"/>
        </w:rPr>
      </w:pPr>
      <w:r w:rsidRPr="009E50A5">
        <w:rPr>
          <w:lang w:eastAsia="ru-RU"/>
        </w:rPr>
        <w:t>u)</w:t>
      </w:r>
      <w:r>
        <w:rPr>
          <w:lang w:eastAsia="ru-RU"/>
        </w:rPr>
        <w:t xml:space="preserve"> </w:t>
      </w:r>
      <w:r w:rsidRPr="009E50A5">
        <w:rPr>
          <w:lang w:eastAsia="ru-RU"/>
        </w:rPr>
        <w:t xml:space="preserve">culturi cultivate pe terenuri puternic degradate, cu excepția culturilor alimentare și furajere, atunci când sunt utilizate pentru producția de </w:t>
      </w:r>
      <w:r w:rsidRPr="00BB0A9A">
        <w:t>bioc</w:t>
      </w:r>
      <w:r>
        <w:t>arburanți</w:t>
      </w:r>
      <w:r w:rsidRPr="009E50A5">
        <w:rPr>
          <w:lang w:eastAsia="ru-RU"/>
        </w:rPr>
        <w:t xml:space="preserve"> pentru sectorul aviației;</w:t>
      </w:r>
    </w:p>
    <w:p w14:paraId="37D5C26E" w14:textId="77777777" w:rsidR="00AD5002" w:rsidRDefault="00AD5002" w:rsidP="000B52F6">
      <w:pPr>
        <w:rPr>
          <w:lang w:eastAsia="ru-RU"/>
        </w:rPr>
      </w:pPr>
      <w:r w:rsidRPr="009E50A5">
        <w:rPr>
          <w:lang w:eastAsia="ru-RU"/>
        </w:rPr>
        <w:t>v)</w:t>
      </w:r>
      <w:r>
        <w:rPr>
          <w:lang w:eastAsia="ru-RU"/>
        </w:rPr>
        <w:t xml:space="preserve"> </w:t>
      </w:r>
      <w:proofErr w:type="spellStart"/>
      <w:r w:rsidRPr="009E50A5">
        <w:rPr>
          <w:lang w:eastAsia="ru-RU"/>
        </w:rPr>
        <w:t>cianobacterii</w:t>
      </w:r>
      <w:proofErr w:type="spellEnd"/>
      <w:r w:rsidRPr="009E50A5">
        <w:rPr>
          <w:lang w:eastAsia="ru-RU"/>
        </w:rPr>
        <w:t xml:space="preserve"> (alge albastre-verzi).</w:t>
      </w:r>
      <w:r>
        <w:rPr>
          <w:lang w:eastAsia="ru-RU"/>
        </w:rPr>
        <w:t>”</w:t>
      </w:r>
    </w:p>
    <w:p w14:paraId="1E90CF81" w14:textId="582B14FA" w:rsidR="00AD5002" w:rsidRDefault="00FC6727" w:rsidP="00671F38">
      <w:pPr>
        <w:rPr>
          <w:lang w:eastAsia="ru-RU"/>
        </w:rPr>
      </w:pPr>
      <w:r>
        <w:rPr>
          <w:lang w:eastAsia="ru-RU"/>
        </w:rPr>
        <w:t>4.</w:t>
      </w:r>
      <w:r w:rsidR="000B52F6">
        <w:rPr>
          <w:lang w:eastAsia="ru-RU"/>
        </w:rPr>
        <w:t>1</w:t>
      </w:r>
      <w:r>
        <w:rPr>
          <w:lang w:eastAsia="ru-RU"/>
        </w:rPr>
        <w:t xml:space="preserve">.5.2  </w:t>
      </w:r>
      <w:r w:rsidR="000B52F6">
        <w:rPr>
          <w:lang w:eastAsia="ru-RU"/>
        </w:rPr>
        <w:t>p</w:t>
      </w:r>
      <w:r w:rsidR="00AD5002">
        <w:rPr>
          <w:lang w:eastAsia="ru-RU"/>
        </w:rPr>
        <w:t xml:space="preserve">artea B se completează </w:t>
      </w:r>
      <w:r>
        <w:rPr>
          <w:lang w:eastAsia="ru-RU"/>
        </w:rPr>
        <w:t xml:space="preserve">cu literele c)-f) cu următorul cuprins: </w:t>
      </w:r>
    </w:p>
    <w:p w14:paraId="34753DAA" w14:textId="77777777" w:rsidR="00AD5002" w:rsidRPr="007F44AF" w:rsidRDefault="00AD5002" w:rsidP="00AD5002">
      <w:pPr>
        <w:rPr>
          <w:lang w:eastAsia="ru-RU"/>
        </w:rPr>
      </w:pPr>
      <w:r w:rsidRPr="007F44AF">
        <w:rPr>
          <w:lang w:eastAsia="ru-RU"/>
        </w:rPr>
        <w:lastRenderedPageBreak/>
        <w:t>„c) culturi deteriorate care nu sunt adecvate pentru a fi utilizate în lanțul alimentar sau furajer, cu excepția substanțelor care au fost modificate sau contaminate intenționat pentru a corespunde prezentei definiții;</w:t>
      </w:r>
    </w:p>
    <w:p w14:paraId="10CB6645" w14:textId="77777777" w:rsidR="00AD5002" w:rsidRPr="009E50A5" w:rsidRDefault="00AD5002" w:rsidP="00AD5002">
      <w:pPr>
        <w:rPr>
          <w:lang w:eastAsia="ru-RU"/>
        </w:rPr>
      </w:pPr>
      <w:r w:rsidRPr="009E50A5">
        <w:rPr>
          <w:lang w:eastAsia="ru-RU"/>
        </w:rPr>
        <w:t>d)</w:t>
      </w:r>
      <w:r>
        <w:rPr>
          <w:lang w:eastAsia="ru-RU"/>
        </w:rPr>
        <w:t xml:space="preserve"> </w:t>
      </w:r>
      <w:r w:rsidRPr="009E50A5">
        <w:rPr>
          <w:lang w:eastAsia="ru-RU"/>
        </w:rPr>
        <w:t>ape reziduale municipale și derivații acestora, alții decât nămolul de epurare;</w:t>
      </w:r>
    </w:p>
    <w:p w14:paraId="661F31CA" w14:textId="77777777" w:rsidR="00AD5002" w:rsidRPr="009E50A5" w:rsidRDefault="00AD5002" w:rsidP="00AD5002">
      <w:pPr>
        <w:rPr>
          <w:lang w:eastAsia="ru-RU"/>
        </w:rPr>
      </w:pPr>
      <w:r w:rsidRPr="009E50A5">
        <w:rPr>
          <w:lang w:eastAsia="ru-RU"/>
        </w:rPr>
        <w:t>e)</w:t>
      </w:r>
      <w:r>
        <w:rPr>
          <w:lang w:eastAsia="ru-RU"/>
        </w:rPr>
        <w:t xml:space="preserve"> </w:t>
      </w:r>
      <w:r w:rsidRPr="009E50A5">
        <w:rPr>
          <w:lang w:eastAsia="ru-RU"/>
        </w:rPr>
        <w:t xml:space="preserve">culturi cultivate pe terenuri puternic degradate, cu excepția culturilor alimentare și furajere și a materiilor prime enumerate în partea A </w:t>
      </w:r>
      <w:proofErr w:type="spellStart"/>
      <w:r w:rsidRPr="009E50A5">
        <w:rPr>
          <w:lang w:eastAsia="ru-RU"/>
        </w:rPr>
        <w:t>a</w:t>
      </w:r>
      <w:proofErr w:type="spellEnd"/>
      <w:r w:rsidRPr="009E50A5">
        <w:rPr>
          <w:lang w:eastAsia="ru-RU"/>
        </w:rPr>
        <w:t xml:space="preserve"> prezentei anexe, atunci când nu sunt utilizate pentru producția de </w:t>
      </w:r>
      <w:r w:rsidRPr="00BB0A9A">
        <w:t>bioc</w:t>
      </w:r>
      <w:r>
        <w:t>arburanți</w:t>
      </w:r>
      <w:r w:rsidRPr="009E50A5">
        <w:rPr>
          <w:lang w:eastAsia="ru-RU"/>
        </w:rPr>
        <w:t xml:space="preserve"> pentru sectorul aviației;</w:t>
      </w:r>
    </w:p>
    <w:p w14:paraId="55C61296" w14:textId="77777777" w:rsidR="00AD5002" w:rsidRDefault="00AD5002" w:rsidP="00AD5002">
      <w:pPr>
        <w:rPr>
          <w:lang w:eastAsia="ru-RU"/>
        </w:rPr>
      </w:pPr>
      <w:r w:rsidRPr="009E50A5">
        <w:rPr>
          <w:lang w:eastAsia="ru-RU"/>
        </w:rPr>
        <w:t>f)</w:t>
      </w:r>
      <w:r>
        <w:rPr>
          <w:lang w:eastAsia="ru-RU"/>
        </w:rPr>
        <w:t xml:space="preserve"> </w:t>
      </w:r>
      <w:r w:rsidRPr="009E50A5">
        <w:rPr>
          <w:lang w:eastAsia="ru-RU"/>
        </w:rPr>
        <w:t xml:space="preserve">culturi intermediare, precum culturile intercalate și culturile de protecție, cu excepția materiilor prime enumerate în partea A </w:t>
      </w:r>
      <w:proofErr w:type="spellStart"/>
      <w:r w:rsidRPr="009E50A5">
        <w:rPr>
          <w:lang w:eastAsia="ru-RU"/>
        </w:rPr>
        <w:t>a</w:t>
      </w:r>
      <w:proofErr w:type="spellEnd"/>
      <w:r w:rsidRPr="009E50A5">
        <w:rPr>
          <w:lang w:eastAsia="ru-RU"/>
        </w:rPr>
        <w:t xml:space="preserve"> prezentei anexe, care sunt cultivate în zone în care, din cauza unei perioade scurte de vegetație, producția de culturi alimentare și furajere este limitată la o singură recoltă și cu condiția ca utilizarea acestora să nu declanșeze o cerere de terenuri suplimentare și cu condiția menținerii conținutului de materie organică din sol, atunci când nu sunt utilizate pentru producția de </w:t>
      </w:r>
      <w:r w:rsidRPr="00BB0A9A">
        <w:t>bioc</w:t>
      </w:r>
      <w:r>
        <w:t>arburanți</w:t>
      </w:r>
      <w:r w:rsidRPr="009E50A5">
        <w:rPr>
          <w:lang w:eastAsia="ru-RU"/>
        </w:rPr>
        <w:t xml:space="preserve"> pentru sectorul aviației.</w:t>
      </w:r>
      <w:r>
        <w:rPr>
          <w:lang w:eastAsia="ru-RU"/>
        </w:rPr>
        <w:t>”</w:t>
      </w:r>
    </w:p>
    <w:p w14:paraId="7BE7296A" w14:textId="2EAC4184" w:rsidR="007D3771" w:rsidRPr="00827721" w:rsidRDefault="00783174" w:rsidP="00671F38">
      <w:r w:rsidRPr="00671F38">
        <w:rPr>
          <w:b/>
          <w:bCs/>
        </w:rPr>
        <w:t>5.</w:t>
      </w:r>
      <w:r>
        <w:t xml:space="preserve"> </w:t>
      </w:r>
      <w:r w:rsidR="007D3771" w:rsidRPr="00827721">
        <w:t xml:space="preserve">Controlul asupra executării prezentei hotărâri se pune în sarcina Ministerului </w:t>
      </w:r>
      <w:r w:rsidR="00E15345" w:rsidRPr="00827721">
        <w:t>Energiei</w:t>
      </w:r>
      <w:r w:rsidR="007D3771" w:rsidRPr="00827721">
        <w:t>.</w:t>
      </w:r>
    </w:p>
    <w:p w14:paraId="649A93F6" w14:textId="5871F078" w:rsidR="00E61AAD" w:rsidRPr="00827721" w:rsidRDefault="00783174" w:rsidP="00671F38">
      <w:r w:rsidRPr="00671F38">
        <w:rPr>
          <w:b/>
          <w:bCs/>
        </w:rPr>
        <w:t>6.</w:t>
      </w:r>
      <w:r>
        <w:t xml:space="preserve"> </w:t>
      </w:r>
      <w:r w:rsidR="007D3771" w:rsidRPr="00827721">
        <w:t xml:space="preserve">Prezenta hotărâre intră în vigoare la </w:t>
      </w:r>
      <w:r w:rsidR="007F2E4F" w:rsidRPr="00827721">
        <w:t>data publicării în Monitorul Oficial al Republicii Moldova</w:t>
      </w:r>
      <w:r w:rsidR="00E61AAD">
        <w:t>, cu excepția p</w:t>
      </w:r>
      <w:r w:rsidR="00E61AAD" w:rsidRPr="00827721">
        <w:t>revederil</w:t>
      </w:r>
      <w:r w:rsidR="00FB7953">
        <w:t>or</w:t>
      </w:r>
      <w:r w:rsidR="00E61AAD" w:rsidRPr="00827721">
        <w:t xml:space="preserve"> de la pct. 30-32 din Regulamentul prevăzut la pct. </w:t>
      </w:r>
      <w:r w:rsidR="00FB7953">
        <w:t>1 care</w:t>
      </w:r>
      <w:r w:rsidR="00FB7953" w:rsidRPr="00827721">
        <w:t xml:space="preserve"> </w:t>
      </w:r>
      <w:r w:rsidR="00FB7953">
        <w:t>se vor</w:t>
      </w:r>
      <w:r w:rsidR="00FB7953" w:rsidRPr="00827721">
        <w:t xml:space="preserve"> </w:t>
      </w:r>
      <w:r w:rsidR="00FB7953">
        <w:t xml:space="preserve">pune în </w:t>
      </w:r>
      <w:r w:rsidR="00E61AAD" w:rsidRPr="00827721">
        <w:t>aplic</w:t>
      </w:r>
      <w:r w:rsidR="00FB7953">
        <w:t>are</w:t>
      </w:r>
      <w:r w:rsidR="00E61AAD" w:rsidRPr="00827721">
        <w:t xml:space="preserve"> începând cu data de 1 ianuarie 2027.</w:t>
      </w:r>
    </w:p>
    <w:p w14:paraId="386B2FE6" w14:textId="2623231B" w:rsidR="00B0443C" w:rsidRPr="00827721" w:rsidRDefault="00783174" w:rsidP="00671F38">
      <w:r w:rsidRPr="00671F38">
        <w:rPr>
          <w:b/>
          <w:bCs/>
        </w:rPr>
        <w:t>7</w:t>
      </w:r>
      <w:r w:rsidR="00EB2DCB" w:rsidRPr="00671F38">
        <w:rPr>
          <w:b/>
          <w:bCs/>
        </w:rPr>
        <w:t>.</w:t>
      </w:r>
      <w:r>
        <w:t xml:space="preserve"> </w:t>
      </w:r>
      <w:r w:rsidR="001A4469" w:rsidRPr="00827721">
        <w:t xml:space="preserve">Până la </w:t>
      </w:r>
      <w:r w:rsidR="005673F2" w:rsidRPr="00827721">
        <w:t>intrare în operare</w:t>
      </w:r>
      <w:r w:rsidR="002F3C34" w:rsidRPr="00827721">
        <w:t xml:space="preserve"> a </w:t>
      </w:r>
      <w:r w:rsidR="00A95740" w:rsidRPr="00827721">
        <w:t>Registru</w:t>
      </w:r>
      <w:r w:rsidR="00A3567B" w:rsidRPr="00827721">
        <w:t>lui</w:t>
      </w:r>
      <w:r w:rsidR="00A95740" w:rsidRPr="00827721">
        <w:t xml:space="preserve"> de biocarburanți</w:t>
      </w:r>
      <w:r w:rsidR="002F3C34" w:rsidRPr="00827721">
        <w:t xml:space="preserve"> în sensul subpct. 2.28</w:t>
      </w:r>
      <w:r w:rsidR="003C27FE" w:rsidRPr="00827721">
        <w:t xml:space="preserve"> din Regulamentul prevăzut la pct. </w:t>
      </w:r>
      <w:r w:rsidR="00FB7953">
        <w:t>1</w:t>
      </w:r>
      <w:r w:rsidR="004551B2" w:rsidRPr="00827721">
        <w:t>,</w:t>
      </w:r>
      <w:r w:rsidR="005D6261" w:rsidRPr="00827721">
        <w:t xml:space="preserve"> </w:t>
      </w:r>
      <w:r w:rsidR="00994956" w:rsidRPr="00827721">
        <w:t xml:space="preserve">informațiile </w:t>
      </w:r>
      <w:r w:rsidR="00537ECA" w:rsidRPr="00827721">
        <w:t xml:space="preserve">aferente </w:t>
      </w:r>
      <w:r w:rsidR="00E95E56" w:rsidRPr="00827721">
        <w:t>Registru</w:t>
      </w:r>
      <w:r w:rsidR="003E2300" w:rsidRPr="00827721">
        <w:t>lui</w:t>
      </w:r>
      <w:r w:rsidR="0024745E" w:rsidRPr="00827721">
        <w:t xml:space="preserve"> </w:t>
      </w:r>
      <w:r w:rsidR="000162C2" w:rsidRPr="00827721">
        <w:t>se</w:t>
      </w:r>
      <w:r w:rsidR="00A72F09" w:rsidRPr="00827721">
        <w:t xml:space="preserve"> furniz</w:t>
      </w:r>
      <w:r w:rsidR="000162C2" w:rsidRPr="00827721">
        <w:t>ează</w:t>
      </w:r>
      <w:r w:rsidR="00FE35F5" w:rsidRPr="00827721">
        <w:t>, precum și accesul la acestea,</w:t>
      </w:r>
      <w:r w:rsidR="00A72F09" w:rsidRPr="00827721">
        <w:t xml:space="preserve"> </w:t>
      </w:r>
      <w:r w:rsidR="00B82231" w:rsidRPr="00827721">
        <w:t xml:space="preserve">conform procedurii stabilite de </w:t>
      </w:r>
      <w:r w:rsidR="00A72F09" w:rsidRPr="00827721">
        <w:t>Instituție Publică Centrul Național pentru Energie Durabilă</w:t>
      </w:r>
      <w:r w:rsidR="00B82231" w:rsidRPr="00827721">
        <w:t>.</w:t>
      </w:r>
    </w:p>
    <w:p w14:paraId="76ABC41D" w14:textId="77777777" w:rsidR="00527DC6" w:rsidRPr="00827721" w:rsidRDefault="00527DC6" w:rsidP="00F40BF5">
      <w:pPr>
        <w:rPr>
          <w:b/>
          <w:bCs/>
        </w:rPr>
      </w:pPr>
    </w:p>
    <w:p w14:paraId="67B020CD" w14:textId="77777777" w:rsidR="00527DC6" w:rsidRPr="00827721" w:rsidRDefault="00527DC6" w:rsidP="00F40BF5">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527DC6" w:rsidRPr="00827721" w14:paraId="293D1F68" w14:textId="77777777" w:rsidTr="00C471C2">
        <w:trPr>
          <w:trHeight w:val="1363"/>
        </w:trPr>
        <w:tc>
          <w:tcPr>
            <w:tcW w:w="4725" w:type="dxa"/>
          </w:tcPr>
          <w:p w14:paraId="3A371192" w14:textId="46797EB0" w:rsidR="00527DC6" w:rsidRPr="00827721" w:rsidRDefault="00527DC6" w:rsidP="00527DC6">
            <w:pPr>
              <w:ind w:firstLine="0"/>
              <w:rPr>
                <w:rFonts w:ascii="Times New Roman" w:hAnsi="Times New Roman" w:cs="Times New Roman"/>
                <w:b/>
                <w:bCs/>
              </w:rPr>
            </w:pPr>
            <w:r w:rsidRPr="00827721">
              <w:rPr>
                <w:rFonts w:ascii="Times New Roman" w:hAnsi="Times New Roman" w:cs="Times New Roman"/>
                <w:b/>
                <w:bCs/>
              </w:rPr>
              <w:t>Prim-ministru</w:t>
            </w:r>
          </w:p>
        </w:tc>
        <w:tc>
          <w:tcPr>
            <w:tcW w:w="4726" w:type="dxa"/>
          </w:tcPr>
          <w:p w14:paraId="6DA9E182" w14:textId="0954FAE1" w:rsidR="00527DC6" w:rsidRPr="00827721" w:rsidRDefault="001C70BC" w:rsidP="00C471C2">
            <w:pPr>
              <w:ind w:firstLine="0"/>
              <w:jc w:val="right"/>
              <w:rPr>
                <w:rFonts w:ascii="Times New Roman" w:hAnsi="Times New Roman" w:cs="Times New Roman"/>
                <w:b/>
                <w:bCs/>
              </w:rPr>
            </w:pPr>
            <w:r>
              <w:rPr>
                <w:rFonts w:ascii="Times New Roman" w:hAnsi="Times New Roman" w:cs="Times New Roman"/>
                <w:b/>
                <w:bCs/>
              </w:rPr>
              <w:t>Alexandru MUNTEANU</w:t>
            </w:r>
          </w:p>
        </w:tc>
      </w:tr>
      <w:tr w:rsidR="008570C1" w:rsidRPr="00827721" w14:paraId="4D420269" w14:textId="77777777" w:rsidTr="00C471C2">
        <w:trPr>
          <w:trHeight w:val="715"/>
        </w:trPr>
        <w:tc>
          <w:tcPr>
            <w:tcW w:w="4725" w:type="dxa"/>
          </w:tcPr>
          <w:p w14:paraId="4A80A9DA" w14:textId="211256A2" w:rsidR="008570C1" w:rsidRPr="00827721" w:rsidRDefault="008570C1" w:rsidP="008570C1">
            <w:pPr>
              <w:ind w:firstLine="0"/>
              <w:rPr>
                <w:rFonts w:ascii="Times New Roman" w:hAnsi="Times New Roman" w:cs="Times New Roman"/>
                <w:b/>
                <w:bCs/>
              </w:rPr>
            </w:pPr>
            <w:r w:rsidRPr="00827721">
              <w:rPr>
                <w:rFonts w:ascii="Times New Roman" w:hAnsi="Times New Roman" w:cs="Times New Roman"/>
                <w:szCs w:val="28"/>
                <w:lang w:eastAsia="ro-RO"/>
              </w:rPr>
              <w:t>Contrasemnează:</w:t>
            </w:r>
          </w:p>
        </w:tc>
        <w:tc>
          <w:tcPr>
            <w:tcW w:w="4726" w:type="dxa"/>
          </w:tcPr>
          <w:p w14:paraId="4500DD99" w14:textId="77777777" w:rsidR="008570C1" w:rsidRPr="00827721" w:rsidRDefault="008570C1" w:rsidP="00C471C2">
            <w:pPr>
              <w:ind w:firstLine="0"/>
              <w:jc w:val="right"/>
              <w:rPr>
                <w:rFonts w:ascii="Times New Roman" w:hAnsi="Times New Roman" w:cs="Times New Roman"/>
                <w:b/>
                <w:bCs/>
              </w:rPr>
            </w:pPr>
          </w:p>
        </w:tc>
      </w:tr>
      <w:tr w:rsidR="008570C1" w:rsidRPr="00827721" w14:paraId="02F5B1F8" w14:textId="77777777" w:rsidTr="00C471C2">
        <w:trPr>
          <w:trHeight w:val="706"/>
        </w:trPr>
        <w:tc>
          <w:tcPr>
            <w:tcW w:w="4725" w:type="dxa"/>
          </w:tcPr>
          <w:p w14:paraId="4205F411" w14:textId="579245AA" w:rsidR="008570C1" w:rsidRPr="00827721" w:rsidRDefault="008570C1" w:rsidP="008570C1">
            <w:pPr>
              <w:ind w:firstLine="0"/>
              <w:rPr>
                <w:rFonts w:ascii="Times New Roman" w:hAnsi="Times New Roman" w:cs="Times New Roman"/>
                <w:b/>
                <w:bCs/>
              </w:rPr>
            </w:pPr>
            <w:r w:rsidRPr="00827721">
              <w:rPr>
                <w:rFonts w:ascii="Times New Roman" w:hAnsi="Times New Roman" w:cs="Times New Roman"/>
                <w:b/>
                <w:szCs w:val="28"/>
                <w:lang w:eastAsia="ro-RO"/>
              </w:rPr>
              <w:t>Ministrul energiei</w:t>
            </w:r>
          </w:p>
        </w:tc>
        <w:tc>
          <w:tcPr>
            <w:tcW w:w="4726" w:type="dxa"/>
          </w:tcPr>
          <w:p w14:paraId="797119BF" w14:textId="40E3A0BE" w:rsidR="008570C1" w:rsidRPr="00827721" w:rsidRDefault="005A3020" w:rsidP="00C471C2">
            <w:pPr>
              <w:ind w:firstLine="0"/>
              <w:jc w:val="right"/>
              <w:rPr>
                <w:rFonts w:ascii="Times New Roman" w:hAnsi="Times New Roman" w:cs="Times New Roman"/>
                <w:b/>
                <w:bCs/>
              </w:rPr>
            </w:pPr>
            <w:r w:rsidRPr="00827721">
              <w:rPr>
                <w:rFonts w:ascii="Times New Roman" w:hAnsi="Times New Roman" w:cs="Times New Roman"/>
                <w:b/>
                <w:szCs w:val="28"/>
                <w:lang w:eastAsia="ro-RO"/>
              </w:rPr>
              <w:t>Dorin JUNGHIETU</w:t>
            </w:r>
          </w:p>
        </w:tc>
      </w:tr>
      <w:tr w:rsidR="008570C1" w:rsidRPr="00827721" w14:paraId="4EE78EDB" w14:textId="77777777" w:rsidTr="00C471C2">
        <w:tc>
          <w:tcPr>
            <w:tcW w:w="4725" w:type="dxa"/>
          </w:tcPr>
          <w:p w14:paraId="01DC6479" w14:textId="573F12AE" w:rsidR="008570C1" w:rsidRPr="00827721" w:rsidRDefault="00583B40" w:rsidP="008570C1">
            <w:pPr>
              <w:ind w:firstLine="0"/>
              <w:rPr>
                <w:rFonts w:ascii="Times New Roman" w:hAnsi="Times New Roman" w:cs="Times New Roman"/>
                <w:b/>
                <w:bCs/>
              </w:rPr>
            </w:pPr>
            <w:r w:rsidRPr="00827721">
              <w:rPr>
                <w:rFonts w:ascii="Times New Roman" w:hAnsi="Times New Roman" w:cs="Times New Roman"/>
                <w:b/>
                <w:szCs w:val="28"/>
                <w:lang w:eastAsia="ro-RO"/>
              </w:rPr>
              <w:t xml:space="preserve">Ministrul </w:t>
            </w:r>
            <w:r w:rsidR="00E61AAD">
              <w:rPr>
                <w:rFonts w:ascii="Times New Roman" w:hAnsi="Times New Roman" w:cs="Times New Roman"/>
                <w:b/>
                <w:szCs w:val="28"/>
                <w:lang w:eastAsia="ro-RO"/>
              </w:rPr>
              <w:t>Mediu</w:t>
            </w:r>
            <w:r w:rsidRPr="00827721">
              <w:rPr>
                <w:rFonts w:ascii="Times New Roman" w:hAnsi="Times New Roman" w:cs="Times New Roman"/>
                <w:b/>
                <w:szCs w:val="28"/>
                <w:lang w:eastAsia="ro-RO"/>
              </w:rPr>
              <w:t xml:space="preserve">                                       </w:t>
            </w:r>
          </w:p>
        </w:tc>
        <w:tc>
          <w:tcPr>
            <w:tcW w:w="4726" w:type="dxa"/>
          </w:tcPr>
          <w:p w14:paraId="7F071CC4" w14:textId="50394096" w:rsidR="008570C1" w:rsidRPr="00827721" w:rsidRDefault="006748C0" w:rsidP="006748C0">
            <w:pPr>
              <w:ind w:firstLine="0"/>
              <w:jc w:val="right"/>
              <w:rPr>
                <w:rFonts w:ascii="Times New Roman" w:hAnsi="Times New Roman" w:cs="Times New Roman"/>
                <w:b/>
                <w:bCs/>
              </w:rPr>
            </w:pPr>
            <w:r w:rsidRPr="006748C0">
              <w:rPr>
                <w:rFonts w:ascii="Times New Roman" w:hAnsi="Times New Roman" w:cs="Times New Roman"/>
                <w:b/>
                <w:bCs/>
              </w:rPr>
              <w:t>Gheorghe</w:t>
            </w:r>
            <w:r>
              <w:rPr>
                <w:rFonts w:ascii="Times New Roman" w:hAnsi="Times New Roman" w:cs="Times New Roman"/>
                <w:b/>
                <w:bCs/>
              </w:rPr>
              <w:t xml:space="preserve"> </w:t>
            </w:r>
            <w:r w:rsidRPr="006748C0">
              <w:rPr>
                <w:rFonts w:ascii="Times New Roman" w:hAnsi="Times New Roman" w:cs="Times New Roman"/>
                <w:b/>
                <w:bCs/>
              </w:rPr>
              <w:t>HAJDER</w:t>
            </w:r>
          </w:p>
        </w:tc>
      </w:tr>
    </w:tbl>
    <w:p w14:paraId="3578B064" w14:textId="77777777" w:rsidR="00B07C49" w:rsidRPr="00827721" w:rsidRDefault="00B07C49" w:rsidP="00374A5F">
      <w:pPr>
        <w:tabs>
          <w:tab w:val="left" w:pos="6386"/>
        </w:tabs>
        <w:jc w:val="right"/>
        <w:rPr>
          <w:rFonts w:asciiTheme="majorBidi" w:hAnsiTheme="majorBidi" w:cstheme="majorBidi"/>
          <w:szCs w:val="28"/>
          <w:lang w:eastAsia="ru-RU"/>
        </w:rPr>
      </w:pPr>
    </w:p>
    <w:p w14:paraId="5A2CEAB8" w14:textId="361BA39C" w:rsidR="002C5807" w:rsidRPr="00827721" w:rsidRDefault="00B07C49">
      <w:pPr>
        <w:rPr>
          <w:rFonts w:asciiTheme="majorBidi" w:hAnsiTheme="majorBidi" w:cstheme="majorBidi"/>
          <w:szCs w:val="28"/>
          <w:lang w:eastAsia="ru-RU"/>
        </w:rPr>
      </w:pPr>
      <w:r w:rsidRPr="00827721">
        <w:rPr>
          <w:rFonts w:asciiTheme="majorBidi" w:hAnsiTheme="majorBidi" w:cstheme="majorBidi"/>
          <w:szCs w:val="28"/>
          <w:lang w:eastAsia="ru-RU"/>
        </w:rPr>
        <w:br w:type="page"/>
      </w:r>
    </w:p>
    <w:p w14:paraId="7373927D" w14:textId="39A41F10" w:rsidR="00677683" w:rsidRPr="00827721" w:rsidRDefault="00677683" w:rsidP="00677683">
      <w:pPr>
        <w:tabs>
          <w:tab w:val="left" w:pos="6386"/>
        </w:tabs>
        <w:jc w:val="right"/>
        <w:rPr>
          <w:rFonts w:asciiTheme="majorBidi" w:hAnsiTheme="majorBidi" w:cstheme="majorBidi"/>
          <w:szCs w:val="28"/>
          <w:lang w:eastAsia="ru-RU"/>
        </w:rPr>
      </w:pPr>
      <w:r w:rsidRPr="00827721">
        <w:rPr>
          <w:rFonts w:asciiTheme="majorBidi" w:hAnsiTheme="majorBidi" w:cstheme="majorBidi"/>
          <w:szCs w:val="28"/>
          <w:lang w:eastAsia="ru-RU"/>
        </w:rPr>
        <w:lastRenderedPageBreak/>
        <w:t>Anex</w:t>
      </w:r>
      <w:r w:rsidR="00781676">
        <w:rPr>
          <w:rFonts w:asciiTheme="majorBidi" w:hAnsiTheme="majorBidi" w:cstheme="majorBidi"/>
          <w:szCs w:val="28"/>
          <w:lang w:eastAsia="ru-RU"/>
        </w:rPr>
        <w:t>ă</w:t>
      </w:r>
    </w:p>
    <w:p w14:paraId="33C7CB9C" w14:textId="77777777" w:rsidR="00677683" w:rsidRPr="00827721" w:rsidRDefault="00677683" w:rsidP="00677683">
      <w:pPr>
        <w:tabs>
          <w:tab w:val="left" w:pos="6386"/>
        </w:tabs>
        <w:jc w:val="right"/>
        <w:rPr>
          <w:rFonts w:asciiTheme="majorBidi" w:hAnsiTheme="majorBidi" w:cstheme="majorBidi"/>
          <w:szCs w:val="28"/>
          <w:lang w:eastAsia="ru-RU"/>
        </w:rPr>
      </w:pPr>
      <w:r w:rsidRPr="00827721">
        <w:rPr>
          <w:rFonts w:asciiTheme="majorBidi" w:hAnsiTheme="majorBidi" w:cstheme="majorBidi"/>
          <w:szCs w:val="28"/>
          <w:lang w:eastAsia="ru-RU"/>
        </w:rPr>
        <w:t xml:space="preserve">la Hotărârea Guvernului </w:t>
      </w:r>
    </w:p>
    <w:p w14:paraId="12DADF70" w14:textId="77777777" w:rsidR="00677683" w:rsidRPr="00827721" w:rsidRDefault="00677683" w:rsidP="00677683">
      <w:pPr>
        <w:tabs>
          <w:tab w:val="left" w:pos="6386"/>
        </w:tabs>
        <w:jc w:val="right"/>
        <w:rPr>
          <w:rFonts w:asciiTheme="majorBidi" w:hAnsiTheme="majorBidi" w:cstheme="majorBidi"/>
          <w:szCs w:val="28"/>
          <w:lang w:eastAsia="ru-RU"/>
        </w:rPr>
      </w:pPr>
      <w:r w:rsidRPr="00827721">
        <w:rPr>
          <w:rFonts w:asciiTheme="majorBidi" w:hAnsiTheme="majorBidi" w:cstheme="majorBidi"/>
          <w:szCs w:val="28"/>
          <w:lang w:eastAsia="ru-RU"/>
        </w:rPr>
        <w:tab/>
        <w:t>nr.______ din ______________</w:t>
      </w:r>
    </w:p>
    <w:p w14:paraId="7882B28C" w14:textId="6671D01D" w:rsidR="007D3771" w:rsidRPr="00827721" w:rsidRDefault="007D3771" w:rsidP="00E90C8B">
      <w:pPr>
        <w:pStyle w:val="Capitol"/>
      </w:pPr>
      <w:r w:rsidRPr="00827721">
        <w:t>REGULAMENT</w:t>
      </w:r>
    </w:p>
    <w:p w14:paraId="00B92A1F" w14:textId="4B20FF6C" w:rsidR="007D3771" w:rsidRPr="00827721" w:rsidRDefault="00032622" w:rsidP="00E90C8B">
      <w:pPr>
        <w:pStyle w:val="Sectiune"/>
      </w:pPr>
      <w:r w:rsidRPr="00827721">
        <w:t>c</w:t>
      </w:r>
      <w:r w:rsidR="00294850" w:rsidRPr="00827721">
        <w:t>u</w:t>
      </w:r>
      <w:r w:rsidRPr="00827721">
        <w:t xml:space="preserve"> privire la</w:t>
      </w:r>
      <w:r w:rsidR="000B393E" w:rsidRPr="00827721">
        <w:t xml:space="preserve"> normele de verificare a biocarburanților, biolichidelor și combustibililor din biomasă</w:t>
      </w:r>
    </w:p>
    <w:p w14:paraId="5A9188E7" w14:textId="2BAE208A" w:rsidR="007D3771" w:rsidRPr="00827721" w:rsidRDefault="00E90C8B" w:rsidP="00E90C8B">
      <w:pPr>
        <w:pStyle w:val="Capitol"/>
      </w:pPr>
      <w:r w:rsidRPr="00827721">
        <w:rPr>
          <w:caps w:val="0"/>
        </w:rPr>
        <w:t>Capitolul</w:t>
      </w:r>
      <w:r w:rsidR="007D3771" w:rsidRPr="00827721">
        <w:t xml:space="preserve"> I</w:t>
      </w:r>
    </w:p>
    <w:p w14:paraId="1C3DF51D" w14:textId="77777777" w:rsidR="007D3771" w:rsidRDefault="007D3771" w:rsidP="00E90C8B">
      <w:pPr>
        <w:pStyle w:val="Capitol"/>
      </w:pPr>
      <w:r w:rsidRPr="00827721">
        <w:t>DISPOZIŢII GENERALE</w:t>
      </w:r>
    </w:p>
    <w:p w14:paraId="5452DCCB" w14:textId="2021F437" w:rsidR="005F623C" w:rsidRDefault="009B2C9E" w:rsidP="00975132">
      <w:pPr>
        <w:ind w:firstLine="709"/>
      </w:pPr>
      <w:r>
        <w:t xml:space="preserve">Regulamentul </w:t>
      </w:r>
      <w:r w:rsidRPr="009B2C9E">
        <w:t>cu privire la normele de verificare a biocarburanților, biolichidelor și combustibililor din biomasă</w:t>
      </w:r>
      <w:r w:rsidR="005F623C">
        <w:t>:</w:t>
      </w:r>
    </w:p>
    <w:p w14:paraId="668D9E78" w14:textId="6540FBB1" w:rsidR="005F623C" w:rsidRDefault="005F623C" w:rsidP="00975132">
      <w:pPr>
        <w:ind w:firstLine="709"/>
      </w:pPr>
      <w:r>
        <w:t xml:space="preserve">- </w:t>
      </w:r>
      <w:r w:rsidR="00127CDF">
        <w:t xml:space="preserve">transpune integral </w:t>
      </w:r>
      <w:r w:rsidR="00975132" w:rsidRPr="00827721">
        <w:t>Regulamentul de punere în aplicare (UE) 2022/996 al Comisiei din 14 iunie 2022 privind normele de verificare a criteriilor de durabilitate și de reducere a emisiilor de gaze cu efect de seră și a criteriilor privind riscurile reduse din perspectiva schimbării indirecte a destinației terenurilor, publicat în Jurnalul Oficial al Uniunii Europene</w:t>
      </w:r>
      <w:r w:rsidR="00A14034">
        <w:t>, seria</w:t>
      </w:r>
      <w:r w:rsidR="00975132" w:rsidRPr="00827721">
        <w:t xml:space="preserve"> L 168 din 27 iunie 2022 (CELEX: 32022R0996)</w:t>
      </w:r>
      <w:r>
        <w:t>;</w:t>
      </w:r>
    </w:p>
    <w:p w14:paraId="034CAB80" w14:textId="115B4E14" w:rsidR="008670FC" w:rsidRDefault="00975132" w:rsidP="00975132">
      <w:pPr>
        <w:ind w:firstLine="709"/>
      </w:pPr>
      <w:r w:rsidRPr="00827721">
        <w:t xml:space="preserve"> </w:t>
      </w:r>
      <w:r w:rsidR="00A67EC4">
        <w:t xml:space="preserve">- </w:t>
      </w:r>
      <w:r w:rsidR="00127CDF">
        <w:t xml:space="preserve">transpune integral </w:t>
      </w:r>
      <w:r w:rsidR="00A67EC4" w:rsidRPr="00A67EC4">
        <w:t>Regulamentul delegat (UE) 2023/1640 al Comisiei din 5 iunie 2023 privind metodologia de stabilire a ponderii biocombustibililor și a biogazului pentru transporturi rezultând din prelucrarea biomasei împreună cu combustibili fosili în cadrul unui proces comun</w:t>
      </w:r>
      <w:r w:rsidR="00A67EC4">
        <w:t xml:space="preserve">, </w:t>
      </w:r>
      <w:r w:rsidR="00A67EC4" w:rsidRPr="00827721">
        <w:t>publicat în Jurnalul Oficial al Uniunii Europene</w:t>
      </w:r>
      <w:r w:rsidR="00A14034">
        <w:t>, seria</w:t>
      </w:r>
      <w:r w:rsidR="00A67EC4" w:rsidRPr="00827721">
        <w:t xml:space="preserve"> L </w:t>
      </w:r>
      <w:r w:rsidR="00D00C69">
        <w:t>205</w:t>
      </w:r>
      <w:r w:rsidR="00A67EC4" w:rsidRPr="00827721">
        <w:t xml:space="preserve"> din </w:t>
      </w:r>
      <w:r w:rsidR="00D00C69">
        <w:t>18</w:t>
      </w:r>
      <w:r w:rsidR="00A67EC4" w:rsidRPr="00827721">
        <w:t xml:space="preserve"> </w:t>
      </w:r>
      <w:r w:rsidR="00D00C69">
        <w:t>august</w:t>
      </w:r>
      <w:r w:rsidR="00A67EC4" w:rsidRPr="00827721">
        <w:t xml:space="preserve"> 202</w:t>
      </w:r>
      <w:r w:rsidR="00D00C69">
        <w:t>3</w:t>
      </w:r>
      <w:r w:rsidR="00A67EC4" w:rsidRPr="00827721">
        <w:t xml:space="preserve"> (CELEX: </w:t>
      </w:r>
      <w:r w:rsidR="008A11CC" w:rsidRPr="008A11CC">
        <w:t>32023R1640</w:t>
      </w:r>
      <w:r w:rsidR="00A67EC4" w:rsidRPr="00827721">
        <w:t>)</w:t>
      </w:r>
      <w:r w:rsidR="008A11CC">
        <w:t>;</w:t>
      </w:r>
    </w:p>
    <w:p w14:paraId="3870B61B" w14:textId="7F8F32B1" w:rsidR="00975132" w:rsidRDefault="008670FC" w:rsidP="00975132">
      <w:pPr>
        <w:ind w:firstLine="709"/>
      </w:pPr>
      <w:r>
        <w:t xml:space="preserve">- </w:t>
      </w:r>
      <w:r w:rsidR="00127CDF">
        <w:t xml:space="preserve">transpune integral </w:t>
      </w:r>
      <w:r w:rsidR="00C42D23" w:rsidRPr="00C42D23">
        <w:t>Regulamentul (UE) nr. 1307/2014 al Comisiei din 8 decembrie 2014 privind criteriile și limitele geografice pentru identificarea pășunilor cu biodiversitate ridicată în sensul articolului 7b alineatul (3) litera (c) din Directiva 98/70/CE a Parlamentului European și a Consiliului privind calitatea benzinei și a motorinei și al articolului 17 alineatul (3) litera (c) din Directiva 2009/28/CE a Parlamentului European și a Consiliului privind promovarea utilizării energiei din surse regenerabile</w:t>
      </w:r>
      <w:r w:rsidR="00C42D23">
        <w:t xml:space="preserve">, </w:t>
      </w:r>
      <w:r w:rsidR="00C42D23" w:rsidRPr="00827721">
        <w:t>publicat în Jurnalul Oficial al Uniunii Europene</w:t>
      </w:r>
      <w:r w:rsidR="00A14034">
        <w:t>, seria</w:t>
      </w:r>
      <w:r w:rsidR="00C42D23" w:rsidRPr="00827721">
        <w:t xml:space="preserve"> L </w:t>
      </w:r>
      <w:r w:rsidR="00C42D23">
        <w:t>351</w:t>
      </w:r>
      <w:r w:rsidR="00C42D23" w:rsidRPr="00827721">
        <w:t xml:space="preserve"> din </w:t>
      </w:r>
      <w:r w:rsidR="00890E75">
        <w:t>9</w:t>
      </w:r>
      <w:r w:rsidR="00C42D23" w:rsidRPr="00827721">
        <w:t xml:space="preserve"> </w:t>
      </w:r>
      <w:r w:rsidR="00890E75">
        <w:t>decembrie</w:t>
      </w:r>
      <w:r w:rsidR="00C42D23" w:rsidRPr="00827721">
        <w:t xml:space="preserve"> </w:t>
      </w:r>
      <w:r w:rsidR="00890E75">
        <w:t>2014</w:t>
      </w:r>
      <w:r w:rsidR="00C42D23" w:rsidRPr="00827721">
        <w:t xml:space="preserve"> (CELEX: </w:t>
      </w:r>
      <w:r w:rsidR="00890E75" w:rsidRPr="00890E75">
        <w:t>32014R1307</w:t>
      </w:r>
      <w:r w:rsidR="00C42D23" w:rsidRPr="00827721">
        <w:t>)</w:t>
      </w:r>
      <w:r w:rsidR="00690DE9">
        <w:t>;</w:t>
      </w:r>
    </w:p>
    <w:p w14:paraId="347DBC65" w14:textId="3ED3D5E2" w:rsidR="00FC26FD" w:rsidRPr="00827721" w:rsidRDefault="00690DE9" w:rsidP="009553CB">
      <w:pPr>
        <w:ind w:firstLine="709"/>
      </w:pPr>
      <w:r>
        <w:t xml:space="preserve">- </w:t>
      </w:r>
      <w:r w:rsidR="00127CDF">
        <w:t xml:space="preserve">transpune integral </w:t>
      </w:r>
      <w:r w:rsidR="00DE4229">
        <w:t xml:space="preserve">Anexa VIII din </w:t>
      </w:r>
      <w:r w:rsidR="00236A0F" w:rsidRPr="00236A0F">
        <w:t xml:space="preserve">Directiva (UE) 2018/2001 a Parlamentului European și a Consiliului din 11 decembrie 2018 privind promovarea utilizării energiei din surse regenerabile (reformare), publicată în Jurnalul Oficial al Uniunii Europene, seria L 328 din 21 decembrie 2018 (CELEX: 32018L2001), așa cum a fost </w:t>
      </w:r>
      <w:r w:rsidR="00236A0F" w:rsidRPr="00236A0F">
        <w:lastRenderedPageBreak/>
        <w:t>modificată ultima oară prin Directiva (UE) 2024/1711 a Parlamentului European și a Consiliului din 13 iunie 2024</w:t>
      </w:r>
      <w:r w:rsidR="00FC26FD">
        <w:t>.</w:t>
      </w:r>
    </w:p>
    <w:p w14:paraId="0FF12DC2" w14:textId="77777777" w:rsidR="007D3771" w:rsidRPr="00827721" w:rsidRDefault="007D3771" w:rsidP="00E90C8B">
      <w:pPr>
        <w:pStyle w:val="Sectiune"/>
      </w:pPr>
      <w:r w:rsidRPr="00827721">
        <w:t>Secțiunea 1</w:t>
      </w:r>
    </w:p>
    <w:p w14:paraId="3275253F" w14:textId="77777777" w:rsidR="007D3771" w:rsidRPr="00827721" w:rsidRDefault="007D3771" w:rsidP="00E90C8B">
      <w:pPr>
        <w:pStyle w:val="Sectiune"/>
      </w:pPr>
      <w:r w:rsidRPr="00827721">
        <w:t>Obiectul de reglementare și noțiuni</w:t>
      </w:r>
    </w:p>
    <w:p w14:paraId="5322BD73" w14:textId="4BF3B67D" w:rsidR="007D3771" w:rsidRPr="00827721" w:rsidRDefault="009A6EA2" w:rsidP="00D832BD">
      <w:pPr>
        <w:pStyle w:val="HGpct1"/>
        <w:numPr>
          <w:ilvl w:val="0"/>
          <w:numId w:val="66"/>
        </w:numPr>
      </w:pPr>
      <w:r w:rsidRPr="00827721">
        <w:t xml:space="preserve">Regulamentul </w:t>
      </w:r>
      <w:r w:rsidR="00032622" w:rsidRPr="00827721">
        <w:t>cu privire la</w:t>
      </w:r>
      <w:r w:rsidR="008161D7" w:rsidRPr="00827721">
        <w:t xml:space="preserve"> normele de verificare a biocarburanților, biolichidelor și combustibililor din biomasă</w:t>
      </w:r>
      <w:r w:rsidRPr="00827721">
        <w:t xml:space="preserve"> (în continuare – </w:t>
      </w:r>
      <w:r w:rsidRPr="00827721">
        <w:rPr>
          <w:i/>
          <w:iCs/>
        </w:rPr>
        <w:t>Regulament</w:t>
      </w:r>
      <w:r w:rsidRPr="00827721">
        <w:t>) stabilește norme de punere în aplicare pentru a verifica într-un mod eficient și armonizat dacă operatorii economici</w:t>
      </w:r>
      <w:r w:rsidR="00B10C91" w:rsidRPr="00827721">
        <w:t>:</w:t>
      </w:r>
    </w:p>
    <w:p w14:paraId="716697A9" w14:textId="2075BC8E" w:rsidR="00B10C91" w:rsidRPr="00F74A6B" w:rsidRDefault="00272A3C" w:rsidP="00D832BD">
      <w:pPr>
        <w:pStyle w:val="HGsubpct11"/>
      </w:pPr>
      <w:r w:rsidRPr="00827721">
        <w:t xml:space="preserve">respectă criteriile de durabilitate prevăzute </w:t>
      </w:r>
      <w:r w:rsidR="00A778DF" w:rsidRPr="00827721">
        <w:t>la</w:t>
      </w:r>
      <w:r w:rsidRPr="00827721">
        <w:t xml:space="preserve"> pct. 1</w:t>
      </w:r>
      <w:r w:rsidR="007D52B7" w:rsidRPr="00827721">
        <w:t>5</w:t>
      </w:r>
      <w:r w:rsidRPr="00827721">
        <w:t xml:space="preserve">-21 din anexa </w:t>
      </w:r>
      <w:r w:rsidR="009815B9" w:rsidRPr="00827721">
        <w:t xml:space="preserve">nr. </w:t>
      </w:r>
      <w:r w:rsidRPr="00827721">
        <w:t xml:space="preserve">1 la </w:t>
      </w:r>
      <w:r w:rsidR="009815B9" w:rsidRPr="00827721">
        <w:t>H</w:t>
      </w:r>
      <w:r w:rsidRPr="00827721">
        <w:t xml:space="preserve">otărârea Guvernului nr. 53/2025 privind aprobarea Regulamentului cu privire la criteriile de durabilitate și de reducere a emisiilor de gaze cu efect de seră pentru biocarburanți, biolichide și combustibili din biomasă și a Metodologiei de calcul al impactului biocarburanților, biolichidelor și combustibililor din biomasă asupra emisiilor de gaze cu efect de </w:t>
      </w:r>
      <w:r w:rsidRPr="00F74A6B">
        <w:t>seră</w:t>
      </w:r>
      <w:r w:rsidR="00CB2C70" w:rsidRPr="00F74A6B">
        <w:t xml:space="preserve"> (în continuare –</w:t>
      </w:r>
      <w:r w:rsidR="00FB4AE4">
        <w:t xml:space="preserve"> </w:t>
      </w:r>
      <w:r w:rsidR="00C72EEB" w:rsidRPr="00F74A6B">
        <w:rPr>
          <w:i/>
        </w:rPr>
        <w:t>HG</w:t>
      </w:r>
      <w:r w:rsidR="00697268" w:rsidRPr="00F74A6B">
        <w:rPr>
          <w:i/>
        </w:rPr>
        <w:t xml:space="preserve"> 53/2025</w:t>
      </w:r>
      <w:r w:rsidR="00CB2C70" w:rsidRPr="00F74A6B">
        <w:t>)</w:t>
      </w:r>
      <w:r w:rsidRPr="00F74A6B">
        <w:t>;</w:t>
      </w:r>
    </w:p>
    <w:p w14:paraId="1AAC0D76" w14:textId="5A5871EA" w:rsidR="0066185B" w:rsidRPr="00827721" w:rsidRDefault="00F62E05" w:rsidP="00D832BD">
      <w:pPr>
        <w:pStyle w:val="HGsubpct11"/>
      </w:pPr>
      <w:r w:rsidRPr="00F74A6B">
        <w:t xml:space="preserve">furnizează date exacte privind reducerile emisiilor de gaze cu efect de seră în sensul pct. </w:t>
      </w:r>
      <w:r w:rsidR="00E315D3" w:rsidRPr="00F74A6B">
        <w:t>2</w:t>
      </w:r>
      <w:r w:rsidR="000F6F7A" w:rsidRPr="00F74A6B">
        <w:t xml:space="preserve"> </w:t>
      </w:r>
      <w:r w:rsidR="000B3CBC" w:rsidRPr="00F74A6B">
        <w:t xml:space="preserve">din </w:t>
      </w:r>
      <w:r w:rsidR="00C72EEB" w:rsidRPr="00F74A6B">
        <w:rPr>
          <w:iCs w:val="0"/>
        </w:rPr>
        <w:t>HG 53/2025</w:t>
      </w:r>
      <w:r w:rsidR="000B3CBC" w:rsidRPr="00F74A6B">
        <w:t xml:space="preserve"> </w:t>
      </w:r>
      <w:r w:rsidR="000F6F7A" w:rsidRPr="00F74A6B">
        <w:t xml:space="preserve">și </w:t>
      </w:r>
      <w:r w:rsidR="000B3CBC" w:rsidRPr="00F74A6B">
        <w:t xml:space="preserve">pct. </w:t>
      </w:r>
      <w:r w:rsidR="005A1455" w:rsidRPr="00F74A6B">
        <w:t>22</w:t>
      </w:r>
      <w:r w:rsidR="009673C5" w:rsidRPr="00F74A6B">
        <w:t>-24</w:t>
      </w:r>
      <w:r w:rsidRPr="00F74A6B">
        <w:t xml:space="preserve"> din</w:t>
      </w:r>
      <w:r w:rsidR="006A2CBA" w:rsidRPr="00F74A6B">
        <w:t xml:space="preserve"> anexa nr</w:t>
      </w:r>
      <w:r w:rsidR="006A2CBA" w:rsidRPr="00827721">
        <w:t>. 1 la</w:t>
      </w:r>
      <w:r w:rsidR="005D13E9" w:rsidRPr="00827721">
        <w:t xml:space="preserve"> </w:t>
      </w:r>
      <w:r w:rsidR="00347C70" w:rsidRPr="00C72EEB">
        <w:rPr>
          <w:iCs w:val="0"/>
        </w:rPr>
        <w:t>HG 53/2025</w:t>
      </w:r>
      <w:r w:rsidR="00525E45" w:rsidRPr="00827721">
        <w:t xml:space="preserve">, precum și </w:t>
      </w:r>
      <w:r w:rsidR="00501981" w:rsidRPr="00827721">
        <w:t>în conformitate cu</w:t>
      </w:r>
      <w:r w:rsidR="00D9213A" w:rsidRPr="00827721">
        <w:t xml:space="preserve"> Regulamentului privind calculul consumului de energie din surse regenerabile a</w:t>
      </w:r>
      <w:r w:rsidR="001F00F6" w:rsidRPr="00827721">
        <w:t>probat prin</w:t>
      </w:r>
      <w:r w:rsidR="005B2833" w:rsidRPr="00827721">
        <w:t xml:space="preserve"> </w:t>
      </w:r>
      <w:r w:rsidR="00525E45" w:rsidRPr="00827721">
        <w:t>Hotărârea Guvernului nr. 74/2025 cu privire la aprobarea Regulamentului privind calculul consumului de energie din surse regenerabile</w:t>
      </w:r>
      <w:r w:rsidR="001F00F6" w:rsidRPr="00827721">
        <w:t xml:space="preserve"> (în continuare </w:t>
      </w:r>
      <w:r w:rsidR="00C72EEB">
        <w:t>–</w:t>
      </w:r>
      <w:r w:rsidR="001F00F6" w:rsidRPr="00827721">
        <w:t xml:space="preserve"> </w:t>
      </w:r>
      <w:r w:rsidR="00C72EEB">
        <w:rPr>
          <w:i/>
        </w:rPr>
        <w:t>HG 74/2025</w:t>
      </w:r>
      <w:r w:rsidR="001F00F6" w:rsidRPr="00827721">
        <w:rPr>
          <w:i/>
        </w:rPr>
        <w:t>)</w:t>
      </w:r>
      <w:r w:rsidR="0011770B" w:rsidRPr="00827721">
        <w:rPr>
          <w:i/>
        </w:rPr>
        <w:t>;</w:t>
      </w:r>
      <w:r w:rsidR="00347C70" w:rsidRPr="00347C70">
        <w:rPr>
          <w:i/>
        </w:rPr>
        <w:t xml:space="preserve"> </w:t>
      </w:r>
    </w:p>
    <w:p w14:paraId="1C15E3F7" w14:textId="36F7FD14" w:rsidR="0011770B" w:rsidRPr="00827721" w:rsidRDefault="0027088F" w:rsidP="00D832BD">
      <w:pPr>
        <w:pStyle w:val="HGsubpct11"/>
      </w:pPr>
      <w:r w:rsidRPr="00827721">
        <w:t xml:space="preserve">respectă criteriile pentru certificarea </w:t>
      </w:r>
      <w:r w:rsidR="008A23DF" w:rsidRPr="00827721">
        <w:t>biocarburanților</w:t>
      </w:r>
      <w:r w:rsidRPr="00827721">
        <w:t>, a biolichidelor și a combustibililor din biomasă care prezintă riscuri reduse din perspectiva schimbării indirecte a destinației terenurilor, prevăzute în anexa nr.</w:t>
      </w:r>
      <w:r w:rsidR="00E74C2A" w:rsidRPr="00827721">
        <w:t xml:space="preserve"> </w:t>
      </w:r>
      <w:r w:rsidRPr="00827721">
        <w:t>3</w:t>
      </w:r>
      <w:r w:rsidR="00090A54" w:rsidRPr="00863C97">
        <w:t xml:space="preserve"> </w:t>
      </w:r>
      <w:r w:rsidR="00265A1C" w:rsidRPr="00863C97">
        <w:t>la anexa</w:t>
      </w:r>
      <w:r w:rsidR="00F217AF" w:rsidRPr="00863C97">
        <w:t xml:space="preserve"> nr. 1</w:t>
      </w:r>
      <w:r w:rsidRPr="00863C97">
        <w:t xml:space="preserve"> </w:t>
      </w:r>
      <w:r w:rsidR="00C72EEB" w:rsidRPr="00863C97">
        <w:t>din</w:t>
      </w:r>
      <w:r w:rsidR="00796F5A" w:rsidRPr="00863C97">
        <w:t xml:space="preserve"> </w:t>
      </w:r>
      <w:r w:rsidR="00D34F09" w:rsidRPr="00863C97">
        <w:t>HG 53/2025;</w:t>
      </w:r>
    </w:p>
    <w:p w14:paraId="64C7CD6E" w14:textId="5349163F" w:rsidR="007D3771" w:rsidRPr="00827721" w:rsidRDefault="007D3771" w:rsidP="00D832BD">
      <w:pPr>
        <w:pStyle w:val="HGpct1"/>
      </w:pPr>
      <w:r w:rsidRPr="00827721">
        <w:t xml:space="preserve">În sensul prezentului Regulament se aplică noțiunile definite în </w:t>
      </w:r>
      <w:hyperlink r:id="rId21" w:history="1">
        <w:r w:rsidRPr="00827721">
          <w:rPr>
            <w:rStyle w:val="Hyperlink"/>
            <w:color w:val="auto"/>
            <w:u w:val="none"/>
          </w:rPr>
          <w:t>Legea nr.</w:t>
        </w:r>
        <w:r w:rsidR="00B56C5E" w:rsidRPr="00827721">
          <w:rPr>
            <w:rStyle w:val="Hyperlink"/>
            <w:color w:val="auto"/>
            <w:u w:val="none"/>
          </w:rPr>
          <w:t xml:space="preserve"> </w:t>
        </w:r>
        <w:r w:rsidRPr="00827721">
          <w:rPr>
            <w:rStyle w:val="Hyperlink"/>
            <w:color w:val="auto"/>
            <w:u w:val="none"/>
          </w:rPr>
          <w:t>10/2016</w:t>
        </w:r>
      </w:hyperlink>
      <w:r w:rsidRPr="00827721">
        <w:t xml:space="preserve"> privind promovarea utilizării energiei din surse regenerabile, precum și următoarele noțiunile:</w:t>
      </w:r>
    </w:p>
    <w:p w14:paraId="5356E616" w14:textId="034D8E78" w:rsidR="00E07670" w:rsidRPr="00827721" w:rsidRDefault="005B1F89" w:rsidP="00D832BD">
      <w:pPr>
        <w:pStyle w:val="HGsubpct11"/>
      </w:pPr>
      <w:r w:rsidRPr="00827721">
        <w:rPr>
          <w:i/>
        </w:rPr>
        <w:t>schema voluntară</w:t>
      </w:r>
      <w:r w:rsidR="00E07670" w:rsidRPr="00827721">
        <w:t xml:space="preserve"> –</w:t>
      </w:r>
      <w:r w:rsidR="007159E8" w:rsidRPr="00827721">
        <w:t xml:space="preserve"> </w:t>
      </w:r>
      <w:r w:rsidR="00E07670" w:rsidRPr="00827721">
        <w:t>organizație care certifică respectarea de către operatorii economici a criteriilor și normelor care includ, dar nu se limitează la criteriile de durabilitate și de reducere a emisiilor de gaze cu efect de seră prevăzute în</w:t>
      </w:r>
      <w:r w:rsidR="00792BDC" w:rsidRPr="00827721">
        <w:t xml:space="preserve"> </w:t>
      </w:r>
      <w:r w:rsidR="00347C70" w:rsidRPr="00347C70">
        <w:rPr>
          <w:iCs w:val="0"/>
        </w:rPr>
        <w:t>HG 53/2025</w:t>
      </w:r>
      <w:r w:rsidR="00E07670" w:rsidRPr="00827721">
        <w:t>;</w:t>
      </w:r>
    </w:p>
    <w:p w14:paraId="47C5BAE0" w14:textId="619A9B62" w:rsidR="00E07670" w:rsidRPr="00827721" w:rsidRDefault="005B1F89" w:rsidP="00D832BD">
      <w:pPr>
        <w:pStyle w:val="HGsubpct11"/>
      </w:pPr>
      <w:r w:rsidRPr="00827721">
        <w:rPr>
          <w:i/>
        </w:rPr>
        <w:t>schema voluntară</w:t>
      </w:r>
      <w:r w:rsidR="00E07670" w:rsidRPr="00827721">
        <w:rPr>
          <w:i/>
        </w:rPr>
        <w:t xml:space="preserve"> recunoscut</w:t>
      </w:r>
      <w:r w:rsidRPr="00827721">
        <w:rPr>
          <w:i/>
        </w:rPr>
        <w:t>ă</w:t>
      </w:r>
      <w:r w:rsidR="00E07670" w:rsidRPr="00827721">
        <w:t xml:space="preserve"> –</w:t>
      </w:r>
      <w:r w:rsidR="007159E8" w:rsidRPr="00827721">
        <w:t xml:space="preserve"> </w:t>
      </w:r>
      <w:r w:rsidRPr="00827721">
        <w:t>schem</w:t>
      </w:r>
      <w:r w:rsidR="00F5625E" w:rsidRPr="00827721">
        <w:t>a</w:t>
      </w:r>
      <w:r w:rsidRPr="00827721">
        <w:t xml:space="preserve"> voluntară</w:t>
      </w:r>
      <w:r w:rsidR="00674E11" w:rsidRPr="00674E11">
        <w:t xml:space="preserve"> </w:t>
      </w:r>
      <w:r w:rsidR="00674E11" w:rsidRPr="00827721">
        <w:t>de certificare aprobat</w:t>
      </w:r>
      <w:r w:rsidR="00674E11">
        <w:t>ă</w:t>
      </w:r>
      <w:r w:rsidR="00674E11" w:rsidRPr="00827721">
        <w:t xml:space="preserve"> de Comisia Europeană</w:t>
      </w:r>
      <w:r w:rsidR="00E07670" w:rsidRPr="00827721">
        <w:t xml:space="preserve"> </w:t>
      </w:r>
      <w:r w:rsidR="00674E11">
        <w:t xml:space="preserve">și </w:t>
      </w:r>
      <w:r w:rsidR="00E07670" w:rsidRPr="00827721">
        <w:t>recunoscut</w:t>
      </w:r>
      <w:r w:rsidR="0012287D" w:rsidRPr="00827721">
        <w:t>ă</w:t>
      </w:r>
      <w:r w:rsidR="00E07670" w:rsidRPr="00827721">
        <w:t xml:space="preserve"> </w:t>
      </w:r>
      <w:r w:rsidR="000D0EA4" w:rsidRPr="00827721">
        <w:t>de Guvern</w:t>
      </w:r>
      <w:r w:rsidR="006D4C13" w:rsidRPr="00827721">
        <w:t>;</w:t>
      </w:r>
      <w:r w:rsidR="009E2F32" w:rsidRPr="00827721">
        <w:t xml:space="preserve"> </w:t>
      </w:r>
    </w:p>
    <w:p w14:paraId="079EF7E6" w14:textId="585F8EA6" w:rsidR="00E07670" w:rsidRPr="00827721" w:rsidRDefault="00382F5C" w:rsidP="00D832BD">
      <w:pPr>
        <w:pStyle w:val="HGsubpct11"/>
      </w:pPr>
      <w:r w:rsidRPr="00827721">
        <w:rPr>
          <w:i/>
        </w:rPr>
        <w:t>schema națională</w:t>
      </w:r>
      <w:r w:rsidR="00E07670" w:rsidRPr="00827721">
        <w:rPr>
          <w:i/>
        </w:rPr>
        <w:t xml:space="preserve"> recunoscut</w:t>
      </w:r>
      <w:r w:rsidRPr="00827721">
        <w:rPr>
          <w:i/>
        </w:rPr>
        <w:t>ă</w:t>
      </w:r>
      <w:r w:rsidR="00E07670" w:rsidRPr="00827721">
        <w:t xml:space="preserve"> –</w:t>
      </w:r>
      <w:r w:rsidR="00ED06DC" w:rsidRPr="00827721">
        <w:t xml:space="preserve"> </w:t>
      </w:r>
      <w:r w:rsidRPr="00827721">
        <w:t>schem</w:t>
      </w:r>
      <w:r w:rsidR="00F5625E" w:rsidRPr="00827721">
        <w:t xml:space="preserve">a </w:t>
      </w:r>
      <w:r w:rsidRPr="00827721">
        <w:t>națională</w:t>
      </w:r>
      <w:r w:rsidR="00AA2618" w:rsidRPr="00827721">
        <w:t xml:space="preserve"> </w:t>
      </w:r>
      <w:r w:rsidR="00674E11">
        <w:t xml:space="preserve">de certificare </w:t>
      </w:r>
      <w:r w:rsidR="00674E11" w:rsidRPr="00827721">
        <w:t>aprobat</w:t>
      </w:r>
      <w:r w:rsidR="00674E11">
        <w:t>ă</w:t>
      </w:r>
      <w:r w:rsidR="00674E11" w:rsidRPr="00827721">
        <w:t xml:space="preserve"> de Comisia Europeană </w:t>
      </w:r>
      <w:r w:rsidR="00674E11">
        <w:t>și</w:t>
      </w:r>
      <w:r w:rsidR="00674E11" w:rsidRPr="00827721">
        <w:t xml:space="preserve"> </w:t>
      </w:r>
      <w:r w:rsidR="00E07670" w:rsidRPr="00827721">
        <w:t>recunoscut</w:t>
      </w:r>
      <w:r w:rsidRPr="00827721">
        <w:t>ă</w:t>
      </w:r>
      <w:r w:rsidR="00E07670" w:rsidRPr="00827721">
        <w:t xml:space="preserve"> </w:t>
      </w:r>
      <w:r w:rsidR="00436F13" w:rsidRPr="00827721">
        <w:t>de Guvern;</w:t>
      </w:r>
    </w:p>
    <w:p w14:paraId="7898E1D5" w14:textId="0AB7807D" w:rsidR="00E07670" w:rsidRPr="00827721" w:rsidRDefault="00E07670" w:rsidP="00D832BD">
      <w:pPr>
        <w:pStyle w:val="HGsubpct11"/>
      </w:pPr>
      <w:r w:rsidRPr="00827721">
        <w:rPr>
          <w:i/>
        </w:rPr>
        <w:lastRenderedPageBreak/>
        <w:t>certificat</w:t>
      </w:r>
      <w:r w:rsidRPr="00827721">
        <w:t xml:space="preserve"> –</w:t>
      </w:r>
      <w:r w:rsidR="00B3053C" w:rsidRPr="00827721">
        <w:t xml:space="preserve"> </w:t>
      </w:r>
      <w:r w:rsidRPr="00827721">
        <w:t xml:space="preserve">declarație de conformitate emisă de un organism de certificare în cadrul </w:t>
      </w:r>
      <w:r w:rsidR="005B1F89" w:rsidRPr="00827721">
        <w:t xml:space="preserve">unei scheme </w:t>
      </w:r>
      <w:r w:rsidRPr="00827721">
        <w:t>voluntar</w:t>
      </w:r>
      <w:r w:rsidR="005B1F89" w:rsidRPr="00827721">
        <w:t>e</w:t>
      </w:r>
      <w:r w:rsidRPr="00827721">
        <w:t>, care certifică faptul că un operator economic respectă cerințele prevăzute</w:t>
      </w:r>
      <w:r w:rsidR="00501816" w:rsidRPr="00827721">
        <w:t xml:space="preserve"> </w:t>
      </w:r>
      <w:r w:rsidR="00BC13BD" w:rsidRPr="00827721">
        <w:t xml:space="preserve">în </w:t>
      </w:r>
      <w:r w:rsidR="00347C70" w:rsidRPr="00347C70">
        <w:rPr>
          <w:iCs w:val="0"/>
        </w:rPr>
        <w:t>HG 53/2025</w:t>
      </w:r>
      <w:r w:rsidRPr="00827721">
        <w:t>;</w:t>
      </w:r>
    </w:p>
    <w:p w14:paraId="1C1C99D3" w14:textId="5AA0D95B" w:rsidR="00E07670" w:rsidRPr="00827721" w:rsidRDefault="00E07670" w:rsidP="00D832BD">
      <w:pPr>
        <w:pStyle w:val="HGsubpct11"/>
      </w:pPr>
      <w:r w:rsidRPr="00827721">
        <w:rPr>
          <w:i/>
        </w:rPr>
        <w:t>certificat suspendat</w:t>
      </w:r>
      <w:r w:rsidR="000360B0" w:rsidRPr="00827721">
        <w:t xml:space="preserve"> </w:t>
      </w:r>
      <w:r w:rsidRPr="00827721">
        <w:t>–</w:t>
      </w:r>
      <w:r w:rsidR="00B3053C" w:rsidRPr="00827721">
        <w:t xml:space="preserve"> </w:t>
      </w:r>
      <w:r w:rsidRPr="00827721">
        <w:t>certificat anulat temporar din cauza unor neconformități identificate de organismul de certificare sau la cererea voluntară a operatorului economic;</w:t>
      </w:r>
    </w:p>
    <w:p w14:paraId="1045E76E" w14:textId="58D80D59" w:rsidR="00E07670" w:rsidRPr="00827721" w:rsidRDefault="00E07670" w:rsidP="00D832BD">
      <w:pPr>
        <w:pStyle w:val="HGsubpct11"/>
      </w:pPr>
      <w:r w:rsidRPr="00827721">
        <w:rPr>
          <w:i/>
        </w:rPr>
        <w:t>certificat retras</w:t>
      </w:r>
      <w:r w:rsidRPr="00827721">
        <w:t xml:space="preserve"> –</w:t>
      </w:r>
      <w:r w:rsidR="00B3053C" w:rsidRPr="00827721">
        <w:t xml:space="preserve"> </w:t>
      </w:r>
      <w:r w:rsidRPr="00827721">
        <w:t xml:space="preserve">certificat care a fost anulat definitiv de organismul de certificare sau de </w:t>
      </w:r>
      <w:r w:rsidR="00B71F5F" w:rsidRPr="00827721">
        <w:t>schema voluntară</w:t>
      </w:r>
      <w:r w:rsidRPr="00827721">
        <w:t>;</w:t>
      </w:r>
    </w:p>
    <w:p w14:paraId="64CC2E24" w14:textId="7384E93E" w:rsidR="00E07670" w:rsidRPr="00827721" w:rsidRDefault="00E07670" w:rsidP="00D832BD">
      <w:pPr>
        <w:pStyle w:val="HGsubpct11"/>
      </w:pPr>
      <w:r w:rsidRPr="00827721">
        <w:rPr>
          <w:i/>
        </w:rPr>
        <w:t>certificat reziliat</w:t>
      </w:r>
      <w:r w:rsidRPr="00827721">
        <w:t xml:space="preserve">  –</w:t>
      </w:r>
      <w:r w:rsidR="00B3053C" w:rsidRPr="00827721">
        <w:t xml:space="preserve"> </w:t>
      </w:r>
      <w:r w:rsidRPr="00827721">
        <w:t>certificat care a fost anulat în mod voluntar în cursul perioadei de valabilitate;</w:t>
      </w:r>
    </w:p>
    <w:p w14:paraId="08130A5A" w14:textId="792C38F2" w:rsidR="00E07670" w:rsidRPr="00827721" w:rsidRDefault="00E07670" w:rsidP="00D832BD">
      <w:pPr>
        <w:pStyle w:val="HGsubpct11"/>
      </w:pPr>
      <w:r w:rsidRPr="00827721">
        <w:rPr>
          <w:i/>
        </w:rPr>
        <w:t>certificat expirat</w:t>
      </w:r>
      <w:r w:rsidRPr="00827721">
        <w:t xml:space="preserve">  –</w:t>
      </w:r>
      <w:r w:rsidR="00B3053C" w:rsidRPr="00827721">
        <w:t xml:space="preserve"> </w:t>
      </w:r>
      <w:r w:rsidRPr="00827721">
        <w:t>certificat care nu mai este valabil;</w:t>
      </w:r>
    </w:p>
    <w:p w14:paraId="5D80C80E" w14:textId="46F0D8FA" w:rsidR="00E07670" w:rsidRPr="00827721" w:rsidRDefault="00E07670" w:rsidP="00D832BD">
      <w:pPr>
        <w:pStyle w:val="HGsubpct11"/>
      </w:pPr>
      <w:r w:rsidRPr="00827721">
        <w:rPr>
          <w:i/>
        </w:rPr>
        <w:t xml:space="preserve">caracteristici de durabilitate și de reducere a emisiilor de gaze cu efect de seră </w:t>
      </w:r>
      <w:r w:rsidRPr="00827721">
        <w:t>– setul de informații care descriu un lot de materii prime sau de combustibili, necesar pentru a demonstra conformitatea lotului respectiv cu criteriile de durabilitate și de reducere a emisiilor de gaze cu efect de seră pentru biocarburanți, biolichide și combustibilii din biomasă sau cu cerințele de reducere a emisiilor de gaze cu efect de seră aplicabile combustibililor lichizi și gazoși de origine nebiologică produși din surse regenerabile și utilizați în transporturi și combustibililor pe bază de carbon reciclat;</w:t>
      </w:r>
    </w:p>
    <w:p w14:paraId="3087A51E" w14:textId="4CF4EE87" w:rsidR="00E07670" w:rsidRPr="00827721" w:rsidRDefault="00E07670" w:rsidP="00D832BD">
      <w:pPr>
        <w:pStyle w:val="HGsubpct11"/>
      </w:pPr>
      <w:r w:rsidRPr="00827721">
        <w:rPr>
          <w:i/>
        </w:rPr>
        <w:t>amestec de materii prime în scopul prelucrării ulterioare</w:t>
      </w:r>
      <w:r w:rsidRPr="00827721">
        <w:t xml:space="preserve"> –</w:t>
      </w:r>
      <w:r w:rsidR="00240C23" w:rsidRPr="00827721">
        <w:t xml:space="preserve"> </w:t>
      </w:r>
      <w:r w:rsidRPr="00827721">
        <w:t xml:space="preserve">amestecul fizic de materii prime cu unicul scop de a produce </w:t>
      </w:r>
      <w:r w:rsidR="008A23DF" w:rsidRPr="00827721">
        <w:t>biocarburanți</w:t>
      </w:r>
      <w:r w:rsidRPr="00827721">
        <w:t>, biolichide sau combustibili din biomasă;</w:t>
      </w:r>
    </w:p>
    <w:p w14:paraId="5ED6362E" w14:textId="2FE395D8" w:rsidR="00E07670" w:rsidRPr="00827721" w:rsidRDefault="00E07670" w:rsidP="00D832BD">
      <w:pPr>
        <w:pStyle w:val="HGsubpct11"/>
      </w:pPr>
      <w:r w:rsidRPr="00827721">
        <w:rPr>
          <w:i/>
        </w:rPr>
        <w:t>operator economic</w:t>
      </w:r>
      <w:r w:rsidRPr="00827721">
        <w:t xml:space="preserve"> –</w:t>
      </w:r>
      <w:r w:rsidR="00240C23" w:rsidRPr="00827721">
        <w:t xml:space="preserve"> </w:t>
      </w:r>
      <w:r w:rsidRPr="00827721">
        <w:t>producător de materii prime, colector de deșeuri și reziduuri, operator de instalații care transformă materiile prime în combustibili finali sau în produse intermediare, operator de instalații care produc energie (energie electrică, încălzire sau răcire) sau orice alt operator, inclusiv de instalații de stocare, sau comercianți care se află în posesia fizică a materiilor prime sau a combustibililor, cu condiția ca aceștia să prelucreze informații privind caracteristicile de durabilitate și de reducere a emisiilor de gaze cu efect de seră ale materiilor prime sau combustibililor respectivi;</w:t>
      </w:r>
    </w:p>
    <w:p w14:paraId="5AE96B16" w14:textId="239A1366" w:rsidR="00E07670" w:rsidRPr="00827721" w:rsidRDefault="00E07670" w:rsidP="00D832BD">
      <w:pPr>
        <w:pStyle w:val="HGsubpct11"/>
      </w:pPr>
      <w:r w:rsidRPr="00827721">
        <w:rPr>
          <w:i/>
        </w:rPr>
        <w:t>primul punct de colectare</w:t>
      </w:r>
      <w:r w:rsidRPr="00827721">
        <w:t xml:space="preserve"> –</w:t>
      </w:r>
      <w:r w:rsidR="00EE5B57" w:rsidRPr="00827721">
        <w:t xml:space="preserve"> </w:t>
      </w:r>
      <w:r w:rsidRPr="00827721">
        <w:t xml:space="preserve">instalație de stocare sau de prelucrare gestionată direct de un operator economic sau de o altă </w:t>
      </w:r>
      <w:proofErr w:type="spellStart"/>
      <w:r w:rsidRPr="00827721">
        <w:t>contraparte</w:t>
      </w:r>
      <w:proofErr w:type="spellEnd"/>
      <w:r w:rsidRPr="00827721">
        <w:t xml:space="preserve"> în temeiul unui acord contractual, care se aprovizionează cu materii prime direct de la producători de biomasă agricolă, de biomasă forestieră, de deșeuri și reziduuri sau, în cazul combustibililor din surse regenerabile de origine nebiologică, de la instalația care produce astfel de combustibili;</w:t>
      </w:r>
    </w:p>
    <w:p w14:paraId="47BE05CE" w14:textId="3A0EA108" w:rsidR="00E07670" w:rsidRPr="00827721" w:rsidRDefault="00E07670" w:rsidP="00D832BD">
      <w:pPr>
        <w:pStyle w:val="HGsubpct11"/>
      </w:pPr>
      <w:r w:rsidRPr="00827721">
        <w:rPr>
          <w:i/>
        </w:rPr>
        <w:lastRenderedPageBreak/>
        <w:t>audit de certificare</w:t>
      </w:r>
      <w:r w:rsidRPr="00827721">
        <w:t xml:space="preserve"> –</w:t>
      </w:r>
      <w:r w:rsidR="00AE6C68" w:rsidRPr="00827721">
        <w:t xml:space="preserve"> </w:t>
      </w:r>
      <w:r w:rsidRPr="00827721">
        <w:t xml:space="preserve">audit inițial efectuat înainte de participarea la </w:t>
      </w:r>
      <w:r w:rsidR="00382F5C" w:rsidRPr="00827721">
        <w:t>o schemă</w:t>
      </w:r>
      <w:r w:rsidRPr="00827721">
        <w:t xml:space="preserve">, cu scopul de a elibera un certificat în cadrul </w:t>
      </w:r>
      <w:r w:rsidR="006338EC" w:rsidRPr="00827721">
        <w:t xml:space="preserve">unei scheme </w:t>
      </w:r>
      <w:r w:rsidRPr="00827721">
        <w:t>voluntar</w:t>
      </w:r>
      <w:r w:rsidR="006338EC" w:rsidRPr="00827721">
        <w:t>e</w:t>
      </w:r>
      <w:r w:rsidRPr="00827721">
        <w:t>;</w:t>
      </w:r>
    </w:p>
    <w:p w14:paraId="5FF18F5E" w14:textId="32124E5F" w:rsidR="00E07670" w:rsidRPr="00827721" w:rsidRDefault="00E07670" w:rsidP="00D832BD">
      <w:pPr>
        <w:pStyle w:val="HGsubpct11"/>
      </w:pPr>
      <w:r w:rsidRPr="00827721">
        <w:rPr>
          <w:i/>
        </w:rPr>
        <w:t>organism de certificare</w:t>
      </w:r>
      <w:r w:rsidRPr="00827721">
        <w:t xml:space="preserve"> –</w:t>
      </w:r>
      <w:r w:rsidR="00AE6C68" w:rsidRPr="00827721">
        <w:t xml:space="preserve"> </w:t>
      </w:r>
      <w:r w:rsidRPr="00827721">
        <w:t xml:space="preserve">organism independent </w:t>
      </w:r>
      <w:r w:rsidR="00894913" w:rsidRPr="00827721">
        <w:t>de evaluare a conformității</w:t>
      </w:r>
      <w:r w:rsidR="00BF5759" w:rsidRPr="00827721">
        <w:t xml:space="preserve"> </w:t>
      </w:r>
      <w:r w:rsidRPr="00827721">
        <w:t xml:space="preserve">acreditat care încheie un acord cu </w:t>
      </w:r>
      <w:r w:rsidR="006338EC" w:rsidRPr="00827721">
        <w:t xml:space="preserve">o schemă </w:t>
      </w:r>
      <w:r w:rsidRPr="00827721">
        <w:t>voluntar</w:t>
      </w:r>
      <w:r w:rsidR="006338EC" w:rsidRPr="00827721">
        <w:t>ă</w:t>
      </w:r>
      <w:r w:rsidRPr="00827721">
        <w:t xml:space="preserve"> </w:t>
      </w:r>
      <w:r w:rsidR="003F69FB" w:rsidRPr="00827721">
        <w:t>sau națională</w:t>
      </w:r>
      <w:r w:rsidR="00A953C9" w:rsidRPr="00827721">
        <w:t xml:space="preserve">  recunoscută de </w:t>
      </w:r>
      <w:r w:rsidR="00486E81" w:rsidRPr="00827721">
        <w:t>Guvern,</w:t>
      </w:r>
      <w:r w:rsidR="003F69FB" w:rsidRPr="00827721">
        <w:t xml:space="preserve"> </w:t>
      </w:r>
      <w:r w:rsidRPr="00827721">
        <w:t xml:space="preserve">pentru furnizarea de servicii de certificare a materiilor prime sau a combustibililor, care îi auditează pe operatorii economici și care eliberează certificate în numele </w:t>
      </w:r>
      <w:r w:rsidR="003675FE" w:rsidRPr="00827721">
        <w:t>schemelor</w:t>
      </w:r>
      <w:r w:rsidRPr="00827721">
        <w:t xml:space="preserve"> voluntare </w:t>
      </w:r>
      <w:r w:rsidR="00703599" w:rsidRPr="00827721">
        <w:t xml:space="preserve">sau naționale </w:t>
      </w:r>
      <w:r w:rsidRPr="00827721">
        <w:t xml:space="preserve">utilizând sistemul de certificare al </w:t>
      </w:r>
      <w:r w:rsidR="00382F5C" w:rsidRPr="00827721">
        <w:t>schemei voluntare</w:t>
      </w:r>
      <w:r w:rsidRPr="00827721">
        <w:t xml:space="preserve"> </w:t>
      </w:r>
      <w:r w:rsidR="00BD417D" w:rsidRPr="00827721">
        <w:t xml:space="preserve">sau naționale </w:t>
      </w:r>
      <w:r w:rsidRPr="00827721">
        <w:t>respectiv</w:t>
      </w:r>
      <w:r w:rsidR="00382F5C" w:rsidRPr="00827721">
        <w:t>e</w:t>
      </w:r>
      <w:r w:rsidRPr="00827721">
        <w:t>;</w:t>
      </w:r>
    </w:p>
    <w:p w14:paraId="5115F9B1" w14:textId="03557100" w:rsidR="00E07670" w:rsidRPr="00827721" w:rsidRDefault="00E07670" w:rsidP="00D832BD">
      <w:pPr>
        <w:pStyle w:val="HGsubpct11"/>
      </w:pPr>
      <w:r w:rsidRPr="00827721">
        <w:rPr>
          <w:i/>
        </w:rPr>
        <w:t>neconformitate</w:t>
      </w:r>
      <w:r w:rsidRPr="00827721">
        <w:t xml:space="preserve"> –</w:t>
      </w:r>
      <w:r w:rsidR="00AE6C68" w:rsidRPr="00827721">
        <w:t xml:space="preserve"> </w:t>
      </w:r>
      <w:r w:rsidRPr="00827721">
        <w:t xml:space="preserve">nerespectarea de către un operator economic sau un organism de certificare a normelor și procedurilor stabilite de </w:t>
      </w:r>
      <w:r w:rsidR="00B71F5F" w:rsidRPr="00827721">
        <w:t>schema voluntară</w:t>
      </w:r>
      <w:r w:rsidRPr="00827721">
        <w:t xml:space="preserve"> al cărui membru este sau în cadrul căruia își desfășoară activitatea;</w:t>
      </w:r>
    </w:p>
    <w:p w14:paraId="5318CE65" w14:textId="7FDCC258" w:rsidR="00E07670" w:rsidRPr="00827721" w:rsidRDefault="00E07670" w:rsidP="00D832BD">
      <w:pPr>
        <w:pStyle w:val="HGsubpct11"/>
      </w:pPr>
      <w:r w:rsidRPr="00827721">
        <w:rPr>
          <w:i/>
        </w:rPr>
        <w:t>audit de supraveghere</w:t>
      </w:r>
      <w:r w:rsidRPr="00827721">
        <w:t xml:space="preserve"> –</w:t>
      </w:r>
      <w:r w:rsidR="00D956DC" w:rsidRPr="00827721">
        <w:t xml:space="preserve"> </w:t>
      </w:r>
      <w:r w:rsidRPr="00827721">
        <w:t xml:space="preserve">orice audit de verificare a certificatelor eliberate de un organism de certificare în cadrul </w:t>
      </w:r>
      <w:r w:rsidR="006338EC" w:rsidRPr="00827721">
        <w:t>unei scheme voluntare</w:t>
      </w:r>
      <w:r w:rsidRPr="00827721">
        <w:t>, care poate fi efectuat trimestrial, semestrial sau anual, ulterior certificării și înainte de efectuarea unui audit de recertificare;</w:t>
      </w:r>
    </w:p>
    <w:p w14:paraId="79B2E363" w14:textId="5318B6C3" w:rsidR="00E07670" w:rsidRPr="00827721" w:rsidRDefault="00E07670" w:rsidP="00D832BD">
      <w:pPr>
        <w:pStyle w:val="HGsubpct11"/>
      </w:pPr>
      <w:r w:rsidRPr="00827721">
        <w:rPr>
          <w:i/>
        </w:rPr>
        <w:t>audit de recertificare</w:t>
      </w:r>
      <w:r w:rsidRPr="00827721">
        <w:t xml:space="preserve"> –</w:t>
      </w:r>
      <w:r w:rsidR="00D956DC" w:rsidRPr="00827721">
        <w:t xml:space="preserve"> </w:t>
      </w:r>
      <w:r w:rsidRPr="00827721">
        <w:t xml:space="preserve">audit efectuat în scopul reînnoirii unui certificat eliberat de un organism de certificare în cadrul </w:t>
      </w:r>
      <w:r w:rsidR="006338EC" w:rsidRPr="00827721">
        <w:t>unei scheme voluntare</w:t>
      </w:r>
      <w:r w:rsidRPr="00827721">
        <w:t>;</w:t>
      </w:r>
    </w:p>
    <w:p w14:paraId="5ECA3FFA" w14:textId="3A04FA5C" w:rsidR="00E07670" w:rsidRPr="00827721" w:rsidRDefault="00E07670" w:rsidP="00D832BD">
      <w:pPr>
        <w:pStyle w:val="HGsubpct11"/>
      </w:pPr>
      <w:r w:rsidRPr="00827721">
        <w:rPr>
          <w:i/>
        </w:rPr>
        <w:t xml:space="preserve">infrastructură interconectată </w:t>
      </w:r>
      <w:r w:rsidRPr="00827721">
        <w:t>–</w:t>
      </w:r>
      <w:r w:rsidR="0027017C" w:rsidRPr="00827721">
        <w:t xml:space="preserve"> </w:t>
      </w:r>
      <w:r w:rsidRPr="00827721">
        <w:t xml:space="preserve">sistem de infrastructuri, inclusiv conducte, terminale </w:t>
      </w:r>
      <w:r w:rsidR="00BA6A30" w:rsidRPr="00827721">
        <w:t xml:space="preserve">de gaz natural lichefiat (în continuare – </w:t>
      </w:r>
      <w:r w:rsidRPr="00827721">
        <w:rPr>
          <w:i/>
        </w:rPr>
        <w:t>GNL</w:t>
      </w:r>
      <w:r w:rsidR="00BA6A30" w:rsidRPr="00827721">
        <w:t>)</w:t>
      </w:r>
      <w:r w:rsidRPr="00827721">
        <w:t xml:space="preserve"> și instalații de stocare, care transportă gaze, care au drept componentă predominantă metanul, inclusiv biogazul și gazul obținut din biomasă, în special biometanul, sau alte tipuri de gaz care, din punct de vedere tehnic și al respectării siguranței, pot fi injectate în sistemul de gaze naturale, în sistemele de hidrogen, precum și în rețelele de conducte și infrastructurile de transport sau de distribuție a combustibililor lichizi și transportate prin acestea;</w:t>
      </w:r>
    </w:p>
    <w:p w14:paraId="10055322" w14:textId="4D0F111E" w:rsidR="00E07670" w:rsidRPr="00827721" w:rsidRDefault="00E07670" w:rsidP="00D832BD">
      <w:pPr>
        <w:pStyle w:val="HGsubpct11"/>
      </w:pPr>
      <w:r w:rsidRPr="00827721">
        <w:rPr>
          <w:i/>
        </w:rPr>
        <w:t>sistem de hidrogen</w:t>
      </w:r>
      <w:r w:rsidRPr="00827721">
        <w:t xml:space="preserve"> –</w:t>
      </w:r>
      <w:r w:rsidR="00560B79" w:rsidRPr="00827721">
        <w:t xml:space="preserve"> </w:t>
      </w:r>
      <w:r w:rsidRPr="00827721">
        <w:t>sistem de infrastructuri, care include rețelele de hidrogen, instalațiile de stocare a hidrogenului și terminalele de hidrogen și care conține hidrogen cu un grad mare de puritate;</w:t>
      </w:r>
    </w:p>
    <w:p w14:paraId="3752F5C0" w14:textId="74099ECA" w:rsidR="00E07670" w:rsidRPr="00827721" w:rsidRDefault="00E07670" w:rsidP="00D832BD">
      <w:pPr>
        <w:pStyle w:val="HGsubpct11"/>
      </w:pPr>
      <w:r w:rsidRPr="00827721">
        <w:rPr>
          <w:i/>
        </w:rPr>
        <w:t>predecesor legal</w:t>
      </w:r>
      <w:r w:rsidRPr="00827721">
        <w:t xml:space="preserve"> –</w:t>
      </w:r>
      <w:r w:rsidR="001A6877" w:rsidRPr="00827721">
        <w:t xml:space="preserve"> </w:t>
      </w:r>
      <w:r w:rsidRPr="00827721">
        <w:t>operator economic care a fost înlocuit din punct de vedere juridic cu unul nou, dar fără a fi efectuate modificări de fond sau fiind efectuate doar modificări superficiale în ceea ce privește proprietatea, structura conducerii, metodele de lucru sau domeniul de activitate al acestuia;</w:t>
      </w:r>
    </w:p>
    <w:p w14:paraId="04AA9BA6" w14:textId="046CFD41" w:rsidR="00E07670" w:rsidRPr="00827721" w:rsidRDefault="00E07670" w:rsidP="00D832BD">
      <w:pPr>
        <w:pStyle w:val="HGsubpct11"/>
      </w:pPr>
      <w:r w:rsidRPr="00827721">
        <w:rPr>
          <w:i/>
        </w:rPr>
        <w:t>grup de produse</w:t>
      </w:r>
      <w:r w:rsidRPr="00827721">
        <w:t xml:space="preserve"> –</w:t>
      </w:r>
      <w:r w:rsidR="001A6877" w:rsidRPr="00827721">
        <w:t xml:space="preserve"> </w:t>
      </w:r>
      <w:r w:rsidRPr="00827721">
        <w:t xml:space="preserve">materii prime, </w:t>
      </w:r>
      <w:r w:rsidR="008A23DF" w:rsidRPr="00827721">
        <w:t>biocarburanți</w:t>
      </w:r>
      <w:r w:rsidRPr="00827721">
        <w:t xml:space="preserve">, biolichide, combustibili din biomasă negazoși cu caracteristici fizice și chimice similare și cu o putere calorifică similară sau combustibili din biomasă gazoși și GNL cu caracteristici chimice similare și care fac obiectul acelorași norme prevăzute </w:t>
      </w:r>
      <w:r w:rsidR="001D3133" w:rsidRPr="00827721">
        <w:t xml:space="preserve">la art. 7 </w:t>
      </w:r>
      <w:r w:rsidR="009F04C5" w:rsidRPr="00827721">
        <w:t xml:space="preserve">și 8 </w:t>
      </w:r>
      <w:r w:rsidR="001D3133" w:rsidRPr="00827721">
        <w:t>din Legea nr. 10/2018 privind promovarea utilizării energiei din surse regenerabile</w:t>
      </w:r>
      <w:r w:rsidR="0022363D" w:rsidRPr="00827721">
        <w:t>,</w:t>
      </w:r>
      <w:r w:rsidR="001D3133" w:rsidRPr="00827721">
        <w:t xml:space="preserve"> </w:t>
      </w:r>
      <w:r w:rsidR="00995AA3" w:rsidRPr="00827721">
        <w:t xml:space="preserve">astfel cum sunt </w:t>
      </w:r>
      <w:r w:rsidR="00995AA3" w:rsidRPr="00827721">
        <w:lastRenderedPageBreak/>
        <w:t xml:space="preserve">detaliate </w:t>
      </w:r>
      <w:r w:rsidR="004A3E7C" w:rsidRPr="00827721">
        <w:t>în</w:t>
      </w:r>
      <w:r w:rsidR="00D66235" w:rsidRPr="00827721">
        <w:t xml:space="preserve"> </w:t>
      </w:r>
      <w:r w:rsidR="00347C70" w:rsidRPr="00347C70">
        <w:rPr>
          <w:iCs w:val="0"/>
        </w:rPr>
        <w:t>HG 53/2025</w:t>
      </w:r>
      <w:r w:rsidR="00995AA3" w:rsidRPr="00827721">
        <w:t>, precum</w:t>
      </w:r>
      <w:r w:rsidR="002A27FA" w:rsidRPr="00827721">
        <w:t xml:space="preserve"> </w:t>
      </w:r>
      <w:r w:rsidR="00AB0782" w:rsidRPr="00827721">
        <w:t xml:space="preserve">și </w:t>
      </w:r>
      <w:r w:rsidR="000256BA" w:rsidRPr="00827721">
        <w:t xml:space="preserve">în </w:t>
      </w:r>
      <w:r w:rsidR="002E6B69">
        <w:t>HG 74/2025</w:t>
      </w:r>
      <w:r w:rsidR="000256BA" w:rsidRPr="00827721">
        <w:t xml:space="preserve">, </w:t>
      </w:r>
      <w:r w:rsidRPr="00827721">
        <w:t xml:space="preserve">pentru determinarea contribuției </w:t>
      </w:r>
      <w:r w:rsidR="008A23DF" w:rsidRPr="00827721">
        <w:t>biocarburanților</w:t>
      </w:r>
      <w:r w:rsidRPr="00827721">
        <w:t>, a biolichidelor și a combustibililor din biomasă la îndeplinirea obiectivelor privind energia din surse regenerabile;</w:t>
      </w:r>
    </w:p>
    <w:p w14:paraId="2021DB11" w14:textId="7EC70625" w:rsidR="00E07670" w:rsidRPr="00827721" w:rsidRDefault="00E07670" w:rsidP="00D832BD">
      <w:pPr>
        <w:pStyle w:val="HGsubpct11"/>
      </w:pPr>
      <w:r w:rsidRPr="00827721">
        <w:rPr>
          <w:i/>
        </w:rPr>
        <w:t>amplasament</w:t>
      </w:r>
      <w:r w:rsidRPr="00827721">
        <w:t xml:space="preserve"> –</w:t>
      </w:r>
      <w:r w:rsidR="00DA735A" w:rsidRPr="00827721">
        <w:t xml:space="preserve"> </w:t>
      </w:r>
      <w:r w:rsidRPr="00827721">
        <w:t>locație geografică, instalații logistice, infrastructuri de transport sau de distribuție strict delimitate și în interiorul cărora pot fi amestecate produsele;</w:t>
      </w:r>
    </w:p>
    <w:p w14:paraId="4DDDD1A6" w14:textId="004F277E" w:rsidR="00E07670" w:rsidRPr="00827721" w:rsidRDefault="00E07670" w:rsidP="00D832BD">
      <w:pPr>
        <w:pStyle w:val="HGsubpct11"/>
      </w:pPr>
      <w:r w:rsidRPr="00827721">
        <w:rPr>
          <w:i/>
        </w:rPr>
        <w:t>dovadă a durabilității</w:t>
      </w:r>
      <w:r w:rsidRPr="00827721">
        <w:t xml:space="preserve"> –</w:t>
      </w:r>
      <w:r w:rsidR="00DA735A" w:rsidRPr="00827721">
        <w:t xml:space="preserve"> </w:t>
      </w:r>
      <w:r w:rsidRPr="00827721">
        <w:t xml:space="preserve">declarație a unui operator economic, întocmită pe baza unui certificat eliberat de un organism de certificare în cadrul </w:t>
      </w:r>
      <w:r w:rsidR="006338EC" w:rsidRPr="00827721">
        <w:t>unei scheme voluntare</w:t>
      </w:r>
      <w:r w:rsidRPr="00827721">
        <w:t xml:space="preserve">, prin care se certifică conformitatea unei anumite cantități de materii prime sau de combustibili cu criteriile de durabilitate și de reducere a emisiilor de gaze cu efect de seră prevăzute la </w:t>
      </w:r>
      <w:r w:rsidR="00AD5F3E" w:rsidRPr="00827721">
        <w:t xml:space="preserve">art. </w:t>
      </w:r>
      <w:r w:rsidR="00DF76B6" w:rsidRPr="00827721">
        <w:t>26</w:t>
      </w:r>
      <w:r w:rsidR="00DF76B6" w:rsidRPr="00827721">
        <w:rPr>
          <w:vertAlign w:val="superscript"/>
        </w:rPr>
        <w:t xml:space="preserve">7 </w:t>
      </w:r>
      <w:r w:rsidR="003E5396" w:rsidRPr="00827721">
        <w:t>din</w:t>
      </w:r>
      <w:r w:rsidR="003E5396" w:rsidRPr="00827721">
        <w:rPr>
          <w:vertAlign w:val="superscript"/>
        </w:rPr>
        <w:t xml:space="preserve"> </w:t>
      </w:r>
      <w:r w:rsidR="00AD5255" w:rsidRPr="00827721">
        <w:t>Legea nr.10/2016 privind promovarea utilizării energiei din surse regenerabile</w:t>
      </w:r>
      <w:r w:rsidR="00043259" w:rsidRPr="00827721">
        <w:t xml:space="preserve"> și</w:t>
      </w:r>
      <w:r w:rsidR="003E5396" w:rsidRPr="00827721">
        <w:t xml:space="preserve"> </w:t>
      </w:r>
      <w:r w:rsidR="000E0331" w:rsidRPr="00827721">
        <w:t xml:space="preserve">la </w:t>
      </w:r>
      <w:r w:rsidR="004907F6" w:rsidRPr="00827721">
        <w:t>secțiunea 1</w:t>
      </w:r>
      <w:r w:rsidR="005746F1" w:rsidRPr="00827721">
        <w:t xml:space="preserve"> din capitolul III</w:t>
      </w:r>
      <w:r w:rsidR="000E0331" w:rsidRPr="00827721">
        <w:t xml:space="preserve"> din anexa nr. 1</w:t>
      </w:r>
      <w:r w:rsidR="00780321" w:rsidRPr="00827721">
        <w:t xml:space="preserve"> </w:t>
      </w:r>
      <w:r w:rsidR="00347C70">
        <w:t xml:space="preserve">din </w:t>
      </w:r>
      <w:r w:rsidR="00347C70" w:rsidRPr="00347C70">
        <w:rPr>
          <w:iCs w:val="0"/>
        </w:rPr>
        <w:t>HG 53/2025</w:t>
      </w:r>
      <w:r w:rsidR="00043259" w:rsidRPr="00827721">
        <w:t>;</w:t>
      </w:r>
    </w:p>
    <w:p w14:paraId="51C0A92A" w14:textId="5E0E1254" w:rsidR="00E07670" w:rsidRPr="00827721" w:rsidRDefault="00E07670" w:rsidP="00D832BD">
      <w:pPr>
        <w:pStyle w:val="HGsubpct11"/>
      </w:pPr>
      <w:r w:rsidRPr="00827721">
        <w:rPr>
          <w:i/>
        </w:rPr>
        <w:t>materii prime</w:t>
      </w:r>
      <w:r w:rsidRPr="00827721">
        <w:t xml:space="preserve"> –</w:t>
      </w:r>
      <w:r w:rsidR="00140129" w:rsidRPr="00827721">
        <w:t xml:space="preserve"> </w:t>
      </w:r>
      <w:r w:rsidRPr="00827721">
        <w:t>substanțe care nu au fost încă transformate în combustibili sau în produse intermediare;</w:t>
      </w:r>
    </w:p>
    <w:p w14:paraId="6726A49F" w14:textId="66BF7AA3" w:rsidR="00E07670" w:rsidRPr="00827721" w:rsidRDefault="00E07670" w:rsidP="00D832BD">
      <w:pPr>
        <w:pStyle w:val="HGsubpct11"/>
      </w:pPr>
      <w:r w:rsidRPr="00827721">
        <w:rPr>
          <w:i/>
        </w:rPr>
        <w:t>combustibili</w:t>
      </w:r>
      <w:r w:rsidRPr="00827721">
        <w:t xml:space="preserve"> –</w:t>
      </w:r>
      <w:r w:rsidR="00140129" w:rsidRPr="00827721">
        <w:t xml:space="preserve"> </w:t>
      </w:r>
      <w:r w:rsidRPr="00827721">
        <w:t>combustibilii pregătiți pentru a fi furnizați pentru consum, inclusiv biocarburanți, biolichide, combustibili din biomasă, combustibili lichizi și gazoși de origine nebiologică produși din surse regenerabile și utilizați în transporturi și combustibili pe bază de carbon reciclat;</w:t>
      </w:r>
    </w:p>
    <w:p w14:paraId="508644F9" w14:textId="13A8906D" w:rsidR="00E07670" w:rsidRPr="00827721" w:rsidRDefault="00E07670" w:rsidP="00D832BD">
      <w:pPr>
        <w:pStyle w:val="HGsubpct11"/>
      </w:pPr>
      <w:r w:rsidRPr="00827721">
        <w:rPr>
          <w:i/>
        </w:rPr>
        <w:t>test de atractivitate financiară</w:t>
      </w:r>
      <w:r w:rsidRPr="00827721">
        <w:t xml:space="preserve"> –</w:t>
      </w:r>
      <w:r w:rsidR="00140129" w:rsidRPr="00827721">
        <w:t xml:space="preserve"> </w:t>
      </w:r>
      <w:r w:rsidRPr="00827721">
        <w:t xml:space="preserve">calcularea valorii actualizate nete (VAN) a unei investiții, pe baza unor măsuri de </w:t>
      </w:r>
      <w:proofErr w:type="spellStart"/>
      <w:r w:rsidRPr="00827721">
        <w:t>adiționalitate</w:t>
      </w:r>
      <w:proofErr w:type="spellEnd"/>
      <w:r w:rsidRPr="00827721">
        <w:t xml:space="preserve"> luate în contextul certificării biomasei care prezintă riscuri reduse din perspectiva schimbării indirecte a destinației terenurilor;</w:t>
      </w:r>
    </w:p>
    <w:p w14:paraId="4A10DCCC" w14:textId="236650A5" w:rsidR="00E07670" w:rsidRPr="00827721" w:rsidRDefault="00E07670" w:rsidP="00D832BD">
      <w:pPr>
        <w:pStyle w:val="HGsubpct11"/>
      </w:pPr>
      <w:r w:rsidRPr="00827721">
        <w:rPr>
          <w:i/>
        </w:rPr>
        <w:t>test privind obstacolele nefinanciare</w:t>
      </w:r>
      <w:r w:rsidRPr="00827721">
        <w:t xml:space="preserve"> –</w:t>
      </w:r>
      <w:r w:rsidR="00140129" w:rsidRPr="00827721">
        <w:t xml:space="preserve"> </w:t>
      </w:r>
      <w:r w:rsidRPr="00827721">
        <w:t>evaluare a altor obstacole potențiale care p</w:t>
      </w:r>
      <w:r w:rsidR="00D973AF" w:rsidRPr="00827721">
        <w:t>ot</w:t>
      </w:r>
      <w:r w:rsidRPr="00827721">
        <w:t xml:space="preserve"> împiedic</w:t>
      </w:r>
      <w:r w:rsidR="00D973AF" w:rsidRPr="00827721">
        <w:t>a</w:t>
      </w:r>
      <w:r w:rsidRPr="00827721">
        <w:t xml:space="preserve"> un operator economic să pună în aplicare măsurile de </w:t>
      </w:r>
      <w:proofErr w:type="spellStart"/>
      <w:r w:rsidRPr="00827721">
        <w:t>adiționalitate</w:t>
      </w:r>
      <w:proofErr w:type="spellEnd"/>
      <w:r w:rsidRPr="00827721">
        <w:t xml:space="preserve"> în contextul certificării biomasei care prezintă riscuri reduse din perspectiva schimbării indirecte a destinației terenurilor;</w:t>
      </w:r>
    </w:p>
    <w:p w14:paraId="03F35DDF" w14:textId="10C35A2D" w:rsidR="00E07670" w:rsidRPr="00F74A6B" w:rsidRDefault="002E38DB" w:rsidP="00D832BD">
      <w:pPr>
        <w:pStyle w:val="HGsubpct11"/>
      </w:pPr>
      <w:r w:rsidRPr="00F74A6B">
        <w:rPr>
          <w:i/>
        </w:rPr>
        <w:t>Registru de</w:t>
      </w:r>
      <w:r w:rsidR="005D274D" w:rsidRPr="00F74A6B">
        <w:rPr>
          <w:i/>
        </w:rPr>
        <w:t xml:space="preserve"> </w:t>
      </w:r>
      <w:r w:rsidR="008A23DF" w:rsidRPr="00F74A6B">
        <w:rPr>
          <w:i/>
        </w:rPr>
        <w:t>biocarburanți</w:t>
      </w:r>
      <w:r w:rsidR="00E07670" w:rsidRPr="00F74A6B">
        <w:t xml:space="preserve"> –</w:t>
      </w:r>
      <w:r w:rsidR="00D74D9B" w:rsidRPr="00F74A6B">
        <w:t xml:space="preserve"> </w:t>
      </w:r>
      <w:r w:rsidR="002555F7" w:rsidRPr="00F74A6B">
        <w:t>totalitatea sistematizată de date în formă electronică, instituită și ținută</w:t>
      </w:r>
      <w:r w:rsidR="000A40FC" w:rsidRPr="00F74A6B">
        <w:t xml:space="preserve"> </w:t>
      </w:r>
      <w:r w:rsidR="00486AD7" w:rsidRPr="00F74A6B">
        <w:t xml:space="preserve">de </w:t>
      </w:r>
      <w:r w:rsidR="00A72F09" w:rsidRPr="00F74A6B">
        <w:t xml:space="preserve">Instituție Publică </w:t>
      </w:r>
      <w:r w:rsidR="00953554" w:rsidRPr="00F74A6B">
        <w:t xml:space="preserve">Centrul Național pentru Energie Durabilă (în continuare – </w:t>
      </w:r>
      <w:r w:rsidR="00953554" w:rsidRPr="00F74A6B">
        <w:rPr>
          <w:i/>
        </w:rPr>
        <w:t>IP</w:t>
      </w:r>
      <w:r w:rsidR="00953554" w:rsidRPr="00F74A6B">
        <w:t xml:space="preserve"> </w:t>
      </w:r>
      <w:r w:rsidR="00953554" w:rsidRPr="00F74A6B">
        <w:rPr>
          <w:i/>
        </w:rPr>
        <w:t>CNED</w:t>
      </w:r>
      <w:r w:rsidR="00953554" w:rsidRPr="00F74A6B">
        <w:t>)</w:t>
      </w:r>
      <w:r w:rsidR="002555F7" w:rsidRPr="00F74A6B">
        <w:t>,</w:t>
      </w:r>
      <w:r w:rsidR="00953554" w:rsidRPr="00F74A6B">
        <w:t xml:space="preserve"> </w:t>
      </w:r>
      <w:r w:rsidR="004F272B" w:rsidRPr="00F74A6B">
        <w:t>cu privire la</w:t>
      </w:r>
      <w:r w:rsidR="008D7F3F" w:rsidRPr="00F74A6B">
        <w:t xml:space="preserve"> tranzacțiile și caracteristicile de durabilitate ale combustibililor, inclusiv emisiile lor de gaze cu efect de seră generate pe durata ciclului de viață</w:t>
      </w:r>
      <w:r w:rsidR="004F272B" w:rsidRPr="00F74A6B">
        <w:t xml:space="preserve"> </w:t>
      </w:r>
      <w:r w:rsidR="00486AD7" w:rsidRPr="00F74A6B">
        <w:t xml:space="preserve">în </w:t>
      </w:r>
      <w:r w:rsidR="00D27D46" w:rsidRPr="00F74A6B">
        <w:t>temeiul</w:t>
      </w:r>
      <w:r w:rsidR="00E07670" w:rsidRPr="00F74A6B">
        <w:t xml:space="preserve"> </w:t>
      </w:r>
      <w:r w:rsidR="00F95D69" w:rsidRPr="00F74A6B">
        <w:t xml:space="preserve">pct. 7-9 din anexa nr. 1 </w:t>
      </w:r>
      <w:r w:rsidR="00347C70" w:rsidRPr="00F74A6B">
        <w:t xml:space="preserve">din </w:t>
      </w:r>
      <w:r w:rsidR="00347C70" w:rsidRPr="00F74A6B">
        <w:rPr>
          <w:iCs w:val="0"/>
        </w:rPr>
        <w:t>HG 53/2025</w:t>
      </w:r>
      <w:r w:rsidR="00E07670" w:rsidRPr="00F74A6B">
        <w:t>;</w:t>
      </w:r>
    </w:p>
    <w:p w14:paraId="3CC89FAB" w14:textId="0A87215B" w:rsidR="004C0B24" w:rsidRPr="00827721" w:rsidRDefault="00E07670" w:rsidP="00D832BD">
      <w:pPr>
        <w:pStyle w:val="HGsubpct11"/>
      </w:pPr>
      <w:r w:rsidRPr="00827721">
        <w:rPr>
          <w:i/>
        </w:rPr>
        <w:t>pășune</w:t>
      </w:r>
      <w:r w:rsidRPr="00827721">
        <w:t xml:space="preserve"> – </w:t>
      </w:r>
      <w:r w:rsidR="00D74D9B" w:rsidRPr="00827721">
        <w:t xml:space="preserve">ecosistemele terestre dominate de vegetația erbacee sau de arbuști pe o perioadă de cel puțin cinci ani fără întrerupere. Acesta cuprinde pajiști sau pășuni care sunt cultivate pentru fân, dar exclude terenurile cultivate în scopul producției unor alte culturi și terenurile cultivate lăsate temporar în pârloagă. </w:t>
      </w:r>
      <w:r w:rsidR="000524D1" w:rsidRPr="00827721">
        <w:t>A</w:t>
      </w:r>
      <w:r w:rsidR="00D74D9B" w:rsidRPr="00827721">
        <w:t xml:space="preserve">ceasta exclude </w:t>
      </w:r>
      <w:r w:rsidR="00D74D9B" w:rsidRPr="00827721">
        <w:lastRenderedPageBreak/>
        <w:t xml:space="preserve">zonele împădurite în permanență, astfel cum sunt </w:t>
      </w:r>
      <w:r w:rsidR="00D74D9B" w:rsidRPr="00F74A6B">
        <w:t xml:space="preserve">definite </w:t>
      </w:r>
      <w:r w:rsidR="00982265" w:rsidRPr="00F74A6B">
        <w:t xml:space="preserve">la subpct. 17.2 din anexa nr. </w:t>
      </w:r>
      <w:r w:rsidR="004E6473" w:rsidRPr="00F74A6B">
        <w:t>1</w:t>
      </w:r>
      <w:r w:rsidR="00982265" w:rsidRPr="00F74A6B">
        <w:t xml:space="preserve"> </w:t>
      </w:r>
      <w:r w:rsidR="00347C70" w:rsidRPr="00F74A6B">
        <w:t xml:space="preserve">din </w:t>
      </w:r>
      <w:r w:rsidR="00347C70" w:rsidRPr="00F74A6B">
        <w:rPr>
          <w:iCs w:val="0"/>
        </w:rPr>
        <w:t>HG 53/2025</w:t>
      </w:r>
      <w:r w:rsidR="00D74D9B" w:rsidRPr="00F74A6B">
        <w:t>, cu excepția cazului</w:t>
      </w:r>
      <w:r w:rsidR="00D74D9B" w:rsidRPr="00827721">
        <w:t xml:space="preserve"> în care acestea sunt sisteme agroforestiere ce includ sisteme de utilizare a terenurilor în care arborii sunt gestionați împreună cu culturile sau cu sistemele de producție animalieră în mediul agricol. Poziția dominantă a vegetației erbacee și arbustive </w:t>
      </w:r>
      <w:r w:rsidR="00EF656A" w:rsidRPr="00827721">
        <w:t>se consideră atunci când</w:t>
      </w:r>
      <w:r w:rsidR="00D74D9B" w:rsidRPr="00827721">
        <w:t xml:space="preserve"> acoperirea lor vegetală combinată este mai mare decât acoperirea coronamentului arborilor</w:t>
      </w:r>
      <w:r w:rsidR="00DE5E59" w:rsidRPr="00827721">
        <w:t xml:space="preserve">. </w:t>
      </w:r>
    </w:p>
    <w:p w14:paraId="709D1A32" w14:textId="2E3E427C" w:rsidR="00E2331E" w:rsidRPr="00827721" w:rsidRDefault="00E90C8B" w:rsidP="00E90C8B">
      <w:pPr>
        <w:pStyle w:val="Capitol"/>
      </w:pPr>
      <w:r w:rsidRPr="00827721">
        <w:rPr>
          <w:caps w:val="0"/>
        </w:rPr>
        <w:t>Capitolul</w:t>
      </w:r>
      <w:r w:rsidR="00E2331E" w:rsidRPr="00827721">
        <w:t xml:space="preserve"> </w:t>
      </w:r>
      <w:r w:rsidR="00330CE9" w:rsidRPr="00827721">
        <w:t>I</w:t>
      </w:r>
      <w:r w:rsidR="00E2331E" w:rsidRPr="00827721">
        <w:t>I</w:t>
      </w:r>
    </w:p>
    <w:p w14:paraId="673BB620" w14:textId="03D389BE" w:rsidR="00C81B3A" w:rsidRPr="00827721" w:rsidRDefault="00E2331E" w:rsidP="00E90C8B">
      <w:pPr>
        <w:pStyle w:val="Capitol"/>
      </w:pPr>
      <w:r w:rsidRPr="00827721">
        <w:t xml:space="preserve">NORME GENERALE PRIVIND GUVERNANȚA, MONITORIZAREA INTERNĂ, PROCEDURILE DE DEPUNERE A PLÂNGERILOR ȘI TRANSPARENȚA </w:t>
      </w:r>
      <w:r w:rsidR="003675FE" w:rsidRPr="00827721">
        <w:t>SCHEMELOR</w:t>
      </w:r>
      <w:r w:rsidRPr="00827721">
        <w:t xml:space="preserve"> VOLUNTARE</w:t>
      </w:r>
    </w:p>
    <w:p w14:paraId="3721DFFD" w14:textId="4C8CAD60" w:rsidR="000B099D" w:rsidRPr="00827721" w:rsidRDefault="000B099D" w:rsidP="00E90C8B">
      <w:pPr>
        <w:pStyle w:val="Sectiune"/>
      </w:pPr>
      <w:r w:rsidRPr="00827721">
        <w:t>Secțiunea 1</w:t>
      </w:r>
    </w:p>
    <w:p w14:paraId="38023881" w14:textId="6557F060" w:rsidR="00271E8B" w:rsidRPr="00827721" w:rsidRDefault="00271E8B" w:rsidP="00E90C8B">
      <w:pPr>
        <w:pStyle w:val="Sectiune"/>
      </w:pPr>
      <w:r w:rsidRPr="00827721">
        <w:t xml:space="preserve">Structura de guvernanță a </w:t>
      </w:r>
      <w:r w:rsidR="00382F5C" w:rsidRPr="00827721">
        <w:t>schemei voluntare</w:t>
      </w:r>
    </w:p>
    <w:p w14:paraId="6634D9E4" w14:textId="16773024" w:rsidR="009F3991" w:rsidRPr="00827721" w:rsidRDefault="003675FE" w:rsidP="00D832BD">
      <w:pPr>
        <w:pStyle w:val="HGpct1"/>
      </w:pPr>
      <w:r w:rsidRPr="00827721">
        <w:t>Schemele</w:t>
      </w:r>
      <w:r w:rsidR="009F3991" w:rsidRPr="00827721">
        <w:t xml:space="preserve"> voluntare instituie o structură de guvernanță pentru a se asigura că dispun de capacitatea juridică și tehnică, de imparțialitatea și independența necesare pentru a-și îndeplini sarcinile. În funcție de domeniul de aplicare al </w:t>
      </w:r>
      <w:r w:rsidR="00382F5C" w:rsidRPr="00827721">
        <w:t>schemei voluntare</w:t>
      </w:r>
      <w:r w:rsidR="009F3991" w:rsidRPr="00827721">
        <w:t xml:space="preserve">, </w:t>
      </w:r>
      <w:r w:rsidR="001536C6" w:rsidRPr="001536C6">
        <w:t>organul central de specialitate al administrației publice în domeniul energeticii</w:t>
      </w:r>
      <w:r w:rsidR="001536C6">
        <w:t xml:space="preserve"> </w:t>
      </w:r>
      <w:r w:rsidR="000070D3" w:rsidRPr="00615461">
        <w:t>înființ</w:t>
      </w:r>
      <w:r w:rsidR="003C51FD" w:rsidRPr="00615461">
        <w:t>e</w:t>
      </w:r>
      <w:r w:rsidR="000070D3" w:rsidRPr="00615461">
        <w:t>a</w:t>
      </w:r>
      <w:r w:rsidR="003C51FD" w:rsidRPr="00615461">
        <w:t>ză</w:t>
      </w:r>
      <w:r w:rsidR="00874BB6" w:rsidRPr="00615461">
        <w:t xml:space="preserve"> </w:t>
      </w:r>
      <w:r w:rsidR="004A18BA" w:rsidRPr="00615461">
        <w:t xml:space="preserve">un </w:t>
      </w:r>
      <w:r w:rsidR="000070D3" w:rsidRPr="00615461">
        <w:t>grup de lucru</w:t>
      </w:r>
      <w:r w:rsidR="00874BB6" w:rsidRPr="00615461">
        <w:t xml:space="preserve"> de asistență tehnică specializată, </w:t>
      </w:r>
      <w:r w:rsidR="007D5BA2" w:rsidRPr="00615461">
        <w:t xml:space="preserve">cu posibilitatea de a contracta experți externi independenți, </w:t>
      </w:r>
      <w:r w:rsidR="00597A43" w:rsidRPr="00615461">
        <w:t>în vederea acordării de consultanță privind aspecte tehnice</w:t>
      </w:r>
      <w:r w:rsidR="00874BB6" w:rsidRPr="00615461">
        <w:t>.</w:t>
      </w:r>
      <w:r w:rsidR="005F4E7B" w:rsidRPr="00615461">
        <w:t xml:space="preserve"> </w:t>
      </w:r>
      <w:r w:rsidR="003625D7" w:rsidRPr="00615461">
        <w:t xml:space="preserve">Din componența grupului de lucru fac parte, în mod obligatoriu, </w:t>
      </w:r>
      <w:r w:rsidR="009F14C9" w:rsidRPr="00615461">
        <w:t>Agenția de Mediu</w:t>
      </w:r>
      <w:r w:rsidR="00495D74" w:rsidRPr="00615461">
        <w:t xml:space="preserve"> </w:t>
      </w:r>
      <w:r w:rsidR="003625D7" w:rsidRPr="00615461">
        <w:t xml:space="preserve">și </w:t>
      </w:r>
      <w:r w:rsidR="00495D74" w:rsidRPr="00615461">
        <w:t>IP CNED.</w:t>
      </w:r>
      <w:r w:rsidR="003172A1" w:rsidRPr="00615461">
        <w:t xml:space="preserve"> IP CNED asigură </w:t>
      </w:r>
      <w:r w:rsidR="00847904" w:rsidRPr="00615461">
        <w:t xml:space="preserve">gestionarea </w:t>
      </w:r>
      <w:r w:rsidR="00E46B1A" w:rsidRPr="00615461">
        <w:t xml:space="preserve">fluxul de informație </w:t>
      </w:r>
      <w:r w:rsidR="00640731" w:rsidRPr="00615461">
        <w:t>destinate</w:t>
      </w:r>
      <w:r w:rsidR="002D1982" w:rsidRPr="00615461">
        <w:t xml:space="preserve"> </w:t>
      </w:r>
      <w:r w:rsidR="00F82C59" w:rsidRPr="00615461">
        <w:t xml:space="preserve">grupul de lucru </w:t>
      </w:r>
      <w:r w:rsidR="004F7B9F" w:rsidRPr="00615461">
        <w:t>în sensul</w:t>
      </w:r>
      <w:r w:rsidR="009746A7" w:rsidRPr="00615461">
        <w:t xml:space="preserve"> prezentului regulament</w:t>
      </w:r>
      <w:r w:rsidR="00F82C59" w:rsidRPr="00615461">
        <w:t>.</w:t>
      </w:r>
      <w:r w:rsidR="002D1982">
        <w:t xml:space="preserve"> </w:t>
      </w:r>
    </w:p>
    <w:p w14:paraId="671A6A3E" w14:textId="20208F3D" w:rsidR="009250FD" w:rsidRPr="00827721" w:rsidRDefault="009250FD" w:rsidP="00D832BD">
      <w:pPr>
        <w:pStyle w:val="HGpct1"/>
      </w:pPr>
      <w:r w:rsidRPr="00827721">
        <w:t xml:space="preserve">În </w:t>
      </w:r>
      <w:r w:rsidR="00FC1D75" w:rsidRPr="00827721">
        <w:t>limita posibilităților disponibile</w:t>
      </w:r>
      <w:r w:rsidRPr="00827721">
        <w:t xml:space="preserve">, </w:t>
      </w:r>
      <w:r w:rsidR="003675FE" w:rsidRPr="00827721">
        <w:t>schemele</w:t>
      </w:r>
      <w:r w:rsidRPr="00827721">
        <w:t xml:space="preserve"> voluntare includ în cadrul structurii de guvernanță și al procesului decizional o gamă largă de reprezentanți ai diferitelor grupuri de părți interesate relevante, cum ar fi asociații ale fermierilor sau silvicultorilor, organizații neguvernamentale din domeniul mediului, comunitățile indigene și locale potențial afectate de </w:t>
      </w:r>
      <w:r w:rsidR="003675FE" w:rsidRPr="00827721">
        <w:t>schemele</w:t>
      </w:r>
      <w:r w:rsidRPr="00827721">
        <w:t xml:space="preserve"> respective, mediul academic și producători de combustibili. Nicio parte interesată sau niciun grup de părți interesate nu deține o poziție dominantă în cadrul procesului decizional. Deciziile se iau numai în cazul în care se întrunește cvorumul majorității părților interesate.</w:t>
      </w:r>
    </w:p>
    <w:p w14:paraId="15FF47DA" w14:textId="27EA554E" w:rsidR="009250FD" w:rsidRPr="00827721" w:rsidRDefault="003675FE" w:rsidP="00D832BD">
      <w:pPr>
        <w:pStyle w:val="HGpct1"/>
      </w:pPr>
      <w:r w:rsidRPr="00827721">
        <w:t>Schemele</w:t>
      </w:r>
      <w:r w:rsidR="0071107E" w:rsidRPr="00827721">
        <w:t xml:space="preserve"> voluntare stabilesc norme și proceduri pentru a evita conflictele de interese în cadrul procesului decizional. Ca standard minim, acestea aplică un sistem de control și echilibru pentru a se asigura că nicio parte interesată, care are un interes legitim în rezultatul unei decizii, nu </w:t>
      </w:r>
      <w:r w:rsidR="0028786F" w:rsidRPr="00827721">
        <w:t>exercită</w:t>
      </w:r>
      <w:r w:rsidR="0071107E" w:rsidRPr="00827721">
        <w:t xml:space="preserve"> o influență decisivă asupra respectivei decizii.</w:t>
      </w:r>
    </w:p>
    <w:p w14:paraId="4A51220B" w14:textId="27AFD620" w:rsidR="002F1BDF" w:rsidRPr="00827721" w:rsidRDefault="002F1BDF" w:rsidP="00D832BD">
      <w:pPr>
        <w:pStyle w:val="HGpct1"/>
      </w:pPr>
      <w:r w:rsidRPr="00827721">
        <w:lastRenderedPageBreak/>
        <w:t xml:space="preserve">Organismele de certificare stabilesc norme și proceduri în materie de integritate pentru a asigura independența lor deplină față de operatorii economici care participă la </w:t>
      </w:r>
      <w:r w:rsidR="00C2693B" w:rsidRPr="00827721">
        <w:t>schemă</w:t>
      </w:r>
      <w:r w:rsidRPr="00827721">
        <w:t xml:space="preserve">. </w:t>
      </w:r>
      <w:r w:rsidR="003675FE" w:rsidRPr="00827721">
        <w:t>Schemele</w:t>
      </w:r>
      <w:r w:rsidRPr="00827721">
        <w:t xml:space="preserve"> voluntare impun ca organismele de certificare care acționează în numele acestor </w:t>
      </w:r>
      <w:r w:rsidR="006B423B" w:rsidRPr="00827721">
        <w:t>scheme</w:t>
      </w:r>
      <w:r w:rsidRPr="00827721">
        <w:t xml:space="preserve"> să fie acreditate în conformitate cu standardul </w:t>
      </w:r>
      <w:r w:rsidR="009A5326" w:rsidRPr="00827721">
        <w:t xml:space="preserve">moldovenesc </w:t>
      </w:r>
      <w:r w:rsidR="00824236" w:rsidRPr="00827721">
        <w:t>SM EN ISO/CEI 17065:2013</w:t>
      </w:r>
      <w:r w:rsidR="00332E50" w:rsidRPr="00827721">
        <w:t xml:space="preserve"> „</w:t>
      </w:r>
      <w:r w:rsidR="00DF3C09" w:rsidRPr="00827721">
        <w:t xml:space="preserve">Evaluarea </w:t>
      </w:r>
      <w:r w:rsidR="00A83C9A" w:rsidRPr="00827721">
        <w:t>conformității</w:t>
      </w:r>
      <w:r w:rsidR="00DF3C09" w:rsidRPr="00827721">
        <w:t xml:space="preserve">. </w:t>
      </w:r>
      <w:r w:rsidR="00A83C9A" w:rsidRPr="00827721">
        <w:t>Cerințe</w:t>
      </w:r>
      <w:r w:rsidR="00DF3C09" w:rsidRPr="00827721">
        <w:t xml:space="preserve"> pentru organisme care certifică produse, procese </w:t>
      </w:r>
      <w:r w:rsidR="00A83C9A" w:rsidRPr="00827721">
        <w:t>și</w:t>
      </w:r>
      <w:r w:rsidR="00DF3C09" w:rsidRPr="00827721">
        <w:t xml:space="preserve"> servicii</w:t>
      </w:r>
      <w:r w:rsidR="00332E50" w:rsidRPr="00827721">
        <w:t>”</w:t>
      </w:r>
      <w:r w:rsidRPr="00827721">
        <w:t>.</w:t>
      </w:r>
    </w:p>
    <w:p w14:paraId="034A7A9A" w14:textId="63DA7F98" w:rsidR="00B32AAC" w:rsidRPr="00827721" w:rsidRDefault="00B32AAC" w:rsidP="00D832BD">
      <w:pPr>
        <w:pStyle w:val="HGpct1"/>
      </w:pPr>
      <w:r w:rsidRPr="00827721">
        <w:t>Sistemul de guvernanță al organismului de certificare urmărește să asigure cel mai înalt nivel posibil de independență în ceea ce privește opiniile auditorilor prin aplicarea principiilor rotației auditorilor sau a altor bune practici din domeniu.</w:t>
      </w:r>
    </w:p>
    <w:p w14:paraId="3D68C640" w14:textId="5A823A7A" w:rsidR="000F52F9" w:rsidRPr="00827721" w:rsidRDefault="000F52F9" w:rsidP="00D832BD">
      <w:pPr>
        <w:pStyle w:val="HGpct1"/>
      </w:pPr>
      <w:r w:rsidRPr="00827721">
        <w:t xml:space="preserve">Persoanele aflate într-o potențială situație de conflict de interese sunt excluse din procesul decizional atât în cadrul </w:t>
      </w:r>
      <w:r w:rsidR="00382F5C" w:rsidRPr="00827721">
        <w:t>schemei voluntare</w:t>
      </w:r>
      <w:r w:rsidRPr="00827721">
        <w:t xml:space="preserve">, cât și în cadrul organismului de certificare. </w:t>
      </w:r>
      <w:r w:rsidR="003675FE" w:rsidRPr="00827721">
        <w:t>Schemele</w:t>
      </w:r>
      <w:r w:rsidRPr="00827721">
        <w:t xml:space="preserve"> voluntare instituie proceduri adecvate și o pistă de audit pentru identificarea și documentarea cazuri</w:t>
      </w:r>
      <w:r w:rsidR="00C47531" w:rsidRPr="00827721">
        <w:t>lor</w:t>
      </w:r>
      <w:r w:rsidRPr="00827721">
        <w:t xml:space="preserve"> </w:t>
      </w:r>
      <w:r w:rsidR="007702F7" w:rsidRPr="00827721">
        <w:t xml:space="preserve">respective, </w:t>
      </w:r>
      <w:r w:rsidRPr="00827721">
        <w:t>revizui</w:t>
      </w:r>
      <w:r w:rsidR="007702F7" w:rsidRPr="00827721">
        <w:t>te</w:t>
      </w:r>
      <w:r w:rsidRPr="00827721">
        <w:t xml:space="preserve"> periodic în cadrul propriilor sisteme interne de monitorizare.</w:t>
      </w:r>
    </w:p>
    <w:p w14:paraId="308F4BFD" w14:textId="253B36FA" w:rsidR="003C5D38" w:rsidRPr="00827721" w:rsidRDefault="003C5D38" w:rsidP="00E90C8B">
      <w:pPr>
        <w:pStyle w:val="Sectiune"/>
      </w:pPr>
      <w:r w:rsidRPr="00827721">
        <w:t>Secțiunea a 2-a</w:t>
      </w:r>
    </w:p>
    <w:p w14:paraId="347E23EC" w14:textId="510A4BC3" w:rsidR="009F3991" w:rsidRPr="00827721" w:rsidRDefault="003C5D38" w:rsidP="00E90C8B">
      <w:pPr>
        <w:pStyle w:val="Sectiune"/>
        <w:rPr>
          <w:iCs/>
        </w:rPr>
      </w:pPr>
      <w:r w:rsidRPr="00827721">
        <w:t xml:space="preserve">Neconformitățile operatorilor economici în cadrul </w:t>
      </w:r>
      <w:r w:rsidR="00382F5C" w:rsidRPr="00827721">
        <w:t>schemei</w:t>
      </w:r>
    </w:p>
    <w:p w14:paraId="478B72AF" w14:textId="315AD7D5" w:rsidR="00361C87" w:rsidRPr="00827721" w:rsidRDefault="003675FE" w:rsidP="00D832BD">
      <w:pPr>
        <w:pStyle w:val="HGpct1"/>
      </w:pPr>
      <w:r w:rsidRPr="00827721">
        <w:t>Schemele</w:t>
      </w:r>
      <w:r w:rsidR="00361C87" w:rsidRPr="00827721">
        <w:t xml:space="preserve"> voluntare instituie </w:t>
      </w:r>
      <w:r w:rsidR="005818DE" w:rsidRPr="00827721">
        <w:t>o schemă</w:t>
      </w:r>
      <w:r w:rsidR="00361C87" w:rsidRPr="00827721">
        <w:t xml:space="preserve"> cuprinzăto</w:t>
      </w:r>
      <w:r w:rsidR="005818DE" w:rsidRPr="00827721">
        <w:t>a</w:t>
      </w:r>
      <w:r w:rsidR="00361C87" w:rsidRPr="00827721">
        <w:t>r</w:t>
      </w:r>
      <w:r w:rsidR="005818DE" w:rsidRPr="00827721">
        <w:t>e</w:t>
      </w:r>
      <w:r w:rsidR="00361C87" w:rsidRPr="00827721">
        <w:t xml:space="preserve"> pentru abordarea neconformităților operatorilor economici. Ca standard minim, </w:t>
      </w:r>
      <w:r w:rsidR="004736FE" w:rsidRPr="00827721">
        <w:t xml:space="preserve">schema </w:t>
      </w:r>
      <w:r w:rsidR="00361C87" w:rsidRPr="00827721">
        <w:t>respectiv</w:t>
      </w:r>
      <w:r w:rsidR="004736FE" w:rsidRPr="00827721">
        <w:t>ă</w:t>
      </w:r>
      <w:r w:rsidR="00361C87" w:rsidRPr="00827721">
        <w:t xml:space="preserve"> include o clasificare clară a neconformităților, în funcție de gradul lor de gravitate, în conformitate cu cerințele prevăzute </w:t>
      </w:r>
      <w:r w:rsidR="005B4468" w:rsidRPr="00827721">
        <w:t xml:space="preserve">în </w:t>
      </w:r>
      <w:r w:rsidR="00ED2A07" w:rsidRPr="00827721">
        <w:t>secțiunea 1 din capitolul II</w:t>
      </w:r>
      <w:r w:rsidR="00D66109" w:rsidRPr="00827721">
        <w:t>I</w:t>
      </w:r>
      <w:r w:rsidR="00361C87" w:rsidRPr="00827721">
        <w:t>. Pentru fiecare tip de neconformitate, există un set transparent de norme și de proceduri pentru a asigura aplicarea la timp a măsurilor corective și a sancțiunilor, inclusiv a suspendărilor, dacă este cazul. Aceste proceduri de executare sunt inițiate imediat, în funcție de gravitatea neconformității și de urgența aplicării măsurilor corective.</w:t>
      </w:r>
    </w:p>
    <w:p w14:paraId="4BBB782B" w14:textId="7C1B011F" w:rsidR="00361C87" w:rsidRPr="00827721" w:rsidRDefault="00361C87" w:rsidP="00D832BD">
      <w:pPr>
        <w:pStyle w:val="HGpct1"/>
      </w:pPr>
      <w:r w:rsidRPr="00827721">
        <w:t xml:space="preserve">Operatorii economici ale căror certificate sunt suspendate nu pot depune declarații privind durabilitatea înainte de ridicarea suspendării. Operatorii suspendați nu pot adera la </w:t>
      </w:r>
      <w:r w:rsidR="0069376F" w:rsidRPr="00827721">
        <w:t xml:space="preserve">o </w:t>
      </w:r>
      <w:r w:rsidRPr="00827721">
        <w:t>alt</w:t>
      </w:r>
      <w:r w:rsidR="0069376F" w:rsidRPr="00827721">
        <w:t>ă</w:t>
      </w:r>
      <w:r w:rsidRPr="00827721">
        <w:t xml:space="preserve"> </w:t>
      </w:r>
      <w:r w:rsidR="0069376F" w:rsidRPr="00827721">
        <w:t>schem</w:t>
      </w:r>
      <w:r w:rsidR="00813B7D" w:rsidRPr="00827721">
        <w:t>ă</w:t>
      </w:r>
      <w:r w:rsidR="0069376F" w:rsidRPr="00827721">
        <w:t xml:space="preserve"> </w:t>
      </w:r>
      <w:r w:rsidRPr="00827721">
        <w:t>voluntar</w:t>
      </w:r>
      <w:r w:rsidR="00813B7D" w:rsidRPr="00827721">
        <w:t>ă</w:t>
      </w:r>
      <w:r w:rsidRPr="00827721">
        <w:t xml:space="preserve"> în această perioadă. În cazul în care participarea unui operator economic sau a predecesorilor legali la </w:t>
      </w:r>
      <w:r w:rsidR="005818DE" w:rsidRPr="00827721">
        <w:t>o schemă</w:t>
      </w:r>
      <w:r w:rsidRPr="00827721">
        <w:t xml:space="preserve"> voluntar</w:t>
      </w:r>
      <w:r w:rsidR="005818DE" w:rsidRPr="00827721">
        <w:t>ă</w:t>
      </w:r>
      <w:r w:rsidRPr="00827721">
        <w:t xml:space="preserve"> este suspendată sau încetează prin retragerea certificatului acestuia în urma unui audit care a confirmat o neconformitate critică, alte </w:t>
      </w:r>
      <w:r w:rsidR="006B423B" w:rsidRPr="00827721">
        <w:t>scheme</w:t>
      </w:r>
      <w:r w:rsidRPr="00827721">
        <w:t xml:space="preserve"> voluntare pot refuza participarea operatorului respectiv timp de cel puțin doi ani de la suspendarea sau încetarea participării.</w:t>
      </w:r>
    </w:p>
    <w:p w14:paraId="71FDE63B" w14:textId="33070696" w:rsidR="00361C87" w:rsidRPr="00827721" w:rsidRDefault="00361C87" w:rsidP="00D832BD">
      <w:pPr>
        <w:pStyle w:val="HGpct1"/>
      </w:pPr>
      <w:r w:rsidRPr="00827721">
        <w:t xml:space="preserve">În cazul în care un operator economic despre care s-a constatat anterior că prezintă o neconformitate critică sau majoră solicită recertificarea, auditorul aduce acest fapt la cunoștința tuturor </w:t>
      </w:r>
      <w:r w:rsidR="003675FE" w:rsidRPr="00827721">
        <w:t>schemelor</w:t>
      </w:r>
      <w:r w:rsidRPr="00827721">
        <w:t xml:space="preserve"> voluntare la care operatorul economic participă în momentul respectiv sau de la care a solicitat recertificarea.</w:t>
      </w:r>
    </w:p>
    <w:p w14:paraId="7FAB4C30" w14:textId="749EA784" w:rsidR="009A6158" w:rsidRPr="00827721" w:rsidRDefault="009A6158" w:rsidP="00E90C8B">
      <w:pPr>
        <w:pStyle w:val="Sectiune"/>
      </w:pPr>
      <w:r w:rsidRPr="00827721">
        <w:lastRenderedPageBreak/>
        <w:t xml:space="preserve">Secțiunea a </w:t>
      </w:r>
      <w:r w:rsidR="005709D9" w:rsidRPr="00827721">
        <w:t>3</w:t>
      </w:r>
      <w:r w:rsidRPr="00827721">
        <w:t>-a</w:t>
      </w:r>
    </w:p>
    <w:p w14:paraId="48C541FD" w14:textId="4FB1F5BF" w:rsidR="009A6158" w:rsidRPr="00827721" w:rsidRDefault="005709D9" w:rsidP="00E90C8B">
      <w:pPr>
        <w:pStyle w:val="Sectiune"/>
      </w:pPr>
      <w:r w:rsidRPr="00827721">
        <w:t>Monitorizarea internă, procedura de depunere a plângerilor și sistemul de gestionare a documentelor</w:t>
      </w:r>
    </w:p>
    <w:p w14:paraId="57DDA911" w14:textId="409218A0" w:rsidR="005709D9" w:rsidRPr="00827721" w:rsidRDefault="003675FE" w:rsidP="00D832BD">
      <w:pPr>
        <w:pStyle w:val="HGpct1"/>
      </w:pPr>
      <w:r w:rsidRPr="00827721">
        <w:t>Schemele</w:t>
      </w:r>
      <w:r w:rsidR="005709D9" w:rsidRPr="00827721">
        <w:t xml:space="preserve"> voluntare instituie un sistem de monitorizare internă pentru a verifica respectarea de către operatorii economici a normelor și procedurilor aplicate de </w:t>
      </w:r>
      <w:r w:rsidRPr="00827721">
        <w:t>schemele</w:t>
      </w:r>
      <w:r w:rsidR="005709D9" w:rsidRPr="00827721">
        <w:t xml:space="preserve"> respective și pentru a asigura calitatea activităților desfășurate de auditorii organismelor de certificare. Monitorizarea internă se efectuează cel puțin o dată pe an și reflectă acoperirea geografică și în ceea ce privește materiile prime a </w:t>
      </w:r>
      <w:r w:rsidR="00382F5C" w:rsidRPr="00827721">
        <w:t>schemei voluntare</w:t>
      </w:r>
      <w:r w:rsidR="005709D9" w:rsidRPr="00827721">
        <w:t xml:space="preserve">, precum și nivelul de risc al activităților desfășurate de operatorii economici. În cadrul procesului de monitorizare, </w:t>
      </w:r>
      <w:r w:rsidRPr="00827721">
        <w:t>schemele</w:t>
      </w:r>
      <w:r w:rsidR="005709D9" w:rsidRPr="00827721">
        <w:t xml:space="preserve"> voluntare impun organismelor de certificare să prezinte toate rapoartele de audit și, după caz, calculele valorilor reale ale emisiilor de gaze cu efect de seră. Activitățile de monitorizare acoperă un eșantion aleatoriu și bazat pe riscuri din rapoartele de audit corespunzătoare întocmite de fiecare organism de certificare.</w:t>
      </w:r>
    </w:p>
    <w:p w14:paraId="6DABCEC2" w14:textId="757E90F1" w:rsidR="005709D9" w:rsidRPr="00827721" w:rsidRDefault="003675FE" w:rsidP="00D832BD">
      <w:pPr>
        <w:pStyle w:val="HGpct1"/>
      </w:pPr>
      <w:r w:rsidRPr="00827721">
        <w:t>Schemele</w:t>
      </w:r>
      <w:r w:rsidR="005709D9" w:rsidRPr="00827721">
        <w:t xml:space="preserve"> voluntare stabilesc norme și proceduri pentru a asigura monitorizarea eficace a rezultatelor monitorizării interne și, dacă este necesar, aplicarea de sancțiuni. Pe baza rezultatelor monitorizării interne, se iau măsuri corective la nivelul structurii de guvernanță sau al procesului de monitorizare internă al </w:t>
      </w:r>
      <w:r w:rsidR="00382F5C" w:rsidRPr="00827721">
        <w:t>schemei voluntare</w:t>
      </w:r>
      <w:r w:rsidR="005709D9" w:rsidRPr="00827721">
        <w:t xml:space="preserve">, pentru a îmbunătăți funcționarea acestuia în viitor. Rezultatele activităților anuale de monitorizare ale </w:t>
      </w:r>
      <w:r w:rsidR="00382F5C" w:rsidRPr="00827721">
        <w:t>schemei voluntare</w:t>
      </w:r>
      <w:r w:rsidR="005709D9" w:rsidRPr="00827721">
        <w:t xml:space="preserve"> sunt sintetizate în raportul anual de activitate prezentat </w:t>
      </w:r>
      <w:r w:rsidR="00BA0EDC">
        <w:t>grupului de lucru</w:t>
      </w:r>
      <w:r w:rsidR="00EC5AE0" w:rsidRPr="00827721">
        <w:t>.</w:t>
      </w:r>
      <w:r w:rsidR="00AC00AD">
        <w:t xml:space="preserve"> </w:t>
      </w:r>
      <w:r w:rsidR="002F45CA" w:rsidRPr="002F45CA">
        <w:t>În urma evaluării raportului anual de activitate al schemelor voluntare, efectuate de grupul de lucru, organul central de specialitate al administrației publice în domeniul energeticii transmite raportul către Secretariatul Comunității Energetice.</w:t>
      </w:r>
    </w:p>
    <w:p w14:paraId="0730AB93" w14:textId="1EDC597C" w:rsidR="00E5619C" w:rsidRPr="00827721" w:rsidRDefault="003675FE" w:rsidP="00D832BD">
      <w:pPr>
        <w:pStyle w:val="HGpct1"/>
      </w:pPr>
      <w:r w:rsidRPr="00827721">
        <w:t>Schemele</w:t>
      </w:r>
      <w:r w:rsidR="005709D9" w:rsidRPr="00827721">
        <w:t xml:space="preserve"> voluntare stabilesc proceduri de depunere a plângerilor împotriva operatorilor economici sau a organismelor de certificare. Procedura de depunere a plângerilor este disponibilă pe site-ul web al </w:t>
      </w:r>
      <w:r w:rsidR="00382F5C" w:rsidRPr="00827721">
        <w:t>schemei voluntare</w:t>
      </w:r>
      <w:r w:rsidR="005709D9" w:rsidRPr="00827721">
        <w:t xml:space="preserve"> și permite transmiterea plângerilor pe cale electronică sau prin poștă. Procedura de depunere a plângerilor asigură protecția persoanelor care raportează încălcări sau depun plângeri cu bună-credință, în conformitate cu </w:t>
      </w:r>
      <w:r w:rsidR="00035C67" w:rsidRPr="00827721">
        <w:t xml:space="preserve">Legea nr. 165/2023 </w:t>
      </w:r>
      <w:r w:rsidR="00015CBC" w:rsidRPr="00827721">
        <w:t>privind avertizorii de integritate</w:t>
      </w:r>
      <w:r w:rsidR="005709D9" w:rsidRPr="00827721">
        <w:t>. Pe site-ul web sunt indicate cel puțin următoarele informații:</w:t>
      </w:r>
    </w:p>
    <w:p w14:paraId="34785145" w14:textId="5C2B60E2" w:rsidR="00E5619C" w:rsidRPr="00827721" w:rsidRDefault="00E5619C" w:rsidP="00D832BD">
      <w:pPr>
        <w:pStyle w:val="HGsubpct11"/>
      </w:pPr>
      <w:r w:rsidRPr="00827721">
        <w:t>informațiile și dovezile care trebuie furnizate pentru depunerea unei plângeri, precum și adresa poștală sau adresa de e-mail la care trebuie transmise;</w:t>
      </w:r>
    </w:p>
    <w:p w14:paraId="55408A26" w14:textId="63619BFF" w:rsidR="00E5619C" w:rsidRPr="00827721" w:rsidRDefault="00E5619C" w:rsidP="00D832BD">
      <w:pPr>
        <w:pStyle w:val="HGsubpct11"/>
      </w:pPr>
      <w:r w:rsidRPr="00827721">
        <w:t>orientări privind plângerile care intră în domeniul de aplicare al procedurii;</w:t>
      </w:r>
    </w:p>
    <w:p w14:paraId="29549F02" w14:textId="77777777" w:rsidR="00E5619C" w:rsidRPr="00827721" w:rsidRDefault="00E5619C" w:rsidP="00D832BD">
      <w:pPr>
        <w:pStyle w:val="HGsubpct11"/>
      </w:pPr>
      <w:r w:rsidRPr="00827721">
        <w:lastRenderedPageBreak/>
        <w:t>o prezentare pas cu pas a modului în care sunt gestionate plângerile, de la primirea plângerii inițiale până la soluționare, precum și calendarul aferent fiecărei etape;</w:t>
      </w:r>
    </w:p>
    <w:p w14:paraId="20933A09" w14:textId="55A29607" w:rsidR="00E5619C" w:rsidRPr="00827721" w:rsidRDefault="00E5619C" w:rsidP="00D832BD">
      <w:pPr>
        <w:pStyle w:val="HGsubpct11"/>
      </w:pPr>
      <w:r w:rsidRPr="00827721">
        <w:t>procesul decizional privind plângerile și procesul de contestare a deciziilor;</w:t>
      </w:r>
    </w:p>
    <w:p w14:paraId="157E1D20" w14:textId="0661ADA3" w:rsidR="00E5619C" w:rsidRPr="00827721" w:rsidRDefault="00E5619C" w:rsidP="00D832BD">
      <w:pPr>
        <w:pStyle w:val="HGsubpct11"/>
      </w:pPr>
      <w:r w:rsidRPr="00827721">
        <w:t xml:space="preserve">consecințele constatării unei neconformități de către </w:t>
      </w:r>
      <w:r w:rsidR="00B71F5F" w:rsidRPr="00827721">
        <w:t>schema voluntară</w:t>
      </w:r>
      <w:r w:rsidRPr="00827721">
        <w:t xml:space="preserve"> ca urmare a unei plângeri.</w:t>
      </w:r>
    </w:p>
    <w:p w14:paraId="223002DC" w14:textId="22C7ACD4" w:rsidR="00E5619C" w:rsidRPr="00827721" w:rsidRDefault="003675FE" w:rsidP="00D832BD">
      <w:pPr>
        <w:pStyle w:val="HGpct1"/>
      </w:pPr>
      <w:r w:rsidRPr="00827721">
        <w:t>Schemele</w:t>
      </w:r>
      <w:r w:rsidR="00E5619C" w:rsidRPr="00827721">
        <w:t xml:space="preserve"> voluntare țin o evidență a tuturor plângerilor și furnizează </w:t>
      </w:r>
      <w:r w:rsidR="00D2122A">
        <w:t>IP CNED</w:t>
      </w:r>
      <w:r w:rsidR="000E6EEF" w:rsidRPr="00827721">
        <w:t xml:space="preserve"> </w:t>
      </w:r>
      <w:r w:rsidR="00E5619C" w:rsidRPr="00827721">
        <w:t xml:space="preserve">un rezumat al acestora în raportul anual de activitate. La cererea </w:t>
      </w:r>
      <w:r w:rsidR="00D2122A">
        <w:t>IP CNED</w:t>
      </w:r>
      <w:r w:rsidR="00E5619C" w:rsidRPr="00827721">
        <w:t xml:space="preserve">, </w:t>
      </w:r>
      <w:r w:rsidRPr="00827721">
        <w:t>schemele</w:t>
      </w:r>
      <w:r w:rsidR="004C501C" w:rsidRPr="00827721">
        <w:t xml:space="preserve"> voluntare </w:t>
      </w:r>
      <w:r w:rsidR="00E5619C" w:rsidRPr="00827721">
        <w:t>furnizează toate documentele referitoare la o plângere și la soluționarea acesteia.</w:t>
      </w:r>
    </w:p>
    <w:p w14:paraId="26EA682C" w14:textId="41F2E43B" w:rsidR="00E5619C" w:rsidRPr="00827721" w:rsidRDefault="003675FE" w:rsidP="00D832BD">
      <w:pPr>
        <w:pStyle w:val="HGpct1"/>
      </w:pPr>
      <w:r w:rsidRPr="00827721">
        <w:t>Schemele</w:t>
      </w:r>
      <w:r w:rsidR="00E5619C" w:rsidRPr="00827721">
        <w:t xml:space="preserve"> voluntare și organismele de certificare instituie un sistem de gestionare a documentelor care abordează fiecare dintre următoarele elemente:</w:t>
      </w:r>
    </w:p>
    <w:p w14:paraId="09AB26F2" w14:textId="304E6402" w:rsidR="00E5619C" w:rsidRPr="00827721" w:rsidRDefault="00E5619C" w:rsidP="00D832BD">
      <w:pPr>
        <w:pStyle w:val="HGsubpct11"/>
      </w:pPr>
      <w:r w:rsidRPr="00827721">
        <w:t>documentația generală a sistemului de management (de exemplu, manuale, politici, definirea responsabilităților);</w:t>
      </w:r>
    </w:p>
    <w:p w14:paraId="0D127E19" w14:textId="5CF03214" w:rsidR="00E5619C" w:rsidRPr="00827721" w:rsidRDefault="00E5619C" w:rsidP="00D832BD">
      <w:pPr>
        <w:pStyle w:val="HGsubpct11"/>
      </w:pPr>
      <w:r w:rsidRPr="00827721">
        <w:t>controlul documentelor și al evidențelor;</w:t>
      </w:r>
    </w:p>
    <w:p w14:paraId="4EEE67F9" w14:textId="7D0CF74C" w:rsidR="00E5619C" w:rsidRPr="00827721" w:rsidRDefault="00E5619C" w:rsidP="00D832BD">
      <w:pPr>
        <w:pStyle w:val="HGsubpct11"/>
      </w:pPr>
      <w:r w:rsidRPr="00827721">
        <w:t>examinarea de către conducere a sistemului de management;</w:t>
      </w:r>
    </w:p>
    <w:p w14:paraId="42B8F6EE" w14:textId="45CC60B3" w:rsidR="00E5619C" w:rsidRPr="00827721" w:rsidRDefault="00E5619C" w:rsidP="00D832BD">
      <w:pPr>
        <w:pStyle w:val="HGsubpct11"/>
      </w:pPr>
      <w:r w:rsidRPr="00827721">
        <w:t>audit intern/monitorizare internă;</w:t>
      </w:r>
    </w:p>
    <w:p w14:paraId="276CF513" w14:textId="7B0D2C2A" w:rsidR="00E5619C" w:rsidRPr="00827721" w:rsidRDefault="00E5619C" w:rsidP="00D832BD">
      <w:pPr>
        <w:pStyle w:val="HGsubpct11"/>
      </w:pPr>
      <w:r w:rsidRPr="00827721">
        <w:t>proceduri de identificare și gestionare a neconformităților și</w:t>
      </w:r>
    </w:p>
    <w:p w14:paraId="6F7DADD4" w14:textId="1F0E1A41" w:rsidR="00E5619C" w:rsidRPr="00827721" w:rsidRDefault="00E5619C" w:rsidP="00D832BD">
      <w:pPr>
        <w:pStyle w:val="HGsubpct11"/>
      </w:pPr>
      <w:r w:rsidRPr="00827721">
        <w:t>proceduri pentru luarea de măsuri preventive în vederea eliminării cauzelor potențialelor neconformități.</w:t>
      </w:r>
    </w:p>
    <w:p w14:paraId="3F04E70D" w14:textId="613DF9BC" w:rsidR="005709D9" w:rsidRPr="00827721" w:rsidRDefault="005709D9" w:rsidP="00D832BD">
      <w:pPr>
        <w:pStyle w:val="HGpct1"/>
      </w:pPr>
      <w:r w:rsidRPr="00827721">
        <w:t xml:space="preserve">Documentația se păstrează pentru o perioadă de cel puțin </w:t>
      </w:r>
      <w:r w:rsidR="0029780C" w:rsidRPr="00827721">
        <w:t>5</w:t>
      </w:r>
      <w:r w:rsidRPr="00827721">
        <w:t xml:space="preserve"> ani sau pentru o perioadă mai lungă în cazul în care </w:t>
      </w:r>
      <w:r w:rsidR="007F233A">
        <w:t>grupul de lucru</w:t>
      </w:r>
      <w:r w:rsidR="006150FE" w:rsidRPr="00827721">
        <w:t xml:space="preserve"> </w:t>
      </w:r>
      <w:r w:rsidRPr="00827721">
        <w:t>solicită acest lucru.</w:t>
      </w:r>
    </w:p>
    <w:p w14:paraId="15F61B21" w14:textId="71881D32" w:rsidR="00B653CC" w:rsidRPr="00827721" w:rsidRDefault="00B653CC" w:rsidP="000B4F36">
      <w:pPr>
        <w:pStyle w:val="Sectiune"/>
      </w:pPr>
      <w:r w:rsidRPr="00827721">
        <w:t>Secțiunea a 4-a</w:t>
      </w:r>
    </w:p>
    <w:p w14:paraId="45A18CF8" w14:textId="60E2D91E" w:rsidR="00361C87" w:rsidRPr="00827721" w:rsidRDefault="00A84CBC" w:rsidP="000B4F36">
      <w:pPr>
        <w:pStyle w:val="Sectiune"/>
      </w:pPr>
      <w:r w:rsidRPr="00827721">
        <w:t xml:space="preserve">Publicarea informațiilor de către </w:t>
      </w:r>
      <w:r w:rsidR="003675FE" w:rsidRPr="00827721">
        <w:t>schemele</w:t>
      </w:r>
      <w:r w:rsidRPr="00827721">
        <w:t xml:space="preserve"> voluntare</w:t>
      </w:r>
    </w:p>
    <w:p w14:paraId="340C4388" w14:textId="79B034ED" w:rsidR="00A84CBC" w:rsidRPr="00827721" w:rsidRDefault="003675FE" w:rsidP="00D832BD">
      <w:pPr>
        <w:pStyle w:val="HGpct1"/>
      </w:pPr>
      <w:r w:rsidRPr="00827721">
        <w:t>Schemele</w:t>
      </w:r>
      <w:r w:rsidR="00A84CBC" w:rsidRPr="00827721">
        <w:t xml:space="preserve"> voluntare pun la dispoziția publicului în mod gratuit pe un site web următoarele informații:</w:t>
      </w:r>
    </w:p>
    <w:p w14:paraId="4DD86F82" w14:textId="21A28E65" w:rsidR="004365B9" w:rsidRPr="00827721" w:rsidRDefault="00A84CBC" w:rsidP="00D832BD">
      <w:pPr>
        <w:pStyle w:val="HGsubpct11"/>
      </w:pPr>
      <w:r w:rsidRPr="00827721">
        <w:t xml:space="preserve">structura lor de guvernanță, cu o descriere a rolurilor tuturor organismelor relevante, detalii privind structura acționariatului, componența și experiența consiliului de administrație, ale secretariatului și ale </w:t>
      </w:r>
      <w:r w:rsidR="00FE2D36" w:rsidRPr="00827721">
        <w:t>grup</w:t>
      </w:r>
      <w:r w:rsidR="00730CF2" w:rsidRPr="00827721">
        <w:t>ului</w:t>
      </w:r>
      <w:r w:rsidR="00FE2D36" w:rsidRPr="00827721">
        <w:t xml:space="preserve"> de lucru</w:t>
      </w:r>
      <w:r w:rsidRPr="00827721">
        <w:t xml:space="preserve">, precum și lista membrilor cu drept de vot sau a participanților la </w:t>
      </w:r>
      <w:r w:rsidR="004242D8" w:rsidRPr="00827721">
        <w:t>schem</w:t>
      </w:r>
      <w:r w:rsidR="00744A6A" w:rsidRPr="00827721">
        <w:t>a voluntară</w:t>
      </w:r>
      <w:r w:rsidRPr="00827721">
        <w:t>, după caz;</w:t>
      </w:r>
    </w:p>
    <w:p w14:paraId="5C09C453" w14:textId="4AB81D79" w:rsidR="00A84CBC" w:rsidRPr="00827721" w:rsidRDefault="00A84CBC" w:rsidP="00D832BD">
      <w:pPr>
        <w:pStyle w:val="HGsubpct11"/>
      </w:pPr>
      <w:r w:rsidRPr="00827721">
        <w:t xml:space="preserve">lista operatorilor economici care participă la </w:t>
      </w:r>
      <w:r w:rsidR="00744A6A" w:rsidRPr="00827721">
        <w:t>schema voluntară</w:t>
      </w:r>
      <w:r w:rsidRPr="00827721">
        <w:t xml:space="preserve">, stadiul certificării acestora, cu specificarea datei eliberării, suspendării, retragerii, încetării sau expirării certificatului aferent, precum și certificatele sau sintezele rapoartelor de audit întocmite în conformitate cu anexa </w:t>
      </w:r>
      <w:r w:rsidR="003C76B1" w:rsidRPr="00827721">
        <w:t>nr. 2</w:t>
      </w:r>
      <w:r w:rsidRPr="00827721">
        <w:t xml:space="preserve">. În cazul în care auditurile identifică neconformități critice sau majore, </w:t>
      </w:r>
      <w:r w:rsidR="003675FE" w:rsidRPr="00827721">
        <w:t>schemele</w:t>
      </w:r>
      <w:r w:rsidRPr="00827721">
        <w:t xml:space="preserve"> voluntare publică o listă completă a acestor neconformități, împreună cu un plan de acțiune și un calendar pentru </w:t>
      </w:r>
      <w:r w:rsidRPr="00827721">
        <w:lastRenderedPageBreak/>
        <w:t xml:space="preserve">remedierea acestora, convenite cu operatorii economici în cauză. Informațiile specifice din certificate sau din sintezele rapoartelor de audit pot fi redactate astfel încât să respecte </w:t>
      </w:r>
      <w:r w:rsidR="00361A45" w:rsidRPr="00827721">
        <w:t>Legea</w:t>
      </w:r>
      <w:r w:rsidR="00971360" w:rsidRPr="00827721">
        <w:t xml:space="preserve"> nr. 133/2011 privind protecția datelor cu caracter personal</w:t>
      </w:r>
      <w:r w:rsidRPr="00827721">
        <w:t>. Lista operatorilor economici ale căror certificate sunt retrase, reziliate sau expirate este disponibilă pe site-ul web pentru o perioadă de cel puțin 24 de luni de la data retragerii, rezilierii sau expirării certificatelor respective. Modificările cu privire la stadiul certificării operatorilor economici sunt publicate cât mai curând posibil;</w:t>
      </w:r>
    </w:p>
    <w:p w14:paraId="6DE43969" w14:textId="144F8DB7" w:rsidR="00A84CBC" w:rsidRPr="00827721" w:rsidRDefault="00A84CBC" w:rsidP="00D832BD">
      <w:pPr>
        <w:pStyle w:val="HGsubpct11"/>
      </w:pPr>
      <w:r w:rsidRPr="00827721">
        <w:t xml:space="preserve">cea mai recentă versiune a documentelor </w:t>
      </w:r>
      <w:r w:rsidR="003675FE" w:rsidRPr="00827721">
        <w:t>schemelor</w:t>
      </w:r>
      <w:r w:rsidRPr="00827721">
        <w:t xml:space="preserve"> și orientările privind auditurile. Documentele includ data și numărul versiunii și, dacă este cazul, un rezumat al oricăror modificări aduse versiunii anterioare a respectivelor documente;</w:t>
      </w:r>
    </w:p>
    <w:p w14:paraId="5F792749" w14:textId="4AFC6864" w:rsidR="0007294D" w:rsidRPr="00827721" w:rsidRDefault="00A84CBC" w:rsidP="00D832BD">
      <w:pPr>
        <w:pStyle w:val="HGsubpct11"/>
      </w:pPr>
      <w:r w:rsidRPr="00827721">
        <w:t xml:space="preserve">datele de contact ale </w:t>
      </w:r>
      <w:r w:rsidR="00295203" w:rsidRPr="00827721">
        <w:t>schemei</w:t>
      </w:r>
      <w:r w:rsidRPr="00827721">
        <w:t>, inclusiv numărul de telefon, adresa de e-mail și adresa de corespondență;</w:t>
      </w:r>
    </w:p>
    <w:p w14:paraId="06690DB9" w14:textId="743D7E26" w:rsidR="00F83422" w:rsidRPr="00827721" w:rsidRDefault="00A84CBC" w:rsidP="00D832BD">
      <w:pPr>
        <w:pStyle w:val="HGsubpct11"/>
      </w:pPr>
      <w:r w:rsidRPr="00827721">
        <w:t xml:space="preserve">lista organismelor de certificare care efectuează audituri independente în cadrul </w:t>
      </w:r>
      <w:r w:rsidR="00295203" w:rsidRPr="00827721">
        <w:t>schemei</w:t>
      </w:r>
      <w:r w:rsidRPr="00827721">
        <w:t>, indicând, pentru fiecare organism de certificare</w:t>
      </w:r>
      <w:r w:rsidR="00363092" w:rsidRPr="00827721">
        <w:t>,</w:t>
      </w:r>
      <w:r w:rsidRPr="00827721">
        <w:t xml:space="preserve"> </w:t>
      </w:r>
      <w:r w:rsidR="00216907" w:rsidRPr="00827721">
        <w:t xml:space="preserve">instituția </w:t>
      </w:r>
      <w:r w:rsidR="00035702" w:rsidRPr="00827721">
        <w:t>publică</w:t>
      </w:r>
      <w:r w:rsidRPr="00827721">
        <w:t xml:space="preserve"> care a acreditat sau a recunoscut organismul respectiv, precum și </w:t>
      </w:r>
      <w:r w:rsidR="00035702" w:rsidRPr="00827721">
        <w:t>instituția</w:t>
      </w:r>
      <w:r w:rsidRPr="00827721">
        <w:t xml:space="preserve"> publică care asigură supravegherea acestuia, în conformitate cu </w:t>
      </w:r>
      <w:r w:rsidR="00ED4BE9">
        <w:t xml:space="preserve">pct. </w:t>
      </w:r>
      <w:r w:rsidR="00F90A30" w:rsidRPr="00827721">
        <w:t>35</w:t>
      </w:r>
      <w:r w:rsidR="00EC6D83" w:rsidRPr="00827721">
        <w:rPr>
          <w:vertAlign w:val="superscript"/>
        </w:rPr>
        <w:t>2</w:t>
      </w:r>
      <w:r w:rsidR="00313907" w:rsidRPr="00827721">
        <w:t xml:space="preserve"> din anexa nr. 1 </w:t>
      </w:r>
      <w:r w:rsidR="00C17F6D">
        <w:t xml:space="preserve">la </w:t>
      </w:r>
      <w:r w:rsidR="00347C70" w:rsidRPr="00347C70">
        <w:rPr>
          <w:iCs w:val="0"/>
        </w:rPr>
        <w:t>HG 53/2025</w:t>
      </w:r>
      <w:r w:rsidRPr="00827721">
        <w:t xml:space="preserve">. Lista organismelor de certificare care nu mai au dreptul de a efectua audituri independente în cadrul </w:t>
      </w:r>
      <w:r w:rsidR="00295203" w:rsidRPr="00827721">
        <w:t>schemei</w:t>
      </w:r>
      <w:r w:rsidRPr="00827721">
        <w:t xml:space="preserve"> rămâne la dispoziția publicului pentru o perioadă de cel puțin 12 luni de la data efectuării ultimului audit, cu o indicație în acest sens;</w:t>
      </w:r>
    </w:p>
    <w:p w14:paraId="7B150569" w14:textId="07501B16" w:rsidR="00A84CBC" w:rsidRPr="00827721" w:rsidRDefault="00A84CBC" w:rsidP="00D832BD">
      <w:pPr>
        <w:pStyle w:val="HGsubpct11"/>
      </w:pPr>
      <w:r w:rsidRPr="00827721">
        <w:t xml:space="preserve">rezultatele activităților anuale de monitorizare ale </w:t>
      </w:r>
      <w:r w:rsidR="00382F5C" w:rsidRPr="00827721">
        <w:t>schemei voluntare</w:t>
      </w:r>
      <w:r w:rsidRPr="00827721">
        <w:t>, astfel cum sunt sintetizate în raportul anual de activitate.</w:t>
      </w:r>
    </w:p>
    <w:p w14:paraId="19992A31" w14:textId="77777777" w:rsidR="00946857" w:rsidRPr="00827721" w:rsidRDefault="00946857" w:rsidP="000B4F36">
      <w:pPr>
        <w:pStyle w:val="Sectiune"/>
      </w:pPr>
      <w:r w:rsidRPr="00827721">
        <w:t>Secțiunea a 5-a</w:t>
      </w:r>
    </w:p>
    <w:p w14:paraId="2D8521B7" w14:textId="272BC913" w:rsidR="00946857" w:rsidRPr="00827721" w:rsidRDefault="00946857" w:rsidP="000B4F36">
      <w:pPr>
        <w:pStyle w:val="Sectiune"/>
      </w:pPr>
      <w:r w:rsidRPr="00827721">
        <w:t xml:space="preserve">Schimbarea </w:t>
      </w:r>
      <w:r w:rsidR="005818DE" w:rsidRPr="00827721">
        <w:t xml:space="preserve">schemei </w:t>
      </w:r>
      <w:r w:rsidRPr="00827721">
        <w:t>de către operatorii economici</w:t>
      </w:r>
    </w:p>
    <w:p w14:paraId="5028C9F2" w14:textId="55CDAC93" w:rsidR="00984CB3" w:rsidRPr="00827721" w:rsidRDefault="003675FE" w:rsidP="00D832BD">
      <w:pPr>
        <w:pStyle w:val="HGpct1"/>
      </w:pPr>
      <w:r w:rsidRPr="00827721">
        <w:t>Schemele</w:t>
      </w:r>
      <w:r w:rsidR="00984CB3" w:rsidRPr="00827721">
        <w:t xml:space="preserve"> voluntare impun operatorilor economici să furnizeze în cererile lor de certificare următoarele informații:</w:t>
      </w:r>
    </w:p>
    <w:p w14:paraId="5B831C6F" w14:textId="32C77559" w:rsidR="00155529" w:rsidRPr="00827721" w:rsidRDefault="00984CB3" w:rsidP="00D832BD">
      <w:pPr>
        <w:pStyle w:val="HGsubpct11"/>
      </w:pPr>
      <w:r w:rsidRPr="00827721">
        <w:t xml:space="preserve">dacă aceștia sau predecesorii lor legali participă în momentul respectiv la </w:t>
      </w:r>
      <w:r w:rsidR="008E22B1" w:rsidRPr="00827721">
        <w:t>o altă schemă voluntară</w:t>
      </w:r>
      <w:r w:rsidRPr="00827721">
        <w:t xml:space="preserve"> sau dacă au participat la </w:t>
      </w:r>
      <w:r w:rsidR="008E22B1" w:rsidRPr="00827721">
        <w:t>o altă schemă voluntară</w:t>
      </w:r>
      <w:r w:rsidRPr="00827721">
        <w:t xml:space="preserve"> în ultimii cinci ani;</w:t>
      </w:r>
    </w:p>
    <w:p w14:paraId="5DC9DDE9" w14:textId="77777777" w:rsidR="00155529" w:rsidRPr="00827721" w:rsidRDefault="00984CB3" w:rsidP="00D832BD">
      <w:pPr>
        <w:pStyle w:val="HGsubpct11"/>
      </w:pPr>
      <w:r w:rsidRPr="00827721">
        <w:t xml:space="preserve">toate informațiile relevante, inclusiv datele privind bilanțul </w:t>
      </w:r>
      <w:proofErr w:type="spellStart"/>
      <w:r w:rsidRPr="00827721">
        <w:t>masic</w:t>
      </w:r>
      <w:proofErr w:type="spellEnd"/>
      <w:r w:rsidRPr="00827721">
        <w:t xml:space="preserve"> și rapoartele de audit și, după caz, orice decizie de suspendare sau de retragere a certificatelor din ultimii cinci ani;</w:t>
      </w:r>
    </w:p>
    <w:p w14:paraId="726488A3" w14:textId="28ED941A" w:rsidR="00984CB3" w:rsidRPr="00827721" w:rsidRDefault="00984CB3" w:rsidP="00D832BD">
      <w:pPr>
        <w:pStyle w:val="HGsubpct11"/>
      </w:pPr>
      <w:r w:rsidRPr="00827721">
        <w:t>dacă s-au retras dintr-</w:t>
      </w:r>
      <w:r w:rsidR="005818DE" w:rsidRPr="00827721">
        <w:t>o schemă</w:t>
      </w:r>
      <w:r w:rsidRPr="00827721">
        <w:t xml:space="preserve"> înainte de efectuarea primului audit de supraveghere.</w:t>
      </w:r>
    </w:p>
    <w:p w14:paraId="06A7A224" w14:textId="3D5768D6" w:rsidR="00984CB3" w:rsidRPr="00827721" w:rsidRDefault="003675FE" w:rsidP="00D832BD">
      <w:pPr>
        <w:pStyle w:val="HGpct1"/>
      </w:pPr>
      <w:r w:rsidRPr="00827721">
        <w:t>Schemele</w:t>
      </w:r>
      <w:r w:rsidR="00984CB3" w:rsidRPr="00827721">
        <w:t xml:space="preserve"> voluntare exclud din cadrul lor operatorii economici în următoarele cazuri:</w:t>
      </w:r>
    </w:p>
    <w:p w14:paraId="1B08C8D6" w14:textId="5D5DA6D8" w:rsidR="00984CB3" w:rsidRPr="00827721" w:rsidRDefault="00984CB3" w:rsidP="00D832BD">
      <w:pPr>
        <w:pStyle w:val="HGsubpct11"/>
      </w:pPr>
      <w:r w:rsidRPr="00827721">
        <w:t xml:space="preserve">dacă aceștia nu furnizează informațiile prevăzute la </w:t>
      </w:r>
      <w:r w:rsidR="000B0BB4" w:rsidRPr="00827721">
        <w:t>sub</w:t>
      </w:r>
      <w:r w:rsidR="00807C97" w:rsidRPr="00827721">
        <w:t>pct.</w:t>
      </w:r>
      <w:r w:rsidR="000B0BB4" w:rsidRPr="00827721">
        <w:t xml:space="preserve"> 19.1 și 19.2</w:t>
      </w:r>
      <w:r w:rsidRPr="00827721">
        <w:t>;</w:t>
      </w:r>
    </w:p>
    <w:p w14:paraId="32BF55AD" w14:textId="460F3646" w:rsidR="00984CB3" w:rsidRPr="00827721" w:rsidRDefault="00984CB3" w:rsidP="00D832BD">
      <w:pPr>
        <w:pStyle w:val="HGsubpct11"/>
      </w:pPr>
      <w:r w:rsidRPr="00827721">
        <w:lastRenderedPageBreak/>
        <w:t xml:space="preserve">dacă aceștia sau predecesorii lor legali au obținut rezultate negative în urma auditului inițial efectuat în cadrul </w:t>
      </w:r>
      <w:r w:rsidR="00910416" w:rsidRPr="00827721">
        <w:t xml:space="preserve">unei </w:t>
      </w:r>
      <w:r w:rsidRPr="00827721">
        <w:t>alt</w:t>
      </w:r>
      <w:r w:rsidR="00910416" w:rsidRPr="00827721">
        <w:t>e</w:t>
      </w:r>
      <w:r w:rsidRPr="00827721">
        <w:t xml:space="preserve"> </w:t>
      </w:r>
      <w:r w:rsidR="00910416" w:rsidRPr="00827721">
        <w:t>scheme</w:t>
      </w:r>
      <w:r w:rsidRPr="00827721">
        <w:t>, cu excepția cazului în care auditul inițial s-a desfășurat cu mai mult de trei ani înainte de data depunerii cererii sau în cazul în care, între timp, ce</w:t>
      </w:r>
      <w:r w:rsidR="00D41E77" w:rsidRPr="00827721">
        <w:t>a</w:t>
      </w:r>
      <w:r w:rsidRPr="00827721">
        <w:t>lalt</w:t>
      </w:r>
      <w:r w:rsidR="00D41E77" w:rsidRPr="00827721">
        <w:t>ă</w:t>
      </w:r>
      <w:r w:rsidRPr="00827721">
        <w:t xml:space="preserve"> </w:t>
      </w:r>
      <w:r w:rsidR="00D41E77" w:rsidRPr="00827721">
        <w:t xml:space="preserve">schemă </w:t>
      </w:r>
      <w:r w:rsidRPr="00827721">
        <w:t xml:space="preserve">și-a încetat activitățile de certificare, motiv pentru care operatorul economic s-a aflat în imposibilitatea de a depune o nouă cerere de certificare. În cazul în care </w:t>
      </w:r>
      <w:r w:rsidR="005818DE" w:rsidRPr="00827721">
        <w:t>o schemă</w:t>
      </w:r>
      <w:r w:rsidRPr="00827721">
        <w:t xml:space="preserve"> voluntar</w:t>
      </w:r>
      <w:r w:rsidR="005818DE" w:rsidRPr="00827721">
        <w:t>ă</w:t>
      </w:r>
      <w:r w:rsidRPr="00827721">
        <w:t xml:space="preserve"> acceptă justificarea operatorilor economici și decide să evalueze cererile acestora, domeniul de aplicare al auditului inițial se modifică pentru a acoperi toate aspectele relevante și pentru a se axa în mod special pe deficiențele identificate pe parcursul auditului inițial efectuat în cadrul </w:t>
      </w:r>
      <w:r w:rsidR="00D41E77" w:rsidRPr="00827721">
        <w:t>celeilalte</w:t>
      </w:r>
      <w:r w:rsidRPr="00827721">
        <w:t xml:space="preserve"> </w:t>
      </w:r>
      <w:r w:rsidR="00D41E77" w:rsidRPr="00827721">
        <w:t xml:space="preserve">scheme </w:t>
      </w:r>
      <w:r w:rsidRPr="00827721">
        <w:t>în urma căruia operatorii în cauză au obținut rezultate negative;</w:t>
      </w:r>
    </w:p>
    <w:p w14:paraId="66D931FE" w14:textId="7B0BB3FB" w:rsidR="00946857" w:rsidRPr="00827721" w:rsidRDefault="00984CB3" w:rsidP="00D832BD">
      <w:pPr>
        <w:pStyle w:val="HGsubpct11"/>
      </w:pPr>
      <w:r w:rsidRPr="00827721">
        <w:t>dacă operatorii economici sau predecesorii lor legali s-au retras dintr-</w:t>
      </w:r>
      <w:r w:rsidR="00D41E77" w:rsidRPr="00827721">
        <w:t xml:space="preserve">o </w:t>
      </w:r>
      <w:r w:rsidRPr="00827721">
        <w:t>alt</w:t>
      </w:r>
      <w:r w:rsidR="00D41E77" w:rsidRPr="00827721">
        <w:t>ă</w:t>
      </w:r>
      <w:r w:rsidRPr="00827721">
        <w:t xml:space="preserve"> </w:t>
      </w:r>
      <w:r w:rsidR="00D41E77" w:rsidRPr="00827721">
        <w:t xml:space="preserve">schemă </w:t>
      </w:r>
      <w:r w:rsidRPr="00827721">
        <w:t xml:space="preserve">înainte de efectuarea primului audit de supraveghere, cu excepția cazului în care aceștia pot dovedi că au existat motive întemeiate pentru retragere. În cazul în care </w:t>
      </w:r>
      <w:r w:rsidR="005818DE" w:rsidRPr="00827721">
        <w:t>o schemă voluntară</w:t>
      </w:r>
      <w:r w:rsidRPr="00827721">
        <w:t xml:space="preserve"> acceptă justificarea oferită de operatorii economici, domeniul de aplicare al auditului inițial se modifică pentru a acoperi toate aspectele relevante ale auditului de supraveghere.</w:t>
      </w:r>
    </w:p>
    <w:p w14:paraId="303736D7" w14:textId="2B105268" w:rsidR="00CF1AFE" w:rsidRPr="00827721" w:rsidRDefault="00CF1AFE" w:rsidP="000B4F36">
      <w:pPr>
        <w:pStyle w:val="Sectiune"/>
      </w:pPr>
      <w:r w:rsidRPr="00827721">
        <w:t>Secțiunea a 6-a</w:t>
      </w:r>
    </w:p>
    <w:p w14:paraId="2F630ADF" w14:textId="0B0499C0" w:rsidR="00D1206F" w:rsidRPr="00827721" w:rsidRDefault="00D1206F" w:rsidP="000B4F36">
      <w:pPr>
        <w:pStyle w:val="Sectiune"/>
      </w:pPr>
      <w:r w:rsidRPr="00827721">
        <w:t xml:space="preserve">Recunoașterea altor </w:t>
      </w:r>
      <w:r w:rsidR="006B423B" w:rsidRPr="00827721">
        <w:t>scheme</w:t>
      </w:r>
      <w:r w:rsidRPr="00827721">
        <w:t xml:space="preserve"> voluntare</w:t>
      </w:r>
    </w:p>
    <w:p w14:paraId="4D42AB6C" w14:textId="42E4C726" w:rsidR="00D1206F" w:rsidRPr="00827721" w:rsidRDefault="00D1206F" w:rsidP="00D832BD">
      <w:pPr>
        <w:pStyle w:val="HGpct1"/>
      </w:pPr>
      <w:r w:rsidRPr="00827721">
        <w:t xml:space="preserve">În cazul în care o parte din cadrul lanțului de aprovizionare se bazează pe alte </w:t>
      </w:r>
      <w:r w:rsidR="006B423B" w:rsidRPr="00827721">
        <w:t>scheme</w:t>
      </w:r>
      <w:r w:rsidRPr="00827721">
        <w:t xml:space="preserve"> voluntare, aceasta acceptă dovezi </w:t>
      </w:r>
      <w:r w:rsidR="00C11386" w:rsidRPr="00827721">
        <w:t xml:space="preserve">provenite </w:t>
      </w:r>
      <w:r w:rsidRPr="00827721">
        <w:t xml:space="preserve">din partea </w:t>
      </w:r>
      <w:r w:rsidR="003675FE" w:rsidRPr="00827721">
        <w:t>schemelor</w:t>
      </w:r>
      <w:r w:rsidRPr="00827721">
        <w:t xml:space="preserve"> voluntare recunoscute </w:t>
      </w:r>
      <w:r w:rsidR="00256AC3" w:rsidRPr="00827721">
        <w:t>și detaliat</w:t>
      </w:r>
      <w:r w:rsidR="007F0370" w:rsidRPr="00827721">
        <w:t>e</w:t>
      </w:r>
      <w:r w:rsidR="00256AC3" w:rsidRPr="00827721">
        <w:t xml:space="preserve"> la</w:t>
      </w:r>
      <w:r w:rsidR="00D35B6A" w:rsidRPr="00827721">
        <w:t xml:space="preserve"> </w:t>
      </w:r>
      <w:r w:rsidR="00D728A7" w:rsidRPr="00827721">
        <w:t>pct. 35</w:t>
      </w:r>
      <w:r w:rsidR="0070031C" w:rsidRPr="00827721">
        <w:t xml:space="preserve"> </w:t>
      </w:r>
      <w:r w:rsidR="00D728A7" w:rsidRPr="00827721">
        <w:t xml:space="preserve">din </w:t>
      </w:r>
      <w:r w:rsidR="00D728A7" w:rsidRPr="00F74A6B">
        <w:t xml:space="preserve">anexa nr. 1 </w:t>
      </w:r>
      <w:r w:rsidR="00347C70" w:rsidRPr="00F74A6B">
        <w:t>din</w:t>
      </w:r>
      <w:r w:rsidR="00347C70">
        <w:t xml:space="preserve"> </w:t>
      </w:r>
      <w:r w:rsidR="00347C70" w:rsidRPr="00347C70">
        <w:rPr>
          <w:iCs/>
        </w:rPr>
        <w:t>HG 53/2025</w:t>
      </w:r>
      <w:r w:rsidRPr="00827721">
        <w:t xml:space="preserve">, </w:t>
      </w:r>
      <w:r w:rsidR="0001418F" w:rsidRPr="00827721">
        <w:t xml:space="preserve">exclusiv </w:t>
      </w:r>
      <w:r w:rsidRPr="00827721">
        <w:t xml:space="preserve">în limitele domeniului de aplicare al recunoașterii </w:t>
      </w:r>
      <w:r w:rsidR="002470ED" w:rsidRPr="00827721">
        <w:t>acordate acestora</w:t>
      </w:r>
      <w:r w:rsidRPr="00827721">
        <w:t>.</w:t>
      </w:r>
    </w:p>
    <w:p w14:paraId="72956B3D" w14:textId="0EBD1E0C" w:rsidR="00D1206F" w:rsidRPr="00827721" w:rsidRDefault="00D1206F" w:rsidP="000B4F36">
      <w:pPr>
        <w:pStyle w:val="Sectiune"/>
      </w:pPr>
      <w:r w:rsidRPr="00827721">
        <w:t xml:space="preserve">Secțiunea a </w:t>
      </w:r>
      <w:r w:rsidR="00AE1FFC" w:rsidRPr="00827721">
        <w:t>7</w:t>
      </w:r>
      <w:r w:rsidRPr="00827721">
        <w:t>-a</w:t>
      </w:r>
    </w:p>
    <w:p w14:paraId="2613A808" w14:textId="08367C9E" w:rsidR="00D1206F" w:rsidRPr="00827721" w:rsidRDefault="00A12D15" w:rsidP="000B4F36">
      <w:pPr>
        <w:pStyle w:val="Sectiune"/>
      </w:pPr>
      <w:r w:rsidRPr="00827721">
        <w:t xml:space="preserve">Recunoașterea </w:t>
      </w:r>
      <w:r w:rsidR="003675FE" w:rsidRPr="00827721">
        <w:t>schemelor</w:t>
      </w:r>
      <w:r w:rsidRPr="00827721">
        <w:t xml:space="preserve"> naționale</w:t>
      </w:r>
    </w:p>
    <w:p w14:paraId="255B9213" w14:textId="28B01252" w:rsidR="00A12D15" w:rsidRPr="00F74A6B" w:rsidRDefault="003675FE" w:rsidP="00D832BD">
      <w:pPr>
        <w:pStyle w:val="HGpct1"/>
      </w:pPr>
      <w:r w:rsidRPr="00F74A6B">
        <w:t>Schemele</w:t>
      </w:r>
      <w:r w:rsidR="00A12D15" w:rsidRPr="00F74A6B">
        <w:t xml:space="preserve"> voluntare </w:t>
      </w:r>
      <w:r w:rsidR="00E605F4" w:rsidRPr="00F74A6B">
        <w:t>acceptă</w:t>
      </w:r>
      <w:r w:rsidR="00A12D15" w:rsidRPr="00F74A6B">
        <w:t xml:space="preserve"> </w:t>
      </w:r>
      <w:r w:rsidR="002B252B" w:rsidRPr="00F74A6B">
        <w:t>schemele</w:t>
      </w:r>
      <w:r w:rsidR="00A12D15" w:rsidRPr="00F74A6B">
        <w:t xml:space="preserve"> naționale recunoscute</w:t>
      </w:r>
      <w:r w:rsidR="00BA2B84" w:rsidRPr="00F74A6B">
        <w:t xml:space="preserve"> </w:t>
      </w:r>
      <w:r w:rsidR="00A12D15" w:rsidRPr="00F74A6B">
        <w:t xml:space="preserve">în ceea ce privește verificarea respectării criteriilor de durabilitate și de reducere a emisiilor de gaze cu efect de seră prevăzute la </w:t>
      </w:r>
      <w:r w:rsidR="009C50C5" w:rsidRPr="00F74A6B">
        <w:t>pct. 15-2</w:t>
      </w:r>
      <w:r w:rsidR="002C319C" w:rsidRPr="00F74A6B">
        <w:t>4</w:t>
      </w:r>
      <w:r w:rsidR="00A84A4F" w:rsidRPr="00F74A6B">
        <w:t xml:space="preserve"> din anexa nr. </w:t>
      </w:r>
      <w:r w:rsidR="00E5451E" w:rsidRPr="00F74A6B">
        <w:t>1</w:t>
      </w:r>
      <w:r w:rsidR="00A84A4F" w:rsidRPr="00F74A6B">
        <w:t xml:space="preserve"> </w:t>
      </w:r>
      <w:r w:rsidR="00347C70" w:rsidRPr="00F74A6B">
        <w:t xml:space="preserve">din </w:t>
      </w:r>
      <w:r w:rsidR="00347C70" w:rsidRPr="00F74A6B">
        <w:rPr>
          <w:iCs/>
        </w:rPr>
        <w:t>HG 53/2025</w:t>
      </w:r>
      <w:r w:rsidR="00A12D15" w:rsidRPr="00F74A6B">
        <w:t xml:space="preserve">, a pragurilor de reducere </w:t>
      </w:r>
      <w:r w:rsidR="006718BC" w:rsidRPr="00F74A6B">
        <w:t xml:space="preserve">de gaze </w:t>
      </w:r>
      <w:r w:rsidR="00ED5D64" w:rsidRPr="00F74A6B">
        <w:t>cu efect de seră (în continuare</w:t>
      </w:r>
      <w:r w:rsidR="00ED5D64" w:rsidRPr="00F74A6B">
        <w:rPr>
          <w:i/>
          <w:iCs/>
        </w:rPr>
        <w:t xml:space="preserve"> – GES</w:t>
      </w:r>
      <w:r w:rsidR="00ED5D64" w:rsidRPr="00F74A6B">
        <w:t xml:space="preserve">) </w:t>
      </w:r>
      <w:r w:rsidR="00A12D15" w:rsidRPr="00F74A6B">
        <w:t xml:space="preserve">prevăzute la </w:t>
      </w:r>
      <w:r w:rsidR="00CB7853" w:rsidRPr="00F74A6B">
        <w:t>pct. 2 din</w:t>
      </w:r>
      <w:r w:rsidR="00FE0268" w:rsidRPr="00F74A6B">
        <w:t xml:space="preserve"> aceeași</w:t>
      </w:r>
      <w:r w:rsidR="00E97040" w:rsidRPr="00F74A6B">
        <w:t xml:space="preserve"> anex</w:t>
      </w:r>
      <w:r w:rsidR="00FE0268" w:rsidRPr="00F74A6B">
        <w:t>ă</w:t>
      </w:r>
      <w:r w:rsidR="006E38B8" w:rsidRPr="00F74A6B">
        <w:t xml:space="preserve">, precum </w:t>
      </w:r>
      <w:r w:rsidR="00A12D15" w:rsidRPr="00F74A6B">
        <w:t xml:space="preserve">și a criteriilor de certificare a </w:t>
      </w:r>
      <w:r w:rsidR="008A23DF" w:rsidRPr="00F74A6B">
        <w:t>biocarburanților</w:t>
      </w:r>
      <w:r w:rsidR="00A12D15" w:rsidRPr="00F74A6B">
        <w:t xml:space="preserve">, a biolichidelor și a combustibililor din biomasă care prezintă riscuri reduse din perspectiva schimbării indirecte a destinației terenurilor, prevăzute în </w:t>
      </w:r>
      <w:r w:rsidR="00695CB8" w:rsidRPr="00F74A6B">
        <w:t xml:space="preserve">anexa </w:t>
      </w:r>
      <w:r w:rsidR="00A5042F" w:rsidRPr="00F74A6B">
        <w:t xml:space="preserve">nr. </w:t>
      </w:r>
      <w:r w:rsidR="006210B7" w:rsidRPr="00F74A6B">
        <w:t xml:space="preserve">3 </w:t>
      </w:r>
      <w:r w:rsidR="00265A1C" w:rsidRPr="00F74A6B">
        <w:t>la anexa</w:t>
      </w:r>
      <w:r w:rsidR="006210B7" w:rsidRPr="00F74A6B">
        <w:t xml:space="preserve"> </w:t>
      </w:r>
      <w:r w:rsidR="00A5042F" w:rsidRPr="00F74A6B">
        <w:t>nr. 1</w:t>
      </w:r>
      <w:r w:rsidR="00695CB8" w:rsidRPr="00F74A6B">
        <w:t xml:space="preserve"> </w:t>
      </w:r>
      <w:r w:rsidR="00BF20FF" w:rsidRPr="00F74A6B">
        <w:t xml:space="preserve">din </w:t>
      </w:r>
      <w:r w:rsidR="00BF20FF" w:rsidRPr="00F74A6B">
        <w:rPr>
          <w:iCs/>
        </w:rPr>
        <w:t>HG 53/2025</w:t>
      </w:r>
      <w:r w:rsidR="00A12D15" w:rsidRPr="00F74A6B">
        <w:t>.</w:t>
      </w:r>
    </w:p>
    <w:p w14:paraId="5A32286A" w14:textId="09CF2319" w:rsidR="00DF3792" w:rsidRPr="00827721" w:rsidRDefault="000B4F36" w:rsidP="000B4F36">
      <w:pPr>
        <w:pStyle w:val="Capitol"/>
        <w:rPr>
          <w:rFonts w:eastAsia="Times New Roman"/>
        </w:rPr>
      </w:pPr>
      <w:r w:rsidRPr="00827721">
        <w:rPr>
          <w:caps w:val="0"/>
        </w:rPr>
        <w:t>Capitolul III</w:t>
      </w:r>
    </w:p>
    <w:p w14:paraId="5145616B" w14:textId="77777777" w:rsidR="00DF3792" w:rsidRPr="00827721" w:rsidRDefault="00DF3792" w:rsidP="000B4F36">
      <w:pPr>
        <w:pStyle w:val="Capitol"/>
      </w:pPr>
      <w:r w:rsidRPr="00827721">
        <w:lastRenderedPageBreak/>
        <w:t>PROCESUL DE AUDITARE, DOMENIUL DE APLICARE AL AUDITURILOR, CALIFICĂRILE AUDITORILOR ȘI SUPRAVEGHEREA AUDITURILOR</w:t>
      </w:r>
    </w:p>
    <w:p w14:paraId="53CC59B4" w14:textId="5B74AB3D" w:rsidR="0083439B" w:rsidRPr="00827721" w:rsidRDefault="0083439B" w:rsidP="000B4F36">
      <w:pPr>
        <w:pStyle w:val="Sectiune"/>
      </w:pPr>
      <w:r w:rsidRPr="00827721">
        <w:t>Secțiunea 1</w:t>
      </w:r>
    </w:p>
    <w:p w14:paraId="2DA3BE90" w14:textId="77777777" w:rsidR="000A3123" w:rsidRPr="00827721" w:rsidRDefault="000A3123" w:rsidP="000B4F36">
      <w:pPr>
        <w:pStyle w:val="Sectiune"/>
      </w:pPr>
      <w:r w:rsidRPr="00827721">
        <w:t>Procesul de auditare și nivelurile de asigurare</w:t>
      </w:r>
    </w:p>
    <w:p w14:paraId="7E2D1B02" w14:textId="21107983" w:rsidR="00DE18C1" w:rsidRPr="00827721" w:rsidRDefault="003675FE" w:rsidP="00D832BD">
      <w:pPr>
        <w:pStyle w:val="HGpct1"/>
      </w:pPr>
      <w:r w:rsidRPr="00827721">
        <w:t>Schemele</w:t>
      </w:r>
      <w:r w:rsidR="00DE18C1" w:rsidRPr="00827721">
        <w:t xml:space="preserve"> voluntare impun operatorilor economici să obțină rezultate pozitive în cadrul auditului inițial pentru particip</w:t>
      </w:r>
      <w:r w:rsidR="000B3964" w:rsidRPr="00827721">
        <w:t>are</w:t>
      </w:r>
      <w:r w:rsidR="00F470A9" w:rsidRPr="00827721">
        <w:t>a</w:t>
      </w:r>
      <w:r w:rsidR="00DE18C1" w:rsidRPr="00827721">
        <w:t xml:space="preserve"> la respectivele </w:t>
      </w:r>
      <w:r w:rsidR="006B423B" w:rsidRPr="00827721">
        <w:t>scheme</w:t>
      </w:r>
      <w:r w:rsidR="00DE18C1" w:rsidRPr="00827721">
        <w:t xml:space="preserve">. Auditarea inițială a unui participant nou la </w:t>
      </w:r>
      <w:r w:rsidR="00D41E77" w:rsidRPr="00827721">
        <w:t xml:space="preserve">schemă </w:t>
      </w:r>
      <w:r w:rsidR="00DE18C1" w:rsidRPr="00827721">
        <w:t xml:space="preserve">sau recertificarea unui participant existent la </w:t>
      </w:r>
      <w:r w:rsidR="00D41E77" w:rsidRPr="00827721">
        <w:t xml:space="preserve">schemă </w:t>
      </w:r>
      <w:r w:rsidR="00DE18C1" w:rsidRPr="00827721">
        <w:t>în temeiul unui cadru de reglementare revizuit se efectuează întotdeauna la fața locului și oferă cel puțin o asigurare rezonabilă cu privire la eficacitatea proceselor interne ale respectivului participant. În funcție de profilul de risc al operatorului economic, se poate aplica un nivel de asigurare limitat în ceea ce privește veridicitatea declarațiilor. Pe baza rezultatelor auditului inițial, operatorii economici care sunt considerați ca prezentând un risc scăzut pot face obiectul unor audituri ulterioare de asigurare limitată.</w:t>
      </w:r>
    </w:p>
    <w:p w14:paraId="3A235D63" w14:textId="6E599C7E" w:rsidR="00A9084B" w:rsidRPr="00827721" w:rsidRDefault="003675FE" w:rsidP="00D832BD">
      <w:pPr>
        <w:pStyle w:val="HGpct1"/>
      </w:pPr>
      <w:r w:rsidRPr="00827721">
        <w:t>Schemele</w:t>
      </w:r>
      <w:r w:rsidR="00DE18C1" w:rsidRPr="00827721">
        <w:t xml:space="preserve"> voluntare pot autoriza un organism de certificare să efectueze verificarea conformității cu diferite cadre de certificare în cursul aceluiași proces de auditare, atât timp cât organismul de certificare certifică faptul că operatorii economici îndeplinesc cerințele în conformitate cu </w:t>
      </w:r>
      <w:r w:rsidR="00BC2B45" w:rsidRPr="00827721">
        <w:t>pct. 1</w:t>
      </w:r>
      <w:r w:rsidR="00DE18C1" w:rsidRPr="00827721">
        <w:t xml:space="preserve">. </w:t>
      </w:r>
      <w:r w:rsidRPr="00827721">
        <w:t>Schemele</w:t>
      </w:r>
      <w:r w:rsidR="00DE18C1" w:rsidRPr="00827721">
        <w:t xml:space="preserve"> voluntare care permit o durată de valabilitate a certificatului mai mare de un an asigură auditarea anuală de supraveghere a tuturor operatorilor economici care participă la </w:t>
      </w:r>
      <w:r w:rsidRPr="00827721">
        <w:t>schemele</w:t>
      </w:r>
      <w:r w:rsidR="00DE18C1" w:rsidRPr="00827721">
        <w:t xml:space="preserve"> respective. </w:t>
      </w:r>
      <w:r w:rsidR="005F3212" w:rsidRPr="00827721">
        <w:t>Î</w:t>
      </w:r>
      <w:r w:rsidR="00DE18C1" w:rsidRPr="00827721">
        <w:t xml:space="preserve">n cazul auditurilor la nivel de grup, auditul anual poate acoperi un eșantion de membri ai grupului respectiv, în conformitate cu </w:t>
      </w:r>
      <w:r w:rsidR="00BF747B" w:rsidRPr="00827721">
        <w:t>secțiunea a 3-a din prezentul capitol</w:t>
      </w:r>
      <w:r w:rsidR="00DE18C1" w:rsidRPr="00827721">
        <w:t>. Frecvența auditurilor de supraveghere se mărește în funcție de nivelul general de risc în ceea ce privește profilul operatorului economic, lanțul de aprovizionare și rezultatele auditurilor anterioare. Examinatorul tehnic este responsabil de validarea rezultatelor auditurilor de supraveghere.</w:t>
      </w:r>
    </w:p>
    <w:p w14:paraId="4C99DE28" w14:textId="5581E4B3" w:rsidR="00A12DED" w:rsidRPr="00827721" w:rsidRDefault="003675FE" w:rsidP="00D832BD">
      <w:pPr>
        <w:pStyle w:val="HGpct1"/>
      </w:pPr>
      <w:r w:rsidRPr="00827721">
        <w:t>Schemele</w:t>
      </w:r>
      <w:r w:rsidR="00DE18C1" w:rsidRPr="00827721">
        <w:t xml:space="preserve"> voluntare stabilesc proceduri detaliate privind modul în care sunt planificate și efectuate auditurile și modul în care sunt întocmite rapoartele de audit. </w:t>
      </w:r>
      <w:r w:rsidRPr="00827721">
        <w:t>Schemele</w:t>
      </w:r>
      <w:r w:rsidR="00DE18C1" w:rsidRPr="00827721">
        <w:t xml:space="preserve"> voluntare se asigură că organismele de certificare efectuează audituri în conformitate cu standardul</w:t>
      </w:r>
      <w:r w:rsidR="00A47DEB" w:rsidRPr="00827721">
        <w:t xml:space="preserve"> moldovenesc</w:t>
      </w:r>
      <w:r w:rsidR="00DE18C1" w:rsidRPr="00827721">
        <w:t xml:space="preserve"> </w:t>
      </w:r>
      <w:r w:rsidR="00E03F69" w:rsidRPr="00827721">
        <w:t>SM EN ISO 19011:2018</w:t>
      </w:r>
      <w:r w:rsidR="00A47DEB" w:rsidRPr="00827721">
        <w:t xml:space="preserve"> „Ghid pentru auditarea sistemelor de management”</w:t>
      </w:r>
      <w:r w:rsidR="00DE18C1" w:rsidRPr="00827721">
        <w:t xml:space="preserve"> sau cu un standard echivalent. </w:t>
      </w:r>
      <w:r w:rsidRPr="00827721">
        <w:t>Schemele</w:t>
      </w:r>
      <w:r w:rsidR="00DE18C1" w:rsidRPr="00827721">
        <w:t xml:space="preserve"> voluntare asigură</w:t>
      </w:r>
      <w:r w:rsidR="005A66C0" w:rsidRPr="00827721">
        <w:t xml:space="preserve"> </w:t>
      </w:r>
      <w:r w:rsidR="00DE18C1" w:rsidRPr="00827721">
        <w:t>un schimb eficient și în timp util de informații cu privire la audituri pentru a sprijini pregătirea și desfășurarea eficace a auditurilor. Auditul include cel puțin următoarele elemente:</w:t>
      </w:r>
    </w:p>
    <w:p w14:paraId="7E15B8BD" w14:textId="732F91B9" w:rsidR="00E951F6" w:rsidRPr="00827721" w:rsidRDefault="00E951F6" w:rsidP="00D832BD">
      <w:pPr>
        <w:pStyle w:val="HGsubpct11"/>
      </w:pPr>
      <w:r w:rsidRPr="00827721">
        <w:lastRenderedPageBreak/>
        <w:t xml:space="preserve">identificarea activităților întreprinse de operatorul economic care sunt relevante pentru criteriile aplicate de </w:t>
      </w:r>
      <w:r w:rsidR="00847952" w:rsidRPr="00827721">
        <w:t>schemă</w:t>
      </w:r>
      <w:r w:rsidRPr="00827721">
        <w:t>;</w:t>
      </w:r>
    </w:p>
    <w:p w14:paraId="225D2E16" w14:textId="3FC9B2A7" w:rsidR="00E951F6" w:rsidRPr="00827721" w:rsidRDefault="00E951F6" w:rsidP="00D832BD">
      <w:pPr>
        <w:pStyle w:val="HGsubpct11"/>
      </w:pPr>
      <w:r w:rsidRPr="00827721">
        <w:t xml:space="preserve">identificarea </w:t>
      </w:r>
      <w:r w:rsidR="00116824" w:rsidRPr="00827721">
        <w:t xml:space="preserve">schemelor </w:t>
      </w:r>
      <w:r w:rsidRPr="00827721">
        <w:t xml:space="preserve">relevante ale operatorului economic și a organizării generale a acestuia în raport cu criteriile </w:t>
      </w:r>
      <w:r w:rsidR="00382F5C" w:rsidRPr="00827721">
        <w:t>schemei voluntare</w:t>
      </w:r>
      <w:r w:rsidRPr="00827721">
        <w:t xml:space="preserve"> și verificările aplicării eficace a sistemelor de control relevante;</w:t>
      </w:r>
    </w:p>
    <w:p w14:paraId="5065C536" w14:textId="6359A0DB" w:rsidR="00E951F6" w:rsidRPr="00827721" w:rsidRDefault="00E951F6" w:rsidP="00D832BD">
      <w:pPr>
        <w:pStyle w:val="HGsubpct11"/>
      </w:pPr>
      <w:r w:rsidRPr="00827721">
        <w:t>analiza riscurilor care</w:t>
      </w:r>
      <w:r w:rsidR="00D973AF" w:rsidRPr="00827721">
        <w:t xml:space="preserve"> pot</w:t>
      </w:r>
      <w:r w:rsidRPr="00827721">
        <w:t xml:space="preserve"> conduce la inexactități materiale, pe baza cunoștințelor profesionale ale auditorului și a informațiilor prezentate de operatorul economic. Analiza respectivă ia în considerare profilul general de risc al activităților, în funcție de nivelul de risc al operatorului economic și al lanțului de aprovizionare, în special în etapele aflate imediat în amonte și în aval, de exemplu, pentru operatorii economici care manipulează materialele enumerate în anexa</w:t>
      </w:r>
      <w:r w:rsidR="003C76B1" w:rsidRPr="00827721">
        <w:t xml:space="preserve"> nr. 9</w:t>
      </w:r>
      <w:r w:rsidRPr="00827721">
        <w:t>. Amploarea sau domeniul de aplicare al auditului sau ambele se adaptează la nivelul general de risc identificat tot pe baza verificărilor plauzibilității capacității de producție a unei instalații și a cantităților declarate de combustibili produși;</w:t>
      </w:r>
    </w:p>
    <w:p w14:paraId="15CC619F" w14:textId="77777777" w:rsidR="00E951F6" w:rsidRPr="00827721" w:rsidRDefault="00E951F6" w:rsidP="00D832BD">
      <w:pPr>
        <w:pStyle w:val="HGsubpct11"/>
      </w:pPr>
      <w:r w:rsidRPr="00827721">
        <w:t>un plan de verificare care corespunde analizei riscurilor și domeniului de aplicare și complexității activităților operatorului economic și care definește metodele de eșantionare care trebuie utilizate în ceea ce privește activitățile operatorului respectiv;</w:t>
      </w:r>
    </w:p>
    <w:p w14:paraId="2B840D12" w14:textId="77777777" w:rsidR="00E951F6" w:rsidRPr="00827721" w:rsidRDefault="00E951F6" w:rsidP="00D832BD">
      <w:pPr>
        <w:pStyle w:val="HGsubpct11"/>
      </w:pPr>
      <w:r w:rsidRPr="00827721">
        <w:t>punerea în aplicare a planului de verificare prin colectarea de date în conformitate cu metodele de eșantionare descrise, împreună cu toate dovezile suplimentare relevante, pe care se va întemeia concluzia verificatorului;</w:t>
      </w:r>
    </w:p>
    <w:p w14:paraId="6FABA5B8" w14:textId="77777777" w:rsidR="00E951F6" w:rsidRPr="00827721" w:rsidRDefault="00E951F6" w:rsidP="00D832BD">
      <w:pPr>
        <w:pStyle w:val="HGsubpct11"/>
      </w:pPr>
      <w:r w:rsidRPr="00827721">
        <w:t>o cerere adresată operatorului pentru furnizarea oricăror elemente lipsă ale pistelor de audit, o explicație a variațiilor sau revizuirea declarațiilor sau a calculelor înainte de formularea unei concluzii finale a verificării;</w:t>
      </w:r>
    </w:p>
    <w:p w14:paraId="406724FA" w14:textId="284BAE79" w:rsidR="00E951F6" w:rsidRPr="00827721" w:rsidRDefault="00E951F6" w:rsidP="00D832BD">
      <w:pPr>
        <w:pStyle w:val="HGsubpct11"/>
      </w:pPr>
      <w:r w:rsidRPr="00827721">
        <w:t xml:space="preserve">verificarea exactității datelor înregistrate de operatorii economici sau de reprezentanții acestora în </w:t>
      </w:r>
      <w:r w:rsidR="000B1718" w:rsidRPr="00827721">
        <w:t>Registru de biocarburanți</w:t>
      </w:r>
      <w:r w:rsidRPr="00827721">
        <w:t>.</w:t>
      </w:r>
    </w:p>
    <w:p w14:paraId="68D02AAD" w14:textId="62767D74" w:rsidR="005210AB" w:rsidRPr="00827721" w:rsidRDefault="005210AB" w:rsidP="00D832BD">
      <w:pPr>
        <w:pStyle w:val="HGpct1"/>
      </w:pPr>
      <w:r w:rsidRPr="00827721">
        <w:t xml:space="preserve">Neconformitățile identificate în cursul unui audit sunt clasificate ca fiind critice, majore și minore </w:t>
      </w:r>
      <w:r w:rsidR="00BF6789" w:rsidRPr="00827721">
        <w:t>după cum urmează:</w:t>
      </w:r>
    </w:p>
    <w:p w14:paraId="0B92686A" w14:textId="57B4983B" w:rsidR="005210AB" w:rsidRPr="00827721" w:rsidRDefault="00BF6789" w:rsidP="00C056D2">
      <w:pPr>
        <w:pStyle w:val="HGsubpct11"/>
      </w:pPr>
      <w:r w:rsidRPr="00827721">
        <w:t>n</w:t>
      </w:r>
      <w:r w:rsidR="005210AB" w:rsidRPr="00827721">
        <w:t xml:space="preserve">erespectarea cu bună-știință a standardelor </w:t>
      </w:r>
      <w:r w:rsidR="006338EC" w:rsidRPr="00827721">
        <w:t>unei scheme voluntare</w:t>
      </w:r>
      <w:r w:rsidR="005210AB" w:rsidRPr="00827721">
        <w:t xml:space="preserve">, cum ar fi frauda, o neconformitate ireversibilă sau o încălcare care pune în pericol integritatea </w:t>
      </w:r>
      <w:r w:rsidR="00382F5C" w:rsidRPr="00827721">
        <w:t>schemei voluntare</w:t>
      </w:r>
      <w:r w:rsidR="005210AB" w:rsidRPr="00827721">
        <w:t>, este considerată o neconformitate critică. Neconformitățile critice includ, dar nu se limitează la următoarele aspecte:</w:t>
      </w:r>
    </w:p>
    <w:p w14:paraId="03600281" w14:textId="0A34DFDB" w:rsidR="005210AB" w:rsidRPr="00827721" w:rsidRDefault="005210AB" w:rsidP="00E53158">
      <w:pPr>
        <w:pStyle w:val="HGsubpct111"/>
      </w:pPr>
      <w:r w:rsidRPr="00827721">
        <w:t xml:space="preserve">nerespectarea unei cerințe obligatorii prevăzute în </w:t>
      </w:r>
      <w:r w:rsidR="00BF20FF" w:rsidRPr="00347C70">
        <w:rPr>
          <w:iCs/>
        </w:rPr>
        <w:t>HG 53/2025</w:t>
      </w:r>
      <w:r w:rsidRPr="00827721">
        <w:t xml:space="preserve">, cum ar fi o transformare a terenurilor care contravine </w:t>
      </w:r>
      <w:r w:rsidR="00AB09F8" w:rsidRPr="00827721">
        <w:t>pct.</w:t>
      </w:r>
      <w:r w:rsidR="00AA23D7" w:rsidRPr="00827721">
        <w:t xml:space="preserve"> 16-19</w:t>
      </w:r>
      <w:r w:rsidRPr="00827721">
        <w:t xml:space="preserve"> din </w:t>
      </w:r>
      <w:r w:rsidR="008C1C43">
        <w:t>regulamentul menționat</w:t>
      </w:r>
      <w:r w:rsidRPr="00827721">
        <w:t>;</w:t>
      </w:r>
    </w:p>
    <w:p w14:paraId="5D529E0B" w14:textId="77777777" w:rsidR="005210AB" w:rsidRPr="00827721" w:rsidRDefault="005210AB" w:rsidP="00E53158">
      <w:pPr>
        <w:pStyle w:val="HGsubpct111"/>
      </w:pPr>
      <w:r w:rsidRPr="00827721">
        <w:lastRenderedPageBreak/>
        <w:t>emiterea frauduloasă a unor dovezi ale durabilității sau a unor declarații pe proprie răspundere, de exemplu duplicarea intenționată a unor dovezi privind durabilitatea în scopul obținerii unor avantaje de natură financiară;</w:t>
      </w:r>
    </w:p>
    <w:p w14:paraId="4C0364E6" w14:textId="64FCF387" w:rsidR="005210AB" w:rsidRPr="00827721" w:rsidRDefault="005210AB" w:rsidP="00E53158">
      <w:pPr>
        <w:pStyle w:val="HGsubpct111"/>
      </w:pPr>
      <w:r w:rsidRPr="00827721">
        <w:t>descrierea eronată și deliberată a materiilor prime, falsificarea valorilor emisiilor de GES sau a datelor de intrare, precum și producerea deliberată de deșeuri sau reziduuri, de exemplu, modificarea deliberată a unui proces de producție pentru a produce reziduuri suplimentare sau contaminarea deliberată a unui material cu intenția de a</w:t>
      </w:r>
      <w:r w:rsidR="00E8699E" w:rsidRPr="00827721">
        <w:t xml:space="preserve"> î</w:t>
      </w:r>
      <w:r w:rsidRPr="00827721">
        <w:t>l clasifica drept deșeu.</w:t>
      </w:r>
    </w:p>
    <w:p w14:paraId="6541F6A5" w14:textId="2A7E474E" w:rsidR="001D6D54" w:rsidRPr="00827721" w:rsidRDefault="00BF6789" w:rsidP="00C056D2">
      <w:pPr>
        <w:pStyle w:val="HGsubpct11"/>
      </w:pPr>
      <w:r w:rsidRPr="00827721">
        <w:t>n</w:t>
      </w:r>
      <w:r w:rsidR="001D6D54" w:rsidRPr="00827721">
        <w:t xml:space="preserve">erespectarea unei cerințe obligatorii prevăzute în </w:t>
      </w:r>
      <w:r w:rsidR="00BF20FF" w:rsidRPr="00347C70">
        <w:rPr>
          <w:iCs w:val="0"/>
        </w:rPr>
        <w:t>HG 53/2025</w:t>
      </w:r>
      <w:r w:rsidR="001D6D54" w:rsidRPr="00827721">
        <w:t xml:space="preserve">, în cazul în care neconformitatea este potențial reversibilă, repetată și relevă existența unor probleme sistematice sau aspecte care, singure sau în combinație cu alte neconformități, pot conduce la o deficiență esențială a </w:t>
      </w:r>
      <w:r w:rsidR="00295203" w:rsidRPr="00827721">
        <w:t>schemei</w:t>
      </w:r>
      <w:r w:rsidR="001D6D54" w:rsidRPr="00827721">
        <w:t>, sunt considerate o neconformitate majoră. Neconformitățile majore includ, dar nu se limitează la următoarele aspecte:</w:t>
      </w:r>
    </w:p>
    <w:p w14:paraId="4C75A1FB" w14:textId="77777777" w:rsidR="001D6D54" w:rsidRPr="00827721" w:rsidRDefault="001D6D54" w:rsidP="00E53158">
      <w:pPr>
        <w:pStyle w:val="HGsubpct111"/>
      </w:pPr>
      <w:r w:rsidRPr="00827721">
        <w:t xml:space="preserve">probleme sistematice legate de bilanțul </w:t>
      </w:r>
      <w:proofErr w:type="spellStart"/>
      <w:r w:rsidRPr="00827721">
        <w:t>masic</w:t>
      </w:r>
      <w:proofErr w:type="spellEnd"/>
      <w:r w:rsidRPr="00827721">
        <w:t xml:space="preserve"> sau de datele privind emisiile de GES raportate, de exemplu, se constată o documentare incorectă în cazul unui procent mai mare de 10 % din declarațiile incluse în eșantionul reprezentativ;</w:t>
      </w:r>
    </w:p>
    <w:p w14:paraId="1FE62084" w14:textId="741B5274" w:rsidR="001D6D54" w:rsidRPr="00827721" w:rsidRDefault="001D6D54" w:rsidP="00E53158">
      <w:pPr>
        <w:pStyle w:val="HGsubpct111"/>
      </w:pPr>
      <w:r w:rsidRPr="00827721">
        <w:t xml:space="preserve">nedeclararea de către un operator economic a participării la alte </w:t>
      </w:r>
      <w:r w:rsidR="006B423B" w:rsidRPr="00827721">
        <w:t>scheme</w:t>
      </w:r>
      <w:r w:rsidRPr="00827721">
        <w:t xml:space="preserve"> voluntare în cursul procesului de certificare;</w:t>
      </w:r>
    </w:p>
    <w:p w14:paraId="31BE7B42" w14:textId="77777777" w:rsidR="001D6D54" w:rsidRPr="00827721" w:rsidRDefault="001D6D54" w:rsidP="00E53158">
      <w:pPr>
        <w:pStyle w:val="HGsubpct111"/>
      </w:pPr>
      <w:r w:rsidRPr="00827721">
        <w:t xml:space="preserve">nefurnizarea unor informații relevante auditorilor, de exemplu, date privind bilanțul </w:t>
      </w:r>
      <w:proofErr w:type="spellStart"/>
      <w:r w:rsidRPr="00827721">
        <w:t>masic</w:t>
      </w:r>
      <w:proofErr w:type="spellEnd"/>
      <w:r w:rsidRPr="00827721">
        <w:t xml:space="preserve"> și rapoarte de audit.</w:t>
      </w:r>
    </w:p>
    <w:p w14:paraId="43AA0454" w14:textId="5737303D" w:rsidR="001D6D54" w:rsidRPr="00827721" w:rsidRDefault="00BF6789" w:rsidP="00C056D2">
      <w:pPr>
        <w:pStyle w:val="HGsubpct11"/>
      </w:pPr>
      <w:r w:rsidRPr="00827721">
        <w:t>o</w:t>
      </w:r>
      <w:r w:rsidR="001D6D54" w:rsidRPr="00827721">
        <w:t xml:space="preserve"> </w:t>
      </w:r>
      <w:r w:rsidR="001D6D54" w:rsidRPr="00827721">
        <w:rPr>
          <w:rStyle w:val="HGsubpct11Char"/>
        </w:rPr>
        <w:t>neconformitate care are un impact limitat, care constituie o eroare izolată sau temporară care nu este sistematică și nu conduce la o deficiență esențială în cazul în care nu este</w:t>
      </w:r>
      <w:r w:rsidR="001D6D54" w:rsidRPr="00827721">
        <w:t xml:space="preserve"> remediată este considerată o neconformitate minoră.</w:t>
      </w:r>
    </w:p>
    <w:p w14:paraId="588969D6" w14:textId="7E82279A" w:rsidR="001D6D54" w:rsidRPr="00827721" w:rsidRDefault="001D6D54" w:rsidP="00D832BD">
      <w:pPr>
        <w:pStyle w:val="HGpct1"/>
      </w:pPr>
      <w:r w:rsidRPr="00827721">
        <w:t>Consecințele neconformităților pentru operatorii economici sunt următoarele:</w:t>
      </w:r>
    </w:p>
    <w:p w14:paraId="0E75E9B0" w14:textId="6B348DE7" w:rsidR="001D6D54" w:rsidRPr="00827721" w:rsidRDefault="001D6D54" w:rsidP="00D832BD">
      <w:pPr>
        <w:pStyle w:val="HGsubpct11"/>
      </w:pPr>
      <w:r w:rsidRPr="00827721">
        <w:t xml:space="preserve">în cazul neconformităților critice, </w:t>
      </w:r>
      <w:r w:rsidR="009C632B" w:rsidRPr="00827721">
        <w:t>certificatul nu se eliberează operatorilor economici care solicită certificarea</w:t>
      </w:r>
      <w:r w:rsidRPr="00827721">
        <w:t xml:space="preserve">. Operatorii economici pot solicita din nou certificarea după expirarea unei perioade fixe, stabilită de </w:t>
      </w:r>
      <w:r w:rsidR="00B71F5F" w:rsidRPr="00827721">
        <w:t>schema voluntară</w:t>
      </w:r>
      <w:r w:rsidRPr="00827721">
        <w:t xml:space="preserve">. Neconformitățile critice identificate pe parcursul auditurilor de supraveghere sau de recertificare sau prin intermediul procesului de monitorizare internă sau al procesului de depunere a plângerilor al </w:t>
      </w:r>
      <w:r w:rsidR="00382F5C" w:rsidRPr="00827721">
        <w:t>unei scheme voluntare</w:t>
      </w:r>
      <w:r w:rsidRPr="00827721">
        <w:t xml:space="preserve"> conduc la retragerea imediată a certificatului operatorului economic;</w:t>
      </w:r>
    </w:p>
    <w:p w14:paraId="22E494A0" w14:textId="33C3E4E9" w:rsidR="001D6D54" w:rsidRPr="00827721" w:rsidRDefault="001D6D54" w:rsidP="00D832BD">
      <w:pPr>
        <w:pStyle w:val="HGsubpct11"/>
      </w:pPr>
      <w:r w:rsidRPr="00827721">
        <w:t xml:space="preserve">în cazul neconformităților majore, </w:t>
      </w:r>
      <w:r w:rsidR="003C6A88" w:rsidRPr="00827721">
        <w:t>certificatul nu se eliberează operatorilor economici care solicită certificarea</w:t>
      </w:r>
      <w:r w:rsidRPr="00827721">
        <w:t xml:space="preserve">. Neconformitățile majore identificate pe parcursul auditurilor de supraveghere sau de recertificare sau prin intermediul procesului de monitorizare internă sau al procesului de depunere a plângerilor al </w:t>
      </w:r>
      <w:r w:rsidR="00382F5C" w:rsidRPr="00827721">
        <w:t xml:space="preserve">unei scheme </w:t>
      </w:r>
      <w:r w:rsidR="00382F5C" w:rsidRPr="00827721">
        <w:lastRenderedPageBreak/>
        <w:t>voluntare</w:t>
      </w:r>
      <w:r w:rsidRPr="00827721">
        <w:t xml:space="preserve"> conduc la suspendarea imediată a certificatului operatorului economic. În cazul în care operatorii economici nu oferă o măsură corectivă pentru neconformitățile majore în termen de 90 de zile de la notificare, certificatul este retras;</w:t>
      </w:r>
    </w:p>
    <w:p w14:paraId="116B17F6" w14:textId="02FEF1DF" w:rsidR="001D6D54" w:rsidRPr="00827721" w:rsidRDefault="001D6D54" w:rsidP="00D832BD">
      <w:pPr>
        <w:pStyle w:val="HGsubpct11"/>
      </w:pPr>
      <w:r w:rsidRPr="00827721">
        <w:t xml:space="preserve">în cazul unor neconformități minore, </w:t>
      </w:r>
      <w:r w:rsidR="003675FE" w:rsidRPr="00827721">
        <w:t>schemele</w:t>
      </w:r>
      <w:r w:rsidRPr="00827721">
        <w:t xml:space="preserve"> voluntare defin</w:t>
      </w:r>
      <w:r w:rsidR="00BB2D96" w:rsidRPr="00827721">
        <w:t>esc</w:t>
      </w:r>
      <w:r w:rsidRPr="00827721">
        <w:t xml:space="preserve"> perioada pentru remedierea, care nu</w:t>
      </w:r>
      <w:r w:rsidR="00D817DB" w:rsidRPr="00827721">
        <w:t xml:space="preserve"> </w:t>
      </w:r>
      <w:r w:rsidRPr="00827721">
        <w:t>depăș</w:t>
      </w:r>
      <w:r w:rsidR="00D817DB" w:rsidRPr="00827721">
        <w:t>ește</w:t>
      </w:r>
      <w:r w:rsidRPr="00827721">
        <w:t xml:space="preserve"> 12 luni de la notificare, </w:t>
      </w:r>
      <w:r w:rsidR="00EE1DB0" w:rsidRPr="00827721">
        <w:t xml:space="preserve">precum </w:t>
      </w:r>
      <w:r w:rsidRPr="00827721">
        <w:t>și data următorului audit de supraveghere sau de recertificare.</w:t>
      </w:r>
    </w:p>
    <w:p w14:paraId="4144C51C" w14:textId="0991A5B9" w:rsidR="001D6D54" w:rsidRPr="00827721" w:rsidRDefault="003675FE" w:rsidP="00D832BD">
      <w:pPr>
        <w:pStyle w:val="HGpct1"/>
      </w:pPr>
      <w:r w:rsidRPr="00827721">
        <w:t>Schemele</w:t>
      </w:r>
      <w:r w:rsidR="001D6D54" w:rsidRPr="00827721">
        <w:t xml:space="preserve"> voluntare certifică operatorii economici numai dacă aceștia îndeplinesc toate cerințele următoare:</w:t>
      </w:r>
    </w:p>
    <w:p w14:paraId="4E65DC91" w14:textId="77777777" w:rsidR="001D6D54" w:rsidRPr="00827721" w:rsidRDefault="001D6D54" w:rsidP="00D832BD">
      <w:pPr>
        <w:pStyle w:val="HGsubpct11"/>
      </w:pPr>
      <w:r w:rsidRPr="00827721">
        <w:t>dispun de un sistem de gestionare a documentatelor;</w:t>
      </w:r>
    </w:p>
    <w:p w14:paraId="506653A7" w14:textId="6A3ED564" w:rsidR="001D6D54" w:rsidRPr="00827721" w:rsidRDefault="001D6D54" w:rsidP="00D832BD">
      <w:pPr>
        <w:pStyle w:val="HGsubpct11"/>
      </w:pPr>
      <w:r w:rsidRPr="00827721">
        <w:t xml:space="preserve">dispun de un sistem de păstrare în condiții siguranță și de examinare a tuturor dovezilor </w:t>
      </w:r>
      <w:r w:rsidR="000233C1" w:rsidRPr="00827721">
        <w:t>aferente</w:t>
      </w:r>
      <w:r w:rsidRPr="00827721">
        <w:t xml:space="preserve"> declarațiil</w:t>
      </w:r>
      <w:r w:rsidR="000233C1" w:rsidRPr="00827721">
        <w:t>or</w:t>
      </w:r>
      <w:r w:rsidRPr="00827721">
        <w:t xml:space="preserve"> prezint</w:t>
      </w:r>
      <w:r w:rsidR="000233C1" w:rsidRPr="00827721">
        <w:t>ate</w:t>
      </w:r>
      <w:r w:rsidRPr="00827721">
        <w:t xml:space="preserve"> sau </w:t>
      </w:r>
      <w:r w:rsidR="000233C1" w:rsidRPr="00827721">
        <w:t>utilizate</w:t>
      </w:r>
      <w:r w:rsidRPr="00827721">
        <w:t>, iar sistemul respectiv poate face obiectul unui audit;</w:t>
      </w:r>
    </w:p>
    <w:p w14:paraId="4BF1BCA9" w14:textId="761D6040" w:rsidR="001D6D54" w:rsidRPr="00827721" w:rsidRDefault="001D6D54" w:rsidP="00D832BD">
      <w:pPr>
        <w:pStyle w:val="HGsubpct11"/>
      </w:pPr>
      <w:r w:rsidRPr="00827721">
        <w:t xml:space="preserve">păstrează toate dovezile necesare pentru respectarea </w:t>
      </w:r>
      <w:r w:rsidR="003F6DED" w:rsidRPr="00827721">
        <w:t xml:space="preserve">prevederilor </w:t>
      </w:r>
      <w:r w:rsidRPr="00827721">
        <w:t xml:space="preserve">prezentului regulament și al </w:t>
      </w:r>
      <w:r w:rsidR="009D28A5" w:rsidRPr="00827721">
        <w:t>Regulamentul</w:t>
      </w:r>
      <w:r w:rsidR="00D76A41" w:rsidRPr="00827721">
        <w:t>ui</w:t>
      </w:r>
      <w:r w:rsidR="009D28A5" w:rsidRPr="00827721">
        <w:t xml:space="preserve"> </w:t>
      </w:r>
      <w:r w:rsidR="00E47C70">
        <w:t xml:space="preserve">cu privire la criterii de durabilitate și </w:t>
      </w:r>
      <w:r w:rsidR="00A05FE8">
        <w:t>metodologia de calcul</w:t>
      </w:r>
      <w:r w:rsidR="009D28A5" w:rsidRPr="00827721">
        <w:t xml:space="preserve"> </w:t>
      </w:r>
      <w:r w:rsidRPr="00827721">
        <w:t xml:space="preserve">pentru o perioadă de cel puțin cinci ani sau pentru o perioadă mai lungă în cazul în care acest lucru este solicitat de </w:t>
      </w:r>
      <w:r w:rsidR="00645630">
        <w:t>grup</w:t>
      </w:r>
      <w:r w:rsidR="00830F0D">
        <w:t>ul</w:t>
      </w:r>
      <w:r w:rsidR="00645630">
        <w:t xml:space="preserve"> de lucru</w:t>
      </w:r>
      <w:r w:rsidRPr="00827721">
        <w:t>;</w:t>
      </w:r>
    </w:p>
    <w:p w14:paraId="04DA3445" w14:textId="77777777" w:rsidR="001D6D54" w:rsidRPr="00827721" w:rsidRDefault="001D6D54" w:rsidP="00D832BD">
      <w:pPr>
        <w:pStyle w:val="HGsubpct11"/>
      </w:pPr>
      <w:r w:rsidRPr="00827721">
        <w:t>își asumă responsabilitatea pentru pregătirea oricăror informații legate de auditarea acestor dovezi.</w:t>
      </w:r>
    </w:p>
    <w:p w14:paraId="504A2641" w14:textId="4E71B79E" w:rsidR="001D6D54" w:rsidRPr="00827721" w:rsidRDefault="001D6D54" w:rsidP="00D832BD">
      <w:pPr>
        <w:pStyle w:val="HGpct1"/>
      </w:pPr>
      <w:r w:rsidRPr="00827721">
        <w:t xml:space="preserve">Rapoartele de audit și sintezele rapoartelor de audit sau certificatele întocmite sau emise de un organism de certificare în cadrul </w:t>
      </w:r>
      <w:r w:rsidR="00382F5C" w:rsidRPr="00827721">
        <w:t>unei scheme voluntare</w:t>
      </w:r>
      <w:r w:rsidRPr="00827721">
        <w:t xml:space="preserve"> includ cel puțin elementele prevăzute în anex</w:t>
      </w:r>
      <w:r w:rsidR="00833E88" w:rsidRPr="00827721">
        <w:t>a</w:t>
      </w:r>
      <w:r w:rsidRPr="00827721">
        <w:t xml:space="preserve"> </w:t>
      </w:r>
      <w:r w:rsidR="00A04394" w:rsidRPr="00827721">
        <w:t>nr. 2</w:t>
      </w:r>
      <w:r w:rsidRPr="00827721">
        <w:t>.</w:t>
      </w:r>
    </w:p>
    <w:p w14:paraId="76A29338" w14:textId="38D05BA4" w:rsidR="00D04FFB" w:rsidRPr="00827721" w:rsidRDefault="00D04FFB" w:rsidP="000B4F36">
      <w:pPr>
        <w:pStyle w:val="Sectiune"/>
      </w:pPr>
      <w:r w:rsidRPr="00827721">
        <w:t xml:space="preserve">Secțiunea a </w:t>
      </w:r>
      <w:r w:rsidR="00114CC2" w:rsidRPr="00827721">
        <w:t>2</w:t>
      </w:r>
      <w:r w:rsidRPr="00827721">
        <w:t>-a</w:t>
      </w:r>
    </w:p>
    <w:p w14:paraId="03E43ACF" w14:textId="7B9E090D" w:rsidR="0031536B" w:rsidRPr="00827721" w:rsidRDefault="001F1979" w:rsidP="000B4F36">
      <w:pPr>
        <w:pStyle w:val="Sectiune"/>
      </w:pPr>
      <w:r w:rsidRPr="00827721">
        <w:t>Cerințe pentru organismele de certificare și auditorii acestora</w:t>
      </w:r>
    </w:p>
    <w:p w14:paraId="6E5B1C50" w14:textId="6FCC802D" w:rsidR="0031536B" w:rsidRPr="00827721" w:rsidRDefault="00245FD6" w:rsidP="00D832BD">
      <w:pPr>
        <w:pStyle w:val="HGpct1"/>
      </w:pPr>
      <w:r>
        <w:t>O</w:t>
      </w:r>
      <w:r w:rsidRPr="00245FD6">
        <w:t>rganism</w:t>
      </w:r>
      <w:r w:rsidR="00A6343A">
        <w:t>ul</w:t>
      </w:r>
      <w:r w:rsidRPr="00245FD6">
        <w:t xml:space="preserve"> de certificare trebuie să fie acreditat în conformitate cu standardul </w:t>
      </w:r>
      <w:r w:rsidR="00AE6E48">
        <w:t xml:space="preserve">SM </w:t>
      </w:r>
      <w:r w:rsidRPr="00245FD6">
        <w:t>EN ISO/</w:t>
      </w:r>
      <w:r w:rsidR="00AE6E48">
        <w:t>CEI</w:t>
      </w:r>
      <w:r w:rsidRPr="00245FD6">
        <w:t> 17065</w:t>
      </w:r>
      <w:r w:rsidR="00E24430">
        <w:t>.</w:t>
      </w:r>
      <w:r w:rsidRPr="00245FD6">
        <w:t xml:space="preserve"> </w:t>
      </w:r>
      <w:r w:rsidR="00DB7791" w:rsidRPr="00827721">
        <w:t>La</w:t>
      </w:r>
      <w:r w:rsidR="001A1844" w:rsidRPr="00827721">
        <w:t xml:space="preserve"> desfăș</w:t>
      </w:r>
      <w:r w:rsidR="00DB7791" w:rsidRPr="00827721">
        <w:t>ur</w:t>
      </w:r>
      <w:r w:rsidR="001A1844" w:rsidRPr="00827721">
        <w:t>ar</w:t>
      </w:r>
      <w:r w:rsidR="00DB7791" w:rsidRPr="00827721">
        <w:t>ea</w:t>
      </w:r>
      <w:r w:rsidR="001A1844" w:rsidRPr="00827721">
        <w:t xml:space="preserve"> activități</w:t>
      </w:r>
      <w:r w:rsidR="00DB7791" w:rsidRPr="00827721">
        <w:t>lor</w:t>
      </w:r>
      <w:r w:rsidR="001A1844" w:rsidRPr="00827721">
        <w:t xml:space="preserve"> de verificare, </w:t>
      </w:r>
      <w:r w:rsidR="000C6BBE" w:rsidRPr="00827721">
        <w:t xml:space="preserve">cu </w:t>
      </w:r>
      <w:r w:rsidR="001A1844" w:rsidRPr="00827721">
        <w:t>resurse</w:t>
      </w:r>
      <w:r w:rsidR="000C6BBE" w:rsidRPr="00827721">
        <w:t xml:space="preserve"> </w:t>
      </w:r>
      <w:r w:rsidR="00D2504B" w:rsidRPr="00827721">
        <w:t>interne</w:t>
      </w:r>
      <w:r w:rsidR="000C6BBE" w:rsidRPr="00827721">
        <w:t xml:space="preserve"> sau </w:t>
      </w:r>
      <w:r w:rsidR="00C2490D" w:rsidRPr="00827721">
        <w:t xml:space="preserve">alte </w:t>
      </w:r>
      <w:r w:rsidR="001A1844" w:rsidRPr="00827721">
        <w:t>resurse aflate sub controlul direct, organismul de certificare trebuie să îndeplinească</w:t>
      </w:r>
      <w:r w:rsidR="00DB7791" w:rsidRPr="00827721">
        <w:t xml:space="preserve"> </w:t>
      </w:r>
      <w:r w:rsidR="001A1844" w:rsidRPr="00827721">
        <w:t xml:space="preserve">cerințele aplicabile ale standardelor </w:t>
      </w:r>
      <w:r w:rsidR="007C0A79" w:rsidRPr="00827721">
        <w:t xml:space="preserve">SM EN ISO/IEC 17029:2020 </w:t>
      </w:r>
      <w:r w:rsidR="005B56F6" w:rsidRPr="00827721">
        <w:t>„</w:t>
      </w:r>
      <w:r w:rsidR="007C0A79" w:rsidRPr="00827721">
        <w:t xml:space="preserve">Evaluare a </w:t>
      </w:r>
      <w:r w:rsidR="002506DB" w:rsidRPr="00827721">
        <w:t>conformității</w:t>
      </w:r>
      <w:r w:rsidR="007C0A79" w:rsidRPr="00827721">
        <w:t xml:space="preserve">. Principii </w:t>
      </w:r>
      <w:r w:rsidR="00BE29ED" w:rsidRPr="00827721">
        <w:t>și</w:t>
      </w:r>
      <w:r w:rsidR="007C0A79" w:rsidRPr="00827721">
        <w:t xml:space="preserve"> </w:t>
      </w:r>
      <w:r w:rsidR="000E2988" w:rsidRPr="00827721">
        <w:t>cerințe</w:t>
      </w:r>
      <w:r w:rsidR="007C0A79" w:rsidRPr="00827721">
        <w:t xml:space="preserve"> generale pentru organisme de validare </w:t>
      </w:r>
      <w:proofErr w:type="spellStart"/>
      <w:r w:rsidR="007C0A79" w:rsidRPr="00827721">
        <w:t>şi</w:t>
      </w:r>
      <w:proofErr w:type="spellEnd"/>
      <w:r w:rsidR="007C0A79" w:rsidRPr="00827721">
        <w:t xml:space="preserve"> verificare</w:t>
      </w:r>
      <w:r w:rsidR="005B56F6" w:rsidRPr="00827721">
        <w:t>”</w:t>
      </w:r>
      <w:r w:rsidR="007C0A79" w:rsidRPr="00827721">
        <w:t xml:space="preserve"> </w:t>
      </w:r>
      <w:r w:rsidR="001A1844" w:rsidRPr="00827721">
        <w:t xml:space="preserve">și </w:t>
      </w:r>
      <w:r w:rsidR="00CF46D5" w:rsidRPr="00827721">
        <w:t>SM EN ISO 14065:2022 „Principii generale și cerințe pentru organismele care efectuează validarea și verificarea informațiilor de mediu”</w:t>
      </w:r>
      <w:r w:rsidR="001A1844" w:rsidRPr="00827721">
        <w:t xml:space="preserve">. Organismul de certificare utilizează alte resurse pentru activitățile de verificare numai din partea organismelor acreditate care îndeplinesc cerințele aplicabile ale standardelor </w:t>
      </w:r>
      <w:r w:rsidR="007A71A0" w:rsidRPr="00827721">
        <w:t>respective</w:t>
      </w:r>
      <w:r w:rsidR="001A1844" w:rsidRPr="00827721">
        <w:t>.</w:t>
      </w:r>
    </w:p>
    <w:p w14:paraId="74025D7D" w14:textId="73388703" w:rsidR="0031536B" w:rsidRPr="00827721" w:rsidRDefault="00787663" w:rsidP="00D832BD">
      <w:pPr>
        <w:pStyle w:val="HGpct1"/>
      </w:pPr>
      <w:r w:rsidRPr="00827721">
        <w:t xml:space="preserve">Acreditarea unui organism de certificare este efectuată de </w:t>
      </w:r>
      <w:r w:rsidR="0014696D" w:rsidRPr="00827721">
        <w:t xml:space="preserve">Centrul Național de Acreditare în conformitate cu Legea nr. 235/2011 privind activitățile de acreditare </w:t>
      </w:r>
      <w:r w:rsidR="0014696D" w:rsidRPr="00827721">
        <w:lastRenderedPageBreak/>
        <w:t xml:space="preserve">și de evaluare a conformității </w:t>
      </w:r>
      <w:r w:rsidRPr="00827721">
        <w:t xml:space="preserve">și acoperă domeniul </w:t>
      </w:r>
      <w:r w:rsidR="00254081" w:rsidRPr="00827721">
        <w:t>specific </w:t>
      </w:r>
      <w:r w:rsidRPr="00827721">
        <w:t xml:space="preserve">al </w:t>
      </w:r>
      <w:r w:rsidR="008E3C4E" w:rsidRPr="00827721">
        <w:t>schemei</w:t>
      </w:r>
      <w:r w:rsidRPr="00827721">
        <w:t xml:space="preserve"> voluntar</w:t>
      </w:r>
      <w:r w:rsidR="008E3C4E" w:rsidRPr="00827721">
        <w:t>e</w:t>
      </w:r>
      <w:r w:rsidRPr="00827721">
        <w:t xml:space="preserve"> sau național</w:t>
      </w:r>
      <w:r w:rsidR="008E3C4E" w:rsidRPr="00827721">
        <w:t>e</w:t>
      </w:r>
      <w:r w:rsidRPr="00827721">
        <w:t xml:space="preserve"> </w:t>
      </w:r>
      <w:r w:rsidR="00D94FAA" w:rsidRPr="00827721">
        <w:t>aflate</w:t>
      </w:r>
      <w:r w:rsidRPr="00827721">
        <w:t xml:space="preserve"> sub incidența </w:t>
      </w:r>
      <w:r w:rsidR="00D24D6B" w:rsidRPr="00347C70">
        <w:rPr>
          <w:iCs/>
        </w:rPr>
        <w:t>HG 53/2025</w:t>
      </w:r>
      <w:r w:rsidRPr="00827721">
        <w:t>.</w:t>
      </w:r>
    </w:p>
    <w:p w14:paraId="5F3F9767" w14:textId="3BE73134" w:rsidR="0031536B" w:rsidRPr="00827721" w:rsidRDefault="008E3C4E" w:rsidP="001B7844">
      <w:pPr>
        <w:pStyle w:val="HGpct1"/>
      </w:pPr>
      <w:r w:rsidRPr="00827721">
        <w:t xml:space="preserve">În cadrul evaluării </w:t>
      </w:r>
      <w:r w:rsidR="00D94FAA" w:rsidRPr="00827721">
        <w:t>schemelor</w:t>
      </w:r>
      <w:r w:rsidRPr="00827721">
        <w:t xml:space="preserve"> voluntare sau naționale în conformitate cu</w:t>
      </w:r>
      <w:r w:rsidR="008E7BF8" w:rsidRPr="00827721">
        <w:t xml:space="preserve"> </w:t>
      </w:r>
      <w:r w:rsidR="009D5581" w:rsidRPr="00827721">
        <w:t>pct. 35</w:t>
      </w:r>
      <w:r w:rsidR="00461C33" w:rsidRPr="00827721">
        <w:t xml:space="preserve"> </w:t>
      </w:r>
      <w:r w:rsidR="00E365BB">
        <w:t>sau 35</w:t>
      </w:r>
      <w:r w:rsidR="00E365BB">
        <w:rPr>
          <w:vertAlign w:val="superscript"/>
        </w:rPr>
        <w:t>1</w:t>
      </w:r>
      <w:r w:rsidR="00E365BB">
        <w:t xml:space="preserve"> </w:t>
      </w:r>
      <w:r w:rsidR="009D5581" w:rsidRPr="00827721">
        <w:t xml:space="preserve">din </w:t>
      </w:r>
      <w:r w:rsidR="00BF20FF" w:rsidRPr="00347C70">
        <w:rPr>
          <w:iCs/>
        </w:rPr>
        <w:t>HG 53/2025</w:t>
      </w:r>
      <w:r w:rsidRPr="00827721">
        <w:t xml:space="preserve">, </w:t>
      </w:r>
      <w:r w:rsidR="003436E2">
        <w:t>grupul de lucru</w:t>
      </w:r>
      <w:r w:rsidRPr="00827721">
        <w:t xml:space="preserve"> evaluează,</w:t>
      </w:r>
      <w:r w:rsidR="00571000" w:rsidRPr="00827721">
        <w:t xml:space="preserve"> </w:t>
      </w:r>
      <w:r w:rsidR="008C203B">
        <w:t>în coordonare</w:t>
      </w:r>
      <w:r w:rsidR="008C203B" w:rsidRPr="00827721">
        <w:t xml:space="preserve"> </w:t>
      </w:r>
      <w:r w:rsidR="00571000" w:rsidRPr="00827721">
        <w:t>cu</w:t>
      </w:r>
      <w:r w:rsidRPr="00827721">
        <w:t xml:space="preserve"> </w:t>
      </w:r>
      <w:r w:rsidR="00571000" w:rsidRPr="00827721">
        <w:t>Centrul Național de Acreditare</w:t>
      </w:r>
      <w:r w:rsidRPr="00827721">
        <w:t xml:space="preserve">, dacă metodologiile, normele și protocoalele </w:t>
      </w:r>
      <w:r w:rsidR="00571000" w:rsidRPr="00827721">
        <w:t>schemelor</w:t>
      </w:r>
      <w:r w:rsidRPr="00827721">
        <w:t xml:space="preserve"> voluntare sau naționale sunt </w:t>
      </w:r>
      <w:r w:rsidR="006D71A3" w:rsidRPr="00827721">
        <w:t>conforme</w:t>
      </w:r>
      <w:r w:rsidRPr="00827721">
        <w:t xml:space="preserve"> pentru acreditare în sensul </w:t>
      </w:r>
      <w:r w:rsidR="00FA4679" w:rsidRPr="00827721">
        <w:t>prezent</w:t>
      </w:r>
      <w:r w:rsidR="00FA4679">
        <w:t>ei</w:t>
      </w:r>
      <w:r w:rsidR="00FA4679" w:rsidRPr="00827721">
        <w:t xml:space="preserve"> </w:t>
      </w:r>
      <w:r w:rsidR="00FA4679">
        <w:t>secțiuni</w:t>
      </w:r>
      <w:r w:rsidRPr="00827721">
        <w:t xml:space="preserve">. Concluzia evaluării </w:t>
      </w:r>
      <w:r w:rsidR="00323315" w:rsidRPr="00827721">
        <w:t>conformită</w:t>
      </w:r>
      <w:r w:rsidR="004C2E2B" w:rsidRPr="00827721">
        <w:t>ții</w:t>
      </w:r>
      <w:r w:rsidRPr="00827721">
        <w:t xml:space="preserve"> </w:t>
      </w:r>
      <w:r w:rsidR="00A45614" w:rsidRPr="00827721">
        <w:t>schemelor</w:t>
      </w:r>
      <w:r w:rsidRPr="00827721">
        <w:t xml:space="preserve"> voluntare și naționale în vederea acreditării se include în rapoartele de evaluare tehnică întocmite de </w:t>
      </w:r>
      <w:r w:rsidR="004038BC">
        <w:t>grupul de lucru</w:t>
      </w:r>
      <w:r w:rsidR="00702139" w:rsidRPr="00827721" w:rsidDel="00702139">
        <w:t>.</w:t>
      </w:r>
      <w:r w:rsidR="00702139">
        <w:t xml:space="preserve"> O</w:t>
      </w:r>
      <w:r w:rsidR="00702139" w:rsidRPr="002F45CA">
        <w:t>rganul central de specialitate al administrației publice în domeniul energeticii transmite rapoar</w:t>
      </w:r>
      <w:r w:rsidR="00702139">
        <w:t>tele</w:t>
      </w:r>
      <w:r w:rsidR="00702139" w:rsidRPr="002F45CA">
        <w:t xml:space="preserve"> </w:t>
      </w:r>
      <w:r w:rsidR="00702139" w:rsidRPr="00827721">
        <w:t xml:space="preserve">de evaluare tehnică </w:t>
      </w:r>
      <w:r w:rsidR="00702139" w:rsidRPr="002F45CA">
        <w:t>către Secretariatul Comunității Energetice.</w:t>
      </w:r>
    </w:p>
    <w:p w14:paraId="004DF4A4" w14:textId="0AEABB1D" w:rsidR="0031536B" w:rsidRPr="00827721" w:rsidRDefault="0031536B" w:rsidP="00D832BD">
      <w:pPr>
        <w:pStyle w:val="HGpct1"/>
      </w:pPr>
      <w:r w:rsidRPr="00827721">
        <w:t>Echipa de audit trebuie să dispună de competența, experiența și aptitudinile generale și specifice necesare pentru efectuarea auditului, ținând seama de sfera auditului. În cazul în care există un singur auditor, acesta are competența de a îndeplini atribuțiile de șef al echipei de audit aplicabile pentru auditul respectiv. Organismul de certificare se asigură că decizia de certificare este luată de un examinator tehnic care nu a făcut parte din echipa de audit.</w:t>
      </w:r>
    </w:p>
    <w:p w14:paraId="6EE1C067" w14:textId="4DB93B9D" w:rsidR="00BB11FB" w:rsidRPr="00827721" w:rsidRDefault="00BF1A7D" w:rsidP="00D832BD">
      <w:pPr>
        <w:pStyle w:val="HGpct1"/>
      </w:pPr>
      <w:r w:rsidRPr="00827721">
        <w:t> Auditorii trebuie:</w:t>
      </w:r>
    </w:p>
    <w:p w14:paraId="6A10CAE0" w14:textId="4B0E9CE9" w:rsidR="00BF1A7D" w:rsidRPr="00827721" w:rsidRDefault="00BF1A7D" w:rsidP="00D832BD">
      <w:pPr>
        <w:pStyle w:val="HGsubpct11"/>
      </w:pPr>
      <w:r w:rsidRPr="00827721">
        <w:t xml:space="preserve">să fie independenți </w:t>
      </w:r>
      <w:r w:rsidR="008F0408" w:rsidRPr="00827721">
        <w:t xml:space="preserve">față </w:t>
      </w:r>
      <w:r w:rsidRPr="00827721">
        <w:t xml:space="preserve">de activitățile </w:t>
      </w:r>
      <w:r w:rsidR="008F0408" w:rsidRPr="00827721">
        <w:t>supuse auditului</w:t>
      </w:r>
      <w:r w:rsidRPr="00827721">
        <w:t xml:space="preserve">, cu excepția auditurilor privind criteriile prevăzute la </w:t>
      </w:r>
      <w:r w:rsidR="00173AF8" w:rsidRPr="00827721">
        <w:t xml:space="preserve">subpct. 20.1 </w:t>
      </w:r>
      <w:r w:rsidR="00973EC7" w:rsidRPr="00827721">
        <w:t xml:space="preserve">și 21.1 </w:t>
      </w:r>
      <w:r w:rsidR="00173AF8" w:rsidRPr="00827721">
        <w:t xml:space="preserve">din anexa nr.1 </w:t>
      </w:r>
      <w:r w:rsidR="00F87948" w:rsidRPr="00827721">
        <w:t xml:space="preserve">la </w:t>
      </w:r>
      <w:r w:rsidR="00C72EEB" w:rsidRPr="00C72EEB">
        <w:rPr>
          <w:iCs w:val="0"/>
        </w:rPr>
        <w:t>HG 53/2025</w:t>
      </w:r>
      <w:r w:rsidR="00C72EEB" w:rsidRPr="00827721">
        <w:t xml:space="preserve"> </w:t>
      </w:r>
      <w:r w:rsidR="00A05FE8">
        <w:t>calcul</w:t>
      </w:r>
      <w:r w:rsidRPr="00827721">
        <w:t xml:space="preserve">, pentru care se </w:t>
      </w:r>
      <w:r w:rsidR="00750A23" w:rsidRPr="00827721">
        <w:t>efectuează</w:t>
      </w:r>
      <w:r w:rsidRPr="00827721">
        <w:t xml:space="preserve"> un audit intern sau extern până la primul punct de colectare;</w:t>
      </w:r>
    </w:p>
    <w:p w14:paraId="42D2BE9D" w14:textId="77777777" w:rsidR="00BF1A7D" w:rsidRPr="00827721" w:rsidRDefault="00BF1A7D" w:rsidP="00D832BD">
      <w:pPr>
        <w:pStyle w:val="HGsubpct11"/>
      </w:pPr>
      <w:r w:rsidRPr="00827721">
        <w:t>să nu facă obiectul unor conflicte de interese;</w:t>
      </w:r>
    </w:p>
    <w:p w14:paraId="7CEAD6B7" w14:textId="61AEDDAC" w:rsidR="00BF1A7D" w:rsidRPr="00827721" w:rsidRDefault="00BF1A7D" w:rsidP="00D832BD">
      <w:pPr>
        <w:pStyle w:val="HGsubpct11"/>
      </w:pPr>
      <w:r w:rsidRPr="00827721">
        <w:t xml:space="preserve">să dețină competențele specifice necesare pentru efectuarea auditului referitor la criteriile </w:t>
      </w:r>
      <w:r w:rsidR="00295203" w:rsidRPr="00827721">
        <w:t>schemei</w:t>
      </w:r>
      <w:r w:rsidRPr="00827721">
        <w:t>, inclusiv:</w:t>
      </w:r>
    </w:p>
    <w:p w14:paraId="4A87C830" w14:textId="4A6165BF" w:rsidR="00497BFC" w:rsidRPr="00E53158" w:rsidRDefault="00497BFC" w:rsidP="00E53158">
      <w:pPr>
        <w:pStyle w:val="HGsubpct111"/>
      </w:pPr>
      <w:r w:rsidRPr="00E53158">
        <w:t xml:space="preserve">în ceea ce privește criteriile privind destinația terenurilor prevăzute la </w:t>
      </w:r>
      <w:r w:rsidR="004106D9" w:rsidRPr="00E53158">
        <w:t xml:space="preserve">pct. 15-21 din anexa nr. 1 </w:t>
      </w:r>
      <w:r w:rsidR="00BF20FF" w:rsidRPr="00E53158">
        <w:t>din HG 53/2025</w:t>
      </w:r>
      <w:r w:rsidRPr="00E53158">
        <w:t xml:space="preserve">, precum și metodologia de certificare a riscului redus de </w:t>
      </w:r>
      <w:r w:rsidR="008B61BA" w:rsidRPr="00E53158">
        <w:t xml:space="preserve">impactul schimbării indirecte a destinației terenurilor (în continuare – </w:t>
      </w:r>
      <w:r w:rsidRPr="00671F38">
        <w:t>ILUC</w:t>
      </w:r>
      <w:r w:rsidR="008B61BA" w:rsidRPr="00E53158">
        <w:t>)</w:t>
      </w:r>
      <w:r w:rsidRPr="00E53158">
        <w:t>, prevăzută în capitolul V și în anexa</w:t>
      </w:r>
      <w:r w:rsidR="00E67E52" w:rsidRPr="00E53158">
        <w:t xml:space="preserve"> nr. 8</w:t>
      </w:r>
      <w:r w:rsidRPr="00E53158">
        <w:t xml:space="preserve"> la prezentul regulament de punere în aplicare: experiență în domeniul agriculturii, agronomiei, ecologiei, științelor naturale, pădurilor, silviculturii sau într-un domeniu conex, inclusiv competențe tehnice specifice necesare pentru a verifica respectarea criteriilor aplicabile pășunilor și pădurilor foarte bogate în biodiversitate;</w:t>
      </w:r>
    </w:p>
    <w:p w14:paraId="0F8F6A50" w14:textId="354B6161" w:rsidR="00497BFC" w:rsidRPr="00827721" w:rsidRDefault="00497BFC" w:rsidP="00E53158">
      <w:pPr>
        <w:pStyle w:val="HGsubpct111"/>
      </w:pPr>
      <w:r w:rsidRPr="00827721">
        <w:t xml:space="preserve">în ceea ce privește criteriile de reducere a emisiilor de GES prevăzute </w:t>
      </w:r>
      <w:r w:rsidR="007132F8" w:rsidRPr="00827721">
        <w:t xml:space="preserve">la pct. </w:t>
      </w:r>
      <w:r w:rsidR="002316C6" w:rsidRPr="00827721">
        <w:t>22</w:t>
      </w:r>
      <w:r w:rsidR="007132F8" w:rsidRPr="00827721">
        <w:t>-2</w:t>
      </w:r>
      <w:r w:rsidR="002316C6" w:rsidRPr="00827721">
        <w:t>4</w:t>
      </w:r>
      <w:r w:rsidR="007132F8" w:rsidRPr="00827721">
        <w:t xml:space="preserve"> din anexa nr. 1 </w:t>
      </w:r>
      <w:r w:rsidR="00BF20FF">
        <w:t xml:space="preserve">din </w:t>
      </w:r>
      <w:r w:rsidR="00BF20FF" w:rsidRPr="00347C70">
        <w:rPr>
          <w:iCs/>
        </w:rPr>
        <w:t>HG 53/2025</w:t>
      </w:r>
      <w:r w:rsidR="007132F8" w:rsidRPr="00827721">
        <w:rPr>
          <w:iCs/>
        </w:rPr>
        <w:t xml:space="preserve"> </w:t>
      </w:r>
      <w:r w:rsidRPr="00827721">
        <w:t xml:space="preserve">sau pentru determinarea emisiilor de GES ale combustibililor pe bază de carbon reciclat și ale combustibililor de origine nebiologică produși din surse regenerabile, în conformitate cu metodologia </w:t>
      </w:r>
      <w:r w:rsidR="00E939B9" w:rsidRPr="00827721">
        <w:t xml:space="preserve">din anexa </w:t>
      </w:r>
      <w:r w:rsidR="00E939B9" w:rsidRPr="00827721">
        <w:lastRenderedPageBreak/>
        <w:t>nr. 10</w:t>
      </w:r>
      <w:r w:rsidRPr="00827721">
        <w:t>: cel puțin doi ani de experiență în evaluarea ciclului de viață al combustibililor și experiență specifică în auditarea calculelor emisiilor de GES în conformitate cu metodologia prevăzută în anex</w:t>
      </w:r>
      <w:r w:rsidR="00C52DD5" w:rsidRPr="00827721">
        <w:t>a nr. 2</w:t>
      </w:r>
      <w:r w:rsidR="00B0187E" w:rsidRPr="00827721">
        <w:t xml:space="preserve"> </w:t>
      </w:r>
      <w:r w:rsidR="00BF20FF">
        <w:t xml:space="preserve">din </w:t>
      </w:r>
      <w:r w:rsidR="00BF20FF" w:rsidRPr="00347C70">
        <w:rPr>
          <w:iCs/>
        </w:rPr>
        <w:t>HG 53/2025</w:t>
      </w:r>
      <w:r w:rsidRPr="00827721">
        <w:t>, care să fie relevantă pentru tipurile de audituri care urmează să fie efectuate de fiecare auditor. În funcție de sfera specifică a auditului, experiența respectivă trebuie să fie completată de experiență în domeniul agriculturii, agronomiei, ecologiei, pădurilor, științelor naturale, silviculturii, ingineriei, gestionării energiei sau într-un domeniu conex. În cazul în care sfera auditului include verificarea nivelurilor de carbon organic din sol, în scopul aplicării creditelor pentru reducerea emisiilor prin acumularea carbonului în sol, sunt necesare</w:t>
      </w:r>
      <w:r w:rsidR="00477D8D" w:rsidRPr="00827721">
        <w:t xml:space="preserve"> </w:t>
      </w:r>
      <w:r w:rsidRPr="00827721">
        <w:t>cunoștințe tehnice în domeniul științelor solului;</w:t>
      </w:r>
    </w:p>
    <w:p w14:paraId="2A93C5E7" w14:textId="3115F59D" w:rsidR="00497BFC" w:rsidRPr="00827721" w:rsidRDefault="00497BFC" w:rsidP="00E53158">
      <w:pPr>
        <w:pStyle w:val="HGsubpct111"/>
      </w:pPr>
      <w:r w:rsidRPr="00827721">
        <w:t xml:space="preserve">în ceea ce privește criteriile privind lanțul de custodie prevăzute la </w:t>
      </w:r>
      <w:r w:rsidR="009440DE" w:rsidRPr="00827721">
        <w:t xml:space="preserve">pct. </w:t>
      </w:r>
      <w:r w:rsidR="00044922" w:rsidRPr="00827721">
        <w:t xml:space="preserve">29-31 din anexa nr.1 la </w:t>
      </w:r>
      <w:r w:rsidR="00C72EEB" w:rsidRPr="00C72EEB">
        <w:rPr>
          <w:iCs/>
        </w:rPr>
        <w:t>HG 53/2025</w:t>
      </w:r>
      <w:r w:rsidRPr="00827721">
        <w:t>: experiență în domeniul sistemelor de echilibrare a masei, al logisticii lanțului de aprovizionare, al evidențelor contabile, al trasabilității și al prelucrării datelor sau într-un domeniu conex;</w:t>
      </w:r>
    </w:p>
    <w:p w14:paraId="398BCFD7" w14:textId="04039E7F" w:rsidR="00497BFC" w:rsidRPr="00827721" w:rsidRDefault="00497BFC" w:rsidP="00E53158">
      <w:pPr>
        <w:pStyle w:val="HGsubpct111"/>
      </w:pPr>
      <w:r w:rsidRPr="00827721">
        <w:t>pentru auditarea la nivelul grupului: experiență în efectuarea de audituri la nivel de grup.</w:t>
      </w:r>
    </w:p>
    <w:p w14:paraId="084C2F10" w14:textId="474AF12A" w:rsidR="008A2101" w:rsidRPr="00827721" w:rsidRDefault="003675FE" w:rsidP="00D832BD">
      <w:pPr>
        <w:pStyle w:val="HGpct1"/>
      </w:pPr>
      <w:r w:rsidRPr="00827721">
        <w:t>Schemele</w:t>
      </w:r>
      <w:r w:rsidR="008A2101" w:rsidRPr="00827721">
        <w:t xml:space="preserve"> voluntare asigură cursuri de formare pentru auditori, care acoperă toate aspectele relevante pentru domeniul de aplicare al </w:t>
      </w:r>
      <w:r w:rsidRPr="00827721">
        <w:t>schemelor</w:t>
      </w:r>
      <w:r w:rsidR="008A2101" w:rsidRPr="00827721">
        <w:t xml:space="preserve"> respective. Cursurile includ o examinare pentru a demonstra respectarea de către participanți a cerințelor de formare în domeniul sau domeniile tehnice în care aceștia își desfășoară activitatea. Auditorii participă la cursurile de formare înainte de a efectua audituri în numele </w:t>
      </w:r>
      <w:r w:rsidR="00382F5C" w:rsidRPr="00827721">
        <w:t>schemei voluntare</w:t>
      </w:r>
      <w:r w:rsidR="008A2101" w:rsidRPr="00827721">
        <w:t>.</w:t>
      </w:r>
    </w:p>
    <w:p w14:paraId="7ED6B301" w14:textId="7475F804" w:rsidR="008A2101" w:rsidRPr="00827721" w:rsidRDefault="008A2101" w:rsidP="00D832BD">
      <w:pPr>
        <w:pStyle w:val="HGpct1"/>
      </w:pPr>
      <w:r w:rsidRPr="00827721">
        <w:t xml:space="preserve">Auditorii urmează periodic cursuri de perfecționare. </w:t>
      </w:r>
      <w:r w:rsidR="003675FE" w:rsidRPr="00827721">
        <w:t>Schemele</w:t>
      </w:r>
      <w:r w:rsidRPr="00827721">
        <w:t xml:space="preserve"> voluntare aplică un sistem de monitorizare a stadiului de formare a auditorilor lor activi. </w:t>
      </w:r>
      <w:r w:rsidR="003675FE" w:rsidRPr="00827721">
        <w:t>Schemele</w:t>
      </w:r>
      <w:r w:rsidRPr="00827721">
        <w:t xml:space="preserve"> voluntare oferă</w:t>
      </w:r>
      <w:r w:rsidR="00477D8D" w:rsidRPr="00827721">
        <w:t xml:space="preserve"> </w:t>
      </w:r>
      <w:r w:rsidRPr="00827721">
        <w:t>orientări organismelor de certificare, după caz, cu privire la aspectele relevante pentru procesul de certificare. Orientările respective includ</w:t>
      </w:r>
      <w:r w:rsidR="003268CE" w:rsidRPr="00827721">
        <w:t xml:space="preserve"> cel puțin</w:t>
      </w:r>
      <w:r w:rsidRPr="00827721">
        <w:t xml:space="preserve"> actualizări ale cadrului de reglementare sau constatări relevante formulate în urma procesului de monitorizare internă al </w:t>
      </w:r>
      <w:r w:rsidR="003675FE" w:rsidRPr="00827721">
        <w:t>schemelor</w:t>
      </w:r>
      <w:r w:rsidRPr="00827721">
        <w:t xml:space="preserve"> voluntare.</w:t>
      </w:r>
    </w:p>
    <w:p w14:paraId="5E43F151" w14:textId="32700B0A" w:rsidR="0011474B" w:rsidRPr="00827721" w:rsidRDefault="0011474B" w:rsidP="0060730C">
      <w:pPr>
        <w:pStyle w:val="Sectiune"/>
      </w:pPr>
      <w:r w:rsidRPr="00827721">
        <w:t>Secțiunea a 3-a</w:t>
      </w:r>
    </w:p>
    <w:p w14:paraId="36814EF5" w14:textId="6562F804" w:rsidR="0011474B" w:rsidRPr="00827721" w:rsidRDefault="0011474B" w:rsidP="0060730C">
      <w:pPr>
        <w:pStyle w:val="Sectiune"/>
      </w:pPr>
      <w:r w:rsidRPr="00827721">
        <w:t>Auditarea la nivelul grupului</w:t>
      </w:r>
    </w:p>
    <w:p w14:paraId="24FE0490" w14:textId="6CB8B998" w:rsidR="002E6CBC" w:rsidRPr="00827721" w:rsidRDefault="003675FE" w:rsidP="00D832BD">
      <w:pPr>
        <w:pStyle w:val="HGpct1"/>
      </w:pPr>
      <w:r w:rsidRPr="00827721">
        <w:t>Schemele</w:t>
      </w:r>
      <w:r w:rsidR="002E6CBC" w:rsidRPr="00827721">
        <w:t xml:space="preserve"> voluntare pot efectua audituri la nivelul grupului numai în următoarele cazuri:</w:t>
      </w:r>
    </w:p>
    <w:p w14:paraId="2B9CBF3F" w14:textId="40735E86" w:rsidR="002E6CBC" w:rsidRPr="00827721" w:rsidRDefault="002E6CBC" w:rsidP="00D832BD">
      <w:pPr>
        <w:pStyle w:val="HGsubpct11"/>
      </w:pPr>
      <w:r w:rsidRPr="00827721">
        <w:t>în cazul producătorilor de materii prime, în special al micilor proprietari agricoli, organizațiilor și cooperativelor de producători, precum și al colectorilor de deșeuri;</w:t>
      </w:r>
    </w:p>
    <w:p w14:paraId="58D89CB6" w14:textId="05B4FE13" w:rsidR="002E6CBC" w:rsidRPr="00827721" w:rsidRDefault="002E6CBC" w:rsidP="00D832BD">
      <w:pPr>
        <w:pStyle w:val="HGsubpct11"/>
      </w:pPr>
      <w:r w:rsidRPr="00827721">
        <w:lastRenderedPageBreak/>
        <w:t xml:space="preserve">privind respectarea criteriilor legate de destinația terenurilor aplicate de </w:t>
      </w:r>
      <w:r w:rsidR="003675FE" w:rsidRPr="00827721">
        <w:t>schemele</w:t>
      </w:r>
      <w:r w:rsidRPr="00827721">
        <w:t xml:space="preserve"> voluntare, în cazul în care suprafețele în cauză se află în proximitate și prezintă caracteristici similare, cum ar fi condițiile climatice sau pedologice;</w:t>
      </w:r>
    </w:p>
    <w:p w14:paraId="0D2BE446" w14:textId="77777777" w:rsidR="002E6CBC" w:rsidRPr="00827721" w:rsidRDefault="002E6CBC" w:rsidP="00D832BD">
      <w:pPr>
        <w:pStyle w:val="HGsubpct11"/>
      </w:pPr>
      <w:r w:rsidRPr="00827721">
        <w:t>în scopul calculării reducerilor de emisii de GES, în cazul în care unitățile au sisteme de producție și tipuri de culturi similare.</w:t>
      </w:r>
    </w:p>
    <w:p w14:paraId="3F8B9E2F" w14:textId="0B83CA24" w:rsidR="002E6CBC" w:rsidRPr="00827721" w:rsidRDefault="002E6CBC" w:rsidP="00D832BD">
      <w:pPr>
        <w:pStyle w:val="HGpct1"/>
      </w:pPr>
      <w:r w:rsidRPr="00827721">
        <w:t>Operatorii economici incluși într-un audit la nivel de grup desemnează un administrator al grupului. Primele puncte de colectare, organizațiile sau cooperativele de producători pot acționa în calitate de administratori ai grupului, reprezentând operatorii economici incluși în auditul la nivel de grup.</w:t>
      </w:r>
    </w:p>
    <w:p w14:paraId="40C01695" w14:textId="59EE7322" w:rsidR="002E6CBC" w:rsidRPr="00827721" w:rsidRDefault="002E6CBC" w:rsidP="00D832BD">
      <w:pPr>
        <w:pStyle w:val="HGpct1"/>
      </w:pPr>
      <w:r w:rsidRPr="00827721">
        <w:t xml:space="preserve">Auditarea la nivelul grupului poate include verificări ale tuturor unităților vizate pe baza unui eșantion de unități. </w:t>
      </w:r>
      <w:r w:rsidR="003675FE" w:rsidRPr="00827721">
        <w:t>Schemele</w:t>
      </w:r>
      <w:r w:rsidRPr="00827721">
        <w:t xml:space="preserve"> voluntare stabilesc orientări privind aplicarea unei abordări de auditare la nivelul grupului, incluzând cel puțin următoarele elemente:</w:t>
      </w:r>
    </w:p>
    <w:p w14:paraId="1A7BA471" w14:textId="77777777" w:rsidR="002E6CBC" w:rsidRPr="00827721" w:rsidRDefault="002E6CBC" w:rsidP="00D832BD">
      <w:pPr>
        <w:pStyle w:val="HGsubpct11"/>
      </w:pPr>
      <w:r w:rsidRPr="00827721">
        <w:t>rolul administratorului grupului, în ceea ce privește specificațiile pentru sistemul intern de gestionare și procedurile interne de inspecție la nivel de grup;</w:t>
      </w:r>
    </w:p>
    <w:p w14:paraId="0221E8C2" w14:textId="77777777" w:rsidR="002E6CBC" w:rsidRPr="00827721" w:rsidRDefault="002E6CBC" w:rsidP="00D832BD">
      <w:pPr>
        <w:pStyle w:val="HGsubpct11"/>
      </w:pPr>
      <w:r w:rsidRPr="00827721">
        <w:t>determinarea dimensiunii eșantionului.</w:t>
      </w:r>
    </w:p>
    <w:p w14:paraId="78B144C1" w14:textId="4C1B8C4D" w:rsidR="002E6CBC" w:rsidRPr="00827721" w:rsidRDefault="002E6CBC" w:rsidP="00D832BD">
      <w:pPr>
        <w:pStyle w:val="HGpct1"/>
      </w:pPr>
      <w:r w:rsidRPr="00827721">
        <w:t xml:space="preserve">Un eșantion format dintr-un număr de membri ai grupului echivalent cu rădăcina pătrată a numărului total de membri ai grupului este auditat individual cel puțin o dată pe an. Acest număr este majorat în cazul unui nivel mai ridicat de risc. </w:t>
      </w:r>
      <w:r w:rsidR="003675FE" w:rsidRPr="00827721">
        <w:t>Schemele</w:t>
      </w:r>
      <w:r w:rsidRPr="00827721">
        <w:t xml:space="preserve"> voluntare stabilesc criterii pentru determinarea nivelului general de risc în domeniile respective și consecințele acestui nivel de risc asupra metodei de audit. Eșantionul trebuie să fie reprezentativ pentru întregul grup și să fie stabilit utilizând o combinație între selecția aleatorie și selecția pe bază de risc. Selecția aleatorie trebuie să reprezinte cel puțin 25 % din eșantion. Producătorii de materii prime selectați pentru audit </w:t>
      </w:r>
      <w:r w:rsidR="000A4911" w:rsidRPr="00827721">
        <w:t>variază anual</w:t>
      </w:r>
      <w:r w:rsidRPr="00827721">
        <w:t>.</w:t>
      </w:r>
    </w:p>
    <w:p w14:paraId="0D76BAF0" w14:textId="57E23519" w:rsidR="002E6CBC" w:rsidRPr="00827721" w:rsidRDefault="002E6CBC" w:rsidP="00D832BD">
      <w:pPr>
        <w:pStyle w:val="HGpct1"/>
      </w:pPr>
      <w:r w:rsidRPr="00827721">
        <w:t xml:space="preserve">Auditarea la nivelul grupului se efectuează la fața locului, cu excepția cazului în care se consideră că auditurile documentare pot oferi același nivel de asigurare ca cel oferit de un audit efectuat la fața locului. </w:t>
      </w:r>
      <w:r w:rsidR="003675FE" w:rsidRPr="00827721">
        <w:t>Schemele</w:t>
      </w:r>
      <w:r w:rsidRPr="00827721">
        <w:t xml:space="preserve"> voluntare stabilesc dovezile necesare pentru a permite efectuarea de audituri documentare. Declarațiile pe propria răspundere ale operatorilor economici nu sunt considerate dovezi suficiente. Auditarea administratorului grupului se efectuează întotdeauna la fața locului.</w:t>
      </w:r>
    </w:p>
    <w:p w14:paraId="73CD348E" w14:textId="727010D2" w:rsidR="00D04FFB" w:rsidRPr="00827721" w:rsidRDefault="002E6CBC" w:rsidP="00D832BD">
      <w:pPr>
        <w:pStyle w:val="HGpct1"/>
      </w:pPr>
      <w:r w:rsidRPr="00827721">
        <w:t xml:space="preserve">O neconformitate critică sau majoră a membrilor individuali ai grupului identificată în cursul unui audit este abordată în conformitate cu procesul prevăzut la </w:t>
      </w:r>
      <w:r w:rsidR="00CF3529" w:rsidRPr="00827721">
        <w:t>subpct. 27.1 și 27.2</w:t>
      </w:r>
      <w:r w:rsidRPr="00827721">
        <w:t>, după caz. În cazul în care se identifică o neconformitate critică sau majoră la nivelul întregului eșantion inițial al grupului, se auditează</w:t>
      </w:r>
      <w:r w:rsidR="00477D8D" w:rsidRPr="00827721">
        <w:t xml:space="preserve"> </w:t>
      </w:r>
      <w:r w:rsidRPr="00827721">
        <w:t xml:space="preserve">un eșantion suplimentar de membri ai grupului de aceeași dimensiune. Neconformitatea sistemică </w:t>
      </w:r>
      <w:r w:rsidRPr="00827721">
        <w:lastRenderedPageBreak/>
        <w:t>a majorității membrilor grupului din întregul eșantion conduce, după caz, la suspendarea sau retragerea certificării întregului grup.</w:t>
      </w:r>
    </w:p>
    <w:p w14:paraId="6D85C323" w14:textId="2EFE04BB" w:rsidR="00CA2398" w:rsidRPr="00827721" w:rsidRDefault="00CA2398" w:rsidP="0060730C">
      <w:pPr>
        <w:pStyle w:val="Sectiune"/>
      </w:pPr>
      <w:r w:rsidRPr="00827721">
        <w:t>Secțiunea a 4-a</w:t>
      </w:r>
    </w:p>
    <w:p w14:paraId="4180644E" w14:textId="0BB8E946" w:rsidR="00EF76C3" w:rsidRPr="00827721" w:rsidRDefault="0069673C" w:rsidP="0060730C">
      <w:pPr>
        <w:pStyle w:val="Sectiune"/>
      </w:pPr>
      <w:r w:rsidRPr="00827721">
        <w:t>Auditul deșeurilor și reziduurilor</w:t>
      </w:r>
    </w:p>
    <w:p w14:paraId="51AD7F25" w14:textId="2983575D" w:rsidR="0069673C" w:rsidRPr="00827721" w:rsidRDefault="003675FE" w:rsidP="00D832BD">
      <w:pPr>
        <w:pStyle w:val="HGpct1"/>
      </w:pPr>
      <w:r w:rsidRPr="00827721">
        <w:t>Schemele</w:t>
      </w:r>
      <w:r w:rsidR="0069673C" w:rsidRPr="00827721">
        <w:t xml:space="preserve"> voluntare și organismele de certificare care acționează în numele acestora aplică cerințele pentru verificarea lanțului de aprovizionare cu </w:t>
      </w:r>
      <w:r w:rsidR="008A23DF" w:rsidRPr="00827721">
        <w:t>biocarburanți</w:t>
      </w:r>
      <w:r w:rsidR="0069673C" w:rsidRPr="00827721">
        <w:t xml:space="preserve"> și biolichide obținute din deșeuri și reziduuri prevăzute la </w:t>
      </w:r>
      <w:r w:rsidR="009B7029" w:rsidRPr="00827721">
        <w:t xml:space="preserve">pct. </w:t>
      </w:r>
      <w:r w:rsidR="00D47EDC" w:rsidRPr="00827721">
        <w:t>44</w:t>
      </w:r>
      <w:r w:rsidR="009B7029" w:rsidRPr="00827721">
        <w:t>-49</w:t>
      </w:r>
      <w:r w:rsidR="0069673C" w:rsidRPr="00827721">
        <w:t xml:space="preserve">, iar pentru combustibilii din biomasă, cerințele prevăzute la </w:t>
      </w:r>
      <w:r w:rsidR="00D47EDC" w:rsidRPr="00827721">
        <w:t>pct. 44-47</w:t>
      </w:r>
      <w:r w:rsidR="0069673C" w:rsidRPr="00827721">
        <w:t>.</w:t>
      </w:r>
    </w:p>
    <w:p w14:paraId="261BD42E" w14:textId="2EBB51AB" w:rsidR="0069673C" w:rsidRPr="00827721" w:rsidRDefault="0069673C" w:rsidP="00D832BD">
      <w:pPr>
        <w:pStyle w:val="HGpct1"/>
      </w:pPr>
      <w:r w:rsidRPr="00827721">
        <w:t xml:space="preserve">Este acoperit întregul lanț de aprovizionare începând de la originea </w:t>
      </w:r>
      <w:r w:rsidR="00562BCF" w:rsidRPr="00827721">
        <w:t>acestuia</w:t>
      </w:r>
      <w:r w:rsidRPr="00827721">
        <w:t>, și anume de la operatorul economic la care apar deșeurile sau reziduurile.</w:t>
      </w:r>
    </w:p>
    <w:p w14:paraId="02D10D8C" w14:textId="03D8FCF9" w:rsidR="0069673C" w:rsidRPr="00827721" w:rsidRDefault="00AC39BC" w:rsidP="00D832BD">
      <w:pPr>
        <w:pStyle w:val="HGpct1"/>
      </w:pPr>
      <w:r w:rsidRPr="00827721">
        <w:t>O</w:t>
      </w:r>
      <w:r w:rsidR="0069673C" w:rsidRPr="00827721">
        <w:t xml:space="preserve">peratorii economici sunt auditați individual. </w:t>
      </w:r>
      <w:r w:rsidRPr="00827721">
        <w:t>L</w:t>
      </w:r>
      <w:r w:rsidR="0069673C" w:rsidRPr="00827721">
        <w:t xml:space="preserve">a punctul de origine al lanțului de aprovizionare, de exemplu pentru restaurante și producătorii de deșeuri sau reziduuri, </w:t>
      </w:r>
      <w:r w:rsidR="00051A20" w:rsidRPr="00827721">
        <w:t xml:space="preserve">se </w:t>
      </w:r>
      <w:r w:rsidR="0069673C" w:rsidRPr="00827721">
        <w:t>pot aplica metodele de auditare la nivelul grupului.</w:t>
      </w:r>
    </w:p>
    <w:p w14:paraId="332B9F58" w14:textId="2F575EC6" w:rsidR="0069673C" w:rsidRPr="00827721" w:rsidRDefault="0069673C" w:rsidP="00D832BD">
      <w:pPr>
        <w:pStyle w:val="HGpct1"/>
      </w:pPr>
      <w:r w:rsidRPr="00827721">
        <w:t xml:space="preserve">Frecvența și intensitatea procedurii de auditare reflectă nivelul general de risc. </w:t>
      </w:r>
      <w:r w:rsidR="003675FE" w:rsidRPr="00827721">
        <w:t>Schemele</w:t>
      </w:r>
      <w:r w:rsidRPr="00827721">
        <w:t xml:space="preserve"> voluntare definesc norme clare, proporționale cu nivelul de risc specific asociat tipului de reziduuri sau deșeuri. În ceea ce privește </w:t>
      </w:r>
      <w:r w:rsidR="008A23DF" w:rsidRPr="00827721">
        <w:t>biocarburanții</w:t>
      </w:r>
      <w:r w:rsidRPr="00827721">
        <w:t xml:space="preserve"> și biolichidele, punctele de origine care furnizează pe lună cel puțin cinci tone din deșeurile sau reziduurile enumerate în</w:t>
      </w:r>
      <w:r w:rsidR="00925733" w:rsidRPr="00827721">
        <w:t xml:space="preserve"> părțile A și B din </w:t>
      </w:r>
      <w:r w:rsidRPr="00827721">
        <w:t xml:space="preserve">anexa </w:t>
      </w:r>
      <w:r w:rsidR="00A906B5" w:rsidRPr="00827721">
        <w:t xml:space="preserve">nr. </w:t>
      </w:r>
      <w:r w:rsidR="006D3089" w:rsidRPr="00827721">
        <w:t>3</w:t>
      </w:r>
      <w:r w:rsidR="00A906B5" w:rsidRPr="00827721">
        <w:t xml:space="preserve"> </w:t>
      </w:r>
      <w:r w:rsidR="00461BDF" w:rsidRPr="00827721">
        <w:t xml:space="preserve">la </w:t>
      </w:r>
      <w:r w:rsidR="002E6B69">
        <w:t>HG 74/2025</w:t>
      </w:r>
      <w:r w:rsidRPr="00827721">
        <w:t xml:space="preserve"> fac obiectul unui audit la fața locului. Auditul secundar se baz</w:t>
      </w:r>
      <w:r w:rsidR="00AA1C78" w:rsidRPr="00827721">
        <w:t>e</w:t>
      </w:r>
      <w:r w:rsidRPr="00827721">
        <w:t>a</w:t>
      </w:r>
      <w:r w:rsidR="00AA1C78" w:rsidRPr="00827721">
        <w:t>ză</w:t>
      </w:r>
      <w:r w:rsidRPr="00827721">
        <w:t xml:space="preserve"> pe un eșantion în cazul în care se adoptă o abordare de auditare la nivelul grupului.</w:t>
      </w:r>
    </w:p>
    <w:p w14:paraId="51D3C74E" w14:textId="2C27AC43" w:rsidR="0069673C" w:rsidRPr="00827721" w:rsidRDefault="0069673C" w:rsidP="00D832BD">
      <w:pPr>
        <w:pStyle w:val="HGpct1"/>
      </w:pPr>
      <w:r w:rsidRPr="00827721">
        <w:t>Punctele de colectare trebuie să prezinte auditorului, înainte de auditarea lor, o listă a tuturor punctelor de origine care au semnat o declarație pe propria răspundere. Cantitatea de deșeuri generate lunar sau anual se menționează în mod clar în declarația pe propria răspundere. Dovezile sau documentele pentru toate livrările individuale trebuie să fie disponibile la punctul de colectare și să fie verificate de auditor, inclusiv acordul de eliminare a deșeurilor, fișele de livrare și declarațiile pe propria răspundere.</w:t>
      </w:r>
    </w:p>
    <w:p w14:paraId="2972739C" w14:textId="0DA9B6A9" w:rsidR="0069673C" w:rsidRPr="00827721" w:rsidRDefault="0069673C" w:rsidP="00D832BD">
      <w:pPr>
        <w:pStyle w:val="HGpct1"/>
      </w:pPr>
      <w:r w:rsidRPr="00827721">
        <w:t xml:space="preserve">Auditorul verifică existența unui număr de puncte de origine echivalent cel puțin cu rădăcina pătrată a tuturor punctelor de origine de pe listă. Verificarea poate fi efectuată de la distanță, cu excepția cazului în care există îndoieli cu privire la existența punctului de origine sau în cazul în care sunt îndeplinite criteriile pentru auditul la fața locului în temeiul </w:t>
      </w:r>
      <w:r w:rsidR="00F503AB" w:rsidRPr="00827721">
        <w:t>pct. 46</w:t>
      </w:r>
      <w:r w:rsidRPr="00827721">
        <w:t>. Auditorii verifică livrările de materiale durabile către destinatarii din aval prin verificarea copiilor declarației de durabilitate emise de punctul de colectare pentru destinatarii livrărilor respective, pe baza unui eșantion aleatoriu și bazat pe riscuri.</w:t>
      </w:r>
    </w:p>
    <w:p w14:paraId="29B2496D" w14:textId="0ABD16A6" w:rsidR="0069673C" w:rsidRPr="00827721" w:rsidRDefault="0069673C" w:rsidP="00D832BD">
      <w:pPr>
        <w:pStyle w:val="HGpct1"/>
      </w:pPr>
      <w:r w:rsidRPr="00827721">
        <w:lastRenderedPageBreak/>
        <w:t xml:space="preserve">Organismul de certificare efectuează un audit de supraveghere obligatoriu în termen de șase luni de la prima certificare. Pentru punctele de colectare și comercianții care se ocupă atât de deșeuri și reziduuri, cât și de materiale prime virgine, cum ar fi uleiurile vegetale, se efectuează un audit de supraveghere suplimentar la trei luni de la primul audit de certificare, care acoperă prima perioadă de bilanț </w:t>
      </w:r>
      <w:proofErr w:type="spellStart"/>
      <w:r w:rsidRPr="00827721">
        <w:t>masic</w:t>
      </w:r>
      <w:proofErr w:type="spellEnd"/>
      <w:r w:rsidRPr="00827721">
        <w:t xml:space="preserve">. În cazul în care un punct de colectare dispune de mai multe situri de stocare, auditorul auditează bilanțul </w:t>
      </w:r>
      <w:proofErr w:type="spellStart"/>
      <w:r w:rsidRPr="00827721">
        <w:t>masic</w:t>
      </w:r>
      <w:proofErr w:type="spellEnd"/>
      <w:r w:rsidRPr="00827721">
        <w:t xml:space="preserve"> al fiecăruia dintre acestea.</w:t>
      </w:r>
    </w:p>
    <w:p w14:paraId="0F268231" w14:textId="0DEAF1E5" w:rsidR="0069673C" w:rsidRPr="00827721" w:rsidRDefault="0069673C" w:rsidP="00D832BD">
      <w:pPr>
        <w:pStyle w:val="HGpct1"/>
      </w:pPr>
      <w:r w:rsidRPr="00827721">
        <w:t xml:space="preserve">În cazul în care există îndoieli întemeiate cu privire la natura deșeurilor și reziduurilor declarate, auditorul este autorizat să </w:t>
      </w:r>
      <w:proofErr w:type="spellStart"/>
      <w:r w:rsidRPr="00827721">
        <w:t>preleveze</w:t>
      </w:r>
      <w:proofErr w:type="spellEnd"/>
      <w:r w:rsidRPr="00827721">
        <w:t xml:space="preserve"> probe și să le analizeze într-un laborator independent.</w:t>
      </w:r>
    </w:p>
    <w:p w14:paraId="74A05647" w14:textId="7A99FCC1" w:rsidR="00A8217C" w:rsidRPr="00827721" w:rsidRDefault="00A8217C" w:rsidP="0060730C">
      <w:pPr>
        <w:pStyle w:val="Sectiune"/>
      </w:pPr>
      <w:r w:rsidRPr="00827721">
        <w:t>Secțiunea a 5-a</w:t>
      </w:r>
    </w:p>
    <w:p w14:paraId="58BBD9B8" w14:textId="716DBA0F" w:rsidR="00A8217C" w:rsidRPr="00827721" w:rsidRDefault="00180E19" w:rsidP="0060730C">
      <w:pPr>
        <w:pStyle w:val="Sectiune"/>
      </w:pPr>
      <w:r w:rsidRPr="00827721">
        <w:t>Auditarea calculelor emisiilor efective de GES</w:t>
      </w:r>
    </w:p>
    <w:p w14:paraId="22E561CE" w14:textId="42D13953" w:rsidR="00180E19" w:rsidRPr="00827721" w:rsidRDefault="003675FE" w:rsidP="00D832BD">
      <w:pPr>
        <w:pStyle w:val="HGpct1"/>
      </w:pPr>
      <w:r w:rsidRPr="00827721">
        <w:t>Schemele</w:t>
      </w:r>
      <w:r w:rsidR="00180E19" w:rsidRPr="00827721">
        <w:t xml:space="preserve"> voluntare impun operatorilor economici să furnizeze auditorilor toate informațiile relevante și actualizate privind calculul emisiilor efective de GES, înainte de auditul planificat. Informațiile respective includ date de intrare și alte dovezi relevante, informații privind factorii de emisie și de conversie, valorile standard aplicate și sursele de referință ale acestora, calculele privind emisiile de GES și dovezile referitoare la aplicarea creditelor pentru reducerile de emisii de GES.</w:t>
      </w:r>
    </w:p>
    <w:p w14:paraId="12DB58DF" w14:textId="43C95C98" w:rsidR="00180E19" w:rsidRPr="00827721" w:rsidRDefault="00180E19" w:rsidP="00D832BD">
      <w:pPr>
        <w:pStyle w:val="HGpct1"/>
      </w:pPr>
      <w:r w:rsidRPr="00827721">
        <w:t xml:space="preserve">Auditorul înregistrează în raportul de audit emisiile produse la amplasamentul auditat. Pentru prelucrarea </w:t>
      </w:r>
      <w:r w:rsidR="008A23DF" w:rsidRPr="00827721">
        <w:t>biocarburanților</w:t>
      </w:r>
      <w:r w:rsidRPr="00827721">
        <w:t xml:space="preserve"> finali, auditorul înregistrează emisiile după alocare și economiile realizate. Dacă emisiile se abat în mod semnificativ de la valorile tipice sau dacă valorile efective calculate ale reducerilor de emisii sunt anormal de ridicate, în raport trebuie să se motiveze abaterile. </w:t>
      </w:r>
      <w:r w:rsidR="003675FE" w:rsidRPr="00827721">
        <w:t>Schemele</w:t>
      </w:r>
      <w:r w:rsidRPr="00827721">
        <w:t xml:space="preserve"> voluntare stabilesc proceduri </w:t>
      </w:r>
      <w:r w:rsidR="00F44ED5" w:rsidRPr="00827721">
        <w:t xml:space="preserve">prin </w:t>
      </w:r>
      <w:r w:rsidRPr="00827721">
        <w:t>care organismel</w:t>
      </w:r>
      <w:r w:rsidR="005A0AAF" w:rsidRPr="00827721">
        <w:t xml:space="preserve">e </w:t>
      </w:r>
      <w:r w:rsidRPr="00827721">
        <w:t>de certificare informe</w:t>
      </w:r>
      <w:r w:rsidR="005A0AAF" w:rsidRPr="00827721">
        <w:t xml:space="preserve">ază </w:t>
      </w:r>
      <w:r w:rsidRPr="00827721">
        <w:t>imediat cu privire la astfel de abateri.</w:t>
      </w:r>
    </w:p>
    <w:p w14:paraId="39C3C83D" w14:textId="1B4A876B" w:rsidR="00180E19" w:rsidRPr="00827721" w:rsidRDefault="00180E19" w:rsidP="00D832BD">
      <w:pPr>
        <w:pStyle w:val="HGpct1"/>
      </w:pPr>
      <w:r w:rsidRPr="00827721">
        <w:t>Auditorii verifică dacă estimarea reducerii emisiilor prin captarea și înlocuirea de CO</w:t>
      </w:r>
      <w:r w:rsidRPr="007F44AF">
        <w:rPr>
          <w:vertAlign w:val="subscript"/>
        </w:rPr>
        <w:t>2</w:t>
      </w:r>
      <w:r w:rsidRPr="00827721">
        <w:t xml:space="preserve"> se limitează la emisiile evitate prin captarea de CO</w:t>
      </w:r>
      <w:r w:rsidRPr="007F44AF">
        <w:rPr>
          <w:vertAlign w:val="subscript"/>
        </w:rPr>
        <w:t>2</w:t>
      </w:r>
      <w:r w:rsidRPr="00827721">
        <w:t xml:space="preserve"> al cărui carbon provine din biomasă și care se utilizează pentru a înlocui CO</w:t>
      </w:r>
      <w:r w:rsidRPr="007F44AF">
        <w:rPr>
          <w:vertAlign w:val="subscript"/>
        </w:rPr>
        <w:t>2</w:t>
      </w:r>
      <w:r w:rsidRPr="00827721">
        <w:t xml:space="preserve"> de origine fosilă. Această verificare necesită accesul la următoarele informații:</w:t>
      </w:r>
    </w:p>
    <w:p w14:paraId="5B1D52AB" w14:textId="77777777" w:rsidR="00180E19" w:rsidRPr="00827721" w:rsidRDefault="00180E19" w:rsidP="00D832BD">
      <w:pPr>
        <w:pStyle w:val="HGsubpct11"/>
      </w:pPr>
      <w:r w:rsidRPr="00827721">
        <w:t>scopul pentru care se utilizează CO</w:t>
      </w:r>
      <w:r w:rsidRPr="007F44AF">
        <w:rPr>
          <w:vertAlign w:val="subscript"/>
        </w:rPr>
        <w:t>2</w:t>
      </w:r>
      <w:r w:rsidRPr="00827721">
        <w:t xml:space="preserve"> captat;</w:t>
      </w:r>
    </w:p>
    <w:p w14:paraId="1D3F1A2C" w14:textId="77777777" w:rsidR="00180E19" w:rsidRPr="00827721" w:rsidRDefault="00180E19" w:rsidP="00D832BD">
      <w:pPr>
        <w:pStyle w:val="HGsubpct11"/>
      </w:pPr>
      <w:r w:rsidRPr="00827721">
        <w:t>originea CO</w:t>
      </w:r>
      <w:r w:rsidRPr="007F44AF">
        <w:rPr>
          <w:vertAlign w:val="subscript"/>
        </w:rPr>
        <w:t>2</w:t>
      </w:r>
      <w:r w:rsidRPr="00827721">
        <w:t xml:space="preserve"> înlocuit;</w:t>
      </w:r>
    </w:p>
    <w:p w14:paraId="1570D470" w14:textId="77777777" w:rsidR="00180E19" w:rsidRPr="00827721" w:rsidRDefault="00180E19" w:rsidP="00D832BD">
      <w:pPr>
        <w:pStyle w:val="HGsubpct11"/>
      </w:pPr>
      <w:r w:rsidRPr="00827721">
        <w:t>originea CO</w:t>
      </w:r>
      <w:r w:rsidRPr="007F44AF">
        <w:rPr>
          <w:vertAlign w:val="subscript"/>
        </w:rPr>
        <w:t>2</w:t>
      </w:r>
      <w:r w:rsidRPr="00827721">
        <w:t xml:space="preserve"> captat;</w:t>
      </w:r>
    </w:p>
    <w:p w14:paraId="3C9875C9" w14:textId="77777777" w:rsidR="00180E19" w:rsidRPr="00827721" w:rsidRDefault="00180E19" w:rsidP="00D832BD">
      <w:pPr>
        <w:pStyle w:val="HGsubpct11"/>
      </w:pPr>
      <w:r w:rsidRPr="00827721">
        <w:t>informații privind emisiile generate în urma captării și prelucrării CO</w:t>
      </w:r>
      <w:r w:rsidRPr="007F44AF">
        <w:rPr>
          <w:vertAlign w:val="subscript"/>
        </w:rPr>
        <w:t>2</w:t>
      </w:r>
      <w:r w:rsidRPr="00827721">
        <w:t>.</w:t>
      </w:r>
    </w:p>
    <w:p w14:paraId="4724C4CD" w14:textId="6A851215" w:rsidR="00180E19" w:rsidRPr="00827721" w:rsidRDefault="00180E19" w:rsidP="00D832BD">
      <w:pPr>
        <w:pStyle w:val="HGpct1"/>
      </w:pPr>
      <w:r w:rsidRPr="00827721">
        <w:t xml:space="preserve">În sensul </w:t>
      </w:r>
      <w:r w:rsidR="009807E3" w:rsidRPr="00827721">
        <w:t xml:space="preserve">subpct. </w:t>
      </w:r>
      <w:r w:rsidR="00EF1445" w:rsidRPr="00827721">
        <w:t>53.2</w:t>
      </w:r>
      <w:r w:rsidRPr="00827721">
        <w:t>, operatorii economici care utilizează CO</w:t>
      </w:r>
      <w:r w:rsidRPr="007F44AF">
        <w:rPr>
          <w:vertAlign w:val="subscript"/>
        </w:rPr>
        <w:t>2</w:t>
      </w:r>
      <w:r w:rsidRPr="00827721">
        <w:t xml:space="preserve"> captat  precize</w:t>
      </w:r>
      <w:r w:rsidR="00924AC4" w:rsidRPr="00827721">
        <w:t>a</w:t>
      </w:r>
      <w:r w:rsidRPr="00827721">
        <w:t>z</w:t>
      </w:r>
      <w:r w:rsidR="00924AC4" w:rsidRPr="00827721">
        <w:t>ă</w:t>
      </w:r>
      <w:r w:rsidRPr="00827721">
        <w:t xml:space="preserve"> modul în care CO</w:t>
      </w:r>
      <w:r w:rsidRPr="007F44AF">
        <w:rPr>
          <w:vertAlign w:val="subscript"/>
        </w:rPr>
        <w:t>2</w:t>
      </w:r>
      <w:r w:rsidRPr="00827721">
        <w:t xml:space="preserve"> înlocuit a fost generat anterior și să declare, în scris, că emisiile echivalente cu cantitatea respectivă sunt evitate ca urmare a înlocuirii. Aceste </w:t>
      </w:r>
      <w:r w:rsidRPr="00827721">
        <w:lastRenderedPageBreak/>
        <w:t xml:space="preserve">dovezi sunt considerate suficiente pentru a verifica respectarea cerințelor prevăzute în </w:t>
      </w:r>
      <w:r w:rsidR="00BF20FF" w:rsidRPr="00347C70">
        <w:rPr>
          <w:iCs/>
        </w:rPr>
        <w:t>HG 53/2025</w:t>
      </w:r>
      <w:r w:rsidR="00BC729B" w:rsidRPr="00827721">
        <w:rPr>
          <w:iCs/>
        </w:rPr>
        <w:t xml:space="preserve"> </w:t>
      </w:r>
      <w:r w:rsidRPr="00827721">
        <w:t>și evitarea emisiilor.</w:t>
      </w:r>
    </w:p>
    <w:p w14:paraId="2EFF732A" w14:textId="3E5AFBC3" w:rsidR="00180E19" w:rsidRPr="00827721" w:rsidRDefault="00180E19" w:rsidP="00D832BD">
      <w:pPr>
        <w:pStyle w:val="HGpct1"/>
      </w:pPr>
      <w:r w:rsidRPr="00827721">
        <w:t>Operatorii economici prezent</w:t>
      </w:r>
      <w:r w:rsidR="008C763F" w:rsidRPr="00827721">
        <w:t>ă</w:t>
      </w:r>
      <w:r w:rsidRPr="00827721">
        <w:t xml:space="preserve"> declarații privind valorile efective ale emisiilor de GES numai după ce capacitatea lor de a efectua calcule ale valorilor efective a fost verificată printr-un audit.</w:t>
      </w:r>
    </w:p>
    <w:p w14:paraId="3DCDEF7D" w14:textId="05658D04" w:rsidR="00180E19" w:rsidRPr="00827721" w:rsidRDefault="00180E19" w:rsidP="00D832BD">
      <w:pPr>
        <w:pStyle w:val="HGpct1"/>
      </w:pPr>
      <w:r w:rsidRPr="00827721">
        <w:t xml:space="preserve">La cerere, </w:t>
      </w:r>
      <w:r w:rsidR="003675FE" w:rsidRPr="00827721">
        <w:t>schemele</w:t>
      </w:r>
      <w:r w:rsidRPr="00827721">
        <w:t xml:space="preserve"> voluntare oferă acces la calculele efective ale emisiilor de GES certificate în cadrul </w:t>
      </w:r>
      <w:r w:rsidR="003675FE" w:rsidRPr="00827721">
        <w:t>schemelor</w:t>
      </w:r>
      <w:r w:rsidRPr="00827721">
        <w:t xml:space="preserve"> respective, precum și la rapoartele de audit aferente, transmise </w:t>
      </w:r>
      <w:r w:rsidR="00A62959">
        <w:t>grupului de lucru</w:t>
      </w:r>
      <w:r w:rsidRPr="00827721">
        <w:t>.</w:t>
      </w:r>
    </w:p>
    <w:p w14:paraId="2B21DA64" w14:textId="218189A9" w:rsidR="002E28F6" w:rsidRPr="00777079" w:rsidRDefault="002E28F6" w:rsidP="0060730C">
      <w:pPr>
        <w:pStyle w:val="Sectiune"/>
      </w:pPr>
      <w:r w:rsidRPr="00777079">
        <w:t xml:space="preserve">Secțiunea a </w:t>
      </w:r>
      <w:r w:rsidR="00852C04" w:rsidRPr="00777079">
        <w:t>6</w:t>
      </w:r>
      <w:r w:rsidRPr="00777079">
        <w:t>-a</w:t>
      </w:r>
    </w:p>
    <w:p w14:paraId="6EEABB5D" w14:textId="77777777" w:rsidR="00852C04" w:rsidRPr="00777079" w:rsidRDefault="00852C04" w:rsidP="0060730C">
      <w:pPr>
        <w:pStyle w:val="Sectiune"/>
      </w:pPr>
      <w:r w:rsidRPr="00777079">
        <w:t>Auditurile sistemelor de echilibrare a masei</w:t>
      </w:r>
    </w:p>
    <w:p w14:paraId="559ED389" w14:textId="137344D9" w:rsidR="00F96D5F" w:rsidRPr="00827721" w:rsidRDefault="003675FE" w:rsidP="00D832BD">
      <w:pPr>
        <w:pStyle w:val="HGpct1"/>
      </w:pPr>
      <w:r w:rsidRPr="00777079">
        <w:t>Schemele</w:t>
      </w:r>
      <w:r w:rsidR="00F96D5F" w:rsidRPr="00777079">
        <w:t xml:space="preserve"> voluntare se asigură că operatorii economici</w:t>
      </w:r>
      <w:r w:rsidR="00F96D5F" w:rsidRPr="00827721">
        <w:t xml:space="preserve"> furnizează auditorilor toate datele privind bilanțul </w:t>
      </w:r>
      <w:proofErr w:type="spellStart"/>
      <w:r w:rsidR="00F96D5F" w:rsidRPr="00827721">
        <w:t>masic</w:t>
      </w:r>
      <w:proofErr w:type="spellEnd"/>
      <w:r w:rsidR="00F96D5F" w:rsidRPr="00827721">
        <w:t>, înainte de efectuarea auditului.</w:t>
      </w:r>
    </w:p>
    <w:p w14:paraId="5552C141" w14:textId="4824F1C8" w:rsidR="00F96D5F" w:rsidRPr="00827721" w:rsidRDefault="00F96D5F" w:rsidP="00D832BD">
      <w:pPr>
        <w:pStyle w:val="HGpct1"/>
      </w:pPr>
      <w:r w:rsidRPr="00827721">
        <w:t xml:space="preserve">Pe parcursul auditului inițial, efectuat înainte ca unui operator economic să i se permită să participe la </w:t>
      </w:r>
      <w:r w:rsidR="005818DE" w:rsidRPr="00827721">
        <w:t>o schemă</w:t>
      </w:r>
      <w:r w:rsidRPr="00827721">
        <w:t>, auditorul verifică existența și funcționarea sistemului de echilibrare a masei.</w:t>
      </w:r>
    </w:p>
    <w:p w14:paraId="62CCBA25" w14:textId="77777777" w:rsidR="00F96D5F" w:rsidRPr="00827721" w:rsidRDefault="00F96D5F" w:rsidP="00D832BD">
      <w:pPr>
        <w:pStyle w:val="HGpct1"/>
      </w:pPr>
      <w:r w:rsidRPr="00827721">
        <w:t>În cursul auditurilor anuale ulterioare, auditorul verifică cel puțin următoarele elemente:</w:t>
      </w:r>
    </w:p>
    <w:p w14:paraId="464E3D72" w14:textId="77777777" w:rsidR="00F96D5F" w:rsidRPr="00827721" w:rsidRDefault="00F96D5F" w:rsidP="00D832BD">
      <w:pPr>
        <w:pStyle w:val="HGsubpct11"/>
      </w:pPr>
      <w:r w:rsidRPr="00827721">
        <w:t xml:space="preserve">lista tuturor amplasamentelor care fac obiectul certificării. Fiecare amplasament trebuie să dispună de propriile evidențe ale bilanțului </w:t>
      </w:r>
      <w:proofErr w:type="spellStart"/>
      <w:r w:rsidRPr="00827721">
        <w:t>masic</w:t>
      </w:r>
      <w:proofErr w:type="spellEnd"/>
      <w:r w:rsidRPr="00827721">
        <w:t>;</w:t>
      </w:r>
    </w:p>
    <w:p w14:paraId="4CF25A03" w14:textId="77777777" w:rsidR="00F96D5F" w:rsidRPr="00827721" w:rsidRDefault="00F96D5F" w:rsidP="00D832BD">
      <w:pPr>
        <w:pStyle w:val="HGsubpct11"/>
      </w:pPr>
      <w:r w:rsidRPr="00827721">
        <w:t>lista tuturor intrărilor pentru fiecare amplasament și descrierea materialelor manipulate, precum și detalii cu privire la toți furnizorii;</w:t>
      </w:r>
    </w:p>
    <w:p w14:paraId="04B467E5" w14:textId="77777777" w:rsidR="00F96D5F" w:rsidRPr="00827721" w:rsidRDefault="00F96D5F" w:rsidP="00D832BD">
      <w:pPr>
        <w:pStyle w:val="HGsubpct11"/>
      </w:pPr>
      <w:r w:rsidRPr="00827721">
        <w:t>lista tuturor ieșirilor pentru fiecare amplasament și descrierea materialelor manipulate, precum și detalii cu privire la toți clienții;</w:t>
      </w:r>
    </w:p>
    <w:p w14:paraId="71BF9D70" w14:textId="77777777" w:rsidR="00F96D5F" w:rsidRPr="00827721" w:rsidRDefault="00F96D5F" w:rsidP="00D832BD">
      <w:pPr>
        <w:pStyle w:val="HGsubpct11"/>
      </w:pPr>
      <w:r w:rsidRPr="00827721">
        <w:t>factorii de conversie aplicați, în special în cazul instalațiilor de prelucrare a deșeurilor sau reziduurilor, pentru a se asigura că procesul nu este modificat pentru a produce mai multe deșeuri sau reziduuri;</w:t>
      </w:r>
    </w:p>
    <w:p w14:paraId="3A254A59" w14:textId="77777777" w:rsidR="00F71B2C" w:rsidRPr="00827721" w:rsidRDefault="00F96D5F" w:rsidP="00D832BD">
      <w:pPr>
        <w:pStyle w:val="HGsubpct11"/>
      </w:pPr>
      <w:r w:rsidRPr="00827721">
        <w:t>orice discrepanță între sistemul de evidență contabilă și intrări, ieșiri și bilanțuri;</w:t>
      </w:r>
    </w:p>
    <w:p w14:paraId="563B3367" w14:textId="77777777" w:rsidR="00F71B2C" w:rsidRPr="00827721" w:rsidRDefault="00F96D5F" w:rsidP="00D832BD">
      <w:pPr>
        <w:pStyle w:val="HGsubpct11"/>
      </w:pPr>
      <w:r w:rsidRPr="00827721">
        <w:t>alocarea caracteristicilor de durabilitate;</w:t>
      </w:r>
    </w:p>
    <w:p w14:paraId="453A75FE" w14:textId="35494079" w:rsidR="00852C04" w:rsidRPr="00827721" w:rsidRDefault="00F96D5F" w:rsidP="00D832BD">
      <w:pPr>
        <w:pStyle w:val="HGsubpct11"/>
      </w:pPr>
      <w:r w:rsidRPr="00827721">
        <w:t xml:space="preserve">echivalența datelor privind durabilitatea și a stocului fizic la sfârșitul perioadei de bilanț </w:t>
      </w:r>
      <w:proofErr w:type="spellStart"/>
      <w:r w:rsidRPr="00827721">
        <w:t>masic</w:t>
      </w:r>
      <w:proofErr w:type="spellEnd"/>
      <w:r w:rsidRPr="00827721">
        <w:t>.</w:t>
      </w:r>
    </w:p>
    <w:p w14:paraId="29B3738E" w14:textId="7FE37004" w:rsidR="00D77096" w:rsidRPr="00827721" w:rsidRDefault="00D77096" w:rsidP="0060730C">
      <w:pPr>
        <w:pStyle w:val="Sectiune"/>
      </w:pPr>
      <w:r w:rsidRPr="00827721">
        <w:t>Secțiunea a 7-a</w:t>
      </w:r>
    </w:p>
    <w:p w14:paraId="1F848F4A" w14:textId="3B79DC61" w:rsidR="00D202AF" w:rsidRPr="00827721" w:rsidRDefault="00D202AF" w:rsidP="0060730C">
      <w:pPr>
        <w:pStyle w:val="Sectiune"/>
      </w:pPr>
      <w:r w:rsidRPr="00827721">
        <w:t>Auditarea pășunilor naturale și nenaturale</w:t>
      </w:r>
    </w:p>
    <w:p w14:paraId="6CB4C573" w14:textId="64154853" w:rsidR="00D202AF" w:rsidRPr="00827721" w:rsidRDefault="00D202AF" w:rsidP="0060730C">
      <w:pPr>
        <w:pStyle w:val="Sectiune"/>
      </w:pPr>
      <w:r w:rsidRPr="00827721">
        <w:t>foarte bogate în biodiversitate</w:t>
      </w:r>
    </w:p>
    <w:p w14:paraId="1061A1D0" w14:textId="30325278" w:rsidR="00316845" w:rsidRPr="00827721" w:rsidRDefault="00316845" w:rsidP="00D832BD">
      <w:pPr>
        <w:pStyle w:val="HGpct1"/>
      </w:pPr>
      <w:r w:rsidRPr="00827721">
        <w:t>Auditorii care verifică dacă terenurile sunt pășuni foarte bogate în biodiversitate, astfel cum se menționează la</w:t>
      </w:r>
      <w:r w:rsidR="00AC5C02" w:rsidRPr="00827721">
        <w:t xml:space="preserve"> subpct. 16.4</w:t>
      </w:r>
      <w:r w:rsidR="00A23BBF" w:rsidRPr="00827721">
        <w:t xml:space="preserve"> </w:t>
      </w:r>
      <w:r w:rsidR="00FC06B7" w:rsidRPr="00827721">
        <w:t>din</w:t>
      </w:r>
      <w:r w:rsidR="00A23BBF" w:rsidRPr="00827721">
        <w:t xml:space="preserve"> anexa nr. 1 </w:t>
      </w:r>
      <w:r w:rsidR="00BF20FF">
        <w:t xml:space="preserve">din </w:t>
      </w:r>
      <w:r w:rsidR="00BF20FF" w:rsidRPr="00347C70">
        <w:rPr>
          <w:iCs/>
        </w:rPr>
        <w:t xml:space="preserve">HG </w:t>
      </w:r>
      <w:r w:rsidR="00BF20FF" w:rsidRPr="00347C70">
        <w:rPr>
          <w:iCs/>
        </w:rPr>
        <w:lastRenderedPageBreak/>
        <w:t>53/2025</w:t>
      </w:r>
      <w:r w:rsidRPr="00827721">
        <w:t xml:space="preserve">, verifică dacă terenurile sunt sau au fost, în orice moment începând din ianuarie 2008, pășuni foarte bogate în biodiversitate. În documentele </w:t>
      </w:r>
      <w:r w:rsidR="00274FDD" w:rsidRPr="00827721">
        <w:t xml:space="preserve">proprii </w:t>
      </w:r>
      <w:r w:rsidRPr="00827721">
        <w:t xml:space="preserve">de sistem, </w:t>
      </w:r>
      <w:r w:rsidR="003675FE" w:rsidRPr="00827721">
        <w:t>schemele</w:t>
      </w:r>
      <w:r w:rsidRPr="00827721">
        <w:t xml:space="preserve"> voluntare informează operatorii economici cu privire la tipul de dovezi acceptate de organismele de certificare pentru a dovedi statutul de zonă istorică începând din ianuarie 2008.</w:t>
      </w:r>
    </w:p>
    <w:p w14:paraId="3AA715CA" w14:textId="2366F0BF" w:rsidR="00086413" w:rsidRPr="00827721" w:rsidRDefault="00316845" w:rsidP="00D832BD">
      <w:pPr>
        <w:pStyle w:val="HGpct1"/>
      </w:pPr>
      <w:r w:rsidRPr="00827721">
        <w:t xml:space="preserve">În cazul în care terenurile rămân pășuni sau ar fi rămas pășuni în absența intervenției umane și </w:t>
      </w:r>
      <w:r w:rsidR="00295B5F" w:rsidRPr="00827721">
        <w:t>sunt situate în oricare dintre limitele geografice enumerate în</w:t>
      </w:r>
      <w:r w:rsidR="00857DED" w:rsidRPr="00827721">
        <w:t xml:space="preserve"> anexa nr. 11</w:t>
      </w:r>
      <w:r w:rsidRPr="00827721">
        <w:t>, acestea sunt considerate pășuni naturale foarte bogate în biodiversitate.</w:t>
      </w:r>
      <w:r w:rsidR="00E1682F" w:rsidRPr="00827721">
        <w:t xml:space="preserve"> </w:t>
      </w:r>
    </w:p>
    <w:p w14:paraId="1FDFC5FE" w14:textId="78E5AF8E" w:rsidR="00316845" w:rsidRPr="00827721" w:rsidRDefault="00316845" w:rsidP="00D832BD">
      <w:pPr>
        <w:pStyle w:val="HGpct1"/>
      </w:pPr>
      <w:r w:rsidRPr="00827721">
        <w:t xml:space="preserve">În cazul terenurilor situate în afara zonelor menționate la </w:t>
      </w:r>
      <w:r w:rsidR="00724286" w:rsidRPr="00827721">
        <w:t>pct. 61</w:t>
      </w:r>
      <w:r w:rsidRPr="00827721">
        <w:t xml:space="preserve">, auditorul evaluează dacă pășunea păstrează sau ar fi păstrat, în absența intervenției umane, compoziția de specii naturale și caracteristicile și procesele ecologice. În acest caz, se consideră că terenul este sau a fost pășune naturală foarte bogată în biodiversitate. În cazul în care pășunile au fost deja transformate în terenuri arabile și nu este posibilă evaluarea caracteristicilor terenurilor în sine prin intermediul informațiilor puse la dispoziție de </w:t>
      </w:r>
      <w:r w:rsidR="00FB447E" w:rsidRPr="00827721">
        <w:t xml:space="preserve">Agenției de Mediu </w:t>
      </w:r>
      <w:r w:rsidRPr="00827721">
        <w:t>sau al imaginilor obținute din satelit, auditorul consideră că terenurile în cauză nu erau pășuni foarte bogate în biodiversitate la momentul conversiei.</w:t>
      </w:r>
    </w:p>
    <w:p w14:paraId="66BB5CB1" w14:textId="1C36AE9E" w:rsidR="00316845" w:rsidRPr="00827721" w:rsidRDefault="00316845" w:rsidP="00D832BD">
      <w:pPr>
        <w:pStyle w:val="HGpct1"/>
      </w:pPr>
      <w:r w:rsidRPr="00827721">
        <w:t>În cazul în care terenul a încetat sau ar fi încetat, în absența intervenției umane, să fie pășune, este bogat în specii și nu este degradat și a fost identificat ca fiind foarte bogat în biodiversitate de către</w:t>
      </w:r>
      <w:r w:rsidR="00BB1032" w:rsidRPr="00827721">
        <w:t xml:space="preserve"> Agenția de Mediu</w:t>
      </w:r>
      <w:r w:rsidRPr="00827721">
        <w:t>, atunci acesta este considerat pășune nenaturală foarte bogată în biodiversitate.</w:t>
      </w:r>
    </w:p>
    <w:p w14:paraId="70E3B008" w14:textId="5EB28021" w:rsidR="00316845" w:rsidRPr="00827721" w:rsidRDefault="00316845" w:rsidP="00D832BD">
      <w:pPr>
        <w:pStyle w:val="HGpct1"/>
      </w:pPr>
      <w:r w:rsidRPr="00827721">
        <w:t>Orice teren care este sau a fost pășune nenaturală foarte bogată în biodiversitate în ianuarie 2008 sau după această dată poate fi utilizat pentru producția de combustibili, cu condiția ca recoltarea materiei prime să fie necesară pentru a menține statutul de pășune foarte bogată în biodiversitate și ca practicile curente de gestionare să nu prezinte riscul de a provoca declinul biodiversității pășunii.</w:t>
      </w:r>
    </w:p>
    <w:p w14:paraId="5FE3DE94" w14:textId="4E9606D2" w:rsidR="00316845" w:rsidRPr="00827721" w:rsidRDefault="00316845" w:rsidP="00C056D2">
      <w:pPr>
        <w:pStyle w:val="HGpct1"/>
      </w:pPr>
      <w:r w:rsidRPr="00827721">
        <w:t>Operatorii economici furnizează dovezi conform cărora recoltarea materiei prime este necesară în scopul menținerii statutului de pășune foarte bogată în biodiversitate, iar practicile de gestionare nu prezintă riscul de a provoca declinul biodiversității pășunii.</w:t>
      </w:r>
    </w:p>
    <w:p w14:paraId="43DEB326" w14:textId="1067A641" w:rsidR="00316845" w:rsidRPr="00827721" w:rsidRDefault="00316845" w:rsidP="00D832BD">
      <w:pPr>
        <w:pStyle w:val="HGpct1"/>
      </w:pPr>
      <w:r w:rsidRPr="00827721">
        <w:t xml:space="preserve">În cazul în care operatorii economici nu sunt în măsură să furnizeze dovezile menționate la </w:t>
      </w:r>
      <w:r w:rsidR="007F44AF">
        <w:t>pct. 65</w:t>
      </w:r>
      <w:r w:rsidRPr="00827721">
        <w:t xml:space="preserve">, aceștia furnizează dovezi ale permisiunii primite din partea </w:t>
      </w:r>
      <w:r w:rsidR="004C070F" w:rsidRPr="00827721">
        <w:t>Agenției de Mediu</w:t>
      </w:r>
      <w:r w:rsidRPr="00827721">
        <w:t xml:space="preserve"> pentru a menține statutul de pășune foarte bogată în biodiversitate.</w:t>
      </w:r>
    </w:p>
    <w:p w14:paraId="52BA64D8" w14:textId="63BF4D9B" w:rsidR="00D202AF" w:rsidRPr="00827721" w:rsidRDefault="00316845" w:rsidP="00D832BD">
      <w:pPr>
        <w:pStyle w:val="HGpct1"/>
      </w:pPr>
      <w:r w:rsidRPr="00827721">
        <w:t xml:space="preserve">Evaluarea tehnică a terenului trebuie să fie efectuată de un specialist calificat, extern și independent de activitatea auditată, care nu prezintă conflicte de interese și </w:t>
      </w:r>
      <w:r w:rsidRPr="00827721">
        <w:lastRenderedPageBreak/>
        <w:t>care face parte din echipa de audit. Evaluarea și rezultatul acesteia trebuie să fie examinate în cadrul auditului.</w:t>
      </w:r>
    </w:p>
    <w:p w14:paraId="2426D078" w14:textId="4DF0344D" w:rsidR="00237841" w:rsidRPr="00827721" w:rsidRDefault="00237841" w:rsidP="00B93F47">
      <w:pPr>
        <w:pStyle w:val="Sectiune"/>
      </w:pPr>
      <w:r w:rsidRPr="00827721">
        <w:t>Secțiunea a 8-a</w:t>
      </w:r>
    </w:p>
    <w:p w14:paraId="3C05014C" w14:textId="1732F82F" w:rsidR="00B70F8D" w:rsidRPr="00827721" w:rsidRDefault="00B70F8D" w:rsidP="00B93F47">
      <w:pPr>
        <w:pStyle w:val="Sectiune"/>
      </w:pPr>
      <w:r w:rsidRPr="00827721">
        <w:t xml:space="preserve">Supravegherea de către </w:t>
      </w:r>
      <w:r w:rsidR="00797AD9">
        <w:t xml:space="preserve">grupul de  lucru și </w:t>
      </w:r>
      <w:r w:rsidR="00AA3097" w:rsidRPr="00827721">
        <w:t>Centrul Național de Acreditare</w:t>
      </w:r>
    </w:p>
    <w:p w14:paraId="28E66075" w14:textId="570C8284" w:rsidR="00B70F8D" w:rsidRPr="00827721" w:rsidRDefault="003675FE" w:rsidP="00D832BD">
      <w:pPr>
        <w:pStyle w:val="HGpct1"/>
      </w:pPr>
      <w:r w:rsidRPr="00827721">
        <w:t>Schemele</w:t>
      </w:r>
      <w:r w:rsidR="00B70F8D" w:rsidRPr="00827721">
        <w:t xml:space="preserve"> voluntare impun operatorilor economici care participă la </w:t>
      </w:r>
      <w:r w:rsidR="006B423B" w:rsidRPr="00827721">
        <w:t>scheme</w:t>
      </w:r>
      <w:r w:rsidR="009D7959" w:rsidRPr="00827721">
        <w:t>, precum</w:t>
      </w:r>
      <w:r w:rsidR="00B70F8D" w:rsidRPr="00827721">
        <w:t xml:space="preserve"> și organismelor de certificare care efectuează audituri în cadrul </w:t>
      </w:r>
      <w:r w:rsidRPr="00827721">
        <w:t>schemelor</w:t>
      </w:r>
      <w:r w:rsidR="00B70F8D" w:rsidRPr="00827721">
        <w:t xml:space="preserve">, să coopereze cu </w:t>
      </w:r>
      <w:r w:rsidR="00F06DAD">
        <w:t>grupul de lucru</w:t>
      </w:r>
      <w:r w:rsidR="00B70F8D" w:rsidRPr="00827721">
        <w:t xml:space="preserve">, inclusiv să acorde accesul la sediile operatorilor economici, la cerere, precum și să pună la dispoziția </w:t>
      </w:r>
      <w:r w:rsidR="00F06DAD">
        <w:t>grupului de lucru</w:t>
      </w:r>
      <w:r w:rsidR="00B70F8D" w:rsidRPr="00827721">
        <w:t xml:space="preserve"> toate informațiile necesare pentru îndeplinirea sarcinilor care le revin în temeiul </w:t>
      </w:r>
      <w:r w:rsidR="00BF20FF" w:rsidRPr="00347C70">
        <w:rPr>
          <w:iCs/>
        </w:rPr>
        <w:t>HG 53/2025</w:t>
      </w:r>
      <w:r w:rsidR="00B70F8D" w:rsidRPr="00827721">
        <w:t xml:space="preserve">. În acest scop, organismele de certificare </w:t>
      </w:r>
      <w:r w:rsidR="00D22841" w:rsidRPr="00827721">
        <w:t>se obligă</w:t>
      </w:r>
      <w:r w:rsidR="00B70F8D" w:rsidRPr="00827721">
        <w:t>:</w:t>
      </w:r>
    </w:p>
    <w:p w14:paraId="27309C5A" w14:textId="15F7E310" w:rsidR="00B70F8D" w:rsidRPr="00827721" w:rsidRDefault="00B70F8D" w:rsidP="00D832BD">
      <w:pPr>
        <w:pStyle w:val="HGsubpct11"/>
      </w:pPr>
      <w:r w:rsidRPr="00827721">
        <w:t xml:space="preserve">de a furniza </w:t>
      </w:r>
      <w:r w:rsidR="00125D70" w:rsidRPr="00827721">
        <w:t>Centrului Național de Acreditare</w:t>
      </w:r>
      <w:r w:rsidRPr="00827721">
        <w:t xml:space="preserve"> informațiile necesare pentru a supraveghea funcționarea organismelor de certificare în temeiul </w:t>
      </w:r>
      <w:r w:rsidR="00D23751" w:rsidRPr="00827721">
        <w:t>pct. 35</w:t>
      </w:r>
      <w:r w:rsidR="00AF719C">
        <w:rPr>
          <w:vertAlign w:val="superscript"/>
        </w:rPr>
        <w:t>2</w:t>
      </w:r>
      <w:r w:rsidR="002A35BB" w:rsidRPr="00827721">
        <w:t xml:space="preserve"> din anexa nr.1 la </w:t>
      </w:r>
      <w:r w:rsidR="00C72EEB" w:rsidRPr="00C72EEB">
        <w:rPr>
          <w:iCs w:val="0"/>
        </w:rPr>
        <w:t>HG 53/2025</w:t>
      </w:r>
      <w:r w:rsidRPr="00827721">
        <w:t>;</w:t>
      </w:r>
    </w:p>
    <w:p w14:paraId="1E71CB1E" w14:textId="4ED81DA7" w:rsidR="00B70F8D" w:rsidRPr="00827721" w:rsidRDefault="00B70F8D" w:rsidP="00C056D2">
      <w:pPr>
        <w:pStyle w:val="HGsubpct11"/>
      </w:pPr>
      <w:r w:rsidRPr="00827721">
        <w:t xml:space="preserve">de a furniza informațiile solicitate de </w:t>
      </w:r>
      <w:r w:rsidR="00F06DAD">
        <w:t>gru</w:t>
      </w:r>
      <w:r w:rsidR="004050EF">
        <w:t>pul de lucru</w:t>
      </w:r>
      <w:r w:rsidR="00EF3454" w:rsidRPr="00827721">
        <w:t xml:space="preserve"> </w:t>
      </w:r>
      <w:r w:rsidRPr="00827721">
        <w:t xml:space="preserve">necesare pentru respectarea </w:t>
      </w:r>
      <w:r w:rsidR="00EF3454" w:rsidRPr="00827721">
        <w:t>pct. 35</w:t>
      </w:r>
      <w:r w:rsidR="00810C61">
        <w:rPr>
          <w:vertAlign w:val="superscript"/>
        </w:rPr>
        <w:t>3</w:t>
      </w:r>
      <w:r w:rsidR="00EF3454" w:rsidRPr="00827721">
        <w:t xml:space="preserve"> din anexa nr.</w:t>
      </w:r>
      <w:r w:rsidR="00F37B2E">
        <w:t xml:space="preserve"> </w:t>
      </w:r>
      <w:r w:rsidR="00EF3454" w:rsidRPr="00827721">
        <w:t xml:space="preserve">1 la </w:t>
      </w:r>
      <w:r w:rsidR="00C72EEB" w:rsidRPr="00C72EEB">
        <w:rPr>
          <w:iCs w:val="0"/>
        </w:rPr>
        <w:t>HG 53/2025</w:t>
      </w:r>
      <w:r w:rsidRPr="00827721">
        <w:t>;</w:t>
      </w:r>
    </w:p>
    <w:p w14:paraId="0E89F2E0" w14:textId="3FBC7A2E" w:rsidR="00B70F8D" w:rsidRPr="00827721" w:rsidRDefault="00B70F8D" w:rsidP="00D832BD">
      <w:pPr>
        <w:pStyle w:val="HGsubpct11"/>
      </w:pPr>
      <w:r w:rsidRPr="00827721">
        <w:t xml:space="preserve">de a verifica exactitatea informațiilor </w:t>
      </w:r>
      <w:r w:rsidR="00655630" w:rsidRPr="00827721">
        <w:t xml:space="preserve">introduse în Registru </w:t>
      </w:r>
      <w:r w:rsidR="005123F1" w:rsidRPr="00827721">
        <w:t>de biocarburanți</w:t>
      </w:r>
      <w:r w:rsidRPr="00827721">
        <w:t>.</w:t>
      </w:r>
    </w:p>
    <w:p w14:paraId="2B773710" w14:textId="53F6823C" w:rsidR="00B70F8D" w:rsidRPr="00827721" w:rsidRDefault="00B70F8D" w:rsidP="00D832BD">
      <w:pPr>
        <w:pStyle w:val="HGpct1"/>
      </w:pPr>
      <w:r w:rsidRPr="00827721">
        <w:t>În contextul supravegherii prevăzute la</w:t>
      </w:r>
      <w:r w:rsidR="003903BA" w:rsidRPr="00827721">
        <w:t xml:space="preserve"> </w:t>
      </w:r>
      <w:r w:rsidR="00387A7B" w:rsidRPr="00827721">
        <w:t>pct. 35</w:t>
      </w:r>
      <w:r w:rsidR="000A351A">
        <w:rPr>
          <w:vertAlign w:val="superscript"/>
        </w:rPr>
        <w:t>2</w:t>
      </w:r>
      <w:r w:rsidR="00387A7B" w:rsidRPr="00827721">
        <w:t xml:space="preserve"> din anexa nr.</w:t>
      </w:r>
      <w:r w:rsidR="00721142" w:rsidRPr="00827721">
        <w:t xml:space="preserve"> </w:t>
      </w:r>
      <w:r w:rsidR="00387A7B" w:rsidRPr="00827721">
        <w:t xml:space="preserve">1 la </w:t>
      </w:r>
      <w:r w:rsidR="00C72EEB" w:rsidRPr="00C72EEB">
        <w:rPr>
          <w:iCs/>
        </w:rPr>
        <w:t>HG 53/2025</w:t>
      </w:r>
      <w:r w:rsidRPr="00827721">
        <w:t xml:space="preserve">, </w:t>
      </w:r>
      <w:r w:rsidR="008126EC" w:rsidRPr="00827721">
        <w:t xml:space="preserve">Centrul Național de Acreditare </w:t>
      </w:r>
      <w:r w:rsidRPr="00827721">
        <w:t>stabile</w:t>
      </w:r>
      <w:r w:rsidR="008126EC" w:rsidRPr="00827721">
        <w:t xml:space="preserve">ște </w:t>
      </w:r>
      <w:r w:rsidRPr="00827721">
        <w:t>procedur</w:t>
      </w:r>
      <w:r w:rsidR="008126EC" w:rsidRPr="00827721">
        <w:t>a</w:t>
      </w:r>
      <w:r w:rsidRPr="00827721">
        <w:t xml:space="preserve"> care permit</w:t>
      </w:r>
      <w:r w:rsidR="00E57522" w:rsidRPr="00827721">
        <w:t>e</w:t>
      </w:r>
      <w:r w:rsidRPr="00827721">
        <w:t xml:space="preserve"> organismelor de certificare, indiferent dacă sediul </w:t>
      </w:r>
      <w:r w:rsidR="007C10FF" w:rsidRPr="00827721">
        <w:t>acestora</w:t>
      </w:r>
      <w:r w:rsidRPr="00827721">
        <w:t xml:space="preserve"> se află într-un stat membru</w:t>
      </w:r>
      <w:r w:rsidR="00FC4A4F" w:rsidRPr="00827721">
        <w:t xml:space="preserve"> al Uniunii Europene</w:t>
      </w:r>
      <w:r w:rsidR="00A648B8" w:rsidRPr="00827721">
        <w:t>,</w:t>
      </w:r>
      <w:r w:rsidR="00C45A1E" w:rsidRPr="00827721">
        <w:t xml:space="preserve"> </w:t>
      </w:r>
      <w:r w:rsidR="000B044C" w:rsidRPr="00827721">
        <w:t xml:space="preserve">pe </w:t>
      </w:r>
      <w:r w:rsidR="00C45A1E" w:rsidRPr="00827721">
        <w:t xml:space="preserve">teritoriul unei părți contractate </w:t>
      </w:r>
      <w:r w:rsidR="00A648B8" w:rsidRPr="00827721">
        <w:t xml:space="preserve">la </w:t>
      </w:r>
      <w:r w:rsidR="002B2D05" w:rsidRPr="00827721">
        <w:t>T</w:t>
      </w:r>
      <w:r w:rsidR="00A648B8" w:rsidRPr="00827721">
        <w:t xml:space="preserve">ratatul de constituire a </w:t>
      </w:r>
      <w:r w:rsidR="002E07D3" w:rsidRPr="00827721">
        <w:t>Comunității</w:t>
      </w:r>
      <w:r w:rsidR="00A648B8" w:rsidRPr="00827721">
        <w:t xml:space="preserve"> Energetice</w:t>
      </w:r>
      <w:r w:rsidRPr="00827721">
        <w:t xml:space="preserve"> sau într-o țară terță, să se înregistreze pentru supraveghere și pentru efectuarea supravegherii.</w:t>
      </w:r>
    </w:p>
    <w:p w14:paraId="5FA0D173" w14:textId="7C0D1F69" w:rsidR="00B70F8D" w:rsidRPr="00827721" w:rsidRDefault="007B3E79" w:rsidP="00D832BD">
      <w:pPr>
        <w:pStyle w:val="HGpct1"/>
      </w:pPr>
      <w:r w:rsidRPr="00827721">
        <w:t xml:space="preserve">Centrul Național de Acreditare </w:t>
      </w:r>
      <w:r w:rsidR="00616AC9" w:rsidRPr="00827721">
        <w:t>efectuează</w:t>
      </w:r>
      <w:r w:rsidR="00B70F8D" w:rsidRPr="00827721">
        <w:t xml:space="preserve"> schimb de informații și de bune practici cu privire la modul de supraveghere a funcționării organismelor de certificare în contextul unui cadru formal de cooperare</w:t>
      </w:r>
      <w:r w:rsidR="00035B17" w:rsidRPr="00827721">
        <w:t xml:space="preserve"> cu</w:t>
      </w:r>
      <w:r w:rsidR="00BC3426" w:rsidRPr="00827721">
        <w:t xml:space="preserve"> </w:t>
      </w:r>
      <w:r w:rsidR="003C550B" w:rsidRPr="00827721">
        <w:t>stat</w:t>
      </w:r>
      <w:r w:rsidR="00C45A1E" w:rsidRPr="00827721">
        <w:t>ele</w:t>
      </w:r>
      <w:r w:rsidR="003C550B" w:rsidRPr="00827721">
        <w:t xml:space="preserve"> membr</w:t>
      </w:r>
      <w:r w:rsidR="00C45A1E" w:rsidRPr="00827721">
        <w:t>e</w:t>
      </w:r>
      <w:r w:rsidR="003C550B" w:rsidRPr="00827721">
        <w:t xml:space="preserve"> al Uniunii Europene</w:t>
      </w:r>
      <w:r w:rsidR="00035B17" w:rsidRPr="00827721">
        <w:t xml:space="preserve"> și părțile contractante la Tratatul de constituire a Comunității Energetice</w:t>
      </w:r>
      <w:r w:rsidR="003C550B" w:rsidRPr="00827721">
        <w:t xml:space="preserve"> </w:t>
      </w:r>
      <w:r w:rsidR="00BC3426" w:rsidRPr="00827721">
        <w:t xml:space="preserve">respectând prevederile Legii nr. </w:t>
      </w:r>
      <w:r w:rsidR="0061593F" w:rsidRPr="00827721">
        <w:t>235/2011 privind activitățile de acreditare și de evaluare a conformității</w:t>
      </w:r>
      <w:r w:rsidR="00B70F8D" w:rsidRPr="00827721">
        <w:t>.</w:t>
      </w:r>
    </w:p>
    <w:p w14:paraId="2FE89DB6" w14:textId="64F3C7F9" w:rsidR="00B70F8D" w:rsidRPr="00827721" w:rsidRDefault="007846B2" w:rsidP="00D832BD">
      <w:pPr>
        <w:pStyle w:val="HGpct1"/>
      </w:pPr>
      <w:r w:rsidRPr="00827721">
        <w:t xml:space="preserve">Centrul Național de Acreditare </w:t>
      </w:r>
      <w:r w:rsidR="00B70F8D" w:rsidRPr="00827721">
        <w:t xml:space="preserve">este responsabilă, în cooperare cu </w:t>
      </w:r>
      <w:r w:rsidR="00FD0714" w:rsidRPr="00827721">
        <w:t>state</w:t>
      </w:r>
      <w:r w:rsidR="00D919FF" w:rsidRPr="00827721">
        <w:t>le</w:t>
      </w:r>
      <w:r w:rsidR="00FD0714" w:rsidRPr="00827721">
        <w:t xml:space="preserve"> membre al Uniunii Europene</w:t>
      </w:r>
      <w:r w:rsidR="00CE0887" w:rsidRPr="00827721">
        <w:t xml:space="preserve"> sau</w:t>
      </w:r>
      <w:r w:rsidR="00FD0714" w:rsidRPr="00827721">
        <w:t xml:space="preserve"> părți</w:t>
      </w:r>
      <w:r w:rsidR="00D919FF" w:rsidRPr="00827721">
        <w:t>le</w:t>
      </w:r>
      <w:r w:rsidR="00FD0714" w:rsidRPr="00827721">
        <w:t xml:space="preserve"> contractate la Tratatul de constituire a Comunității Energetice </w:t>
      </w:r>
      <w:r w:rsidR="00B70F8D" w:rsidRPr="00827721">
        <w:t>în cauză, de consolidarea și schimbul de informații cu privire la rezultatul supravegherii organismelor de certificare.</w:t>
      </w:r>
    </w:p>
    <w:p w14:paraId="681685C1" w14:textId="2D52F495" w:rsidR="00B70F8D" w:rsidRPr="00827721" w:rsidRDefault="00A973DF" w:rsidP="00D832BD">
      <w:pPr>
        <w:pStyle w:val="HGpct1"/>
      </w:pPr>
      <w:r w:rsidRPr="00827721">
        <w:t xml:space="preserve">Centrul Național de Acreditare </w:t>
      </w:r>
      <w:r w:rsidR="00B70F8D" w:rsidRPr="00827721">
        <w:t>stabile</w:t>
      </w:r>
      <w:r w:rsidRPr="00827721">
        <w:t>ște</w:t>
      </w:r>
      <w:r w:rsidR="00234B62" w:rsidRPr="00827721">
        <w:t xml:space="preserve">, respectând prevederile Legii nr. 235/2011 privind activitățile de acreditare și de evaluare a conformității, </w:t>
      </w:r>
      <w:r w:rsidR="00B70F8D" w:rsidRPr="00827721">
        <w:t xml:space="preserve">cadre de cooperare cu țările terțe pentru supravegherea organismelor de certificare care efectuează audituri pe teritoriile </w:t>
      </w:r>
      <w:r w:rsidR="00B67055" w:rsidRPr="00827721">
        <w:t>Republicii Moldova</w:t>
      </w:r>
      <w:r w:rsidR="00B70F8D" w:rsidRPr="00827721">
        <w:t xml:space="preserve">, după caz, pentru a asigura </w:t>
      </w:r>
      <w:r w:rsidR="00B70F8D" w:rsidRPr="00827721">
        <w:lastRenderedPageBreak/>
        <w:t>același nivel al fluxului de informații și aplicarea standardelor privind supravegherea auditurilor în cazul organismelor de certificare care își desfășoară activitatea în țări terțe.</w:t>
      </w:r>
    </w:p>
    <w:p w14:paraId="44585F56" w14:textId="1A25597C" w:rsidR="00B70F8D" w:rsidRPr="00827721" w:rsidRDefault="00B70F8D" w:rsidP="00D832BD">
      <w:pPr>
        <w:pStyle w:val="HGpct1"/>
      </w:pPr>
      <w:r w:rsidRPr="00827721">
        <w:t xml:space="preserve">În cazul în care </w:t>
      </w:r>
      <w:r w:rsidR="007A0506" w:rsidRPr="00827721">
        <w:t xml:space="preserve">Centrul Național de Acreditare </w:t>
      </w:r>
      <w:r w:rsidRPr="00827721">
        <w:t xml:space="preserve">are îndoieli justificate cu privire la capacitatea unui anumit organism de certificare, situat </w:t>
      </w:r>
      <w:r w:rsidR="0058554A" w:rsidRPr="00827721">
        <w:t xml:space="preserve">într-un stat membru al Uniunii Europene, pe teritoriul unei părți contractate la Tratatul de constituire a Comunității Energetice </w:t>
      </w:r>
      <w:r w:rsidRPr="00827721">
        <w:t xml:space="preserve">sau într-o țară terță, de a-și desfășura activitatea de audit, </w:t>
      </w:r>
      <w:r w:rsidR="0058554A" w:rsidRPr="00827721">
        <w:t xml:space="preserve">Centrul Național de Acreditare </w:t>
      </w:r>
      <w:r w:rsidRPr="00827721">
        <w:t>comunică informațiile respective</w:t>
      </w:r>
      <w:r w:rsidR="009942E2" w:rsidRPr="00827721">
        <w:t xml:space="preserve"> </w:t>
      </w:r>
      <w:r w:rsidR="004050EF">
        <w:t>grupului de lucru</w:t>
      </w:r>
      <w:r w:rsidR="003C11B1" w:rsidRPr="00827721" w:rsidDel="003C11B1">
        <w:t xml:space="preserve"> </w:t>
      </w:r>
      <w:r w:rsidRPr="00827721">
        <w:t xml:space="preserve">și </w:t>
      </w:r>
      <w:r w:rsidR="00382F5C" w:rsidRPr="00827721">
        <w:t>schemei voluntare</w:t>
      </w:r>
      <w:r w:rsidRPr="00827721">
        <w:t xml:space="preserve"> în cadrul căruia funcționează organismul de certificare. </w:t>
      </w:r>
      <w:r w:rsidR="002D564D" w:rsidRPr="00827721">
        <w:t>În cazul în care</w:t>
      </w:r>
      <w:r w:rsidR="0093350E" w:rsidRPr="00827721">
        <w:t xml:space="preserve"> apar</w:t>
      </w:r>
      <w:r w:rsidR="002D564D" w:rsidRPr="00827721">
        <w:t xml:space="preserve"> </w:t>
      </w:r>
      <w:r w:rsidR="001F10FB" w:rsidRPr="00827721">
        <w:t xml:space="preserve">îndoieli justificate </w:t>
      </w:r>
      <w:r w:rsidR="0071162E" w:rsidRPr="00827721">
        <w:t xml:space="preserve">cu privire la capacitatea unui anumit organism de certificare </w:t>
      </w:r>
      <w:r w:rsidR="006671D4" w:rsidRPr="00827721">
        <w:t>aferent</w:t>
      </w:r>
      <w:r w:rsidR="001F10FB" w:rsidRPr="00827721">
        <w:t xml:space="preserve"> </w:t>
      </w:r>
      <w:r w:rsidR="00B71F5F" w:rsidRPr="00827721">
        <w:t>schemei</w:t>
      </w:r>
      <w:r w:rsidRPr="00827721">
        <w:t xml:space="preserve"> voluntar</w:t>
      </w:r>
      <w:r w:rsidR="00B71F5F" w:rsidRPr="00827721">
        <w:t>e</w:t>
      </w:r>
      <w:r w:rsidRPr="00827721">
        <w:t xml:space="preserve"> </w:t>
      </w:r>
      <w:r w:rsidR="001F10FB" w:rsidRPr="00827721">
        <w:t>înregistrat în Republica Moldova</w:t>
      </w:r>
      <w:r w:rsidR="00C83E60" w:rsidRPr="00827721">
        <w:t>,</w:t>
      </w:r>
      <w:r w:rsidR="001F10FB" w:rsidRPr="00827721">
        <w:t xml:space="preserve"> </w:t>
      </w:r>
      <w:r w:rsidR="00C83E60" w:rsidRPr="00827721">
        <w:t xml:space="preserve">acesta </w:t>
      </w:r>
      <w:r w:rsidRPr="00827721">
        <w:t xml:space="preserve">investighează imediat cazul. La încheierea investigației, </w:t>
      </w:r>
      <w:r w:rsidR="00164F8D" w:rsidRPr="00827721">
        <w:t>schema voluntară</w:t>
      </w:r>
      <w:r w:rsidR="00C83E60" w:rsidRPr="00827721">
        <w:t xml:space="preserve"> în cauză</w:t>
      </w:r>
      <w:r w:rsidR="00CC0DA5" w:rsidRPr="00827721">
        <w:t xml:space="preserve"> </w:t>
      </w:r>
      <w:r w:rsidR="00865BFF" w:rsidRPr="00827721">
        <w:t xml:space="preserve">informează </w:t>
      </w:r>
      <w:r w:rsidR="00B02735">
        <w:t>grupul de lucru</w:t>
      </w:r>
      <w:r w:rsidR="00CC0DA5" w:rsidRPr="00827721">
        <w:t xml:space="preserve"> </w:t>
      </w:r>
      <w:r w:rsidRPr="00827721">
        <w:t>cu privire la rezultatul investigației și la eventualele măsuri corective luate.</w:t>
      </w:r>
    </w:p>
    <w:p w14:paraId="0BAA3213" w14:textId="25E6A8EA" w:rsidR="00B70F8D" w:rsidRPr="00827721" w:rsidRDefault="00B70F8D" w:rsidP="006211AD">
      <w:pPr>
        <w:pStyle w:val="HGpct1"/>
      </w:pPr>
      <w:r w:rsidRPr="00827721">
        <w:t xml:space="preserve">Operatorii economici și organismele de certificare care nu respectă cerințele prevăzute la </w:t>
      </w:r>
      <w:r w:rsidR="00121B28" w:rsidRPr="00827721">
        <w:t>pct. 68-73</w:t>
      </w:r>
      <w:r w:rsidRPr="00827721">
        <w:t xml:space="preserve"> sunt excluși de la participarea și, respectiv, de la efectuarea auditurilor în cadrul </w:t>
      </w:r>
      <w:r w:rsidR="003675FE" w:rsidRPr="00827721">
        <w:t>schemelor</w:t>
      </w:r>
      <w:r w:rsidRPr="00827721">
        <w:t xml:space="preserve"> voluntare. </w:t>
      </w:r>
      <w:r w:rsidR="003675FE" w:rsidRPr="00827721">
        <w:t>Schemele</w:t>
      </w:r>
      <w:r w:rsidRPr="00827721">
        <w:t xml:space="preserve"> voluntare prezintă</w:t>
      </w:r>
      <w:r w:rsidR="004329A8" w:rsidRPr="00827721">
        <w:t>, până la data de 30 aprilie,</w:t>
      </w:r>
      <w:r w:rsidRPr="00827721">
        <w:t xml:space="preserve"> </w:t>
      </w:r>
      <w:r w:rsidR="007B5EF9">
        <w:t>grupului de lucru</w:t>
      </w:r>
      <w:r w:rsidR="0085342F" w:rsidRPr="00827721">
        <w:t xml:space="preserve"> </w:t>
      </w:r>
      <w:r w:rsidRPr="00827721">
        <w:t>rapoarte anuale de activitate</w:t>
      </w:r>
      <w:r w:rsidR="00F120E5" w:rsidRPr="00827721">
        <w:t>,</w:t>
      </w:r>
      <w:r w:rsidRPr="00827721">
        <w:t xml:space="preserve"> </w:t>
      </w:r>
      <w:r w:rsidR="0035471B" w:rsidRPr="00827721">
        <w:t xml:space="preserve">care cuprind </w:t>
      </w:r>
      <w:r w:rsidRPr="00827721">
        <w:t xml:space="preserve">cerințele minime prevăzute în anexa </w:t>
      </w:r>
      <w:r w:rsidR="0091428F" w:rsidRPr="00827721">
        <w:t>nr. 3</w:t>
      </w:r>
      <w:r w:rsidRPr="00827721">
        <w:t xml:space="preserve">. Raportul principal nu conține informații confidențiale și se publică integral. Datele </w:t>
      </w:r>
      <w:r w:rsidR="00C44089" w:rsidRPr="00827721">
        <w:t xml:space="preserve">se furnizează </w:t>
      </w:r>
      <w:r w:rsidRPr="00827721">
        <w:t xml:space="preserve">separat, </w:t>
      </w:r>
      <w:r w:rsidR="00572F7E" w:rsidRPr="00827721">
        <w:t>co</w:t>
      </w:r>
      <w:r w:rsidR="00B56DBC" w:rsidRPr="00827721">
        <w:t>nform modului stabilit</w:t>
      </w:r>
      <w:r w:rsidRPr="00827721">
        <w:t xml:space="preserve"> de </w:t>
      </w:r>
      <w:r w:rsidR="00916EF1" w:rsidRPr="00827721">
        <w:t>IP CNED</w:t>
      </w:r>
      <w:r w:rsidRPr="00827721">
        <w:t>.</w:t>
      </w:r>
      <w:r w:rsidR="00673326" w:rsidRPr="00827721">
        <w:t xml:space="preserve"> </w:t>
      </w:r>
      <w:r w:rsidR="006211AD" w:rsidRPr="002F45CA">
        <w:t>În urma evaluării raportului anual de activitate al schemelor voluntare, efectuate de grupul de lucru, organul central de specialitate al administrației publice în domeniul energeticii transmite raportul către Secretariatul Comunității Energetice.</w:t>
      </w:r>
    </w:p>
    <w:p w14:paraId="5D5F0A09" w14:textId="1CEADBB2" w:rsidR="00B70F8D" w:rsidRPr="00827721" w:rsidRDefault="003675FE" w:rsidP="00D832BD">
      <w:pPr>
        <w:pStyle w:val="HGpct1"/>
      </w:pPr>
      <w:r w:rsidRPr="00827721">
        <w:t>Schemele</w:t>
      </w:r>
      <w:r w:rsidR="00B70F8D" w:rsidRPr="00827721">
        <w:t xml:space="preserve"> voluntare notifică fără întârziere </w:t>
      </w:r>
      <w:r w:rsidR="001C3F9F">
        <w:t>grupul de lucru</w:t>
      </w:r>
      <w:r w:rsidR="00293E38" w:rsidRPr="00827721">
        <w:t xml:space="preserve"> </w:t>
      </w:r>
      <w:r w:rsidR="00B70F8D" w:rsidRPr="00827721">
        <w:t>toate modificările substanțiale aduse conținutului un</w:t>
      </w:r>
      <w:r w:rsidR="00747BF5" w:rsidRPr="00827721">
        <w:t>e</w:t>
      </w:r>
      <w:r w:rsidR="00B70F8D" w:rsidRPr="00827721">
        <w:t xml:space="preserve">i </w:t>
      </w:r>
      <w:r w:rsidR="008243E9" w:rsidRPr="00827721">
        <w:t xml:space="preserve">scheme </w:t>
      </w:r>
      <w:r w:rsidR="00B70F8D" w:rsidRPr="00827721">
        <w:t xml:space="preserve">care </w:t>
      </w:r>
      <w:r w:rsidR="004570B8" w:rsidRPr="00827721">
        <w:t>poate</w:t>
      </w:r>
      <w:r w:rsidR="00B70F8D" w:rsidRPr="00827721">
        <w:t xml:space="preserve"> afecta temeiul pentru recunoașterea acest</w:t>
      </w:r>
      <w:r w:rsidR="0048166F" w:rsidRPr="00827721">
        <w:t>e</w:t>
      </w:r>
      <w:r w:rsidR="00B70F8D" w:rsidRPr="00827721">
        <w:t>ia. Astfel de modificări includ oricare dintre următoarele elemente:</w:t>
      </w:r>
    </w:p>
    <w:p w14:paraId="4CF51732" w14:textId="02C3AE09" w:rsidR="00B70F8D" w:rsidRPr="00827721" w:rsidRDefault="00B70F8D" w:rsidP="00D832BD">
      <w:pPr>
        <w:pStyle w:val="HGsubpct11"/>
      </w:pPr>
      <w:r w:rsidRPr="00827721">
        <w:t xml:space="preserve">modificări ale criteriilor obligatorii de durabilitate vizate de </w:t>
      </w:r>
      <w:r w:rsidR="008243E9" w:rsidRPr="00827721">
        <w:t>schemă</w:t>
      </w:r>
      <w:r w:rsidRPr="00827721">
        <w:t>;</w:t>
      </w:r>
    </w:p>
    <w:p w14:paraId="39406365" w14:textId="7C1F544C" w:rsidR="00B70F8D" w:rsidRPr="00827721" w:rsidRDefault="00B70F8D" w:rsidP="00D832BD">
      <w:pPr>
        <w:pStyle w:val="HGsubpct11"/>
      </w:pPr>
      <w:r w:rsidRPr="00827721">
        <w:t xml:space="preserve">extinderea domeniului de aplicare al </w:t>
      </w:r>
      <w:r w:rsidR="00295203" w:rsidRPr="00827721">
        <w:t>schemei</w:t>
      </w:r>
      <w:r w:rsidRPr="00827721">
        <w:t xml:space="preserve"> dincolo de ceea ce este descris în actul de punere în aplicare, prin care este recunoscut</w:t>
      </w:r>
      <w:r w:rsidR="008243E9" w:rsidRPr="00827721">
        <w:t>ă schema</w:t>
      </w:r>
      <w:r w:rsidRPr="00827721">
        <w:t>;</w:t>
      </w:r>
    </w:p>
    <w:p w14:paraId="5C37A6A8" w14:textId="51825D50" w:rsidR="00B70F8D" w:rsidRPr="00827721" w:rsidRDefault="00B70F8D" w:rsidP="00D832BD">
      <w:pPr>
        <w:pStyle w:val="HGsubpct11"/>
      </w:pPr>
      <w:r w:rsidRPr="00827721">
        <w:t xml:space="preserve">extinderea domeniului de aplicare al materiilor prime sau al </w:t>
      </w:r>
      <w:r w:rsidR="008A23DF" w:rsidRPr="00827721">
        <w:t>biocarburanților</w:t>
      </w:r>
      <w:r w:rsidRPr="00827721">
        <w:t xml:space="preserve"> menționați în documentele inițiale ale </w:t>
      </w:r>
      <w:r w:rsidR="00295203" w:rsidRPr="00827721">
        <w:t>schemei</w:t>
      </w:r>
      <w:r w:rsidRPr="00827721">
        <w:t>, în cazul în care profilul de risc al materiilor prime adăugate diferă, de exemplu, prin includerea deșeurilor sau a reziduurilor sau în cazul în care se aplică proceduri specifice;</w:t>
      </w:r>
    </w:p>
    <w:p w14:paraId="05A20966" w14:textId="77777777" w:rsidR="00B70F8D" w:rsidRPr="00827721" w:rsidRDefault="00B70F8D" w:rsidP="00D832BD">
      <w:pPr>
        <w:pStyle w:val="HGsubpct11"/>
      </w:pPr>
      <w:r w:rsidRPr="00827721">
        <w:t>modificări ale normelor de echilibrare a masei;</w:t>
      </w:r>
    </w:p>
    <w:p w14:paraId="774AA065" w14:textId="77777777" w:rsidR="00B70F8D" w:rsidRPr="00827721" w:rsidRDefault="00B70F8D" w:rsidP="00D832BD">
      <w:pPr>
        <w:pStyle w:val="HGsubpct11"/>
      </w:pPr>
      <w:r w:rsidRPr="00827721">
        <w:lastRenderedPageBreak/>
        <w:t>modificări ale procedurilor de audit sau ale cerințelor pentru auditori;</w:t>
      </w:r>
    </w:p>
    <w:p w14:paraId="3D84877F" w14:textId="77777777" w:rsidR="00B70F8D" w:rsidRPr="00827721" w:rsidRDefault="00B70F8D" w:rsidP="00D832BD">
      <w:pPr>
        <w:pStyle w:val="HGsubpct11"/>
      </w:pPr>
      <w:r w:rsidRPr="00827721">
        <w:t>modificarea sau extinderea metodologiei de calcul al GES;</w:t>
      </w:r>
    </w:p>
    <w:p w14:paraId="56CBCD85" w14:textId="3BAE1E5D" w:rsidR="007752EF" w:rsidRPr="00827721" w:rsidRDefault="00B70F8D" w:rsidP="00D832BD">
      <w:pPr>
        <w:pStyle w:val="HGsubpct11"/>
      </w:pPr>
      <w:r w:rsidRPr="00827721">
        <w:t xml:space="preserve">orice altă modificare </w:t>
      </w:r>
      <w:r w:rsidR="006E2FD2" w:rsidRPr="00827721">
        <w:t>ca poate</w:t>
      </w:r>
      <w:r w:rsidRPr="00827721">
        <w:t xml:space="preserve"> </w:t>
      </w:r>
      <w:r w:rsidR="006E2FD2" w:rsidRPr="00827721">
        <w:t xml:space="preserve">afecta </w:t>
      </w:r>
      <w:r w:rsidRPr="00827721">
        <w:t xml:space="preserve">temeiul recunoașterii </w:t>
      </w:r>
      <w:r w:rsidR="00295203" w:rsidRPr="00827721">
        <w:t>schemei</w:t>
      </w:r>
      <w:r w:rsidRPr="00827721">
        <w:t>.</w:t>
      </w:r>
    </w:p>
    <w:p w14:paraId="480B5BF5" w14:textId="77D3F072" w:rsidR="00C4390F" w:rsidRPr="00827721" w:rsidRDefault="00B93F47" w:rsidP="00B93F47">
      <w:pPr>
        <w:pStyle w:val="Capitol"/>
      </w:pPr>
      <w:r w:rsidRPr="00827721">
        <w:rPr>
          <w:caps w:val="0"/>
        </w:rPr>
        <w:t xml:space="preserve">Capitolul </w:t>
      </w:r>
      <w:r w:rsidR="00C4390F" w:rsidRPr="00827721">
        <w:t>IV</w:t>
      </w:r>
    </w:p>
    <w:p w14:paraId="05339A37" w14:textId="39564701" w:rsidR="007752EF" w:rsidRPr="00827721" w:rsidRDefault="00C4390F" w:rsidP="00B93F47">
      <w:pPr>
        <w:pStyle w:val="Capitol"/>
      </w:pPr>
      <w:r w:rsidRPr="00827721">
        <w:t xml:space="preserve">NORME SPECIFICE PRIVIND APLICAREA SISTEMULUI DE ECHILIBRARE A MASEI, </w:t>
      </w:r>
      <w:r w:rsidR="000B1718" w:rsidRPr="00827721">
        <w:t xml:space="preserve">REGISTRU DE BIOCARBURANȚI </w:t>
      </w:r>
      <w:r w:rsidRPr="00827721">
        <w:t>ȘI STABILIREA EMISIILOR DE GES ȘI A FRACȚIUNII BIOLOGICE A COMBUSTIBILILOR</w:t>
      </w:r>
    </w:p>
    <w:p w14:paraId="5C7DDD73" w14:textId="66E7ABF0" w:rsidR="00F061DF" w:rsidRPr="00827721" w:rsidRDefault="00F061DF" w:rsidP="00B93F47">
      <w:pPr>
        <w:pStyle w:val="Sectiune"/>
      </w:pPr>
      <w:r w:rsidRPr="00827721">
        <w:t>Secțiunea 1</w:t>
      </w:r>
    </w:p>
    <w:p w14:paraId="6F02CF21" w14:textId="0ADCD3C0" w:rsidR="00F061DF" w:rsidRPr="00827721" w:rsidRDefault="00F061DF" w:rsidP="00B93F47">
      <w:pPr>
        <w:pStyle w:val="Sectiune"/>
      </w:pPr>
      <w:r w:rsidRPr="00827721">
        <w:t xml:space="preserve">Trasabilitatea și </w:t>
      </w:r>
      <w:r w:rsidR="005B0D8F" w:rsidRPr="00827721">
        <w:t>Registru de biocarburanți</w:t>
      </w:r>
    </w:p>
    <w:p w14:paraId="73142627" w14:textId="3E2A1DBF" w:rsidR="009A72FC" w:rsidRPr="00827721" w:rsidRDefault="009A72FC" w:rsidP="00D832BD">
      <w:pPr>
        <w:pStyle w:val="HGpct1"/>
      </w:pPr>
      <w:r w:rsidRPr="00827721">
        <w:t xml:space="preserve">Caracteristicile de durabilitate și de reducere a emisiilor de GES, precum și alte informații care descriu materiile prime sau combustibilii, necesare în conformitate cu </w:t>
      </w:r>
      <w:r w:rsidR="00BF20FF" w:rsidRPr="00347C70">
        <w:rPr>
          <w:iCs/>
        </w:rPr>
        <w:t>HG 53/2025</w:t>
      </w:r>
      <w:r w:rsidRPr="00827721">
        <w:t xml:space="preserve">, precum și datele privind tranzacțiile, trebuie să fie documentate temeinic și transmise de la un operator economic la altul </w:t>
      </w:r>
      <w:r w:rsidR="00044E92" w:rsidRPr="00827721">
        <w:t xml:space="preserve">pe întregul </w:t>
      </w:r>
      <w:r w:rsidRPr="00827721">
        <w:t xml:space="preserve">lanț de aprovizionare. Aceste informații includ date care trebuie transmise </w:t>
      </w:r>
      <w:r w:rsidR="00FD7CA4" w:rsidRPr="00827721">
        <w:t>pe</w:t>
      </w:r>
      <w:r w:rsidRPr="00827721">
        <w:t xml:space="preserve"> întregul lanț de aprovizionare, precum și date specifice pentru fiecare tranzacție, astfel cum sunt descrise în anexa </w:t>
      </w:r>
      <w:r w:rsidR="00D025A3" w:rsidRPr="00827721">
        <w:t>nr. 1</w:t>
      </w:r>
      <w:r w:rsidRPr="00827721">
        <w:t>.</w:t>
      </w:r>
    </w:p>
    <w:p w14:paraId="53B8EE56" w14:textId="51809E09" w:rsidR="00EB238D" w:rsidRPr="00827721" w:rsidRDefault="009A72FC" w:rsidP="00D832BD">
      <w:pPr>
        <w:pStyle w:val="HGpct1"/>
      </w:pPr>
      <w:r w:rsidRPr="00827721">
        <w:t xml:space="preserve">Informațiile care trebuie transmise </w:t>
      </w:r>
      <w:r w:rsidR="00DF5601" w:rsidRPr="00827721">
        <w:t>pe întregul</w:t>
      </w:r>
      <w:r w:rsidRPr="00827721">
        <w:t xml:space="preserve"> lanț de aprovizionare </w:t>
      </w:r>
      <w:r w:rsidR="001069CB" w:rsidRPr="00827721">
        <w:t xml:space="preserve">se includ </w:t>
      </w:r>
      <w:r w:rsidRPr="00827721">
        <w:t xml:space="preserve">în documentația care însoțește transporturile fizice de materii prime sau de combustibili. </w:t>
      </w:r>
      <w:r w:rsidR="003E07DB" w:rsidRPr="00827721">
        <w:t>A</w:t>
      </w:r>
      <w:r w:rsidRPr="00827721">
        <w:t xml:space="preserve">ceste informații </w:t>
      </w:r>
      <w:r w:rsidR="00340243" w:rsidRPr="00827721">
        <w:t xml:space="preserve">se includ </w:t>
      </w:r>
      <w:r w:rsidRPr="00827721">
        <w:t xml:space="preserve">în </w:t>
      </w:r>
      <w:r w:rsidR="005B0D8F" w:rsidRPr="00827721">
        <w:t>Registru de biocarburanți</w:t>
      </w:r>
      <w:r w:rsidRPr="00827721">
        <w:t xml:space="preserve">, </w:t>
      </w:r>
      <w:r w:rsidR="0056639F" w:rsidRPr="00827721">
        <w:t xml:space="preserve">din momentul punerii în </w:t>
      </w:r>
      <w:r w:rsidR="00FE1AEC" w:rsidRPr="00827721">
        <w:t>operare</w:t>
      </w:r>
      <w:r w:rsidR="001E4457" w:rsidRPr="00827721">
        <w:t xml:space="preserve"> al acestuia</w:t>
      </w:r>
      <w:r w:rsidRPr="00827721">
        <w:t xml:space="preserve">, în cazul combustibililor lichizi și gazoși utilizați în transporturi care sunt eligibili pentru a fi luați în considerare la calcularea numărătorului menționat </w:t>
      </w:r>
      <w:r w:rsidR="007A6E81" w:rsidRPr="00827721">
        <w:t>în capitolul III din</w:t>
      </w:r>
      <w:r w:rsidR="00D550B7" w:rsidRPr="00827721">
        <w:t xml:space="preserve"> </w:t>
      </w:r>
      <w:r w:rsidR="002E6B69">
        <w:t>HG 74/2025</w:t>
      </w:r>
      <w:r w:rsidR="00D550B7" w:rsidRPr="00827721">
        <w:t xml:space="preserve"> </w:t>
      </w:r>
      <w:r w:rsidRPr="00827721">
        <w:t xml:space="preserve">sau care sunt luați în considerare în scopurile menționate la </w:t>
      </w:r>
      <w:r w:rsidR="006E4BD6" w:rsidRPr="00827721">
        <w:t>pct. 10</w:t>
      </w:r>
      <w:r w:rsidR="008026E4" w:rsidRPr="00827721">
        <w:t xml:space="preserve"> și 11</w:t>
      </w:r>
      <w:r w:rsidR="00393B50" w:rsidRPr="00827721">
        <w:t xml:space="preserve"> </w:t>
      </w:r>
      <w:r w:rsidR="00280B52" w:rsidRPr="00827721">
        <w:t>din</w:t>
      </w:r>
      <w:r w:rsidR="00636BA0" w:rsidRPr="00827721">
        <w:t xml:space="preserve"> anexa nr. 1 la </w:t>
      </w:r>
      <w:r w:rsidR="00C72EEB" w:rsidRPr="00C72EEB">
        <w:rPr>
          <w:iCs/>
        </w:rPr>
        <w:t>HG 53/2025</w:t>
      </w:r>
      <w:r w:rsidRPr="00827721">
        <w:t>.</w:t>
      </w:r>
    </w:p>
    <w:p w14:paraId="5828B98B" w14:textId="2CFBA9C5" w:rsidR="00F061DF" w:rsidRPr="00827721" w:rsidRDefault="009A72FC" w:rsidP="00D832BD">
      <w:pPr>
        <w:pStyle w:val="HGpct1"/>
      </w:pPr>
      <w:r w:rsidRPr="00827721">
        <w:t xml:space="preserve">În scopul urmăririi loturilor de combustibili lichizi sau gazoși introduși într-o infrastructură interconectată și supuși aceluiași sistem de echilibrare a masei, caracteristicile de durabilitate și de reducere a emisiilor de GES, precum și celelalte informații descrise la </w:t>
      </w:r>
      <w:r w:rsidR="00D062F0" w:rsidRPr="00827721">
        <w:t>pct. 76</w:t>
      </w:r>
      <w:r w:rsidRPr="00827721">
        <w:t xml:space="preserve"> se introduc în </w:t>
      </w:r>
      <w:r w:rsidR="005B0D8F" w:rsidRPr="00827721">
        <w:t xml:space="preserve">Registru de biocarburanți </w:t>
      </w:r>
      <w:r w:rsidRPr="00827721">
        <w:t xml:space="preserve">la primul punct de intrare și se înregistrează ca fiind consumate la punctul de consum final. În cazul în care combustibilii gazoși sunt retrași dintr-o infrastructură interconectată și transformați în combustibili gazoși sau lichizi, punctul de consum final este considerat punctul de consum final al combustibililor gazoși sau lichizi finali. Într-un astfel de caz, toate etapele intermediare, de la retragerea combustibililor gazoși din infrastructura interconectată până la punctul de consum final al combustibililor gazoși sau lichizi finali, trebuie să fie înregistrate în </w:t>
      </w:r>
      <w:r w:rsidR="005B0D8F" w:rsidRPr="00827721">
        <w:rPr>
          <w:iCs/>
        </w:rPr>
        <w:t>Registru de biocarburanți</w:t>
      </w:r>
      <w:r w:rsidRPr="00827721">
        <w:t>.</w:t>
      </w:r>
    </w:p>
    <w:p w14:paraId="2D09F520" w14:textId="0476E370" w:rsidR="00E746AB" w:rsidRPr="00827721" w:rsidRDefault="00E746AB" w:rsidP="00B93F47">
      <w:pPr>
        <w:pStyle w:val="Sectiune"/>
      </w:pPr>
      <w:r w:rsidRPr="00827721">
        <w:lastRenderedPageBreak/>
        <w:t>Secțiunea a 2-a</w:t>
      </w:r>
    </w:p>
    <w:p w14:paraId="4A5A82B7" w14:textId="0969DE96" w:rsidR="00E746AB" w:rsidRPr="00827721" w:rsidRDefault="009F297D" w:rsidP="00B93F47">
      <w:pPr>
        <w:pStyle w:val="Sectiune"/>
      </w:pPr>
      <w:r w:rsidRPr="00827721">
        <w:t>Aplicarea sistemului de echilibrare a masei</w:t>
      </w:r>
    </w:p>
    <w:p w14:paraId="13EC73EC" w14:textId="2931CCC8" w:rsidR="009F297D" w:rsidRPr="00827721" w:rsidRDefault="003675FE" w:rsidP="00D832BD">
      <w:pPr>
        <w:pStyle w:val="HGpct1"/>
      </w:pPr>
      <w:r w:rsidRPr="00827721">
        <w:t>Schemele</w:t>
      </w:r>
      <w:r w:rsidR="009F297D" w:rsidRPr="00827721">
        <w:t xml:space="preserve"> voluntare impun operatorilor economici care participă la </w:t>
      </w:r>
      <w:r w:rsidR="006B423B" w:rsidRPr="00827721">
        <w:t>scheme</w:t>
      </w:r>
      <w:r w:rsidR="009F297D" w:rsidRPr="00827721">
        <w:t xml:space="preserve"> să utilizeze un sistem de echilibrare a masei, în conformitate cu </w:t>
      </w:r>
      <w:r w:rsidR="00655D3D" w:rsidRPr="00827721">
        <w:t xml:space="preserve">pct. </w:t>
      </w:r>
      <w:r w:rsidR="00F87529" w:rsidRPr="00827721">
        <w:t xml:space="preserve">29 și 30 din </w:t>
      </w:r>
      <w:r w:rsidR="00BF20FF" w:rsidRPr="00347C70">
        <w:rPr>
          <w:iCs/>
        </w:rPr>
        <w:t>HG 53/2025</w:t>
      </w:r>
      <w:r w:rsidR="009F297D" w:rsidRPr="00827721">
        <w:t>, care permite amestecarea de materii prime sau de combustibili cu caracteristici diferite de durabilitate și de reducere a emisiilor de gaze cu efect de seră.</w:t>
      </w:r>
    </w:p>
    <w:p w14:paraId="21257B37" w14:textId="2ED86384" w:rsidR="009F297D" w:rsidRPr="00827721" w:rsidRDefault="003675FE" w:rsidP="00D832BD">
      <w:pPr>
        <w:pStyle w:val="HGpct1"/>
      </w:pPr>
      <w:r w:rsidRPr="00827721">
        <w:t>Schemele</w:t>
      </w:r>
      <w:r w:rsidR="009F297D" w:rsidRPr="00827721">
        <w:t xml:space="preserve"> voluntare utilizează următoarele norme de aplicare a sistemului de echilibrare a masei:</w:t>
      </w:r>
    </w:p>
    <w:p w14:paraId="5ACD5FCD" w14:textId="77777777" w:rsidR="009F297D" w:rsidRPr="00827721" w:rsidRDefault="009F297D" w:rsidP="00D832BD">
      <w:pPr>
        <w:pStyle w:val="HGsubpct11"/>
      </w:pPr>
      <w:r w:rsidRPr="00827721">
        <w:t>materiile prime sau combustibilii sunt considerați ca făcând parte dintr-un amestec numai dacă sunt amestecați într-un recipient, într-o instalație de prelucrare sau logistică, într-o infrastructură de transport și de distribuție sau într-un amplasament de acest gen;</w:t>
      </w:r>
    </w:p>
    <w:p w14:paraId="702F2E4F" w14:textId="77777777" w:rsidR="009F297D" w:rsidRPr="00827721" w:rsidRDefault="009F297D" w:rsidP="00D832BD">
      <w:pPr>
        <w:pStyle w:val="HGsubpct11"/>
      </w:pPr>
      <w:r w:rsidRPr="00827721">
        <w:t>se consideră că materii prime diferite fac parte dintr-un amestec numai dacă aparțin aceluiași grup de produse, cu excepția cazului în care materiile prime respective sunt amestecate în scopul prelucrării ulterioare;</w:t>
      </w:r>
    </w:p>
    <w:p w14:paraId="6560C5A2" w14:textId="77777777" w:rsidR="009F297D" w:rsidRPr="00827721" w:rsidRDefault="009F297D" w:rsidP="00D832BD">
      <w:pPr>
        <w:pStyle w:val="HGsubpct11"/>
      </w:pPr>
      <w:r w:rsidRPr="00827721">
        <w:t>materiile prime sau combustibilii sunt considerați ca făcând parte dintr-un amestec numai dacă sunt amestecați fizic, cu excepția cazului în care sunt identici din punct de vedere fizic sau aparțin aceluiași grup de produse. În cazul în care materiile prime sau combustibilii sunt identici din punct de vedere fizic sau aparțin aceluiași grup de produse, aceștia trebuie să fie stocați în aceeași infrastructură interconectată, în aceeași instalație de prelucrare sau logistică, în aceeași infrastructură de transport și de distribuție sau în același amplasament de acest gen;</w:t>
      </w:r>
    </w:p>
    <w:p w14:paraId="40C6F952" w14:textId="3E6E7BA5" w:rsidR="009F297D" w:rsidRPr="00827721" w:rsidRDefault="009F297D" w:rsidP="00D832BD">
      <w:pPr>
        <w:pStyle w:val="HGsubpct11"/>
      </w:pPr>
      <w:r w:rsidRPr="00827721">
        <w:t xml:space="preserve">combustibilii introduși într-o instalație logistică sau într-o infrastructură de transport sau de distribuție, cum ar fi rețeaua de gaze sau o rețea de conducte pentru combustibili lichizi, și stocați în instalații de stocare a GNL sau în alte instalații de stocare, sunt considerați ca făcând parte dintr-un amestec în temeiul </w:t>
      </w:r>
      <w:r w:rsidR="002750E9" w:rsidRPr="00827721">
        <w:t>subpct. 80.3</w:t>
      </w:r>
      <w:r w:rsidRPr="00827721">
        <w:t xml:space="preserve"> numai în cazul în care infrastructura respectivă este interconectată;</w:t>
      </w:r>
    </w:p>
    <w:p w14:paraId="01032C09" w14:textId="438AD255" w:rsidR="009F297D" w:rsidRPr="00827721" w:rsidRDefault="009F297D" w:rsidP="00D832BD">
      <w:pPr>
        <w:pStyle w:val="HGsubpct11"/>
      </w:pPr>
      <w:r w:rsidRPr="00827721">
        <w:t xml:space="preserve">operatorii economici țin bilanțuri </w:t>
      </w:r>
      <w:proofErr w:type="spellStart"/>
      <w:r w:rsidRPr="00827721">
        <w:t>masice</w:t>
      </w:r>
      <w:proofErr w:type="spellEnd"/>
      <w:r w:rsidRPr="00827721">
        <w:t xml:space="preserve"> separate pentru materiile prime și combustibilii care nu pot fi considerați ca făcând parte dintr-un amestec. Nu este permis transferul de informații cu privire la caracteristicile și dimensiunile de durabilitate și de reducere a emisiilor de GES între bilanțuri </w:t>
      </w:r>
      <w:proofErr w:type="spellStart"/>
      <w:r w:rsidRPr="00827721">
        <w:t>masice</w:t>
      </w:r>
      <w:proofErr w:type="spellEnd"/>
      <w:r w:rsidRPr="00827721">
        <w:t xml:space="preserve"> diferite. În temeiul </w:t>
      </w:r>
      <w:r w:rsidR="00D53CDF" w:rsidRPr="00827721">
        <w:t>subpct. 80.1-80.3,</w:t>
      </w:r>
      <w:r w:rsidRPr="00827721">
        <w:t xml:space="preserve"> materiile prime din cadrul instalațiilor de producție a </w:t>
      </w:r>
      <w:r w:rsidR="008A23DF" w:rsidRPr="00827721">
        <w:t>biocarburanților</w:t>
      </w:r>
      <w:r w:rsidRPr="00827721">
        <w:t xml:space="preserve">, a biolichidelor sau a combustibililor din biomasă sunt considerate ca făcând parte dintr-un amestec. Prin urmare, cerința de a ține bilanțuri </w:t>
      </w:r>
      <w:proofErr w:type="spellStart"/>
      <w:r w:rsidRPr="00827721">
        <w:t>masice</w:t>
      </w:r>
      <w:proofErr w:type="spellEnd"/>
      <w:r w:rsidRPr="00827721">
        <w:t xml:space="preserve"> separate nu se aplică acestor instalații și poate fi întocmit doar un singur bilanț </w:t>
      </w:r>
      <w:proofErr w:type="spellStart"/>
      <w:r w:rsidRPr="00827721">
        <w:t>masic</w:t>
      </w:r>
      <w:proofErr w:type="spellEnd"/>
      <w:r w:rsidRPr="00827721">
        <w:t>;</w:t>
      </w:r>
    </w:p>
    <w:p w14:paraId="6242AB15" w14:textId="77777777" w:rsidR="009F297D" w:rsidRPr="00827721" w:rsidRDefault="009F297D" w:rsidP="00D832BD">
      <w:pPr>
        <w:pStyle w:val="HGsubpct11"/>
      </w:pPr>
      <w:r w:rsidRPr="00827721">
        <w:lastRenderedPageBreak/>
        <w:t>sistemul de echilibrare a masei include informații cu privire la durabilitate, caracteristicile emisiilor de GES și cantitățile de materii prime și de combustibili, inclusiv informații cu privire la cantitățile de materii prime și de combustibili pentru care nu au fost determinate caracteristicile de durabilitate sau de reducere a emisiilor de GES;</w:t>
      </w:r>
    </w:p>
    <w:p w14:paraId="78AA932F" w14:textId="3FB3E7FC" w:rsidR="009F297D" w:rsidRPr="00827721" w:rsidRDefault="009F297D" w:rsidP="00D832BD">
      <w:pPr>
        <w:pStyle w:val="HGsubpct11"/>
      </w:pPr>
      <w:r w:rsidRPr="00827721">
        <w:t xml:space="preserve">în cazul în care un lot de materii prime sau de combustibili este livrat unui operator economic care nu participă la </w:t>
      </w:r>
      <w:r w:rsidR="005818DE" w:rsidRPr="00827721">
        <w:t>o schemă voluntară</w:t>
      </w:r>
      <w:r w:rsidRPr="00827721">
        <w:t xml:space="preserve"> sau național</w:t>
      </w:r>
      <w:r w:rsidR="005818DE" w:rsidRPr="00827721">
        <w:t>ă</w:t>
      </w:r>
      <w:r w:rsidRPr="00827721">
        <w:t xml:space="preserve">, livrarea se reflectă în bilanțul </w:t>
      </w:r>
      <w:proofErr w:type="spellStart"/>
      <w:r w:rsidRPr="00827721">
        <w:t>masic</w:t>
      </w:r>
      <w:proofErr w:type="spellEnd"/>
      <w:r w:rsidRPr="00827721">
        <w:t xml:space="preserve"> prin eliminarea unei cantități echivalente de materie primă sau de combustibil. Tipul de combustibil care urmează să fie rezervat corespunde naturii fizice a materiei prime sau a combustibilului livrat;</w:t>
      </w:r>
    </w:p>
    <w:p w14:paraId="46901855" w14:textId="4E3BB32F" w:rsidR="009F297D" w:rsidRPr="00827721" w:rsidRDefault="009F297D" w:rsidP="00D832BD">
      <w:pPr>
        <w:pStyle w:val="HGsubpct11"/>
      </w:pPr>
      <w:r w:rsidRPr="00827721">
        <w:t xml:space="preserve">în cazul în care un lot de combustibil este utilizat pentru a respecta o obligație impusă unui furnizor de combustibil de către </w:t>
      </w:r>
      <w:r w:rsidR="003A2A59">
        <w:t>grupul de lucru</w:t>
      </w:r>
      <w:r w:rsidRPr="00827721">
        <w:t xml:space="preserve">, se consideră că acesta este eliminat din bilanțul </w:t>
      </w:r>
      <w:proofErr w:type="spellStart"/>
      <w:r w:rsidRPr="00827721">
        <w:t>masic</w:t>
      </w:r>
      <w:proofErr w:type="spellEnd"/>
      <w:r w:rsidRPr="00827721">
        <w:t xml:space="preserve"> al amestecului;</w:t>
      </w:r>
    </w:p>
    <w:p w14:paraId="5585E5C4" w14:textId="6355EBD6" w:rsidR="009F297D" w:rsidRPr="00827721" w:rsidRDefault="009F297D" w:rsidP="00D832BD">
      <w:pPr>
        <w:pStyle w:val="HGsubpct11"/>
      </w:pPr>
      <w:r w:rsidRPr="00827721">
        <w:t xml:space="preserve">în cazul în care </w:t>
      </w:r>
      <w:r w:rsidR="008A23DF" w:rsidRPr="00827721">
        <w:t>biocarburanții</w:t>
      </w:r>
      <w:r w:rsidRPr="00827721">
        <w:t xml:space="preserve">, biolichidele sau combustibilii din biomasă sunt amestecați cu combustibili fosili, informațiile cu privire la caracteristicile de durabilitate și de reducere a emisiilor de GES atribuite amestecului trebuie să corespundă ponderii fizice a </w:t>
      </w:r>
      <w:r w:rsidR="008A23DF" w:rsidRPr="00827721">
        <w:t>biocarburanților</w:t>
      </w:r>
      <w:r w:rsidRPr="00827721">
        <w:t xml:space="preserve">, a biolichidelor sau a combustibililor din biomasă din amestec. Pentru </w:t>
      </w:r>
      <w:r w:rsidR="008A23DF" w:rsidRPr="00827721">
        <w:t>biocarburanți</w:t>
      </w:r>
      <w:r w:rsidRPr="00827721">
        <w:t xml:space="preserve"> și biolichide, </w:t>
      </w:r>
      <w:r w:rsidR="003A2A59">
        <w:t>grupul de lucru</w:t>
      </w:r>
      <w:r w:rsidRPr="00827721">
        <w:t xml:space="preserve"> verific</w:t>
      </w:r>
      <w:r w:rsidR="00285F00" w:rsidRPr="00827721">
        <w:t>ă</w:t>
      </w:r>
      <w:r w:rsidRPr="00827721">
        <w:t xml:space="preserve"> veridicitatea acestor informații și în conformitate cu </w:t>
      </w:r>
      <w:r w:rsidR="000D2B66" w:rsidRPr="00827721">
        <w:t>secțiunea a 5-a din prezentul capitol</w:t>
      </w:r>
      <w:r w:rsidRPr="00827721">
        <w:t>;</w:t>
      </w:r>
    </w:p>
    <w:p w14:paraId="66A2D002" w14:textId="218D31D3" w:rsidR="009F297D" w:rsidRPr="00827721" w:rsidRDefault="009F297D" w:rsidP="00D832BD">
      <w:pPr>
        <w:pStyle w:val="HGsubpct11"/>
      </w:pPr>
      <w:r w:rsidRPr="00827721">
        <w:t>caracteristicile de durabilitate și de reducere a emisiilor de GES ale unui lot de materii prime sau de combustibili sunt considerate ca fiind un set. În cazul în care loturile sunt retrase dintr-un amestec, se</w:t>
      </w:r>
      <w:r w:rsidR="00347F36" w:rsidRPr="00827721">
        <w:t xml:space="preserve"> </w:t>
      </w:r>
      <w:r w:rsidRPr="00827721">
        <w:t>atribui</w:t>
      </w:r>
      <w:r w:rsidR="00347F36" w:rsidRPr="00827721">
        <w:t>e</w:t>
      </w:r>
      <w:r w:rsidRPr="00827721">
        <w:t xml:space="preserve"> oricare dintre seturile de caracteristici de durabilitate, cu condiția ca seturile de caracteristici de durabilitate și de reducere a emisiilor de GES să nu fie divizate, iar echilibrul </w:t>
      </w:r>
      <w:proofErr w:type="spellStart"/>
      <w:r w:rsidRPr="00827721">
        <w:t>masic</w:t>
      </w:r>
      <w:proofErr w:type="spellEnd"/>
      <w:r w:rsidRPr="00827721">
        <w:t xml:space="preserve"> să fie atins pe parcursul perioadei corespunzătoare;</w:t>
      </w:r>
    </w:p>
    <w:p w14:paraId="6A81223D" w14:textId="77777777" w:rsidR="009F297D" w:rsidRPr="00827721" w:rsidRDefault="009F297D" w:rsidP="00D832BD">
      <w:pPr>
        <w:pStyle w:val="HGsubpct11"/>
      </w:pPr>
      <w:r w:rsidRPr="00827721">
        <w:t>în cazul în care acest lucru este relevant din motive de transparență, sistemul de echilibrare a masei include informații din care să reiasă dacă producerea combustibilului sau a precursorului combustibilului a beneficiat de sprijin și, în caz afirmativ, tipul de sprijin;</w:t>
      </w:r>
    </w:p>
    <w:p w14:paraId="785311DD" w14:textId="3514C77E" w:rsidR="009F297D" w:rsidRPr="00827721" w:rsidRDefault="009F297D" w:rsidP="00D832BD">
      <w:pPr>
        <w:pStyle w:val="HGsubpct11"/>
      </w:pPr>
      <w:r w:rsidRPr="00827721">
        <w:t xml:space="preserve">perioada corespunzătoare pentru atingerea echilibrului </w:t>
      </w:r>
      <w:proofErr w:type="spellStart"/>
      <w:r w:rsidRPr="00827721">
        <w:t>masic</w:t>
      </w:r>
      <w:proofErr w:type="spellEnd"/>
      <w:r w:rsidRPr="00827721">
        <w:t xml:space="preserve"> este de 12 luni pentru producătorii de biomasă agricolă și de biomasă forestieră și pentru primele puncte de colectare care se aprovizionează numai cu biomasă agricolă și biomasă forestieră și de trei luni pentru toți ceilalți operatori economici. Începutul și sfârșitul perioadei trebuie aliniate la anul calendaristic sau, după caz, la cele patru trimestre ale anului calendaristic. Ca alternativă la anul calendaristic, operatorii economici pot </w:t>
      </w:r>
      <w:r w:rsidRPr="00827721">
        <w:lastRenderedPageBreak/>
        <w:t xml:space="preserve">utiliza fie anul economic pe care îl utilizează în scopuri contabile, fie un alt punct de plecare pentru perioada bilanțului </w:t>
      </w:r>
      <w:proofErr w:type="spellStart"/>
      <w:r w:rsidRPr="00827721">
        <w:t>masic</w:t>
      </w:r>
      <w:proofErr w:type="spellEnd"/>
      <w:r w:rsidRPr="00827721">
        <w:t xml:space="preserve">, cu condiția ca opțiunea să fie indicată în mod clar și aplicată în mod coerent. La sfârșitul perioadei de bilanț </w:t>
      </w:r>
      <w:proofErr w:type="spellStart"/>
      <w:r w:rsidRPr="00827721">
        <w:t>masic</w:t>
      </w:r>
      <w:proofErr w:type="spellEnd"/>
      <w:r w:rsidRPr="00827721">
        <w:t>, datele privind caracteristicile de durabilitate reportate trebui</w:t>
      </w:r>
      <w:r w:rsidR="003D01C1" w:rsidRPr="00827721">
        <w:t>e</w:t>
      </w:r>
      <w:r w:rsidRPr="00827721">
        <w:t xml:space="preserve"> să fie echivalente cu stocul fizic din recipient, din instalația de prelucrare sau logistică, din infrastructura de transport și de distribuție sau din amplasamentul respectiv;</w:t>
      </w:r>
    </w:p>
    <w:p w14:paraId="6008731E" w14:textId="4051C0F0" w:rsidR="009F297D" w:rsidRPr="00827721" w:rsidRDefault="003675FE" w:rsidP="00D832BD">
      <w:pPr>
        <w:pStyle w:val="HGsubpct11"/>
      </w:pPr>
      <w:r w:rsidRPr="00827721">
        <w:t>schemele</w:t>
      </w:r>
      <w:r w:rsidR="009F297D" w:rsidRPr="00827721">
        <w:t xml:space="preserve"> voluntare specifică setul minim de caracteristici de durabilitate și de reducere a emisiilor de GES, în conformitate cu </w:t>
      </w:r>
      <w:r w:rsidR="00642348" w:rsidRPr="00827721">
        <w:t>anexa nr. 1</w:t>
      </w:r>
      <w:r w:rsidR="009F297D" w:rsidRPr="00827721">
        <w:t xml:space="preserve">, care trebuie să fie transmise </w:t>
      </w:r>
      <w:r w:rsidR="007B3D0B" w:rsidRPr="00827721">
        <w:t>pe întregul</w:t>
      </w:r>
      <w:r w:rsidR="009F297D" w:rsidRPr="00827721">
        <w:t xml:space="preserve"> lanț de aprovizionare, precum și alte informații necesare pentru urmărirea loturilor. În cazul combustibililor lichizi sau gazoși introduși într-o infrastructură interconectată și supuși aceluiași sistem de echilibrare a masei, caracteristicile respective de durabilitate și de reducere a emisiilor de GES se atribuie loturilor care intră și ies din infrastructura interconectată. </w:t>
      </w:r>
      <w:r w:rsidRPr="00827721">
        <w:t>Schemele</w:t>
      </w:r>
      <w:r w:rsidR="009F297D" w:rsidRPr="00827721">
        <w:t xml:space="preserve"> voluntare garantează</w:t>
      </w:r>
      <w:r w:rsidR="0098600B" w:rsidRPr="00827721">
        <w:t xml:space="preserve"> </w:t>
      </w:r>
      <w:r w:rsidR="009F297D" w:rsidRPr="00827721">
        <w:t xml:space="preserve">introducerea corectă de către operatorii economici în </w:t>
      </w:r>
      <w:r w:rsidR="000D434D" w:rsidRPr="00827721">
        <w:t>Registru de biocarburanți</w:t>
      </w:r>
      <w:r w:rsidR="003718A3" w:rsidRPr="00827721">
        <w:t xml:space="preserve"> </w:t>
      </w:r>
      <w:r w:rsidR="009F297D" w:rsidRPr="00827721">
        <w:t>a tuturor informațiilor relevante.</w:t>
      </w:r>
    </w:p>
    <w:p w14:paraId="04E056EB" w14:textId="11829543" w:rsidR="0044529E" w:rsidRPr="00827721" w:rsidRDefault="0044529E" w:rsidP="00FD5A9B">
      <w:pPr>
        <w:pStyle w:val="Sectiune"/>
      </w:pPr>
      <w:r w:rsidRPr="00827721">
        <w:t>Secțiunea a 3-a</w:t>
      </w:r>
    </w:p>
    <w:p w14:paraId="3BEBF566" w14:textId="1B6390A8" w:rsidR="00F67406" w:rsidRPr="00827721" w:rsidRDefault="00F67406" w:rsidP="00FD5A9B">
      <w:pPr>
        <w:pStyle w:val="Sectiune"/>
      </w:pPr>
      <w:r w:rsidRPr="00827721">
        <w:t xml:space="preserve">Determinarea emisiilor de GES ale </w:t>
      </w:r>
      <w:r w:rsidR="008A23DF" w:rsidRPr="00827721">
        <w:t>biocarburanților</w:t>
      </w:r>
      <w:r w:rsidRPr="00827721">
        <w:t>, ale combustibililor din biomasă și ale biolichidelor</w:t>
      </w:r>
    </w:p>
    <w:p w14:paraId="23FBA2D3" w14:textId="449391FB" w:rsidR="00F67406" w:rsidRPr="00827721" w:rsidRDefault="003675FE" w:rsidP="00D832BD">
      <w:pPr>
        <w:pStyle w:val="HGpct1"/>
      </w:pPr>
      <w:r w:rsidRPr="00827721">
        <w:t>Schemele</w:t>
      </w:r>
      <w:r w:rsidR="00F67406" w:rsidRPr="00827721">
        <w:t xml:space="preserve"> voluntare impun operatorilor economici să aplice metodologia prevăzută la </w:t>
      </w:r>
      <w:r w:rsidR="00E42016" w:rsidRPr="00827721">
        <w:t xml:space="preserve">pct. 5 </w:t>
      </w:r>
      <w:r w:rsidR="00A7586C" w:rsidRPr="00827721">
        <w:t>din</w:t>
      </w:r>
      <w:r w:rsidR="00265F8C" w:rsidRPr="00827721">
        <w:t xml:space="preserve"> anexa nr.</w:t>
      </w:r>
      <w:r w:rsidR="00273B60" w:rsidRPr="00827721">
        <w:t xml:space="preserve"> </w:t>
      </w:r>
      <w:r w:rsidR="00265F8C" w:rsidRPr="00827721">
        <w:t>2</w:t>
      </w:r>
      <w:r w:rsidR="00C8177E" w:rsidRPr="00827721">
        <w:t xml:space="preserve"> </w:t>
      </w:r>
      <w:r w:rsidR="00BF20FF">
        <w:t xml:space="preserve">din </w:t>
      </w:r>
      <w:r w:rsidR="00BF20FF" w:rsidRPr="00347C70">
        <w:rPr>
          <w:iCs/>
        </w:rPr>
        <w:t>HG 53/2025</w:t>
      </w:r>
      <w:r w:rsidR="00A7586C" w:rsidRPr="00827721">
        <w:rPr>
          <w:iCs/>
        </w:rPr>
        <w:t xml:space="preserve"> </w:t>
      </w:r>
      <w:r w:rsidR="00F67406" w:rsidRPr="00827721">
        <w:t xml:space="preserve">atunci când determină emisiile de GES ale </w:t>
      </w:r>
      <w:r w:rsidR="008A23DF" w:rsidRPr="00827721">
        <w:t>biocarburanților</w:t>
      </w:r>
      <w:r w:rsidR="00F67406" w:rsidRPr="00827721">
        <w:t>, ale biolichidelor și ale combustibililor din biomasă.</w:t>
      </w:r>
    </w:p>
    <w:p w14:paraId="741EF8AC" w14:textId="43A2E0E6" w:rsidR="00F67406" w:rsidRPr="00827721" w:rsidRDefault="00F67406" w:rsidP="00D832BD">
      <w:pPr>
        <w:pStyle w:val="HGpct1"/>
      </w:pPr>
      <w:r w:rsidRPr="00827721">
        <w:t xml:space="preserve">În scopul determinării emisiilor de GES ale </w:t>
      </w:r>
      <w:r w:rsidR="008A23DF" w:rsidRPr="00827721">
        <w:t>biocarburanților</w:t>
      </w:r>
      <w:r w:rsidRPr="00827721">
        <w:t xml:space="preserve">, ale biolichidelor și ale combustibililor din biomasă menționați la </w:t>
      </w:r>
      <w:r w:rsidR="0033534F" w:rsidRPr="00827721">
        <w:t>pct. 81</w:t>
      </w:r>
      <w:r w:rsidRPr="00827721">
        <w:t>, se aplică următoarele norme specifice:</w:t>
      </w:r>
    </w:p>
    <w:p w14:paraId="61560003" w14:textId="5A9AAF25" w:rsidR="00F67406" w:rsidRPr="00827721" w:rsidRDefault="00F67406" w:rsidP="00D832BD">
      <w:pPr>
        <w:pStyle w:val="HGsubpct11"/>
      </w:pPr>
      <w:r w:rsidRPr="00827721">
        <w:t xml:space="preserve">atunci când se iau în considerare emisiile de GES ale intrărilor, în cazul în care se utilizează valori standard ale factorilor de emisie, se aplică valorile specificate în anexa </w:t>
      </w:r>
      <w:r w:rsidR="0033534F" w:rsidRPr="00827721">
        <w:t>nr. 9</w:t>
      </w:r>
      <w:r w:rsidRPr="00827721">
        <w:t>;</w:t>
      </w:r>
    </w:p>
    <w:p w14:paraId="151E5A9E" w14:textId="7B3E053D" w:rsidR="00F67406" w:rsidRPr="00827721" w:rsidRDefault="00F67406" w:rsidP="00D832BD">
      <w:pPr>
        <w:pStyle w:val="HGsubpct11"/>
      </w:pPr>
      <w:r w:rsidRPr="00827721">
        <w:t xml:space="preserve">pentru determinarea emisiilor provenite din extracția sau cultivarea materiilor prime, se aplică metodologia specificată în anexa </w:t>
      </w:r>
      <w:r w:rsidR="0033534F" w:rsidRPr="00827721">
        <w:t>nr. 7</w:t>
      </w:r>
      <w:r w:rsidRPr="00827721">
        <w:t>;</w:t>
      </w:r>
    </w:p>
    <w:p w14:paraId="6BAEEA40" w14:textId="155BFD75" w:rsidR="00F67406" w:rsidRPr="00827721" w:rsidRDefault="00F67406" w:rsidP="00D832BD">
      <w:pPr>
        <w:pStyle w:val="HGsubpct11"/>
      </w:pPr>
      <w:r w:rsidRPr="00827721">
        <w:t>pentru determinarea reducerilor de emisii datorate acumulării carbonului în sol prin intermediul unui mai bun management agricol (</w:t>
      </w:r>
      <w:proofErr w:type="spellStart"/>
      <w:r w:rsidRPr="00827721">
        <w:t>e</w:t>
      </w:r>
      <w:r w:rsidRPr="00827721">
        <w:rPr>
          <w:vertAlign w:val="subscript"/>
        </w:rPr>
        <w:t>sca</w:t>
      </w:r>
      <w:proofErr w:type="spellEnd"/>
      <w:r w:rsidRPr="00827721">
        <w:t xml:space="preserve">), se aplică metodologia specificată în anexa </w:t>
      </w:r>
      <w:r w:rsidR="007D7D94" w:rsidRPr="00827721">
        <w:t>nr. 5</w:t>
      </w:r>
      <w:r w:rsidRPr="00827721">
        <w:t>.</w:t>
      </w:r>
    </w:p>
    <w:p w14:paraId="0F25DECD" w14:textId="33B7A1A5" w:rsidR="00F67406" w:rsidRPr="00827721" w:rsidRDefault="00E6593B" w:rsidP="00D832BD">
      <w:pPr>
        <w:pStyle w:val="HGpct1"/>
      </w:pPr>
      <w:r w:rsidRPr="00827721">
        <w:t>La solicitare</w:t>
      </w:r>
      <w:r w:rsidR="00A548FC" w:rsidRPr="00827721">
        <w:t xml:space="preserve"> Secretariatului Comunității Energetice</w:t>
      </w:r>
      <w:r w:rsidRPr="00827721">
        <w:t xml:space="preserve">, </w:t>
      </w:r>
      <w:r w:rsidR="003F4706" w:rsidRPr="00827721">
        <w:t>IP CNED</w:t>
      </w:r>
      <w:r w:rsidR="00F67406" w:rsidRPr="00827721">
        <w:t xml:space="preserve"> prez</w:t>
      </w:r>
      <w:r w:rsidR="00E253F6">
        <w:t>i</w:t>
      </w:r>
      <w:r w:rsidR="00F67406" w:rsidRPr="00827721">
        <w:t>nt</w:t>
      </w:r>
      <w:r w:rsidR="00A3058A" w:rsidRPr="00827721">
        <w:t xml:space="preserve">ă </w:t>
      </w:r>
      <w:r w:rsidR="00F67406" w:rsidRPr="00827721">
        <w:t>valori</w:t>
      </w:r>
      <w:r w:rsidR="003274A4" w:rsidRPr="00827721">
        <w:t>le</w:t>
      </w:r>
      <w:r w:rsidR="00F67406" w:rsidRPr="00827721">
        <w:t xml:space="preserve"> actualizate ale factorilor de emisie din mixul național de energie electrică</w:t>
      </w:r>
      <w:r w:rsidR="00494CA1" w:rsidRPr="00827721">
        <w:t>,</w:t>
      </w:r>
      <w:r w:rsidR="00F67406" w:rsidRPr="00827721">
        <w:t xml:space="preserve"> </w:t>
      </w:r>
      <w:r w:rsidR="00EC7052" w:rsidRPr="00827721">
        <w:t>în vederea luării acestora în considerare la actualizarea factorilor de emisie corespunzător</w:t>
      </w:r>
      <w:r w:rsidR="00494CA1" w:rsidRPr="00827721">
        <w:t>,</w:t>
      </w:r>
      <w:r w:rsidR="00EC7052" w:rsidRPr="00827721">
        <w:t xml:space="preserve"> </w:t>
      </w:r>
      <w:r w:rsidR="00F67406" w:rsidRPr="00827721">
        <w:t xml:space="preserve">specificați în anexa </w:t>
      </w:r>
      <w:r w:rsidR="00903327" w:rsidRPr="00827721">
        <w:t>nr. 9</w:t>
      </w:r>
      <w:r w:rsidR="00F67406" w:rsidRPr="00827721">
        <w:t xml:space="preserve">. </w:t>
      </w:r>
    </w:p>
    <w:p w14:paraId="6AF860BA" w14:textId="6B05039C" w:rsidR="00F67406" w:rsidRPr="00827721" w:rsidRDefault="00F67406" w:rsidP="00D832BD">
      <w:pPr>
        <w:pStyle w:val="HGpct1"/>
      </w:pPr>
      <w:r w:rsidRPr="00827721">
        <w:lastRenderedPageBreak/>
        <w:t>Reducerile emisiilor prin captarea și stocarea geologică a CO</w:t>
      </w:r>
      <w:r w:rsidRPr="007F44AF">
        <w:rPr>
          <w:vertAlign w:val="subscript"/>
        </w:rPr>
        <w:t>2</w:t>
      </w:r>
      <w:r w:rsidRPr="00827721">
        <w:t xml:space="preserve"> </w:t>
      </w:r>
      <w:r w:rsidR="00A86E4B" w:rsidRPr="00827721">
        <w:t xml:space="preserve">se iau </w:t>
      </w:r>
      <w:r w:rsidRPr="00827721">
        <w:t>în considerare numai în cazul în care există dovezi valabile că CO</w:t>
      </w:r>
      <w:r w:rsidRPr="007F44AF">
        <w:rPr>
          <w:vertAlign w:val="subscript"/>
        </w:rPr>
        <w:t>2</w:t>
      </w:r>
      <w:r w:rsidRPr="00827721">
        <w:t xml:space="preserve"> a fost captat în mod eficace și stocat în condiții de siguranță, în conformitate cu</w:t>
      </w:r>
      <w:r w:rsidR="006B5E31" w:rsidRPr="00827721">
        <w:t xml:space="preserve"> </w:t>
      </w:r>
      <w:r w:rsidR="00627DA5" w:rsidRPr="00827721">
        <w:t>condițiile stabilite în legile și alte acte normative în domeniu</w:t>
      </w:r>
      <w:r w:rsidRPr="00827721">
        <w:t>. În cazul în care CO</w:t>
      </w:r>
      <w:r w:rsidRPr="007F44AF">
        <w:rPr>
          <w:vertAlign w:val="subscript"/>
        </w:rPr>
        <w:t>2</w:t>
      </w:r>
      <w:r w:rsidRPr="00827721">
        <w:t xml:space="preserve"> este stocat geologic, </w:t>
      </w:r>
      <w:r w:rsidR="003675FE" w:rsidRPr="00827721">
        <w:t>schemele</w:t>
      </w:r>
      <w:r w:rsidRPr="00827721">
        <w:t xml:space="preserve"> voluntare verifică dovezile furnizate cu privire la integritatea amplasamentului de stocare și la volumul de CO</w:t>
      </w:r>
      <w:r w:rsidRPr="007F44AF">
        <w:rPr>
          <w:vertAlign w:val="subscript"/>
        </w:rPr>
        <w:t>2</w:t>
      </w:r>
      <w:r w:rsidRPr="00827721">
        <w:t xml:space="preserve"> stocat. În cazul în care o parte terță efectuează transportul sau stocarea geologică, dovada stocării poate fi furnizată prin intermediul contractelor relevante încheiate cu partea terță respectivă și al facturilor acesteia.</w:t>
      </w:r>
    </w:p>
    <w:p w14:paraId="1A025C4F" w14:textId="380A080F" w:rsidR="00B210E6" w:rsidRPr="00827721" w:rsidRDefault="00B210E6" w:rsidP="00FD5A9B">
      <w:pPr>
        <w:pStyle w:val="Sectiune"/>
      </w:pPr>
      <w:r w:rsidRPr="00827721">
        <w:t>Secțiunea a 4-a</w:t>
      </w:r>
    </w:p>
    <w:p w14:paraId="3E832399" w14:textId="756DD1DD" w:rsidR="00237841" w:rsidRPr="00827721" w:rsidRDefault="00B47C93" w:rsidP="00FD5A9B">
      <w:pPr>
        <w:pStyle w:val="Sectiune"/>
      </w:pPr>
      <w:r w:rsidRPr="00827721">
        <w:t>Norme specifice privind deșeurile și reziduurile</w:t>
      </w:r>
      <w:r w:rsidR="00724EC3" w:rsidRPr="00827721">
        <w:t xml:space="preserve">, </w:t>
      </w:r>
      <w:r w:rsidR="001E3C5C" w:rsidRPr="00827721">
        <w:t>combustibilii pe bază de carbon reciclat și combustibilii de origine nebiologică produși din surse regenerabile</w:t>
      </w:r>
    </w:p>
    <w:p w14:paraId="0E560673" w14:textId="70112D37" w:rsidR="00B47C93" w:rsidRPr="00827721" w:rsidRDefault="003675FE" w:rsidP="00D832BD">
      <w:pPr>
        <w:pStyle w:val="HGpct1"/>
      </w:pPr>
      <w:r w:rsidRPr="00827721">
        <w:t>Schemele</w:t>
      </w:r>
      <w:r w:rsidR="00B47C93" w:rsidRPr="00827721">
        <w:t xml:space="preserve"> voluntare aplică normele specifice și derogările pentru deșeuri și reziduuri prevăzute în </w:t>
      </w:r>
      <w:r w:rsidR="00BF20FF" w:rsidRPr="00347C70">
        <w:rPr>
          <w:iCs/>
        </w:rPr>
        <w:t>HG 53/2025</w:t>
      </w:r>
      <w:r w:rsidR="00106A67" w:rsidRPr="00827721" w:rsidDel="00106A67">
        <w:t xml:space="preserve"> </w:t>
      </w:r>
      <w:r w:rsidR="00B47C93" w:rsidRPr="00827721">
        <w:t xml:space="preserve">numai în cazul în care materiile prime intră în domeniul de aplicare al definițiilor corespunzătoare de la </w:t>
      </w:r>
      <w:r w:rsidR="00E93898" w:rsidRPr="00827721">
        <w:t>pct. 2</w:t>
      </w:r>
      <w:r w:rsidR="00B47C93" w:rsidRPr="00827721">
        <w:t xml:space="preserve"> </w:t>
      </w:r>
      <w:r w:rsidR="00902F15" w:rsidRPr="00827721">
        <w:t xml:space="preserve">din anexa nr. 1 la </w:t>
      </w:r>
      <w:r w:rsidR="00C72EEB" w:rsidRPr="00C72EEB">
        <w:rPr>
          <w:iCs/>
        </w:rPr>
        <w:t>HG 53/2025</w:t>
      </w:r>
      <w:r w:rsidR="00C72EEB">
        <w:rPr>
          <w:iCs/>
        </w:rPr>
        <w:t>.</w:t>
      </w:r>
    </w:p>
    <w:p w14:paraId="2504514E" w14:textId="6ECEFFD4" w:rsidR="00B47C93" w:rsidRPr="00827721" w:rsidRDefault="00B47C93" w:rsidP="00D832BD">
      <w:pPr>
        <w:pStyle w:val="HGpct1"/>
      </w:pPr>
      <w:r w:rsidRPr="00827721">
        <w:t>Calitatea de deșeu sau reziduu a unei materii prime se determină în punctul din lanțul de aprovizionare de la care provine aceasta. Materiile prime nu sunt considerate deșeuri sau reziduuri în cazul în care au fost modificate sau procesul de producere a acestora a fost modificat în mod deliberat în scopul declarării respectivelor materii prime drept deșeuri sau reziduuri.</w:t>
      </w:r>
    </w:p>
    <w:p w14:paraId="41FE80D2" w14:textId="43F22FFC" w:rsidR="00B47C93" w:rsidRPr="00827721" w:rsidRDefault="00B47C93" w:rsidP="00D832BD">
      <w:pPr>
        <w:pStyle w:val="HGpct1"/>
      </w:pPr>
      <w:r w:rsidRPr="00827721">
        <w:t xml:space="preserve">Deșeurile și reziduurile enumerate în anexa </w:t>
      </w:r>
      <w:r w:rsidR="00591E05" w:rsidRPr="00827721">
        <w:t xml:space="preserve">nr. 4 </w:t>
      </w:r>
      <w:r w:rsidRPr="00827721">
        <w:t>nu sunt considerate deșeuri sau reziduuri în cazul în care au fost modificate în mod deliberat pentru a fi declarate deșeuri sau reziduuri.</w:t>
      </w:r>
    </w:p>
    <w:p w14:paraId="41CCE321" w14:textId="343F7350" w:rsidR="00B47C93" w:rsidRPr="00827721" w:rsidRDefault="003675FE" w:rsidP="00D832BD">
      <w:pPr>
        <w:pStyle w:val="HGpct1"/>
      </w:pPr>
      <w:r w:rsidRPr="00827721">
        <w:t>Schemele</w:t>
      </w:r>
      <w:r w:rsidR="00B47C93" w:rsidRPr="00827721">
        <w:t xml:space="preserve"> voluntare oferă operatorilor economici instrucțiuni și sprijin pentru ca aceștia să poată aprecia dacă materiile prime sunt considerate deșeuri și reziduuri. Operatorii economici păstrează și prezintă auditorilor dovezile care stau la baza aprecierilor lor. </w:t>
      </w:r>
      <w:r w:rsidRPr="00827721">
        <w:t>Schemele</w:t>
      </w:r>
      <w:r w:rsidR="00B47C93" w:rsidRPr="00827721">
        <w:t xml:space="preserve"> voluntare stabilesc norme specifice pentru auditarea acestor dovezi.</w:t>
      </w:r>
    </w:p>
    <w:p w14:paraId="5E321C95" w14:textId="56E38ECF" w:rsidR="00B47C93" w:rsidRPr="00827721" w:rsidRDefault="00B47C93" w:rsidP="00D832BD">
      <w:pPr>
        <w:pStyle w:val="HGpct1"/>
      </w:pPr>
      <w:r w:rsidRPr="00827721">
        <w:t xml:space="preserve">În scopul respectării cerințelor prevăzute la </w:t>
      </w:r>
      <w:r w:rsidR="006567E1" w:rsidRPr="00827721">
        <w:t>pct. 15 din anexa nr. 1 la</w:t>
      </w:r>
      <w:r w:rsidR="00DB7E83" w:rsidRPr="00827721">
        <w:t xml:space="preserve"> </w:t>
      </w:r>
      <w:r w:rsidR="00C72EEB" w:rsidRPr="00C72EEB">
        <w:rPr>
          <w:iCs/>
        </w:rPr>
        <w:t>HG 53/2025</w:t>
      </w:r>
      <w:r w:rsidRPr="00827721">
        <w:t xml:space="preserve">, </w:t>
      </w:r>
      <w:r w:rsidR="003675FE" w:rsidRPr="00827721">
        <w:t>schemele</w:t>
      </w:r>
      <w:r w:rsidRPr="00827721">
        <w:t xml:space="preserve"> voluntare verifică dacă recoltarea deșeurilor și a reziduurilor agricole nu are un impact negativ asupra calității solului și a stocului de carbon din sol. Această verificare asigură aplicarea pe terenuri a unui set relevant de practici esențiale de gestionare sau de monitorizare a solului pentru a promova sechestrarea carbonului în sol și calitatea solului, în conformitate cu anexa </w:t>
      </w:r>
      <w:r w:rsidR="00DB7E83" w:rsidRPr="00827721">
        <w:t xml:space="preserve">nr. </w:t>
      </w:r>
      <w:r w:rsidR="00FC2D63" w:rsidRPr="00827721">
        <w:t>6</w:t>
      </w:r>
      <w:r w:rsidRPr="00827721">
        <w:t>.</w:t>
      </w:r>
    </w:p>
    <w:p w14:paraId="69E57118" w14:textId="3F7ABC34" w:rsidR="00B47C93" w:rsidRPr="00827721" w:rsidRDefault="00B47C93" w:rsidP="00D832BD">
      <w:pPr>
        <w:pStyle w:val="HGpct1"/>
      </w:pPr>
      <w:r w:rsidRPr="00827721">
        <w:lastRenderedPageBreak/>
        <w:t xml:space="preserve">Aplicarea practicilor menționate la </w:t>
      </w:r>
      <w:r w:rsidR="007455E6" w:rsidRPr="00827721">
        <w:t>pct. 89</w:t>
      </w:r>
      <w:r w:rsidRPr="00827721">
        <w:t xml:space="preserve"> </w:t>
      </w:r>
      <w:r w:rsidR="00E44F9A" w:rsidRPr="00827721">
        <w:t xml:space="preserve">se </w:t>
      </w:r>
      <w:r w:rsidRPr="00827721">
        <w:t xml:space="preserve">solicitată și </w:t>
      </w:r>
      <w:r w:rsidR="00E44F9A" w:rsidRPr="00827721">
        <w:t xml:space="preserve">se </w:t>
      </w:r>
      <w:r w:rsidRPr="00827721">
        <w:t>monitoriz</w:t>
      </w:r>
      <w:r w:rsidR="00E44F9A" w:rsidRPr="00827721">
        <w:t>ează</w:t>
      </w:r>
      <w:r w:rsidRPr="00827721">
        <w:t xml:space="preserve"> la nivel național</w:t>
      </w:r>
      <w:r w:rsidR="006D065E" w:rsidRPr="00827721">
        <w:t xml:space="preserve"> sau</w:t>
      </w:r>
      <w:r w:rsidRPr="00827721">
        <w:t xml:space="preserve"> la nivelul operatorilor economici. La nivel național, </w:t>
      </w:r>
      <w:r w:rsidR="003675FE" w:rsidRPr="00827721">
        <w:t>schemele</w:t>
      </w:r>
      <w:r w:rsidRPr="00827721">
        <w:t xml:space="preserve"> voluntare verifică dacă țara de origine impune aplicarea unor practici esențiale de gestionare a solurilor pentru a aborda impactul potențial al recoltării acestor reziduuri asupra calității solului și a carbonului din sol și dispune de mecanisme de monitorizare și de asigurare a aplicării practicilor respective. La nivelul operatorilor economici, </w:t>
      </w:r>
      <w:r w:rsidR="003675FE" w:rsidRPr="00827721">
        <w:t>schemele</w:t>
      </w:r>
      <w:r w:rsidRPr="00827721">
        <w:t xml:space="preserve"> voluntare verifică dacă aceste practici de gestionare sunt aplicate și monitorizate efectiv la nivelul exploatațiilor agricole care furnizează biomasa. În cazul în care se recurge la auditarea la nivelul grupului, </w:t>
      </w:r>
      <w:r w:rsidR="003675FE" w:rsidRPr="00827721">
        <w:t>schemele</w:t>
      </w:r>
      <w:r w:rsidRPr="00827721">
        <w:t xml:space="preserve"> voluntare verifică dacă practicile respective sunt aplicate de toți operatorii economici vizați de auditul la nivelul grupului.</w:t>
      </w:r>
    </w:p>
    <w:p w14:paraId="51D59D98" w14:textId="06E28F01" w:rsidR="00C31DF4" w:rsidRPr="00827721" w:rsidRDefault="003675FE" w:rsidP="00D832BD">
      <w:pPr>
        <w:pStyle w:val="HGpct1"/>
      </w:pPr>
      <w:r w:rsidRPr="00827721">
        <w:t>Schemele</w:t>
      </w:r>
      <w:r w:rsidR="002E19D6" w:rsidRPr="00827721">
        <w:t xml:space="preserve"> voluntare impun operatorilor economici care participă la </w:t>
      </w:r>
      <w:r w:rsidR="005561F5" w:rsidRPr="00827721">
        <w:t xml:space="preserve">schemă </w:t>
      </w:r>
      <w:r w:rsidR="002E19D6" w:rsidRPr="00827721">
        <w:t xml:space="preserve">să aplice metodologia prevăzută </w:t>
      </w:r>
      <w:r w:rsidR="00AB1336" w:rsidRPr="00827721">
        <w:t xml:space="preserve">în anexa nr. 10 </w:t>
      </w:r>
      <w:r w:rsidR="002E19D6" w:rsidRPr="00827721">
        <w:t>pentru determinarea emisiilor de GES ale combustibililor pe bază de carbon reciclat și ale combustibililor de origine nebiologică produși din surse regenerabile.</w:t>
      </w:r>
    </w:p>
    <w:p w14:paraId="08C6F644" w14:textId="77777777" w:rsidR="001E3C5C" w:rsidRPr="00827721" w:rsidRDefault="001E3C5C" w:rsidP="00C056D2">
      <w:pPr>
        <w:pStyle w:val="Sectiune"/>
      </w:pPr>
      <w:r w:rsidRPr="00827721">
        <w:t>Secțiunea a 5-a</w:t>
      </w:r>
    </w:p>
    <w:p w14:paraId="3EE8FA24" w14:textId="77777777" w:rsidR="00984869" w:rsidRPr="00827721" w:rsidRDefault="00984869" w:rsidP="00FD5A9B">
      <w:pPr>
        <w:pStyle w:val="Sectiune"/>
      </w:pPr>
      <w:r w:rsidRPr="00827721">
        <w:t xml:space="preserve">Norme specifice privind </w:t>
      </w:r>
      <w:proofErr w:type="spellStart"/>
      <w:r w:rsidRPr="00827721">
        <w:t>coprelucrarea</w:t>
      </w:r>
      <w:proofErr w:type="spellEnd"/>
    </w:p>
    <w:p w14:paraId="35617051" w14:textId="548B6464" w:rsidR="004948F8" w:rsidRPr="00827721" w:rsidRDefault="003675FE" w:rsidP="00D832BD">
      <w:pPr>
        <w:pStyle w:val="HGpct1"/>
      </w:pPr>
      <w:r w:rsidRPr="00827721">
        <w:t>Schemele</w:t>
      </w:r>
      <w:r w:rsidR="004948F8" w:rsidRPr="00827721">
        <w:t xml:space="preserve"> voluntare impun operatorilor economici care participă la </w:t>
      </w:r>
      <w:r w:rsidR="005561F5" w:rsidRPr="00827721">
        <w:t xml:space="preserve">schemă </w:t>
      </w:r>
      <w:r w:rsidR="004948F8" w:rsidRPr="00827721">
        <w:t xml:space="preserve">să aplice metodologia prevăzută în </w:t>
      </w:r>
      <w:r w:rsidR="00513723" w:rsidRPr="00827721">
        <w:t>anex</w:t>
      </w:r>
      <w:r w:rsidR="004A613E" w:rsidRPr="00827721">
        <w:t>a</w:t>
      </w:r>
      <w:r w:rsidR="00513723" w:rsidRPr="00827721">
        <w:t xml:space="preserve"> nr. 10 </w:t>
      </w:r>
      <w:r w:rsidR="004948F8" w:rsidRPr="00827721">
        <w:t xml:space="preserve">pentru stabilirea ponderii </w:t>
      </w:r>
      <w:r w:rsidR="008A23DF" w:rsidRPr="00827721">
        <w:t>biocarburanților</w:t>
      </w:r>
      <w:r w:rsidR="004948F8" w:rsidRPr="00827721">
        <w:t xml:space="preserve"> și a biogazului pentru transporturi rezultate din prelucrarea biomasei împreună cu combustibili fosili în cadrul unui proces comun.</w:t>
      </w:r>
    </w:p>
    <w:p w14:paraId="113D6323" w14:textId="18AF8B32" w:rsidR="004948F8" w:rsidRPr="00827721" w:rsidRDefault="004948F8" w:rsidP="00D832BD">
      <w:pPr>
        <w:pStyle w:val="HGpct1"/>
      </w:pPr>
      <w:r w:rsidRPr="00827721">
        <w:t>Operatorii economici document</w:t>
      </w:r>
      <w:r w:rsidR="00DC7DEF" w:rsidRPr="00827721">
        <w:t>e</w:t>
      </w:r>
      <w:r w:rsidRPr="00827721">
        <w:t>a</w:t>
      </w:r>
      <w:r w:rsidR="00DC7DEF" w:rsidRPr="00827721">
        <w:t>ză</w:t>
      </w:r>
      <w:r w:rsidRPr="00827721">
        <w:t xml:space="preserve"> în detaliu cantitățile și tipurile de biomasă care intră în proces, precum și cantitățile de </w:t>
      </w:r>
      <w:r w:rsidR="008A23DF" w:rsidRPr="00827721">
        <w:t>biocarburant</w:t>
      </w:r>
      <w:r w:rsidRPr="00827721">
        <w:t xml:space="preserve"> și de biogaz produse din biomasa respectivă. Declarațiile </w:t>
      </w:r>
      <w:r w:rsidR="00DC7DEF" w:rsidRPr="00827721">
        <w:t>se</w:t>
      </w:r>
      <w:r w:rsidRPr="00827721">
        <w:t xml:space="preserve"> susțin cu dovezi care să includă rezultatele testelor de control.</w:t>
      </w:r>
    </w:p>
    <w:p w14:paraId="5552B181" w14:textId="24FD152C" w:rsidR="004948F8" w:rsidRPr="00827721" w:rsidRDefault="004948F8" w:rsidP="00D832BD">
      <w:pPr>
        <w:pStyle w:val="HGpct1"/>
      </w:pPr>
      <w:r w:rsidRPr="00827721">
        <w:t xml:space="preserve">Frecvența efectuării testelor de control menționate la </w:t>
      </w:r>
      <w:r w:rsidR="00D444A7" w:rsidRPr="00827721">
        <w:t>pct. 93</w:t>
      </w:r>
      <w:r w:rsidRPr="00827721">
        <w:t xml:space="preserve"> se stabilește în funcție de complexitatea și de variabilitatea parametrilor-cheie ai </w:t>
      </w:r>
      <w:proofErr w:type="spellStart"/>
      <w:r w:rsidRPr="00827721">
        <w:t>coprelucrării</w:t>
      </w:r>
      <w:proofErr w:type="spellEnd"/>
      <w:r w:rsidRPr="00827721">
        <w:t xml:space="preserve">, astfel încât să se asigure că, în orice moment, ponderea de </w:t>
      </w:r>
      <w:r w:rsidR="008A23DF" w:rsidRPr="00827721">
        <w:t>biocarburanți</w:t>
      </w:r>
      <w:r w:rsidRPr="00827721">
        <w:t xml:space="preserve"> și de biogaz declarată reflectă cotele lor reale.</w:t>
      </w:r>
    </w:p>
    <w:p w14:paraId="438FE744" w14:textId="74DF1B10" w:rsidR="00984869" w:rsidRPr="00827721" w:rsidRDefault="004948F8" w:rsidP="00D832BD">
      <w:pPr>
        <w:pStyle w:val="HGpct1"/>
      </w:pPr>
      <w:r w:rsidRPr="00827721">
        <w:t xml:space="preserve">La efectuarea auditurilor, se pune un accent deosebit pe verificarea coerenței dintre cantitățile de biomasă care intră în proces și cantitățile de </w:t>
      </w:r>
      <w:r w:rsidR="008A23DF" w:rsidRPr="00827721">
        <w:t>biocarburant</w:t>
      </w:r>
      <w:r w:rsidRPr="00827721">
        <w:t xml:space="preserve"> și de biogaz înregistrate ca fiind produse din biomasă. În acest scop, dovezile furnizate de operatorii economici sunt verificate în detaliu, iar plauzibilitatea declarațiilor se verifică și se compară cu standardele sectorului. La efectuarea acestei evaluări, se acordă o atenție deosebită metodei de testare aplicate de operatorul economic, sistemului de controale suplimentare instituit și metodei de calcul utilizate pentru a </w:t>
      </w:r>
      <w:r w:rsidRPr="00827721">
        <w:lastRenderedPageBreak/>
        <w:t xml:space="preserve">include rezultatele tuturor testelor în calculul ponderii finale de </w:t>
      </w:r>
      <w:r w:rsidR="008A23DF" w:rsidRPr="00827721">
        <w:t>biocarburanți</w:t>
      </w:r>
      <w:r w:rsidRPr="00827721">
        <w:t xml:space="preserve"> și de biogaz. Auditorii tratează drept neconformitate majoră orice abatere identificată în metoda de testare sau orice inexactitate legată de includerea rezultatelor acestor teste în calculul final efectuat de operatorul economic.</w:t>
      </w:r>
    </w:p>
    <w:p w14:paraId="2C11AC10" w14:textId="7BC52A16" w:rsidR="0004012E" w:rsidRPr="00827721" w:rsidRDefault="00FD5A9B" w:rsidP="00FD5A9B">
      <w:pPr>
        <w:pStyle w:val="Capitol"/>
        <w:rPr>
          <w:rFonts w:eastAsia="Times New Roman"/>
        </w:rPr>
      </w:pPr>
      <w:r w:rsidRPr="00827721">
        <w:rPr>
          <w:caps w:val="0"/>
        </w:rPr>
        <w:t>Capitolul</w:t>
      </w:r>
      <w:r w:rsidR="0004012E" w:rsidRPr="00827721">
        <w:t xml:space="preserve"> V</w:t>
      </w:r>
    </w:p>
    <w:p w14:paraId="3D02B210" w14:textId="77777777" w:rsidR="0004012E" w:rsidRPr="00827721" w:rsidRDefault="0004012E" w:rsidP="00FD5A9B">
      <w:pPr>
        <w:pStyle w:val="Capitol"/>
      </w:pPr>
      <w:r w:rsidRPr="00827721">
        <w:t>NORME SPECIFICE PRIVIND RESPECTAREA CERINȚELOR PENTRU CERTIFICAREA RISCULUI REDUS DE ILUC</w:t>
      </w:r>
    </w:p>
    <w:p w14:paraId="522F4098" w14:textId="49B0CBD2" w:rsidR="0069260C" w:rsidRPr="00827721" w:rsidRDefault="0069260C" w:rsidP="00FD5A9B">
      <w:pPr>
        <w:pStyle w:val="Sectiune"/>
      </w:pPr>
      <w:r w:rsidRPr="00827721">
        <w:t>Secțiunea 1</w:t>
      </w:r>
    </w:p>
    <w:p w14:paraId="75FF49E8" w14:textId="31FFAA6F" w:rsidR="0069260C" w:rsidRPr="00827721" w:rsidRDefault="000239B9" w:rsidP="00FD5A9B">
      <w:pPr>
        <w:pStyle w:val="Sectiune"/>
      </w:pPr>
      <w:r w:rsidRPr="00827721">
        <w:t>Cerințe specifice pentru certificarea riscului redus de ILUC</w:t>
      </w:r>
    </w:p>
    <w:p w14:paraId="2D3F6BFB" w14:textId="55412A84" w:rsidR="00BB2E05" w:rsidRPr="00827721" w:rsidRDefault="003675FE" w:rsidP="00D832BD">
      <w:pPr>
        <w:pStyle w:val="HGpct1"/>
      </w:pPr>
      <w:r w:rsidRPr="00827721">
        <w:t>Schemele</w:t>
      </w:r>
      <w:r w:rsidR="00BB2E05" w:rsidRPr="00827721">
        <w:t xml:space="preserve"> voluntare impun operatorilor economici care doresc să primească o certificare a riscului redus de ILUC să depună o cerere la un organism de certificare care are competența de a elibera o astfel de certificare. După acceptarea cererii, operatorul economic prezintă un plan de gestionare care conține informațiile minime prevăzute în anexa </w:t>
      </w:r>
      <w:r w:rsidR="00D83BB7" w:rsidRPr="00827721">
        <w:t>nr. 8</w:t>
      </w:r>
      <w:r w:rsidR="00BB2E05" w:rsidRPr="00827721">
        <w:t xml:space="preserve">. În cazul în care se aplică mai multe măsuri de </w:t>
      </w:r>
      <w:proofErr w:type="spellStart"/>
      <w:r w:rsidR="00BB2E05" w:rsidRPr="00827721">
        <w:t>adiționalitate</w:t>
      </w:r>
      <w:proofErr w:type="spellEnd"/>
      <w:r w:rsidR="00BB2E05" w:rsidRPr="00827721">
        <w:t>, toate aceste măsuri sunt documentate în planul de gestionare.</w:t>
      </w:r>
    </w:p>
    <w:p w14:paraId="25FF8B10" w14:textId="7CC703C6" w:rsidR="00BB2E05" w:rsidRPr="00827721" w:rsidRDefault="00BB2E05" w:rsidP="00D832BD">
      <w:pPr>
        <w:pStyle w:val="HGpct1"/>
      </w:pPr>
      <w:r w:rsidRPr="00827721">
        <w:t>Organismul de certificare efectuează un audit de referință la fața locului pentru a verifica conținutul planului de gestionare, precum și pentru a stabili și a documenta randamentul dinamic de referință.</w:t>
      </w:r>
    </w:p>
    <w:p w14:paraId="650DF834" w14:textId="45DFBFF4" w:rsidR="00BB2E05" w:rsidRPr="00827721" w:rsidRDefault="00BB2E05" w:rsidP="00D832BD">
      <w:pPr>
        <w:pStyle w:val="HGpct1"/>
      </w:pPr>
      <w:r w:rsidRPr="00827721">
        <w:t xml:space="preserve">În cadrul auditului de referință, organismul de certificare evaluează dacă măsurile de </w:t>
      </w:r>
      <w:proofErr w:type="spellStart"/>
      <w:r w:rsidRPr="00827721">
        <w:t>adiționalitate</w:t>
      </w:r>
      <w:proofErr w:type="spellEnd"/>
      <w:r w:rsidRPr="00827721">
        <w:t xml:space="preserve"> </w:t>
      </w:r>
      <w:r w:rsidR="00797EFF" w:rsidRPr="00827721">
        <w:t>pot</w:t>
      </w:r>
      <w:r w:rsidRPr="00827721">
        <w:t xml:space="preserve"> conduce la o creștere a producției în conformitate cu </w:t>
      </w:r>
      <w:r w:rsidR="00AF2B12" w:rsidRPr="00827721">
        <w:t xml:space="preserve">pct. 2 din anexa nr. </w:t>
      </w:r>
      <w:r w:rsidR="00E96675" w:rsidRPr="00827721">
        <w:t xml:space="preserve">3 </w:t>
      </w:r>
      <w:r w:rsidR="00265A1C" w:rsidRPr="00827721">
        <w:t>la anexa</w:t>
      </w:r>
      <w:r w:rsidR="00E96675" w:rsidRPr="00827721">
        <w:t xml:space="preserve"> nr. 1 la </w:t>
      </w:r>
      <w:r w:rsidR="00C72EEB" w:rsidRPr="00C72EEB">
        <w:rPr>
          <w:iCs/>
        </w:rPr>
        <w:t>HG 53/2025</w:t>
      </w:r>
      <w:r w:rsidR="00C72EEB" w:rsidRPr="00827721">
        <w:t xml:space="preserve"> </w:t>
      </w:r>
      <w:r w:rsidRPr="00827721">
        <w:t xml:space="preserve">și dacă sunt respectate criteriile de durabilitate stabilite în </w:t>
      </w:r>
      <w:r w:rsidR="008C1C43">
        <w:t>regulamentul menționat</w:t>
      </w:r>
      <w:r w:rsidRPr="00827721">
        <w:t>.</w:t>
      </w:r>
    </w:p>
    <w:p w14:paraId="34C7C44F" w14:textId="551A8EB1" w:rsidR="00BB2E05" w:rsidRPr="00827721" w:rsidRDefault="00BB2E05" w:rsidP="00D832BD">
      <w:pPr>
        <w:pStyle w:val="HGpct1"/>
      </w:pPr>
      <w:r w:rsidRPr="00827721">
        <w:t xml:space="preserve">Auditorii care efectuează auditul de referință în numele organismului de certificare indică în raportul de audit de referință orice problemă legată de durabilitate apărută în urma aplicării măsurilor de </w:t>
      </w:r>
      <w:proofErr w:type="spellStart"/>
      <w:r w:rsidRPr="00827721">
        <w:t>adiționalitate</w:t>
      </w:r>
      <w:proofErr w:type="spellEnd"/>
      <w:r w:rsidRPr="00827721">
        <w:t xml:space="preserve"> și care </w:t>
      </w:r>
      <w:r w:rsidR="00797EFF" w:rsidRPr="00827721">
        <w:t>pot</w:t>
      </w:r>
      <w:r w:rsidRPr="00827721">
        <w:t xml:space="preserve"> constitui o încălcare a cadrului juridic național sau regional sau a unor condiții locale specifice. Orice problemă legată de durabilitate trebuie să fie inclusă în auditurile anuale.</w:t>
      </w:r>
    </w:p>
    <w:p w14:paraId="45BAD452" w14:textId="78E28986" w:rsidR="00BB2E05" w:rsidRPr="00827721" w:rsidRDefault="003675FE" w:rsidP="00D832BD">
      <w:pPr>
        <w:pStyle w:val="HGpct1"/>
      </w:pPr>
      <w:r w:rsidRPr="00827721">
        <w:t>Schemele</w:t>
      </w:r>
      <w:r w:rsidR="00BB2E05" w:rsidRPr="00827721">
        <w:t xml:space="preserve"> voluntare emit certificate pentru risc redus de ILUC în conformitate cu cerințele privind conținutul minim prevăzute la </w:t>
      </w:r>
      <w:r w:rsidR="002A6E97" w:rsidRPr="00827721">
        <w:t>în</w:t>
      </w:r>
      <w:r w:rsidR="00BB2E05" w:rsidRPr="00827721">
        <w:t xml:space="preserve"> anexa </w:t>
      </w:r>
      <w:r w:rsidR="00E9000A" w:rsidRPr="00827721">
        <w:t xml:space="preserve">nr. 8 </w:t>
      </w:r>
      <w:r w:rsidR="00BB2E05" w:rsidRPr="00827721">
        <w:t>și publică o listă a acestor certificate pe propriul site web.</w:t>
      </w:r>
    </w:p>
    <w:p w14:paraId="0B1A013B" w14:textId="25C2C3C8" w:rsidR="00BB2E05" w:rsidRPr="00827721" w:rsidRDefault="00BB2E05" w:rsidP="00D832BD">
      <w:pPr>
        <w:pStyle w:val="HGpct1"/>
      </w:pPr>
      <w:r w:rsidRPr="00827721">
        <w:t xml:space="preserve">În cazul cererilor care includ măsuri de </w:t>
      </w:r>
      <w:proofErr w:type="spellStart"/>
      <w:r w:rsidRPr="00827721">
        <w:t>adiționalitate</w:t>
      </w:r>
      <w:proofErr w:type="spellEnd"/>
      <w:r w:rsidRPr="00827721">
        <w:t xml:space="preserve"> care urmează să fie aplicate după certificare, auditul de referință, rezultatele testului privind </w:t>
      </w:r>
      <w:proofErr w:type="spellStart"/>
      <w:r w:rsidRPr="00827721">
        <w:t>adiționalitatea</w:t>
      </w:r>
      <w:proofErr w:type="spellEnd"/>
      <w:r w:rsidRPr="00827721">
        <w:t xml:space="preserve"> și randamentul dinamic de referință sunt valabile pentru o perioadă de 10 ani. În ceea ce privește culturile perene, un operator economic poate alege să </w:t>
      </w:r>
      <w:r w:rsidRPr="00827721">
        <w:lastRenderedPageBreak/>
        <w:t xml:space="preserve">amâne începerea perioadei de valabilitate de 10 ani cu până la </w:t>
      </w:r>
      <w:r w:rsidR="00C776FB" w:rsidRPr="00827721">
        <w:t xml:space="preserve">2 </w:t>
      </w:r>
      <w:r w:rsidRPr="00827721">
        <w:t xml:space="preserve">ani în cazul măsurilor de </w:t>
      </w:r>
      <w:proofErr w:type="spellStart"/>
      <w:r w:rsidRPr="00827721">
        <w:t>adiționalitate</w:t>
      </w:r>
      <w:proofErr w:type="spellEnd"/>
      <w:r w:rsidRPr="00827721">
        <w:t xml:space="preserve"> operațională sau cu până la cinci ani în cazul replantării.</w:t>
      </w:r>
    </w:p>
    <w:p w14:paraId="4C6A758B" w14:textId="565B249D" w:rsidR="00BB2E05" w:rsidRPr="00827721" w:rsidRDefault="00BB2E05" w:rsidP="00D832BD">
      <w:pPr>
        <w:pStyle w:val="HGpct1"/>
      </w:pPr>
      <w:r w:rsidRPr="00827721">
        <w:t xml:space="preserve">Dacă măsurile de </w:t>
      </w:r>
      <w:proofErr w:type="spellStart"/>
      <w:r w:rsidRPr="00827721">
        <w:t>adiționalitate</w:t>
      </w:r>
      <w:proofErr w:type="spellEnd"/>
      <w:r w:rsidRPr="00827721">
        <w:t xml:space="preserve"> au fost deja aplicate înainte de certificare, auditul de referință, rezultatele testului privind </w:t>
      </w:r>
      <w:proofErr w:type="spellStart"/>
      <w:r w:rsidRPr="00827721">
        <w:t>adiționalitatea</w:t>
      </w:r>
      <w:proofErr w:type="spellEnd"/>
      <w:r w:rsidRPr="00827721">
        <w:t xml:space="preserve"> și randamentul dinamic de referință sunt valabile pentru o perioadă de 10 ani de la începutul anului în care a fost aplicată măsura de </w:t>
      </w:r>
      <w:proofErr w:type="spellStart"/>
      <w:r w:rsidRPr="00827721">
        <w:t>adiționalitate</w:t>
      </w:r>
      <w:proofErr w:type="spellEnd"/>
      <w:r w:rsidRPr="00827721">
        <w:t xml:space="preserve">. În acest caz, nivelul de referință poate fi acceptat pentru măsurile de </w:t>
      </w:r>
      <w:proofErr w:type="spellStart"/>
      <w:r w:rsidRPr="00827721">
        <w:t>adiționalitate</w:t>
      </w:r>
      <w:proofErr w:type="spellEnd"/>
      <w:r w:rsidRPr="00827721">
        <w:t xml:space="preserve"> luate cu cel mult 10 ani înainte, cu condiția să fie disponibile suficiente date și documente justificative care să ofere același nivel de asigurare ca în situația în care auditul de referință a fost efectuat înainte de punerea în aplicare a măsurilor de </w:t>
      </w:r>
      <w:proofErr w:type="spellStart"/>
      <w:r w:rsidRPr="00827721">
        <w:t>adiționalitate</w:t>
      </w:r>
      <w:proofErr w:type="spellEnd"/>
      <w:r w:rsidRPr="00827721">
        <w:t>.</w:t>
      </w:r>
    </w:p>
    <w:p w14:paraId="580154D8" w14:textId="1BE235B3" w:rsidR="00BB2E05" w:rsidRPr="00827721" w:rsidRDefault="00BB2E05" w:rsidP="00D832BD">
      <w:pPr>
        <w:pStyle w:val="HGpct1"/>
      </w:pPr>
      <w:r w:rsidRPr="00827721">
        <w:t>Numai biomasa suplimentară produsă după acordarea certificării riscului redus de ILUC este eligibilă pentru o declarație privind riscul redus de ILUC. Cantitatea efectivă de biomasă suplimentară anuală declarată de operatorul economic trebuie să facă obiectul unor audituri anuale.</w:t>
      </w:r>
    </w:p>
    <w:p w14:paraId="75180400" w14:textId="74CDE3D7" w:rsidR="00BB2E05" w:rsidRPr="00827721" w:rsidRDefault="00BB2E05" w:rsidP="00D832BD">
      <w:pPr>
        <w:pStyle w:val="HGpct1"/>
      </w:pPr>
      <w:r w:rsidRPr="00827721">
        <w:t>Punerea în aplicare a planului de gestionare trebuie să facă obiectul unor audituri anuale în scopul verificării punerii corecte în aplicare a conținutul planului de gestionare și a exactității cantităților de biomasă suplimentară produsă și declarată în scopul certificării riscului redus de ILUC, în raport cu randamentul dinamic de referință.</w:t>
      </w:r>
    </w:p>
    <w:p w14:paraId="0288CD0F" w14:textId="2D89A133" w:rsidR="00BB2E05" w:rsidRPr="00827721" w:rsidRDefault="00BB2E05" w:rsidP="00D832BD">
      <w:pPr>
        <w:pStyle w:val="HGpct1"/>
      </w:pPr>
      <w:r w:rsidRPr="00827721">
        <w:t xml:space="preserve">Un operator economic poate aplica mai multe măsuri de </w:t>
      </w:r>
      <w:proofErr w:type="spellStart"/>
      <w:r w:rsidRPr="00827721">
        <w:t>adiționalitate</w:t>
      </w:r>
      <w:proofErr w:type="spellEnd"/>
      <w:r w:rsidRPr="00827721">
        <w:t xml:space="preserve"> </w:t>
      </w:r>
      <w:r w:rsidR="00453568" w:rsidRPr="00827721">
        <w:t>pe parcursul</w:t>
      </w:r>
      <w:r w:rsidRPr="00827721">
        <w:t xml:space="preserve"> anilor. În cazul în care două sau mai multe măsuri de </w:t>
      </w:r>
      <w:proofErr w:type="spellStart"/>
      <w:r w:rsidRPr="00827721">
        <w:t>adiționalitate</w:t>
      </w:r>
      <w:proofErr w:type="spellEnd"/>
      <w:r w:rsidRPr="00827721">
        <w:t xml:space="preserve"> sunt aplicate împreună în același an pe aceeași parcelă de teren delimitată, biomasa suplimentară produsă ca rezultat al aplicării respectivelor măsuri </w:t>
      </w:r>
      <w:r w:rsidR="001D3770" w:rsidRPr="00827721">
        <w:t>se</w:t>
      </w:r>
      <w:r w:rsidRPr="00827721">
        <w:t xml:space="preserve"> evalu</w:t>
      </w:r>
      <w:r w:rsidR="001D3770" w:rsidRPr="00827721">
        <w:t>ează</w:t>
      </w:r>
      <w:r w:rsidRPr="00827721">
        <w:t xml:space="preserve"> în raport cu același randament dinamic de referință. Biomasa suplimentară poate fi certificată ca prezentând riscuri reduse din perspectiva schimbării indirecte a destinației terenurilor în cadrul aceluiași certificat.</w:t>
      </w:r>
    </w:p>
    <w:p w14:paraId="1452770C" w14:textId="13F9F05B" w:rsidR="00BB2E05" w:rsidRPr="00827721" w:rsidRDefault="00BB2E05" w:rsidP="00D832BD">
      <w:pPr>
        <w:pStyle w:val="HGpct1"/>
      </w:pPr>
      <w:r w:rsidRPr="00827721">
        <w:t xml:space="preserve">În cazul în care se aplică două sau mai multe măsuri de </w:t>
      </w:r>
      <w:proofErr w:type="spellStart"/>
      <w:r w:rsidRPr="00827721">
        <w:t>adiționalitate</w:t>
      </w:r>
      <w:proofErr w:type="spellEnd"/>
      <w:r w:rsidRPr="00827721">
        <w:t xml:space="preserve"> în momente diferite pe aceeași parcelă de teren delimitată, operatorul economic alege una dintre următoarele opțiuni:</w:t>
      </w:r>
    </w:p>
    <w:p w14:paraId="1843D776" w14:textId="77777777" w:rsidR="00BB2E05" w:rsidRPr="00827721" w:rsidRDefault="00BB2E05" w:rsidP="00D832BD">
      <w:pPr>
        <w:pStyle w:val="HGsubpct11"/>
      </w:pPr>
      <w:r w:rsidRPr="00827721">
        <w:t xml:space="preserve">să actualizeze randamentul dinamic de referință și testul privind </w:t>
      </w:r>
      <w:proofErr w:type="spellStart"/>
      <w:r w:rsidRPr="00827721">
        <w:t>adiționalitatea</w:t>
      </w:r>
      <w:proofErr w:type="spellEnd"/>
      <w:r w:rsidRPr="00827721">
        <w:t xml:space="preserve"> pentru a crea un nou nivel de referință valabil pentru o perioadă suplimentară de 10 ani;</w:t>
      </w:r>
    </w:p>
    <w:p w14:paraId="52A397FF" w14:textId="2D95348D" w:rsidR="00DE18C1" w:rsidRPr="00827721" w:rsidRDefault="00BB2E05" w:rsidP="00D832BD">
      <w:pPr>
        <w:pStyle w:val="HGsubpct11"/>
      </w:pPr>
      <w:r w:rsidRPr="00827721">
        <w:t xml:space="preserve">să păstreze perioada inițială de valabilitate de 10 ani pentru randamentul dinamic de referință și testul privind </w:t>
      </w:r>
      <w:proofErr w:type="spellStart"/>
      <w:r w:rsidRPr="00827721">
        <w:t>adiționalitatea</w:t>
      </w:r>
      <w:proofErr w:type="spellEnd"/>
      <w:r w:rsidRPr="00827721">
        <w:t>, ulterior anului certificării inițiale.</w:t>
      </w:r>
    </w:p>
    <w:p w14:paraId="63DB2A2E" w14:textId="5C982F57" w:rsidR="0056532C" w:rsidRPr="00827721" w:rsidRDefault="0056532C" w:rsidP="00FD5A9B">
      <w:pPr>
        <w:pStyle w:val="Sectiune"/>
      </w:pPr>
      <w:r w:rsidRPr="00827721">
        <w:t>Secțiunea a 2-a</w:t>
      </w:r>
    </w:p>
    <w:p w14:paraId="09534668" w14:textId="05C8FD91" w:rsidR="00826305" w:rsidRPr="00827721" w:rsidRDefault="00826305" w:rsidP="00FD5A9B">
      <w:pPr>
        <w:pStyle w:val="Sectiune"/>
      </w:pPr>
      <w:r w:rsidRPr="00827721">
        <w:t xml:space="preserve">Cerințe specifice pentru demonstrarea </w:t>
      </w:r>
      <w:proofErr w:type="spellStart"/>
      <w:r w:rsidRPr="00827721">
        <w:t>adiționalității</w:t>
      </w:r>
      <w:proofErr w:type="spellEnd"/>
    </w:p>
    <w:p w14:paraId="136F31DE" w14:textId="5CE0F77D" w:rsidR="00DF4131" w:rsidRPr="00827721" w:rsidRDefault="00DF4131" w:rsidP="00D832BD">
      <w:pPr>
        <w:pStyle w:val="HGpct1"/>
      </w:pPr>
      <w:r w:rsidRPr="00827721">
        <w:lastRenderedPageBreak/>
        <w:t xml:space="preserve">În scopul certificării </w:t>
      </w:r>
      <w:r w:rsidR="008A23DF" w:rsidRPr="00827721">
        <w:t>biocarburanților</w:t>
      </w:r>
      <w:r w:rsidRPr="00827721">
        <w:t xml:space="preserve">, a biolichidelor sau a combustibililor din biomasă care prezintă riscuri reduse din perspectiva schimbării indirecte a destinației terenurilor în cadrul aceluiași certificat, </w:t>
      </w:r>
      <w:r w:rsidR="003675FE" w:rsidRPr="00827721">
        <w:t>schemele</w:t>
      </w:r>
      <w:r w:rsidRPr="00827721">
        <w:t xml:space="preserve"> voluntare și organismele de certificare care acționează în numele acestora verifică dacă operatorii economici au aplicat măsuri de creștere efectivă a productivității materiilor prime dincolo de scenariul de statu-quo. În cazul în care astfel de măsuri sunt aplicate pe terenuri abandonate sau sever degradate sau cultivate de micii proprietari agricoli, auditul de referință verifică dacă operatorii economici respectă cerințele corespunzătoare prevăzute în </w:t>
      </w:r>
      <w:r w:rsidR="00A47BA3" w:rsidRPr="00827721">
        <w:t xml:space="preserve">anexa nr. 3 </w:t>
      </w:r>
      <w:r w:rsidR="00265A1C" w:rsidRPr="00827721">
        <w:t>la anexa</w:t>
      </w:r>
      <w:r w:rsidR="00A47BA3" w:rsidRPr="00827721">
        <w:t xml:space="preserve"> nr.</w:t>
      </w:r>
      <w:r w:rsidR="00F42DE3" w:rsidRPr="00827721">
        <w:t xml:space="preserve"> </w:t>
      </w:r>
      <w:r w:rsidR="00A47BA3" w:rsidRPr="00827721">
        <w:t xml:space="preserve">1 la </w:t>
      </w:r>
      <w:r w:rsidR="00C72EEB" w:rsidRPr="00C72EEB">
        <w:rPr>
          <w:iCs/>
        </w:rPr>
        <w:t>HG 53/2025</w:t>
      </w:r>
      <w:r w:rsidRPr="00827721">
        <w:t xml:space="preserve">. În toate celelalte situații, dovada </w:t>
      </w:r>
      <w:proofErr w:type="spellStart"/>
      <w:r w:rsidRPr="00827721">
        <w:t>adiționalității</w:t>
      </w:r>
      <w:proofErr w:type="spellEnd"/>
      <w:r w:rsidRPr="00827721">
        <w:t xml:space="preserve"> se face prin efectuarea unei evaluări a atractivității financiare sau a unei analize a obstacolelor.</w:t>
      </w:r>
    </w:p>
    <w:p w14:paraId="356B55AB" w14:textId="14678825" w:rsidR="00DF4131" w:rsidRPr="00827721" w:rsidRDefault="00DF4131" w:rsidP="00D832BD">
      <w:pPr>
        <w:pStyle w:val="HGpct1"/>
      </w:pPr>
      <w:r w:rsidRPr="00827721">
        <w:t xml:space="preserve">Pentru a respecta cerințele prevăzute la </w:t>
      </w:r>
      <w:r w:rsidR="0049379F" w:rsidRPr="00827721">
        <w:t xml:space="preserve">pct. </w:t>
      </w:r>
      <w:r w:rsidR="005B13E0" w:rsidRPr="00827721">
        <w:t xml:space="preserve">5 din anexa nr. 3 </w:t>
      </w:r>
      <w:r w:rsidR="00265A1C" w:rsidRPr="00827721">
        <w:t>la anexa</w:t>
      </w:r>
      <w:r w:rsidR="005B13E0" w:rsidRPr="00827721">
        <w:t xml:space="preserve"> nr. 1 la </w:t>
      </w:r>
      <w:r w:rsidR="00C72EEB" w:rsidRPr="00C72EEB">
        <w:rPr>
          <w:iCs/>
        </w:rPr>
        <w:t>HG 53/2025</w:t>
      </w:r>
      <w:r w:rsidR="00C72EEB" w:rsidRPr="00827721">
        <w:t xml:space="preserve"> </w:t>
      </w:r>
      <w:r w:rsidRPr="00827721">
        <w:t xml:space="preserve">în ceea ce privește măsurile de </w:t>
      </w:r>
      <w:proofErr w:type="spellStart"/>
      <w:r w:rsidRPr="00827721">
        <w:t>adiționalitate</w:t>
      </w:r>
      <w:proofErr w:type="spellEnd"/>
      <w:r w:rsidRPr="00827721">
        <w:t xml:space="preserve">, investițiile propuse trebuie să treacă fie un test de atractivitate financiară, fie un test privind obstacolele nefinanciare în conformitate cu anexa </w:t>
      </w:r>
      <w:r w:rsidR="005B13E0" w:rsidRPr="00827721">
        <w:t>nr. 8</w:t>
      </w:r>
      <w:r w:rsidRPr="00827721">
        <w:t>.</w:t>
      </w:r>
    </w:p>
    <w:p w14:paraId="461846F7" w14:textId="5D38DC55" w:rsidR="00B212B3" w:rsidRPr="00827721" w:rsidRDefault="00DF4131" w:rsidP="00D832BD">
      <w:pPr>
        <w:pStyle w:val="HGpct1"/>
      </w:pPr>
      <w:r w:rsidRPr="00827721">
        <w:t xml:space="preserve">Măsurile sunt eligibile pentru certificarea riscului scăzut de ILUC numai în cazul în care fie testul lor de atractivitate financiară este negativ, </w:t>
      </w:r>
      <w:r w:rsidR="00CF244D" w:rsidRPr="00827721">
        <w:t>respectiv</w:t>
      </w:r>
      <w:r w:rsidRPr="00827721">
        <w:t xml:space="preserve"> rezultă o valoare actualizată netă (</w:t>
      </w:r>
      <w:r w:rsidR="007A48D9" w:rsidRPr="00827721">
        <w:t xml:space="preserve">în continuare – </w:t>
      </w:r>
      <w:r w:rsidRPr="00827721">
        <w:rPr>
          <w:i/>
          <w:iCs/>
        </w:rPr>
        <w:t>VAN</w:t>
      </w:r>
      <w:r w:rsidRPr="00827721">
        <w:t xml:space="preserve">) negativă a investiției fără includerea unei prime de piață, fie se demonstrează prezența unor obstacole nefinanciare care pot fi depășite doar datorită faptului că </w:t>
      </w:r>
      <w:r w:rsidR="008A23DF" w:rsidRPr="00827721">
        <w:t>biocarburanții</w:t>
      </w:r>
      <w:r w:rsidRPr="00827721">
        <w:t xml:space="preserve">, biolichidele și combustibilii din biomasă produși din materiile prime suplimentare </w:t>
      </w:r>
      <w:r w:rsidR="00FB5350" w:rsidRPr="00827721">
        <w:t>se iau</w:t>
      </w:r>
      <w:r w:rsidRPr="00827721">
        <w:t xml:space="preserve"> în calcul pentru îndeplinirea obiectivelor privind energia din surse regenerabile stabilite în </w:t>
      </w:r>
      <w:r w:rsidR="00AB2483" w:rsidRPr="00827721">
        <w:t>Planul național integrat privind energia și clima</w:t>
      </w:r>
      <w:r w:rsidRPr="00827721">
        <w:t>.</w:t>
      </w:r>
    </w:p>
    <w:p w14:paraId="311B3B13" w14:textId="31DC1EB0" w:rsidR="006F2EBC" w:rsidRPr="00827721" w:rsidRDefault="006F2EBC" w:rsidP="00FD5A9B">
      <w:pPr>
        <w:pStyle w:val="Sectiune"/>
      </w:pPr>
      <w:r w:rsidRPr="00827721">
        <w:t>Secțiunea a 3-a</w:t>
      </w:r>
    </w:p>
    <w:p w14:paraId="370D6F60" w14:textId="6236DA1A" w:rsidR="00CF1AFE" w:rsidRPr="00827721" w:rsidRDefault="006F2EBC" w:rsidP="00FD5A9B">
      <w:pPr>
        <w:pStyle w:val="Sectiune"/>
      </w:pPr>
      <w:r w:rsidRPr="00827721">
        <w:t>Producția pe terenuri nefolosite, abandonate sau sever degradate</w:t>
      </w:r>
    </w:p>
    <w:p w14:paraId="7947CD55" w14:textId="117FE503" w:rsidR="00DA1536" w:rsidRPr="00827721" w:rsidRDefault="00DA1536" w:rsidP="00D832BD">
      <w:pPr>
        <w:pStyle w:val="HGpct1"/>
      </w:pPr>
      <w:r w:rsidRPr="00827721">
        <w:t xml:space="preserve">În scopul respectării cerințelor privind producția pe terenurile nefolosite sau abandonate, astfel cum sunt definite </w:t>
      </w:r>
      <w:r w:rsidR="009243DC" w:rsidRPr="00827721">
        <w:t>la pct. 2 din</w:t>
      </w:r>
      <w:r w:rsidR="005715FB" w:rsidRPr="00827721">
        <w:t xml:space="preserve"> anexa nr. 3 </w:t>
      </w:r>
      <w:r w:rsidR="00265A1C" w:rsidRPr="00827721">
        <w:t>la anexa</w:t>
      </w:r>
      <w:r w:rsidR="005715FB" w:rsidRPr="00827721">
        <w:t xml:space="preserve"> nr. 1 la </w:t>
      </w:r>
      <w:r w:rsidR="00C72EEB" w:rsidRPr="00C72EEB">
        <w:rPr>
          <w:iCs/>
        </w:rPr>
        <w:t>HG 53/2025</w:t>
      </w:r>
      <w:r w:rsidRPr="00827721">
        <w:t xml:space="preserve">, operatorii economici trebuie să furnizeze dovezi care să arate că, pentru o perioadă consecutivă de cel puțin cinci ani înainte de începerea cultivării materiilor prime utilizate pentru producția de </w:t>
      </w:r>
      <w:r w:rsidR="008A23DF" w:rsidRPr="00827721">
        <w:t>biocarburanți</w:t>
      </w:r>
      <w:r w:rsidRPr="00827721">
        <w:t>, biolichide și combustibili din biomasă, suprafețele delimitate nu au fost utilizate pentru cultivarea unor culturi alimentare și furajere, a altor culturi energetice ori a unor cantități semnificative de nutreț pentru pășunatul animalelor.</w:t>
      </w:r>
    </w:p>
    <w:p w14:paraId="7541A929" w14:textId="6781A4A9" w:rsidR="00DA1536" w:rsidRPr="00827721" w:rsidRDefault="00DA1536" w:rsidP="00D832BD">
      <w:pPr>
        <w:pStyle w:val="HGpct1"/>
      </w:pPr>
      <w:r w:rsidRPr="00827721">
        <w:t xml:space="preserve">Pentru ca terenurile să se califice drept terenuri abandonate, operatorul economic trebuie să furnizeze dovezi suplimentare conform cărora pe suprafața delimitată au fost cultivate culturi alimentare sau furajere înainte de perioada </w:t>
      </w:r>
      <w:r w:rsidRPr="00827721">
        <w:lastRenderedPageBreak/>
        <w:t xml:space="preserve">consecutivă menționată la </w:t>
      </w:r>
      <w:r w:rsidR="00FB2E8C" w:rsidRPr="00827721">
        <w:t>pct. 110</w:t>
      </w:r>
      <w:r w:rsidRPr="00827721">
        <w:t>. Dovezile respective demonstre</w:t>
      </w:r>
      <w:r w:rsidR="00331D75" w:rsidRPr="00827721">
        <w:t>a</w:t>
      </w:r>
      <w:r w:rsidRPr="00827721">
        <w:t>z</w:t>
      </w:r>
      <w:r w:rsidR="00331D75" w:rsidRPr="00827721">
        <w:t>ă</w:t>
      </w:r>
      <w:r w:rsidRPr="00827721">
        <w:t xml:space="preserve"> că producția a fost stopată din motive biofizice sau socioeconomice.</w:t>
      </w:r>
    </w:p>
    <w:p w14:paraId="6AAD4934" w14:textId="77777777" w:rsidR="00DA1536" w:rsidRPr="00827721" w:rsidRDefault="00DA1536" w:rsidP="00D832BD">
      <w:pPr>
        <w:pStyle w:val="HGpct1"/>
      </w:pPr>
      <w:r w:rsidRPr="00827721">
        <w:t>Modificările biofizice care afectează în mod negativ cultivarea de culturi alimentare și furajere pot include, fără a se limita la acestea, următoarele evenimente:</w:t>
      </w:r>
    </w:p>
    <w:p w14:paraId="6D8EC312" w14:textId="77777777" w:rsidR="00DA1536" w:rsidRPr="00827721" w:rsidRDefault="00DA1536" w:rsidP="00D832BD">
      <w:pPr>
        <w:pStyle w:val="HGsubpct11"/>
      </w:pPr>
      <w:r w:rsidRPr="00827721">
        <w:t>creșterea frecvenței fenomenelor meteorologice severe, cum ar fi secetele, furtunile sau inundațiile;</w:t>
      </w:r>
    </w:p>
    <w:p w14:paraId="23EECFF5" w14:textId="77777777" w:rsidR="00DA1536" w:rsidRPr="00827721" w:rsidRDefault="00DA1536" w:rsidP="00D832BD">
      <w:pPr>
        <w:pStyle w:val="HGsubpct11"/>
      </w:pPr>
      <w:r w:rsidRPr="00827721">
        <w:t>modificări ale tiparelor sezoniere de temperatură care afectează fenologia plantelor;</w:t>
      </w:r>
    </w:p>
    <w:p w14:paraId="785C7A83" w14:textId="77777777" w:rsidR="00DA1536" w:rsidRPr="00827721" w:rsidRDefault="00DA1536" w:rsidP="00D832BD">
      <w:pPr>
        <w:pStyle w:val="HGsubpct11"/>
      </w:pPr>
      <w:r w:rsidRPr="00827721">
        <w:t>creșterea numărului de dăunători și de boli;</w:t>
      </w:r>
    </w:p>
    <w:p w14:paraId="1A7067DC" w14:textId="77777777" w:rsidR="00DA1536" w:rsidRPr="00827721" w:rsidRDefault="00DA1536" w:rsidP="00D832BD">
      <w:pPr>
        <w:pStyle w:val="HGsubpct11"/>
      </w:pPr>
      <w:r w:rsidRPr="00827721">
        <w:t>defecțiuni ale sistemelor de irigații;</w:t>
      </w:r>
    </w:p>
    <w:p w14:paraId="250E2084" w14:textId="77777777" w:rsidR="00DA1536" w:rsidRPr="00827721" w:rsidRDefault="00DA1536" w:rsidP="00D832BD">
      <w:pPr>
        <w:pStyle w:val="HGsubpct11"/>
      </w:pPr>
      <w:r w:rsidRPr="00827721">
        <w:t>degradarea solurilor, de exemplu salinizare pronunțată, epuizarea materiei organice și eroziunea care le transformă în soluri „sever degradate”.</w:t>
      </w:r>
    </w:p>
    <w:p w14:paraId="31C5AFE3" w14:textId="237AD1BA" w:rsidR="00DA1536" w:rsidRPr="00827721" w:rsidRDefault="00DA1536" w:rsidP="00D832BD">
      <w:pPr>
        <w:pStyle w:val="HGpct1"/>
      </w:pPr>
      <w:r w:rsidRPr="00827721">
        <w:t>Printre factorii socioeconomici care afectează în mod negativ viabilitatea economică a producției și care conduc la abandonarea terenului se numără următoarele evenimente, fără a se limita la acestea:</w:t>
      </w:r>
    </w:p>
    <w:p w14:paraId="3A6E8F78" w14:textId="77777777" w:rsidR="00DA1536" w:rsidRPr="00827721" w:rsidRDefault="00DA1536" w:rsidP="00D832BD">
      <w:pPr>
        <w:pStyle w:val="HGsubpct11"/>
      </w:pPr>
      <w:r w:rsidRPr="00827721">
        <w:t>modificări ale prețurilor pieței: (de exemplu, creșterea costului factorilor de producție sau al forței de muncă sau al ambelor ori reducerea prețului generată de culturile finite);</w:t>
      </w:r>
    </w:p>
    <w:p w14:paraId="26BB65E1" w14:textId="77777777" w:rsidR="00DA1536" w:rsidRPr="00827721" w:rsidRDefault="00DA1536" w:rsidP="00D832BD">
      <w:pPr>
        <w:pStyle w:val="HGsubpct11"/>
      </w:pPr>
      <w:r w:rsidRPr="00827721">
        <w:t>indisponibilitatea forței de muncă (de exemplu, ca urmare a migrației);</w:t>
      </w:r>
    </w:p>
    <w:p w14:paraId="0F7DA42F" w14:textId="77777777" w:rsidR="00DA1536" w:rsidRPr="00827721" w:rsidRDefault="00DA1536" w:rsidP="00D832BD">
      <w:pPr>
        <w:pStyle w:val="HGsubpct11"/>
      </w:pPr>
      <w:r w:rsidRPr="00827721">
        <w:t>disfuncționalități ale lanțului de aprovizionare (de exemplu, din cauza închiderii unei piețe locale sau a unei legături de transport);</w:t>
      </w:r>
    </w:p>
    <w:p w14:paraId="2FD88126" w14:textId="77777777" w:rsidR="00DA1536" w:rsidRPr="00827721" w:rsidRDefault="00DA1536" w:rsidP="00D832BD">
      <w:pPr>
        <w:pStyle w:val="HGsubpct11"/>
      </w:pPr>
      <w:r w:rsidRPr="00827721">
        <w:t>litigii cu privire la dreptul de proprietate (de exemplu, în contextul unei moșteniri);</w:t>
      </w:r>
    </w:p>
    <w:p w14:paraId="4FF51CF1" w14:textId="77777777" w:rsidR="00DA1536" w:rsidRPr="00827721" w:rsidRDefault="00DA1536" w:rsidP="00D832BD">
      <w:pPr>
        <w:pStyle w:val="HGsubpct11"/>
      </w:pPr>
      <w:r w:rsidRPr="00827721">
        <w:t>instabilitate politică (de exemplu, confiscarea sau naționalizarea terenurilor).</w:t>
      </w:r>
    </w:p>
    <w:p w14:paraId="62EAB6C6" w14:textId="0DC98D1C" w:rsidR="00DA1536" w:rsidRPr="00827721" w:rsidRDefault="00DA1536" w:rsidP="00D832BD">
      <w:pPr>
        <w:pStyle w:val="HGpct1"/>
      </w:pPr>
      <w:r w:rsidRPr="00827721">
        <w:t xml:space="preserve">O cerere de certificare a materiilor prime produse pe terenuri sever degradate, astfel cum sunt definite </w:t>
      </w:r>
      <w:r w:rsidR="006773C6" w:rsidRPr="00827721">
        <w:t xml:space="preserve">la pct. </w:t>
      </w:r>
      <w:r w:rsidR="00406CB6" w:rsidRPr="00827721">
        <w:t xml:space="preserve">14 din anexa nr. 2 </w:t>
      </w:r>
      <w:r w:rsidR="00BF20FF">
        <w:t xml:space="preserve">din </w:t>
      </w:r>
      <w:r w:rsidR="00BF20FF" w:rsidRPr="00347C70">
        <w:rPr>
          <w:iCs/>
        </w:rPr>
        <w:t>HG 53/2025</w:t>
      </w:r>
      <w:r w:rsidRPr="00827721">
        <w:t>, este însoțită de următoarele rezultate ale testării solului, după caz:</w:t>
      </w:r>
    </w:p>
    <w:p w14:paraId="26F6E84B" w14:textId="77777777" w:rsidR="00DA1536" w:rsidRPr="00827721" w:rsidRDefault="00DA1536" w:rsidP="00D832BD">
      <w:pPr>
        <w:pStyle w:val="HGsubpct11"/>
      </w:pPr>
      <w:r w:rsidRPr="00827721">
        <w:t xml:space="preserve">în cazul salinizării, rezultatele testării </w:t>
      </w:r>
      <w:proofErr w:type="spellStart"/>
      <w:r w:rsidRPr="00827721">
        <w:t>electroconductivității</w:t>
      </w:r>
      <w:proofErr w:type="spellEnd"/>
      <w:r w:rsidRPr="00827721">
        <w:t xml:space="preserve"> solului efectuate de un agronom calificat prin metoda pastei saturate;</w:t>
      </w:r>
    </w:p>
    <w:p w14:paraId="75C4D8DF" w14:textId="77777777" w:rsidR="00DA1536" w:rsidRPr="00827721" w:rsidRDefault="00DA1536" w:rsidP="00D832BD">
      <w:pPr>
        <w:pStyle w:val="HGsubpct11"/>
      </w:pPr>
      <w:r w:rsidRPr="00827721">
        <w:t>în cazul solurilor cu un conținut scăzut de materii organice, rezultatele testelor efectuate de un agronom calificat prin metoda arderii uscate, pe un număr corespunzător de probe de sol prelevate de pe parcela delimitată;</w:t>
      </w:r>
    </w:p>
    <w:p w14:paraId="3CBC991D" w14:textId="77777777" w:rsidR="00DA1536" w:rsidRPr="00827721" w:rsidRDefault="00DA1536" w:rsidP="00D832BD">
      <w:pPr>
        <w:pStyle w:val="HGsubpct11"/>
      </w:pPr>
      <w:r w:rsidRPr="00827721">
        <w:t>în cazul unei eroziuni severe, cel puțin 25 % din parcela delimitată trebuie să fi fost erodată conform constatărilor unui agronom calificat, susținute de fotografii.</w:t>
      </w:r>
    </w:p>
    <w:p w14:paraId="32F44565" w14:textId="58A36284" w:rsidR="00DA1536" w:rsidRPr="00827721" w:rsidRDefault="00DA1536" w:rsidP="00D832BD">
      <w:pPr>
        <w:pStyle w:val="HGpct1"/>
      </w:pPr>
      <w:r w:rsidRPr="00827721">
        <w:lastRenderedPageBreak/>
        <w:t xml:space="preserve">În cazul în care o zonă delimitată se califică drept teren nefolosit, aceasta trebuie să treacă un test privind </w:t>
      </w:r>
      <w:proofErr w:type="spellStart"/>
      <w:r w:rsidRPr="00827721">
        <w:t>adiționalitatea</w:t>
      </w:r>
      <w:proofErr w:type="spellEnd"/>
      <w:r w:rsidRPr="00827721">
        <w:t xml:space="preserve">, astfel cum se prevede în anexa </w:t>
      </w:r>
      <w:r w:rsidR="00407973" w:rsidRPr="00827721">
        <w:t>nr. 8</w:t>
      </w:r>
      <w:r w:rsidRPr="00827721">
        <w:t xml:space="preserve">, pentru a fi eligibilă pentru certificarea riscului redus de ILUC. Zonele delimitate care se califică drept terenuri abandonate sau sever degradate nu trebuie să treacă testul privind </w:t>
      </w:r>
      <w:proofErr w:type="spellStart"/>
      <w:r w:rsidRPr="00827721">
        <w:t>adiționalitatea</w:t>
      </w:r>
      <w:proofErr w:type="spellEnd"/>
      <w:r w:rsidRPr="00827721">
        <w:t xml:space="preserve"> pentru a fi eligibile pentru certificarea riscului redus de ILUC. În cazul producției pe terenuri nefolosite, abandonate sau degradate, randamentul dinamic de referință este stabilit la valoarea zero, fără nicio linie de tendință.</w:t>
      </w:r>
    </w:p>
    <w:p w14:paraId="6E17FCA0" w14:textId="2B9293B9" w:rsidR="00124B25" w:rsidRPr="00827721" w:rsidRDefault="00124B25" w:rsidP="00FD5A9B">
      <w:pPr>
        <w:pStyle w:val="Sectiune"/>
      </w:pPr>
      <w:r w:rsidRPr="00827721">
        <w:t>Secțiunea a 4-a</w:t>
      </w:r>
    </w:p>
    <w:p w14:paraId="4623834A" w14:textId="77777777" w:rsidR="00682EF8" w:rsidRPr="00827721" w:rsidRDefault="009613C8" w:rsidP="00FD5A9B">
      <w:pPr>
        <w:pStyle w:val="Sectiune"/>
      </w:pPr>
      <w:r w:rsidRPr="00827721">
        <w:t xml:space="preserve">Determinarea biomasei suplimentare pentru măsurile </w:t>
      </w:r>
    </w:p>
    <w:p w14:paraId="2943740C" w14:textId="219AAE75" w:rsidR="00124B25" w:rsidRPr="00827721" w:rsidRDefault="009613C8" w:rsidP="00FD5A9B">
      <w:pPr>
        <w:pStyle w:val="Sectiune"/>
      </w:pPr>
      <w:r w:rsidRPr="00827721">
        <w:t>de creștere a randamentului</w:t>
      </w:r>
    </w:p>
    <w:p w14:paraId="1DF89964" w14:textId="4C28C462" w:rsidR="007C4602" w:rsidRPr="00827721" w:rsidRDefault="007C4602" w:rsidP="00D832BD">
      <w:pPr>
        <w:pStyle w:val="HGpct1"/>
      </w:pPr>
      <w:r w:rsidRPr="00827721">
        <w:t xml:space="preserve">Biomasa suplimentară eligibilă pentru certificarea riscului redus de ILUC este cantitatea suplimentară de materii prime produsă într-o zonă clar delimitată în raport cu randamentul dinamic de referință ca rezultat direct al aplicării unei măsuri de </w:t>
      </w:r>
      <w:proofErr w:type="spellStart"/>
      <w:r w:rsidRPr="00827721">
        <w:t>adiționalitate</w:t>
      </w:r>
      <w:proofErr w:type="spellEnd"/>
      <w:r w:rsidRPr="00827721">
        <w:t>.</w:t>
      </w:r>
    </w:p>
    <w:p w14:paraId="4978D793" w14:textId="0F075A5E" w:rsidR="007C4602" w:rsidRPr="00827721" w:rsidRDefault="007C4602" w:rsidP="00D832BD">
      <w:pPr>
        <w:pStyle w:val="HGpct1"/>
      </w:pPr>
      <w:r w:rsidRPr="00827721">
        <w:t xml:space="preserve">Randamentul dinamic de referință se determină prin stabilirea unui punct de plecare, pe baza randamentului istoric al parcelei delimitate, și a unei linii de tendință bazate pe tendințele globale ale randamentului pentru materiile prime respective, care se determină în conformitate cu principiile stabilite în anexa </w:t>
      </w:r>
      <w:r w:rsidR="00682EF8" w:rsidRPr="00827721">
        <w:t>nr. 8</w:t>
      </w:r>
      <w:r w:rsidRPr="00827721">
        <w:t>.</w:t>
      </w:r>
    </w:p>
    <w:p w14:paraId="09D90DCB" w14:textId="282277A8" w:rsidR="001F21B6" w:rsidRPr="00827721" w:rsidRDefault="007C4602" w:rsidP="00D832BD">
      <w:pPr>
        <w:pStyle w:val="HGpct1"/>
      </w:pPr>
      <w:r w:rsidRPr="00827721">
        <w:t xml:space="preserve">Randamentul real pentru o parcelă delimitată după aplicarea măsurii de </w:t>
      </w:r>
      <w:proofErr w:type="spellStart"/>
      <w:r w:rsidRPr="00827721">
        <w:t>adiționalitate</w:t>
      </w:r>
      <w:proofErr w:type="spellEnd"/>
      <w:r w:rsidRPr="00827721">
        <w:t xml:space="preserve"> este comparat cu randamentul dinamic de referință menționat la </w:t>
      </w:r>
      <w:r w:rsidR="00682EF8" w:rsidRPr="00827721">
        <w:t>pct. 117</w:t>
      </w:r>
      <w:r w:rsidRPr="00827721">
        <w:t>. Diferența dintre randamentul real și randamentul dinamic de referință este materia primă suplimentară eligibilă care trebuie declarată ca prezentând un risc redus din perspectiva schimbării indirecte a destinației terenurilor.</w:t>
      </w:r>
    </w:p>
    <w:p w14:paraId="372DE9E7" w14:textId="77777777" w:rsidR="001F21B6" w:rsidRPr="00827721" w:rsidRDefault="001F21B6">
      <w:pPr>
        <w:spacing w:line="240" w:lineRule="auto"/>
        <w:ind w:firstLine="0"/>
        <w:jc w:val="left"/>
      </w:pPr>
      <w:r w:rsidRPr="00827721">
        <w:br w:type="page"/>
      </w:r>
    </w:p>
    <w:p w14:paraId="59EE6C70" w14:textId="77777777" w:rsidR="001F21B6" w:rsidRPr="00827721" w:rsidRDefault="001F21B6" w:rsidP="001F21B6">
      <w:pPr>
        <w:jc w:val="right"/>
      </w:pPr>
      <w:r w:rsidRPr="00827721">
        <w:lastRenderedPageBreak/>
        <w:t>Anexa nr. 1</w:t>
      </w:r>
    </w:p>
    <w:p w14:paraId="1F7BFE5E" w14:textId="3A016593" w:rsidR="00124B25" w:rsidRPr="00827721" w:rsidRDefault="001F21B6" w:rsidP="001E2300">
      <w:pPr>
        <w:jc w:val="right"/>
      </w:pPr>
      <w:r w:rsidRPr="00827721">
        <w:t xml:space="preserve">la </w:t>
      </w:r>
      <w:r w:rsidR="001E2300">
        <w:t xml:space="preserve">Regulamentul </w:t>
      </w:r>
      <w:r w:rsidR="001E2300" w:rsidRPr="009B2C9E">
        <w:t>cu privire la normele de verificare a biocarburanților, biolichidelor și combustibililor din biomasă</w:t>
      </w:r>
    </w:p>
    <w:p w14:paraId="3E1CC507" w14:textId="55F8D14B" w:rsidR="00C02561" w:rsidRPr="00827721" w:rsidRDefault="00077B04" w:rsidP="002C326E">
      <w:pPr>
        <w:pStyle w:val="Capitol"/>
      </w:pPr>
      <w:r w:rsidRPr="00827721">
        <w:t xml:space="preserve">DATE CARE TREBUIE TRANSMISE </w:t>
      </w:r>
      <w:r w:rsidR="007B3D0B" w:rsidRPr="00827721">
        <w:t>pe</w:t>
      </w:r>
      <w:r w:rsidRPr="00827721">
        <w:t xml:space="preserve"> ÎNTREGUL LANȚ DE APROVIZIONARE ȘI DATE PRIVIND TRANZACȚIILE</w:t>
      </w:r>
    </w:p>
    <w:p w14:paraId="7A0956A7" w14:textId="28EC05C5" w:rsidR="00C02561" w:rsidRPr="00827721" w:rsidRDefault="00C02561" w:rsidP="00C70987">
      <w:pPr>
        <w:pStyle w:val="Anexapct1"/>
        <w:numPr>
          <w:ilvl w:val="0"/>
          <w:numId w:val="65"/>
        </w:numPr>
      </w:pPr>
      <w:r w:rsidRPr="00827721">
        <w:t xml:space="preserve">Date care trebuie transmise </w:t>
      </w:r>
      <w:r w:rsidR="0022554E" w:rsidRPr="00827721">
        <w:t>pe</w:t>
      </w:r>
      <w:r w:rsidRPr="00827721">
        <w:t xml:space="preserve"> întregul lanț de aprovizionare</w:t>
      </w:r>
      <w:r w:rsidR="00D15449" w:rsidRPr="00827721">
        <w:t>:</w:t>
      </w:r>
    </w:p>
    <w:p w14:paraId="17514816" w14:textId="01A60E18" w:rsidR="00C02561" w:rsidRPr="00827721" w:rsidRDefault="00C02561" w:rsidP="00BB16DB">
      <w:pPr>
        <w:pStyle w:val="Anexapct11"/>
      </w:pPr>
      <w:r w:rsidRPr="00827721">
        <w:t xml:space="preserve">denumirea </w:t>
      </w:r>
      <w:r w:rsidR="00382F5C" w:rsidRPr="00827721">
        <w:t>schemei voluntare</w:t>
      </w:r>
      <w:r w:rsidRPr="00827721">
        <w:t xml:space="preserve"> sau național</w:t>
      </w:r>
      <w:r w:rsidR="00382F5C" w:rsidRPr="00827721">
        <w:t>e</w:t>
      </w:r>
      <w:r w:rsidRPr="00827721">
        <w:t>;</w:t>
      </w:r>
    </w:p>
    <w:p w14:paraId="1D62CDEC" w14:textId="77777777" w:rsidR="00C02561" w:rsidRPr="00827721" w:rsidRDefault="00C02561" w:rsidP="000742AA">
      <w:pPr>
        <w:pStyle w:val="Anexapct11"/>
      </w:pPr>
      <w:r w:rsidRPr="00827721">
        <w:t>numărul dovezii durabilității;</w:t>
      </w:r>
    </w:p>
    <w:p w14:paraId="00E56D13" w14:textId="77777777" w:rsidR="00C02561" w:rsidRPr="00827721" w:rsidRDefault="00C02561" w:rsidP="000742AA">
      <w:pPr>
        <w:pStyle w:val="Anexapct11"/>
      </w:pPr>
      <w:r w:rsidRPr="00827721">
        <w:t>caracteristicile de durabilitate și de reducere a emisiilor de GES, inclusiv:</w:t>
      </w:r>
    </w:p>
    <w:p w14:paraId="252E164E" w14:textId="6A6D404A" w:rsidR="00C02561" w:rsidRPr="00827721" w:rsidRDefault="00C02561" w:rsidP="000742AA">
      <w:pPr>
        <w:pStyle w:val="Anexapct111"/>
      </w:pPr>
      <w:r w:rsidRPr="00827721">
        <w:t xml:space="preserve">o declarație din care să reiasă dacă materia primă sau combustibilul respectă criteriile prevăzute la </w:t>
      </w:r>
      <w:r w:rsidR="00ED5B07" w:rsidRPr="00827721">
        <w:t>pct. 15-2</w:t>
      </w:r>
      <w:r w:rsidR="00E54FC9" w:rsidRPr="00827721">
        <w:t>1</w:t>
      </w:r>
      <w:r w:rsidR="00ED5B07" w:rsidRPr="00827721">
        <w:t xml:space="preserve"> din anexa nr. 1 la </w:t>
      </w:r>
      <w:r w:rsidR="00C72EEB" w:rsidRPr="00C72EEB">
        <w:rPr>
          <w:iCs/>
        </w:rPr>
        <w:t>HG 53/2025</w:t>
      </w:r>
      <w:r w:rsidRPr="00827721">
        <w:t>;</w:t>
      </w:r>
    </w:p>
    <w:p w14:paraId="5CAEE0A5" w14:textId="7BA6D6AA" w:rsidR="00C02561" w:rsidRPr="00827721" w:rsidRDefault="00C02561" w:rsidP="000742AA">
      <w:pPr>
        <w:pStyle w:val="Anexapct111"/>
      </w:pPr>
      <w:r w:rsidRPr="00827721">
        <w:t xml:space="preserve">datele privind emisiile de GES calculate în conformitate cu metodologia prevăzută în </w:t>
      </w:r>
      <w:r w:rsidR="00164054" w:rsidRPr="00827721">
        <w:t>anexa nr. 2</w:t>
      </w:r>
      <w:r w:rsidR="00A32214" w:rsidRPr="00827721">
        <w:t xml:space="preserve"> sau anexa nr. 3 </w:t>
      </w:r>
      <w:r w:rsidR="00265A1C" w:rsidRPr="00827721">
        <w:t>la anexa</w:t>
      </w:r>
      <w:r w:rsidR="00A32214" w:rsidRPr="00827721">
        <w:t xml:space="preserve"> nr. 1 la </w:t>
      </w:r>
      <w:r w:rsidR="00C72EEB" w:rsidRPr="00C72EEB">
        <w:rPr>
          <w:iCs/>
        </w:rPr>
        <w:t>HG 53/2025</w:t>
      </w:r>
      <w:r w:rsidRPr="00827721">
        <w:t>;</w:t>
      </w:r>
    </w:p>
    <w:p w14:paraId="39553B43" w14:textId="77777777" w:rsidR="00C02561" w:rsidRPr="00827721" w:rsidRDefault="00C02561" w:rsidP="000742AA">
      <w:pPr>
        <w:pStyle w:val="Anexapct111"/>
      </w:pPr>
      <w:r w:rsidRPr="00827721">
        <w:t>descrierea momentului în care instalația a început să funcționeze (numai pentru combustibili);</w:t>
      </w:r>
    </w:p>
    <w:p w14:paraId="1EA0160B" w14:textId="77777777" w:rsidR="00C02561" w:rsidRPr="00827721" w:rsidRDefault="00C02561" w:rsidP="00DC5D01">
      <w:pPr>
        <w:pStyle w:val="Anexapct11"/>
      </w:pPr>
      <w:r w:rsidRPr="00827721">
        <w:t>denumirea materiei prime sau denumirea materiei prime din care este produs combustibilul;</w:t>
      </w:r>
    </w:p>
    <w:p w14:paraId="52D211EC" w14:textId="77777777" w:rsidR="00C02561" w:rsidRPr="00827721" w:rsidRDefault="00C02561" w:rsidP="00DC5D01">
      <w:pPr>
        <w:pStyle w:val="Anexapct11"/>
      </w:pPr>
      <w:r w:rsidRPr="00827721">
        <w:t>numărul autorizației privind deșeurile sau subprodusele de origine animală (dacă este cazul);</w:t>
      </w:r>
    </w:p>
    <w:p w14:paraId="2C356D63" w14:textId="77777777" w:rsidR="00C02561" w:rsidRPr="00827721" w:rsidRDefault="00C02561" w:rsidP="00DC5D01">
      <w:pPr>
        <w:pStyle w:val="Anexapct11"/>
      </w:pPr>
      <w:r w:rsidRPr="00827721">
        <w:t>tipul de combustibil (numai pentru combustibili);</w:t>
      </w:r>
    </w:p>
    <w:p w14:paraId="297C16C2" w14:textId="77777777" w:rsidR="00C02561" w:rsidRPr="00827721" w:rsidRDefault="00C02561" w:rsidP="00DC5D01">
      <w:pPr>
        <w:pStyle w:val="Anexapct11"/>
      </w:pPr>
      <w:r w:rsidRPr="00827721">
        <w:t>țara de origine a materiei prime;</w:t>
      </w:r>
    </w:p>
    <w:p w14:paraId="2045EDD7" w14:textId="77777777" w:rsidR="00C02561" w:rsidRPr="00827721" w:rsidRDefault="00C02561" w:rsidP="00DC5D01">
      <w:pPr>
        <w:pStyle w:val="Anexapct11"/>
      </w:pPr>
      <w:r w:rsidRPr="00827721">
        <w:t>țara în care se produce combustibilul;</w:t>
      </w:r>
    </w:p>
    <w:p w14:paraId="6EBFF5A9" w14:textId="7D7228D0" w:rsidR="00C02561" w:rsidRPr="00827721" w:rsidRDefault="00C02561" w:rsidP="00DC5D01">
      <w:pPr>
        <w:pStyle w:val="Anexapct11"/>
      </w:pPr>
      <w:r w:rsidRPr="00827721">
        <w:t xml:space="preserve">o declarație din care să reiasă dacă materia primă sau combustibilul respectă criteriile stabilite pentru </w:t>
      </w:r>
      <w:r w:rsidR="008A23DF" w:rsidRPr="00827721">
        <w:t>biocarburanții</w:t>
      </w:r>
      <w:r w:rsidRPr="00827721">
        <w:t xml:space="preserve"> care prezintă riscuri reduse din perspectiva schimbării indirecte a destinației terenurilor;</w:t>
      </w:r>
    </w:p>
    <w:p w14:paraId="46AF832E" w14:textId="77777777" w:rsidR="00C02561" w:rsidRPr="00827721" w:rsidRDefault="00C02561" w:rsidP="00DC5D01">
      <w:pPr>
        <w:pStyle w:val="Anexapct11"/>
      </w:pPr>
      <w:r w:rsidRPr="00827721">
        <w:t>informații din care să reiasă dacă producerea lotului respectiv a beneficiat de sprijin și, în caz afirmativ, care este tipul schemei de sprijin.</w:t>
      </w:r>
    </w:p>
    <w:p w14:paraId="3134A651" w14:textId="721BC52A" w:rsidR="00C02561" w:rsidRPr="00827721" w:rsidRDefault="00C02561" w:rsidP="00D942A3">
      <w:pPr>
        <w:pStyle w:val="Anexapct1"/>
      </w:pPr>
      <w:r w:rsidRPr="00827721">
        <w:t>Date privind tranzacțiile</w:t>
      </w:r>
      <w:r w:rsidR="00077B04" w:rsidRPr="00827721">
        <w:t>:</w:t>
      </w:r>
    </w:p>
    <w:p w14:paraId="13E6378F" w14:textId="77777777" w:rsidR="00C02561" w:rsidRPr="00827721" w:rsidRDefault="00C02561" w:rsidP="00DC5D01">
      <w:pPr>
        <w:pStyle w:val="Anexapct11"/>
      </w:pPr>
      <w:r w:rsidRPr="00827721">
        <w:t>denumirea și adresa societății furnizoare;</w:t>
      </w:r>
    </w:p>
    <w:p w14:paraId="4747DE4F" w14:textId="77777777" w:rsidR="00C02561" w:rsidRPr="00827721" w:rsidRDefault="00C02561" w:rsidP="00DC5D01">
      <w:pPr>
        <w:pStyle w:val="Anexapct11"/>
      </w:pPr>
      <w:r w:rsidRPr="00827721">
        <w:t>denumirea și adresa societății achizitoare;</w:t>
      </w:r>
    </w:p>
    <w:p w14:paraId="111A9D84" w14:textId="77777777" w:rsidR="00C02561" w:rsidRPr="00827721" w:rsidRDefault="00C02561" w:rsidP="00DC5D01">
      <w:pPr>
        <w:pStyle w:val="Anexapct11"/>
      </w:pPr>
      <w:r w:rsidRPr="00827721">
        <w:t>data încărcării (fizice);</w:t>
      </w:r>
    </w:p>
    <w:p w14:paraId="7851EA56" w14:textId="77777777" w:rsidR="00C02561" w:rsidRPr="00827721" w:rsidRDefault="00C02561" w:rsidP="00DC5D01">
      <w:pPr>
        <w:pStyle w:val="Anexapct11"/>
      </w:pPr>
      <w:r w:rsidRPr="00827721">
        <w:t>locul instalației de încărcare (fizică) sau a instalației logistice sau punctul de intrare al infrastructurii de distribuție;</w:t>
      </w:r>
    </w:p>
    <w:p w14:paraId="02AECC89" w14:textId="77777777" w:rsidR="00C02561" w:rsidRPr="00827721" w:rsidRDefault="00C02561" w:rsidP="00DC5D01">
      <w:pPr>
        <w:pStyle w:val="Anexapct11"/>
      </w:pPr>
      <w:r w:rsidRPr="00827721">
        <w:t>locul instalației de livrare (fizică) sau a instalației logistice sau punctul de ieșire al infrastructurii de distribuție;</w:t>
      </w:r>
    </w:p>
    <w:p w14:paraId="2A040CF0" w14:textId="4DBB56F8" w:rsidR="004D1B0D" w:rsidRPr="00827721" w:rsidRDefault="00C02561" w:rsidP="004D1B0D">
      <w:pPr>
        <w:pStyle w:val="Anexapct11"/>
      </w:pPr>
      <w:r w:rsidRPr="00827721">
        <w:lastRenderedPageBreak/>
        <w:t xml:space="preserve">volumul: în cazul combustibililor, trebuie inclusă și cantitatea de energie pentru aceștia. Pentru calcularea cantității de energie, trebuie utilizați factorii de conversie prevăzuți în anexa </w:t>
      </w:r>
      <w:r w:rsidR="007067E5" w:rsidRPr="00827721">
        <w:t xml:space="preserve">nr. 5 </w:t>
      </w:r>
      <w:r w:rsidR="0033139F" w:rsidRPr="00827721">
        <w:t xml:space="preserve">la </w:t>
      </w:r>
      <w:r w:rsidR="002E6B69">
        <w:t>HG 74/2025</w:t>
      </w:r>
      <w:r w:rsidRPr="00827721">
        <w:t>.</w:t>
      </w:r>
    </w:p>
    <w:p w14:paraId="0F4BC233" w14:textId="77777777" w:rsidR="004D1B0D" w:rsidRPr="00827721" w:rsidRDefault="004D1B0D">
      <w:pPr>
        <w:spacing w:line="240" w:lineRule="auto"/>
        <w:ind w:firstLine="0"/>
        <w:jc w:val="left"/>
      </w:pPr>
      <w:r w:rsidRPr="00827721">
        <w:br w:type="page"/>
      </w:r>
    </w:p>
    <w:p w14:paraId="6F148859" w14:textId="4DF6DCEB" w:rsidR="004D1B0D" w:rsidRPr="00827721" w:rsidRDefault="004D1B0D" w:rsidP="004D1B0D">
      <w:pPr>
        <w:jc w:val="right"/>
      </w:pPr>
      <w:r w:rsidRPr="00827721">
        <w:lastRenderedPageBreak/>
        <w:t>Anexa nr. 2</w:t>
      </w:r>
    </w:p>
    <w:p w14:paraId="3156FE0A" w14:textId="6524C664" w:rsidR="004D1B0D" w:rsidRPr="00827721" w:rsidRDefault="004D1B0D" w:rsidP="004D1B0D">
      <w:pPr>
        <w:jc w:val="right"/>
      </w:pPr>
      <w:r w:rsidRPr="00827721">
        <w:t xml:space="preserve">la </w:t>
      </w:r>
      <w:r w:rsidR="001E2300">
        <w:t xml:space="preserve">Regulamentul </w:t>
      </w:r>
      <w:r w:rsidR="001E2300" w:rsidRPr="009B2C9E">
        <w:t>cu privire la normele de verificare a biocarburanților, biolichidelor și combustibililor din biomasă</w:t>
      </w:r>
    </w:p>
    <w:p w14:paraId="13E003A9" w14:textId="7C2C5D73" w:rsidR="004F5461" w:rsidRPr="00827721" w:rsidRDefault="004F5461" w:rsidP="004E6764">
      <w:pPr>
        <w:pStyle w:val="Capitol"/>
      </w:pPr>
      <w:r w:rsidRPr="00827721">
        <w:t>Conținutul minim al rapoartelor de audit, al</w:t>
      </w:r>
      <w:r w:rsidR="004E6764" w:rsidRPr="00827721">
        <w:t xml:space="preserve"> </w:t>
      </w:r>
      <w:r w:rsidRPr="00827721">
        <w:t>sintezelor rapoartelor de audit sau al</w:t>
      </w:r>
      <w:r w:rsidR="00F15077" w:rsidRPr="00827721">
        <w:t xml:space="preserve"> </w:t>
      </w:r>
      <w:r w:rsidRPr="00827721">
        <w:t>certificatelor</w:t>
      </w:r>
    </w:p>
    <w:p w14:paraId="215D7532" w14:textId="092359E4" w:rsidR="004F5461" w:rsidRPr="00827721" w:rsidRDefault="001922B9" w:rsidP="001922B9">
      <w:pPr>
        <w:pStyle w:val="Capitol"/>
      </w:pPr>
      <w:r w:rsidRPr="00827721">
        <w:rPr>
          <w:caps w:val="0"/>
        </w:rPr>
        <w:t>Capitolul</w:t>
      </w:r>
      <w:r w:rsidRPr="00827721">
        <w:t xml:space="preserve"> I</w:t>
      </w:r>
    </w:p>
    <w:p w14:paraId="5268C6E2" w14:textId="3ECCA0D3" w:rsidR="00794324" w:rsidRPr="00827721" w:rsidRDefault="00794324" w:rsidP="001922B9">
      <w:pPr>
        <w:pStyle w:val="Capitol"/>
      </w:pPr>
      <w:r w:rsidRPr="00827721">
        <w:t>Conținutul minim al raportului de audit</w:t>
      </w:r>
    </w:p>
    <w:p w14:paraId="3C95EF77" w14:textId="77777777" w:rsidR="00B543CD" w:rsidRPr="00827721" w:rsidRDefault="00B543CD" w:rsidP="001E31FB">
      <w:pPr>
        <w:pStyle w:val="Anexapct1"/>
        <w:numPr>
          <w:ilvl w:val="0"/>
          <w:numId w:val="49"/>
        </w:numPr>
      </w:pPr>
      <w:r w:rsidRPr="00827721">
        <w:t>În ceea ce privește operatorul economic:</w:t>
      </w:r>
    </w:p>
    <w:p w14:paraId="782F0C06" w14:textId="77777777" w:rsidR="00B543CD" w:rsidRPr="00827721" w:rsidRDefault="00B543CD" w:rsidP="00B543CD">
      <w:pPr>
        <w:pStyle w:val="Anexapct11"/>
      </w:pPr>
      <w:r w:rsidRPr="00827721">
        <w:t>datele de contact ale principalei entități certificate (denumirea și adresa societății, detalii privind punctul de contact desemnat);</w:t>
      </w:r>
    </w:p>
    <w:p w14:paraId="738A8123" w14:textId="77777777" w:rsidR="00B543CD" w:rsidRPr="00827721" w:rsidRDefault="00B543CD" w:rsidP="00B543CD">
      <w:pPr>
        <w:pStyle w:val="Anexapct11"/>
      </w:pPr>
      <w:r w:rsidRPr="00827721">
        <w:t>domeniul de aplicare al certificării;</w:t>
      </w:r>
    </w:p>
    <w:p w14:paraId="56263AAC" w14:textId="77777777" w:rsidR="00B543CD" w:rsidRPr="00827721" w:rsidRDefault="00B543CD" w:rsidP="00B543CD">
      <w:pPr>
        <w:pStyle w:val="Anexapct11"/>
      </w:pPr>
      <w:r w:rsidRPr="00827721">
        <w:t>coordonatele de longitudine și latitudine (pentru exploatațiile agricole și plantațiile certificate ca entități unice);</w:t>
      </w:r>
    </w:p>
    <w:p w14:paraId="3B71099A" w14:textId="77777777" w:rsidR="00B543CD" w:rsidRPr="00827721" w:rsidRDefault="00B543CD" w:rsidP="00B543CD">
      <w:pPr>
        <w:pStyle w:val="Anexapct11"/>
      </w:pPr>
      <w:r w:rsidRPr="00827721">
        <w:t>obiectul certificării (pentru primele puncte de colectare sau pentru exploatațiile agricole și plantațiile certificate individual);</w:t>
      </w:r>
    </w:p>
    <w:p w14:paraId="54DE7803" w14:textId="27E66AC3" w:rsidR="00B543CD" w:rsidRPr="00827721" w:rsidRDefault="00B543CD" w:rsidP="00B543CD">
      <w:pPr>
        <w:pStyle w:val="Anexapct11"/>
      </w:pPr>
      <w:r w:rsidRPr="00827721">
        <w:t xml:space="preserve">cantitatea estimată de materiale durabile </w:t>
      </w:r>
      <w:r w:rsidR="00006D17" w:rsidRPr="00827721">
        <w:t>ce pot fi</w:t>
      </w:r>
      <w:r w:rsidRPr="00827721">
        <w:t xml:space="preserve"> recoltate anual (pentru lanțurile de aprovizionare agricole și forestiere);</w:t>
      </w:r>
    </w:p>
    <w:p w14:paraId="7722D8B5" w14:textId="4D9A767B" w:rsidR="00B543CD" w:rsidRPr="00827721" w:rsidRDefault="00B543CD" w:rsidP="00B543CD">
      <w:pPr>
        <w:pStyle w:val="Anexapct11"/>
      </w:pPr>
      <w:r w:rsidRPr="00827721">
        <w:t xml:space="preserve">cantitatea estimată de materiale durabile </w:t>
      </w:r>
      <w:r w:rsidR="00006D17" w:rsidRPr="00827721">
        <w:t>ce pot</w:t>
      </w:r>
      <w:r w:rsidRPr="00827721">
        <w:t xml:space="preserve"> fi colectate anual (pentru punctele de colectare a deșeurilor și a reziduurilor);</w:t>
      </w:r>
    </w:p>
    <w:p w14:paraId="49ECF6A4" w14:textId="77777777" w:rsidR="00B543CD" w:rsidRPr="00827721" w:rsidRDefault="00B543CD" w:rsidP="00B543CD">
      <w:pPr>
        <w:pStyle w:val="Anexapct11"/>
      </w:pPr>
      <w:r w:rsidRPr="00827721">
        <w:t>lista amplasamentelor care fac obiectul certificării (denumire și adresă);</w:t>
      </w:r>
    </w:p>
    <w:p w14:paraId="23C0A359" w14:textId="2AA8DBD6" w:rsidR="00B543CD" w:rsidRPr="00827721" w:rsidRDefault="00B543CD" w:rsidP="00B543CD">
      <w:pPr>
        <w:pStyle w:val="Anexapct11"/>
      </w:pPr>
      <w:r w:rsidRPr="00827721">
        <w:t xml:space="preserve">materialele de intrare/ieșire gestionate (fizic) de amplasamentele certificate – clasificările trebuie să fie în conformitate cu cerințele stabilite în </w:t>
      </w:r>
      <w:r w:rsidR="00A07619" w:rsidRPr="00827721">
        <w:t xml:space="preserve">anexa nr. 3 la </w:t>
      </w:r>
      <w:r w:rsidR="002E6B69">
        <w:t>HG 74/2025</w:t>
      </w:r>
      <w:r w:rsidRPr="00827721">
        <w:t>;</w:t>
      </w:r>
    </w:p>
    <w:p w14:paraId="4981C2FF" w14:textId="77777777" w:rsidR="00B543CD" w:rsidRPr="00827721" w:rsidRDefault="00B543CD" w:rsidP="00B543CD">
      <w:pPr>
        <w:pStyle w:val="Anexapct11"/>
      </w:pPr>
      <w:r w:rsidRPr="00827721">
        <w:t>cantitatea estimată de materiale durabile utilizată anual (numai producătorii produsului final);</w:t>
      </w:r>
    </w:p>
    <w:p w14:paraId="46B63314" w14:textId="1EF10D8E" w:rsidR="00B543CD" w:rsidRPr="00827721" w:rsidRDefault="00B543CD" w:rsidP="00B543CD">
      <w:pPr>
        <w:pStyle w:val="Anexapct11"/>
      </w:pPr>
      <w:r w:rsidRPr="00827721">
        <w:t xml:space="preserve">cantitatea estimată de produs final durabil care </w:t>
      </w:r>
      <w:r w:rsidR="000C389D" w:rsidRPr="00827721">
        <w:t>poate</w:t>
      </w:r>
      <w:r w:rsidRPr="00827721">
        <w:t xml:space="preserve"> fi produs anual (numai producătorii produsului final).</w:t>
      </w:r>
    </w:p>
    <w:p w14:paraId="29EF680A" w14:textId="77777777" w:rsidR="00B543CD" w:rsidRPr="00827721" w:rsidRDefault="00B543CD" w:rsidP="00A9716C">
      <w:pPr>
        <w:pStyle w:val="Anexapct1"/>
      </w:pPr>
      <w:r w:rsidRPr="00827721">
        <w:t>În ceea ce privește organismul de certificare:</w:t>
      </w:r>
    </w:p>
    <w:p w14:paraId="1B3B826D" w14:textId="77777777" w:rsidR="00B543CD" w:rsidRPr="00827721" w:rsidRDefault="00B543CD" w:rsidP="006C7041">
      <w:pPr>
        <w:pStyle w:val="Anexapct11"/>
      </w:pPr>
      <w:r w:rsidRPr="00827721">
        <w:t>datele de contact (nume și adresă) și sigla;</w:t>
      </w:r>
    </w:p>
    <w:p w14:paraId="3A87587C" w14:textId="77777777" w:rsidR="00B543CD" w:rsidRPr="00827721" w:rsidRDefault="00B543CD" w:rsidP="006C7041">
      <w:pPr>
        <w:pStyle w:val="Anexapct11"/>
      </w:pPr>
      <w:r w:rsidRPr="00827721">
        <w:t>componența echipei de audit;</w:t>
      </w:r>
    </w:p>
    <w:p w14:paraId="6412619B" w14:textId="77777777" w:rsidR="00B543CD" w:rsidRPr="00827721" w:rsidRDefault="00B543CD" w:rsidP="006C7041">
      <w:pPr>
        <w:pStyle w:val="Anexapct11"/>
      </w:pPr>
      <w:r w:rsidRPr="00827721">
        <w:t>organismul de acreditare, domeniul de aplicare și data acreditării.</w:t>
      </w:r>
    </w:p>
    <w:p w14:paraId="790B04B2" w14:textId="77777777" w:rsidR="00B543CD" w:rsidRPr="00827721" w:rsidRDefault="00B543CD" w:rsidP="00A9716C">
      <w:pPr>
        <w:pStyle w:val="Anexapct1"/>
      </w:pPr>
      <w:r w:rsidRPr="00827721">
        <w:t>În ceea ce privește procesul de audit:</w:t>
      </w:r>
    </w:p>
    <w:p w14:paraId="59A18083" w14:textId="77777777" w:rsidR="00B543CD" w:rsidRPr="00827721" w:rsidRDefault="00B543CD" w:rsidP="006C7041">
      <w:pPr>
        <w:pStyle w:val="Anexapct11"/>
      </w:pPr>
      <w:r w:rsidRPr="00827721">
        <w:t>data auditului;</w:t>
      </w:r>
    </w:p>
    <w:p w14:paraId="78B6FEED" w14:textId="77777777" w:rsidR="00B4589D" w:rsidRPr="00827721" w:rsidRDefault="00B543CD" w:rsidP="00B4589D">
      <w:pPr>
        <w:pStyle w:val="Anexapct11"/>
      </w:pPr>
      <w:r w:rsidRPr="00827721">
        <w:lastRenderedPageBreak/>
        <w:t>itinerarul și durata auditului (defalcată în funcție de durata petrecută la fața locului și de la distanță – dacă este cazul);</w:t>
      </w:r>
    </w:p>
    <w:p w14:paraId="627DD8B1" w14:textId="20A1D149" w:rsidR="00B543CD" w:rsidRPr="00827721" w:rsidRDefault="00B543CD" w:rsidP="00B4589D">
      <w:pPr>
        <w:pStyle w:val="Anexapct11"/>
      </w:pPr>
      <w:r w:rsidRPr="00827721">
        <w:t xml:space="preserve">standardele auditate/certificate ale </w:t>
      </w:r>
      <w:r w:rsidR="00295203" w:rsidRPr="00827721">
        <w:t>schemei</w:t>
      </w:r>
      <w:r w:rsidRPr="00827721">
        <w:t xml:space="preserve"> (inclusiv numărul versiunii);</w:t>
      </w:r>
    </w:p>
    <w:p w14:paraId="2A7D5D3A" w14:textId="77777777" w:rsidR="00B543CD" w:rsidRPr="00827721" w:rsidRDefault="00B543CD" w:rsidP="00B4589D">
      <w:pPr>
        <w:pStyle w:val="Anexapct11"/>
      </w:pPr>
      <w:r w:rsidRPr="00827721">
        <w:t>amplasamentele auditate;</w:t>
      </w:r>
    </w:p>
    <w:p w14:paraId="2EECBD0D" w14:textId="77777777" w:rsidR="00B543CD" w:rsidRPr="00827721" w:rsidRDefault="00B543CD" w:rsidP="00B4589D">
      <w:pPr>
        <w:pStyle w:val="Anexapct11"/>
      </w:pPr>
      <w:r w:rsidRPr="00827721">
        <w:t>metoda de audit (evaluarea riscurilor și baza de eșantionare, consultarea părților interesate);</w:t>
      </w:r>
    </w:p>
    <w:p w14:paraId="5C464DE2" w14:textId="7AE6A90B" w:rsidR="00B543CD" w:rsidRPr="00827721" w:rsidRDefault="00B543CD" w:rsidP="00B4589D">
      <w:pPr>
        <w:pStyle w:val="Anexapct11"/>
      </w:pPr>
      <w:r w:rsidRPr="00827721">
        <w:t xml:space="preserve">certificarea altor </w:t>
      </w:r>
      <w:r w:rsidR="006B423B" w:rsidRPr="00827721">
        <w:t>scheme</w:t>
      </w:r>
      <w:r w:rsidRPr="00827721">
        <w:t xml:space="preserve"> voluntare sau standarde;</w:t>
      </w:r>
    </w:p>
    <w:p w14:paraId="2AC182D6" w14:textId="7D746F10" w:rsidR="00B543CD" w:rsidRPr="00827721" w:rsidRDefault="00B543CD" w:rsidP="00B054E5">
      <w:pPr>
        <w:pStyle w:val="Anexapct11"/>
      </w:pPr>
      <w:r w:rsidRPr="00827721">
        <w:t xml:space="preserve">tipul de date privind emisiile de GES (implicit, </w:t>
      </w:r>
      <w:r w:rsidR="001A37F8" w:rsidRPr="00827721">
        <w:t xml:space="preserve">nomenclatorului unităților teritoriale de statistică </w:t>
      </w:r>
      <w:r w:rsidR="007366C2" w:rsidRPr="00827721">
        <w:t>de nivelul 2</w:t>
      </w:r>
      <w:r w:rsidR="00DB4011" w:rsidRPr="00827721">
        <w:t xml:space="preserve"> (</w:t>
      </w:r>
      <w:r w:rsidR="00DB4011" w:rsidRPr="00827721">
        <w:rPr>
          <w:i/>
          <w:iCs/>
        </w:rPr>
        <w:t>în continuare – NUTS2</w:t>
      </w:r>
      <w:r w:rsidR="00DB4011" w:rsidRPr="00827721">
        <w:t>)</w:t>
      </w:r>
      <w:r w:rsidR="007366C2" w:rsidRPr="00827721">
        <w:t xml:space="preserve"> în conformitate cu</w:t>
      </w:r>
      <w:r w:rsidR="00956436" w:rsidRPr="00827721">
        <w:t xml:space="preserve"> Hotărârea Guvernului nr. 570/2017 </w:t>
      </w:r>
      <w:r w:rsidR="00B054E5" w:rsidRPr="00827721">
        <w:t xml:space="preserve">cu privire la aprobarea Nomenclatorului unităților teritoriale de statistică al Republicii Moldova </w:t>
      </w:r>
      <w:r w:rsidRPr="00827721">
        <w:t>sau valori reale – inclusiv informații privind aplicarea factorilor de reducere a emisiilor de GES).</w:t>
      </w:r>
    </w:p>
    <w:p w14:paraId="448FD340" w14:textId="77777777" w:rsidR="00B543CD" w:rsidRPr="00827721" w:rsidRDefault="00B543CD" w:rsidP="00A9716C">
      <w:pPr>
        <w:pStyle w:val="Anexapct1"/>
      </w:pPr>
      <w:r w:rsidRPr="00827721">
        <w:t>În ceea ce privește rezultatele auditului:</w:t>
      </w:r>
    </w:p>
    <w:p w14:paraId="6A243D84" w14:textId="77777777" w:rsidR="00B543CD" w:rsidRPr="00827721" w:rsidRDefault="00B543CD" w:rsidP="00B4589D">
      <w:pPr>
        <w:pStyle w:val="Anexapct11"/>
      </w:pPr>
      <w:r w:rsidRPr="00827721">
        <w:t>locul și data emiterii;</w:t>
      </w:r>
    </w:p>
    <w:p w14:paraId="62315976" w14:textId="3360F23B" w:rsidR="00B543CD" w:rsidRPr="00827721" w:rsidRDefault="00B543CD" w:rsidP="00B4589D">
      <w:pPr>
        <w:pStyle w:val="Anexapct11"/>
      </w:pPr>
      <w:r w:rsidRPr="00827721">
        <w:t>lista neconformităților identificate.</w:t>
      </w:r>
    </w:p>
    <w:p w14:paraId="6491A68D" w14:textId="1A64538F" w:rsidR="00D076B1" w:rsidRPr="00827721" w:rsidRDefault="001922B9" w:rsidP="001922B9">
      <w:pPr>
        <w:pStyle w:val="Capitol"/>
      </w:pPr>
      <w:r w:rsidRPr="00827721">
        <w:t>C</w:t>
      </w:r>
      <w:r w:rsidRPr="00827721">
        <w:rPr>
          <w:caps w:val="0"/>
        </w:rPr>
        <w:t>apitolul</w:t>
      </w:r>
      <w:r w:rsidRPr="00827721">
        <w:t xml:space="preserve"> II</w:t>
      </w:r>
    </w:p>
    <w:p w14:paraId="2553807C" w14:textId="7DBE43C3" w:rsidR="003E5B13" w:rsidRPr="00827721" w:rsidRDefault="00D076B1" w:rsidP="001922B9">
      <w:pPr>
        <w:pStyle w:val="Capitol"/>
      </w:pPr>
      <w:r w:rsidRPr="00827721">
        <w:t>Conținutul minim al sintezei raportului de audit sau al certificatului</w:t>
      </w:r>
    </w:p>
    <w:p w14:paraId="588E9FC5" w14:textId="77777777" w:rsidR="005B5B38" w:rsidRPr="00827721" w:rsidRDefault="005B5B38" w:rsidP="00A9716C">
      <w:pPr>
        <w:pStyle w:val="Anexapct1"/>
      </w:pPr>
      <w:r w:rsidRPr="00827721">
        <w:tab/>
        <w:t>În ceea ce privește operatorul economic:</w:t>
      </w:r>
    </w:p>
    <w:p w14:paraId="25EF952F" w14:textId="77777777" w:rsidR="005B5B38" w:rsidRPr="00827721" w:rsidRDefault="005B5B38" w:rsidP="005B5B38">
      <w:pPr>
        <w:pStyle w:val="Anexapct11"/>
      </w:pPr>
      <w:r w:rsidRPr="00827721">
        <w:t>datele de contact ale principalei entități certificate (denumirea și adresa societății, detalii privind punctul de contact desemnat);</w:t>
      </w:r>
    </w:p>
    <w:p w14:paraId="682377F3" w14:textId="77777777" w:rsidR="005B5B38" w:rsidRPr="00827721" w:rsidRDefault="005B5B38" w:rsidP="005B5B38">
      <w:pPr>
        <w:pStyle w:val="Anexapct11"/>
      </w:pPr>
      <w:r w:rsidRPr="00827721">
        <w:t>domeniul de aplicare al certificării;</w:t>
      </w:r>
    </w:p>
    <w:p w14:paraId="1D594E32" w14:textId="77777777" w:rsidR="005B5B38" w:rsidRPr="00827721" w:rsidRDefault="005B5B38" w:rsidP="005B5B38">
      <w:pPr>
        <w:pStyle w:val="Anexapct11"/>
      </w:pPr>
      <w:r w:rsidRPr="00827721">
        <w:t>coordonatele de longitudine și latitudine (pentru exploatațiile agricole și plantațiile certificate ca entități unice);</w:t>
      </w:r>
    </w:p>
    <w:p w14:paraId="62D101CD" w14:textId="77777777" w:rsidR="005B5B38" w:rsidRPr="00827721" w:rsidRDefault="005B5B38" w:rsidP="005B5B38">
      <w:pPr>
        <w:pStyle w:val="Anexapct11"/>
      </w:pPr>
      <w:r w:rsidRPr="00827721">
        <w:t>opțional pentru primele puncte de colectare, punctele de origine, comercianții care dispun de instalații de stocare: lista amplasamentelor care fac obiectul certificării (denumire și adresă);</w:t>
      </w:r>
    </w:p>
    <w:p w14:paraId="50E3E9DC" w14:textId="2B0660E2" w:rsidR="005B5B38" w:rsidRPr="00827721" w:rsidRDefault="005B5B38" w:rsidP="005B5B38">
      <w:pPr>
        <w:pStyle w:val="Anexapct11"/>
      </w:pPr>
      <w:r w:rsidRPr="00827721">
        <w:t xml:space="preserve">materialele de intrare/ieșire gestionate (fizic) de amplasamentele certificate – clasificările trebuie să fie în conformitate cu cerințele stabilite în </w:t>
      </w:r>
      <w:r w:rsidR="000A4074" w:rsidRPr="00827721">
        <w:t xml:space="preserve">anexa nr. 3 la </w:t>
      </w:r>
      <w:r w:rsidR="002E6B69">
        <w:t>HG 74/2025</w:t>
      </w:r>
      <w:r w:rsidRPr="00827721">
        <w:t xml:space="preserve"> (pentru comercianții care dispun/nu dispun de instalații de stocare, tipul materialelor comercializate).</w:t>
      </w:r>
    </w:p>
    <w:p w14:paraId="55CA5A0E" w14:textId="13A9D843" w:rsidR="005B5B38" w:rsidRPr="00827721" w:rsidRDefault="005B5B38" w:rsidP="00A9716C">
      <w:pPr>
        <w:pStyle w:val="Anexapct1"/>
      </w:pPr>
      <w:r w:rsidRPr="00827721">
        <w:t>În ceea ce privește organismul de certificare: datele de contact (nume și adresă) și sigla.</w:t>
      </w:r>
    </w:p>
    <w:p w14:paraId="771908A3" w14:textId="77777777" w:rsidR="005B5B38" w:rsidRPr="00827721" w:rsidRDefault="005B5B38" w:rsidP="00FF5FE2">
      <w:pPr>
        <w:pStyle w:val="Anexapct1"/>
      </w:pPr>
      <w:r w:rsidRPr="00827721">
        <w:t>În ceea ce privește procesul de audit:</w:t>
      </w:r>
    </w:p>
    <w:p w14:paraId="6C3B5F44" w14:textId="77777777" w:rsidR="005B5B38" w:rsidRPr="00827721" w:rsidRDefault="005B5B38" w:rsidP="005B5B38">
      <w:pPr>
        <w:pStyle w:val="Anexapct11"/>
      </w:pPr>
      <w:r w:rsidRPr="00827721">
        <w:t>data auditului;</w:t>
      </w:r>
    </w:p>
    <w:p w14:paraId="1449F78D" w14:textId="003E9F2B" w:rsidR="005B5B38" w:rsidRPr="00827721" w:rsidRDefault="005B5B38" w:rsidP="005B5B38">
      <w:pPr>
        <w:pStyle w:val="Anexapct11"/>
      </w:pPr>
      <w:r w:rsidRPr="00827721">
        <w:lastRenderedPageBreak/>
        <w:t xml:space="preserve">standardele auditate/certificate ale </w:t>
      </w:r>
      <w:r w:rsidR="00295203" w:rsidRPr="00827721">
        <w:t>schemei</w:t>
      </w:r>
      <w:r w:rsidRPr="00827721">
        <w:t xml:space="preserve"> (inclusiv numărul versiunii);</w:t>
      </w:r>
    </w:p>
    <w:p w14:paraId="7ADDC68E" w14:textId="77777777" w:rsidR="005B5B38" w:rsidRPr="00827721" w:rsidRDefault="005B5B38" w:rsidP="005B5B38">
      <w:pPr>
        <w:pStyle w:val="Anexapct11"/>
      </w:pPr>
      <w:r w:rsidRPr="00827721">
        <w:t>amplasamentele auditate;</w:t>
      </w:r>
    </w:p>
    <w:p w14:paraId="74657A49" w14:textId="77777777" w:rsidR="005B5B38" w:rsidRPr="00827721" w:rsidRDefault="005B5B38" w:rsidP="005B5B38">
      <w:pPr>
        <w:pStyle w:val="Anexapct11"/>
      </w:pPr>
      <w:r w:rsidRPr="00827721">
        <w:t>tipul de date privind emisiile de GES (implicit, NUTS2 sau valori reale – inclusiv informații privind aplicarea factorilor de reducere a emisiilor de GES).</w:t>
      </w:r>
    </w:p>
    <w:p w14:paraId="6AF5A201" w14:textId="77777777" w:rsidR="005B5B38" w:rsidRPr="00827721" w:rsidRDefault="005B5B38" w:rsidP="00FF5FE2">
      <w:pPr>
        <w:pStyle w:val="Anexapct1"/>
      </w:pPr>
      <w:r w:rsidRPr="00827721">
        <w:t>În ceea ce privește rezultatele auditului:</w:t>
      </w:r>
    </w:p>
    <w:p w14:paraId="7EBC4B12" w14:textId="77777777" w:rsidR="005B5B38" w:rsidRPr="00827721" w:rsidRDefault="005B5B38" w:rsidP="005B5B38">
      <w:pPr>
        <w:pStyle w:val="Anexapct11"/>
      </w:pPr>
      <w:r w:rsidRPr="00827721">
        <w:t>numărul sau codul (unic) al certificatului;</w:t>
      </w:r>
    </w:p>
    <w:p w14:paraId="2859872C" w14:textId="77777777" w:rsidR="005B5B38" w:rsidRPr="00827721" w:rsidRDefault="005B5B38" w:rsidP="005B5B38">
      <w:pPr>
        <w:pStyle w:val="Anexapct11"/>
      </w:pPr>
      <w:r w:rsidRPr="00827721">
        <w:t>locul și data emiterii;</w:t>
      </w:r>
    </w:p>
    <w:p w14:paraId="22C775D8" w14:textId="77777777" w:rsidR="005B5B38" w:rsidRPr="00827721" w:rsidRDefault="005B5B38" w:rsidP="005B5B38">
      <w:pPr>
        <w:pStyle w:val="Anexapct11"/>
      </w:pPr>
      <w:r w:rsidRPr="00827721">
        <w:t>lista neconformităților identificate;</w:t>
      </w:r>
    </w:p>
    <w:p w14:paraId="5F04C851" w14:textId="77777777" w:rsidR="005B5B38" w:rsidRPr="00827721" w:rsidRDefault="005B5B38" w:rsidP="005B5B38">
      <w:pPr>
        <w:pStyle w:val="Anexapct11"/>
      </w:pPr>
      <w:r w:rsidRPr="00827721">
        <w:t>certificat valabil de la/până la data (și data certificării, dacă este cazul);</w:t>
      </w:r>
    </w:p>
    <w:p w14:paraId="06C142C6" w14:textId="4BEDC5FF" w:rsidR="00113D9C" w:rsidRPr="00827721" w:rsidRDefault="005B5B38" w:rsidP="005B5B38">
      <w:pPr>
        <w:pStyle w:val="Anexapct11"/>
      </w:pPr>
      <w:r w:rsidRPr="00827721">
        <w:t>ștampila și/sau semnătura părții emitente.</w:t>
      </w:r>
    </w:p>
    <w:p w14:paraId="7BD1A8F7" w14:textId="77777777" w:rsidR="00113D9C" w:rsidRPr="00827721" w:rsidRDefault="00113D9C">
      <w:pPr>
        <w:spacing w:line="240" w:lineRule="auto"/>
        <w:ind w:firstLine="0"/>
        <w:jc w:val="left"/>
      </w:pPr>
      <w:r w:rsidRPr="00827721">
        <w:br w:type="page"/>
      </w:r>
    </w:p>
    <w:p w14:paraId="51BB092C" w14:textId="55081FE6" w:rsidR="00113D9C" w:rsidRPr="00827721" w:rsidRDefault="00113D9C" w:rsidP="00113D9C">
      <w:pPr>
        <w:jc w:val="right"/>
      </w:pPr>
      <w:r w:rsidRPr="00827721">
        <w:lastRenderedPageBreak/>
        <w:t>Anexa nr. 3</w:t>
      </w:r>
    </w:p>
    <w:p w14:paraId="4F0E27F8" w14:textId="3FD43D31" w:rsidR="00113D9C" w:rsidRPr="00827721" w:rsidRDefault="00113D9C" w:rsidP="00113D9C">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2F863D63" w14:textId="2EBF8429" w:rsidR="00D076B1" w:rsidRPr="00827721" w:rsidRDefault="003B1493" w:rsidP="00766F63">
      <w:pPr>
        <w:pStyle w:val="Capitol"/>
      </w:pPr>
      <w:r w:rsidRPr="00827721">
        <w:t>Lista informațiilor care trebuie raportate de</w:t>
      </w:r>
      <w:r w:rsidR="00253E53" w:rsidRPr="00827721">
        <w:t xml:space="preserve"> </w:t>
      </w:r>
      <w:r w:rsidR="003675FE" w:rsidRPr="00827721">
        <w:t>schemele</w:t>
      </w:r>
      <w:r w:rsidRPr="00827721">
        <w:t xml:space="preserve"> voluntare în rapoartele lor anuale de activitate transmise </w:t>
      </w:r>
      <w:r w:rsidR="003A2A59">
        <w:t>grupului de lucru</w:t>
      </w:r>
    </w:p>
    <w:p w14:paraId="6358FA4D" w14:textId="043DEC5E" w:rsidR="005451DA" w:rsidRPr="00827721" w:rsidRDefault="003675FE" w:rsidP="00BE7A55">
      <w:pPr>
        <w:pStyle w:val="Anexapct1"/>
        <w:numPr>
          <w:ilvl w:val="0"/>
          <w:numId w:val="56"/>
        </w:numPr>
      </w:pPr>
      <w:r w:rsidRPr="00827721">
        <w:t>Schemele</w:t>
      </w:r>
      <w:r w:rsidR="005451DA" w:rsidRPr="00827721">
        <w:t xml:space="preserve"> voluntare trebuie să raporteze </w:t>
      </w:r>
      <w:r w:rsidR="003A2A59">
        <w:t>grupului de lucru</w:t>
      </w:r>
      <w:r w:rsidR="00C85361" w:rsidRPr="00827721">
        <w:t xml:space="preserve"> </w:t>
      </w:r>
      <w:r w:rsidR="005451DA" w:rsidRPr="00827721">
        <w:t>următoarele informații în rapoartele lor anuale de activitate:</w:t>
      </w:r>
    </w:p>
    <w:p w14:paraId="3E73E29E" w14:textId="0F8FC5C8" w:rsidR="005451DA" w:rsidRPr="00827721" w:rsidRDefault="005451DA" w:rsidP="00BE7A55">
      <w:pPr>
        <w:pStyle w:val="Anexapct11"/>
      </w:pPr>
      <w:r w:rsidRPr="00827721">
        <w:t xml:space="preserve">normele privind independența, metoda și frecvența auditurilor, astfel cum au fost aprobate de </w:t>
      </w:r>
      <w:r w:rsidR="00FD3E7D">
        <w:t>Guvern</w:t>
      </w:r>
      <w:r w:rsidR="0057453C" w:rsidRPr="00827721">
        <w:t xml:space="preserve"> </w:t>
      </w:r>
      <w:r w:rsidRPr="00827721">
        <w:t xml:space="preserve">în momentul acreditării </w:t>
      </w:r>
      <w:r w:rsidR="00382F5C" w:rsidRPr="00827721">
        <w:t>schemei voluntare</w:t>
      </w:r>
      <w:r w:rsidRPr="00827721">
        <w:t xml:space="preserve">, precum și modificările aduse acestora </w:t>
      </w:r>
      <w:r w:rsidR="007B3D0B" w:rsidRPr="00827721">
        <w:t>pe parcursul</w:t>
      </w:r>
      <w:r w:rsidRPr="00827721">
        <w:t xml:space="preserve"> timpului pentru a reflecta orientările </w:t>
      </w:r>
      <w:r w:rsidR="00D73832">
        <w:t>grupului de lucru</w:t>
      </w:r>
      <w:r w:rsidRPr="00827721">
        <w:t>, cadrul de reglementare modificat, constatările formulate în urma monitorizării interne privind procesul de audit al organismelor de certificare și evoluția bunelor practici din industrie;</w:t>
      </w:r>
    </w:p>
    <w:p w14:paraId="517EFD5E" w14:textId="74AE9174" w:rsidR="005451DA" w:rsidRPr="00827721" w:rsidRDefault="005451DA" w:rsidP="005451DA">
      <w:pPr>
        <w:pStyle w:val="Anexapct11"/>
      </w:pPr>
      <w:r w:rsidRPr="00827721">
        <w:t xml:space="preserve">și proceduri pentru identificarea și tratarea neconformităților operatorilor economici și ale membrilor </w:t>
      </w:r>
      <w:r w:rsidR="00295203" w:rsidRPr="00827721">
        <w:t>schemei</w:t>
      </w:r>
      <w:r w:rsidRPr="00827721">
        <w:t>;</w:t>
      </w:r>
    </w:p>
    <w:p w14:paraId="55DC38E9" w14:textId="680EFE2F" w:rsidR="005451DA" w:rsidRPr="00827721" w:rsidRDefault="005451DA" w:rsidP="005451DA">
      <w:pPr>
        <w:pStyle w:val="Anexapct11"/>
      </w:pPr>
      <w:r w:rsidRPr="00827721">
        <w:t xml:space="preserve">dovada îndeplinirii cerințelor legale privind transparența și publicarea informațiilor în conformitate cu </w:t>
      </w:r>
      <w:r w:rsidR="00A66573" w:rsidRPr="00827721">
        <w:t>secțiunea a 4-a din capitolul I</w:t>
      </w:r>
      <w:r w:rsidRPr="00827721">
        <w:t>;</w:t>
      </w:r>
    </w:p>
    <w:p w14:paraId="27A94966" w14:textId="223A3269" w:rsidR="005451DA" w:rsidRPr="00827721" w:rsidRDefault="005451DA" w:rsidP="005451DA">
      <w:pPr>
        <w:pStyle w:val="Anexapct11"/>
      </w:pPr>
      <w:r w:rsidRPr="00827721">
        <w:t xml:space="preserve">implicarea părților interesate, în special în ceea ce privește consultarea comunităților indigene și locale înaintea luării hotărârilor, în cursul elaborării și revizuirii </w:t>
      </w:r>
      <w:r w:rsidR="00295203" w:rsidRPr="00827721">
        <w:t>schemei</w:t>
      </w:r>
      <w:r w:rsidRPr="00827721">
        <w:t>, precum și în cursul auditurilor, și reacția oferită în urma contribuțiilor lor;</w:t>
      </w:r>
    </w:p>
    <w:p w14:paraId="0196AD66" w14:textId="51465DAA" w:rsidR="005451DA" w:rsidRPr="00827721" w:rsidRDefault="005451DA" w:rsidP="005451DA">
      <w:pPr>
        <w:pStyle w:val="Anexapct11"/>
      </w:pPr>
      <w:r w:rsidRPr="00827721">
        <w:t xml:space="preserve">o prezentare generală a activităților desfășurate de </w:t>
      </w:r>
      <w:r w:rsidR="00164F8D" w:rsidRPr="00827721">
        <w:t>schema voluntară</w:t>
      </w:r>
      <w:r w:rsidRPr="00827721">
        <w:t xml:space="preserve"> în cooperare cu organismele de certificare pentru a îmbunătăți procesul general de certificare și calificarea și independența auditorilor și a organismelor relevante din cadrul </w:t>
      </w:r>
      <w:r w:rsidR="00295203" w:rsidRPr="00827721">
        <w:t>schemei</w:t>
      </w:r>
      <w:r w:rsidRPr="00827721">
        <w:t>;</w:t>
      </w:r>
    </w:p>
    <w:p w14:paraId="1501C7DE" w14:textId="52299EA3" w:rsidR="005451DA" w:rsidRPr="00827721" w:rsidRDefault="005451DA" w:rsidP="005451DA">
      <w:pPr>
        <w:pStyle w:val="Anexapct11"/>
      </w:pPr>
      <w:r w:rsidRPr="00827721">
        <w:t xml:space="preserve">actualizările </w:t>
      </w:r>
      <w:r w:rsidR="00295203" w:rsidRPr="00827721">
        <w:t>schemei</w:t>
      </w:r>
      <w:r w:rsidRPr="00827721">
        <w:t xml:space="preserve"> în funcție de piață, cantitatea certificată de materii prime, </w:t>
      </w:r>
      <w:r w:rsidR="008A23DF" w:rsidRPr="00827721">
        <w:t>biocarburanți</w:t>
      </w:r>
      <w:r w:rsidRPr="00827721">
        <w:t>, biolichide, combustibili din biomasă, combustibili pe bază de carbon reciclat și combustibili de origine nebiologică din surse regenerabile, clasificată în funcție de țara de origine și de tip, precum și numărul de participanți;</w:t>
      </w:r>
    </w:p>
    <w:p w14:paraId="658EB260" w14:textId="116A187A" w:rsidR="005451DA" w:rsidRPr="00827721" w:rsidRDefault="005451DA" w:rsidP="005451DA">
      <w:pPr>
        <w:pStyle w:val="Anexapct11"/>
      </w:pPr>
      <w:r w:rsidRPr="00827721">
        <w:t xml:space="preserve">o prezentare generală a eficacității </w:t>
      </w:r>
      <w:r w:rsidR="00295203" w:rsidRPr="00827721">
        <w:t>schemei</w:t>
      </w:r>
      <w:r w:rsidRPr="00827721">
        <w:t xml:space="preserve"> de punere în aplicare instituit de organismul de guvernanță a </w:t>
      </w:r>
      <w:r w:rsidR="00382F5C" w:rsidRPr="00827721">
        <w:t>schemei voluntare</w:t>
      </w:r>
      <w:r w:rsidRPr="00827721">
        <w:t xml:space="preserve"> pentru a urmări dovezile de conformitate cu criteriile de durabilitate pe care </w:t>
      </w:r>
      <w:r w:rsidR="005561F5" w:rsidRPr="00827721">
        <w:t xml:space="preserve">schema </w:t>
      </w:r>
      <w:r w:rsidRPr="00827721">
        <w:t xml:space="preserve">le acordă membrilor </w:t>
      </w:r>
      <w:r w:rsidR="000875A1" w:rsidRPr="00827721">
        <w:t>acesteia</w:t>
      </w:r>
      <w:r w:rsidRPr="00827721">
        <w:t xml:space="preserve">. Aceasta se referă, în special, la modul în care </w:t>
      </w:r>
      <w:r w:rsidR="005561F5" w:rsidRPr="00827721">
        <w:t xml:space="preserve">schema </w:t>
      </w:r>
      <w:r w:rsidRPr="00827721">
        <w:t xml:space="preserve">previne în mod eficace activitățile frauduloase prin asigurarea depistării, tratării și urmăririi în timp util a </w:t>
      </w:r>
      <w:r w:rsidRPr="00827721">
        <w:lastRenderedPageBreak/>
        <w:t>suspiciunilor de fraudă și a altor nereguli și include, după caz, numărul de cazuri de fraudă sau de nereguli depistate;</w:t>
      </w:r>
    </w:p>
    <w:p w14:paraId="5D841CEA" w14:textId="77777777" w:rsidR="005451DA" w:rsidRPr="00827721" w:rsidRDefault="005451DA" w:rsidP="00A66827">
      <w:pPr>
        <w:pStyle w:val="Anexapct11"/>
      </w:pPr>
      <w:r w:rsidRPr="00827721">
        <w:t>criteriile de recunoaștere a organismelor de certificare;</w:t>
      </w:r>
    </w:p>
    <w:p w14:paraId="4456F86C" w14:textId="2E39C76E" w:rsidR="005451DA" w:rsidRPr="00827721" w:rsidRDefault="005451DA" w:rsidP="00A66827">
      <w:pPr>
        <w:pStyle w:val="Anexapct11"/>
      </w:pPr>
      <w:r w:rsidRPr="00827721">
        <w:t>normele privind modul de funcționare a sistemului de monitorizare internă și rezultatele revizuirii</w:t>
      </w:r>
      <w:r w:rsidR="00A3036A" w:rsidRPr="00827721">
        <w:t xml:space="preserve"> </w:t>
      </w:r>
      <w:r w:rsidRPr="00827721">
        <w:t>periodice</w:t>
      </w:r>
      <w:r w:rsidR="00A3036A" w:rsidRPr="00827721">
        <w:t xml:space="preserve"> </w:t>
      </w:r>
      <w:r w:rsidR="0036780E" w:rsidRPr="00827721">
        <w:t>a acestuia</w:t>
      </w:r>
      <w:r w:rsidRPr="00827721">
        <w:t>, în special privind supravegherea activității organismelor de certificare și a auditorilor acestora, precum și cu privire la sistemul de tratare a plângerilor împotriva operatorilor economici și a organismelor de certificare;</w:t>
      </w:r>
    </w:p>
    <w:p w14:paraId="458FBA8E" w14:textId="77777777" w:rsidR="005451DA" w:rsidRPr="00827721" w:rsidRDefault="005451DA" w:rsidP="00A66827">
      <w:pPr>
        <w:pStyle w:val="Anexapct11"/>
      </w:pPr>
      <w:r w:rsidRPr="00827721">
        <w:t>posibilitățile de facilitare sau îmbunătățire a promovării celor mai bune practici;</w:t>
      </w:r>
    </w:p>
    <w:p w14:paraId="623F415E" w14:textId="199F2FCF" w:rsidR="007921B9" w:rsidRPr="00827721" w:rsidRDefault="003675FE" w:rsidP="00353915">
      <w:pPr>
        <w:pStyle w:val="Anexapct11"/>
      </w:pPr>
      <w:r w:rsidRPr="00827721">
        <w:t>schemele</w:t>
      </w:r>
      <w:r w:rsidR="005451DA" w:rsidRPr="00827721">
        <w:t xml:space="preserve"> voluntare de certificare a biomasei forestiere trebuie să includă informații privind modul în care se realizează evaluarea riscurilor prevăzută la </w:t>
      </w:r>
      <w:r w:rsidR="00876A91" w:rsidRPr="00827721">
        <w:t xml:space="preserve">pct. </w:t>
      </w:r>
      <w:r w:rsidR="006D734A" w:rsidRPr="00827721">
        <w:t>20</w:t>
      </w:r>
      <w:r w:rsidR="00876A91" w:rsidRPr="00827721">
        <w:t xml:space="preserve"> și </w:t>
      </w:r>
      <w:r w:rsidR="006D734A" w:rsidRPr="00827721">
        <w:t>21</w:t>
      </w:r>
      <w:r w:rsidR="00876A91" w:rsidRPr="00827721">
        <w:t xml:space="preserve"> din anexa nr. 1 la </w:t>
      </w:r>
      <w:r w:rsidR="00C72EEB" w:rsidRPr="00C72EEB">
        <w:rPr>
          <w:iCs/>
        </w:rPr>
        <w:t>HG 53/2025</w:t>
      </w:r>
      <w:r w:rsidR="005451DA" w:rsidRPr="00827721">
        <w:t>.</w:t>
      </w:r>
    </w:p>
    <w:p w14:paraId="0C632BC2" w14:textId="77777777" w:rsidR="007921B9" w:rsidRPr="00827721" w:rsidRDefault="007921B9">
      <w:pPr>
        <w:spacing w:line="240" w:lineRule="auto"/>
        <w:ind w:firstLine="0"/>
        <w:jc w:val="left"/>
      </w:pPr>
      <w:r w:rsidRPr="00827721">
        <w:br w:type="page"/>
      </w:r>
    </w:p>
    <w:p w14:paraId="06EC5EF3" w14:textId="1D846754" w:rsidR="007921B9" w:rsidRPr="00827721" w:rsidRDefault="007921B9" w:rsidP="007921B9">
      <w:pPr>
        <w:jc w:val="right"/>
      </w:pPr>
      <w:r w:rsidRPr="00827721">
        <w:lastRenderedPageBreak/>
        <w:t>Anexa nr. 4</w:t>
      </w:r>
    </w:p>
    <w:p w14:paraId="574E4BAD" w14:textId="5C2F553A" w:rsidR="007921B9" w:rsidRPr="00827721" w:rsidRDefault="007921B9"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4540206D" w14:textId="730333C8" w:rsidR="00016A7C" w:rsidRPr="00827721" w:rsidRDefault="00016A7C" w:rsidP="004E6764">
      <w:pPr>
        <w:pStyle w:val="Capitol"/>
      </w:pPr>
      <w:r w:rsidRPr="00827721">
        <w:t>Lista neexhaustivă a deșeurilor și reziduurilor</w:t>
      </w:r>
    </w:p>
    <w:p w14:paraId="281A2B3F" w14:textId="25A99BD2" w:rsidR="00A068FA" w:rsidRPr="00827721" w:rsidRDefault="0061153F" w:rsidP="00BE7A55">
      <w:pPr>
        <w:pStyle w:val="Anexapct1"/>
        <w:numPr>
          <w:ilvl w:val="0"/>
          <w:numId w:val="52"/>
        </w:numPr>
      </w:pPr>
      <w:r w:rsidRPr="00827721">
        <w:t xml:space="preserve">Se consideră că substanțele enumerate în prezenta anexă se încadrează într-o categorie de materii prime specificată în anexa </w:t>
      </w:r>
      <w:r w:rsidR="00D76A41" w:rsidRPr="00827721">
        <w:t xml:space="preserve">nr. 3 la </w:t>
      </w:r>
      <w:r w:rsidR="002E6B69">
        <w:t>HG 74/2025</w:t>
      </w:r>
      <w:r w:rsidRPr="00827721">
        <w:t xml:space="preserve">, fără a fi menționate în mod explicit. Lista nu este exhaustivă și completează lista existentă de materiale din </w:t>
      </w:r>
      <w:r w:rsidR="009070B8" w:rsidRPr="00827721">
        <w:t xml:space="preserve">anexa nr. 3 la </w:t>
      </w:r>
      <w:r w:rsidR="002E6B69">
        <w:t>HG 74/2025</w:t>
      </w:r>
      <w:r w:rsidRPr="00827721">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670"/>
        <w:gridCol w:w="4775"/>
      </w:tblGrid>
      <w:tr w:rsidR="00A068FA" w:rsidRPr="00827721" w14:paraId="5E0B2937"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6E8C746E" w14:textId="76CB8600" w:rsidR="00A068FA" w:rsidRPr="00827721" w:rsidRDefault="00A068FA" w:rsidP="00AE0393">
            <w:pPr>
              <w:spacing w:before="60" w:after="60" w:line="312" w:lineRule="atLeast"/>
              <w:ind w:left="57" w:right="57" w:firstLine="0"/>
              <w:rPr>
                <w:rFonts w:eastAsia="Times New Roman"/>
                <w:b/>
                <w:bCs/>
                <w:sz w:val="24"/>
              </w:rPr>
            </w:pPr>
            <w:r w:rsidRPr="00827721">
              <w:rPr>
                <w:rFonts w:eastAsia="Times New Roman"/>
                <w:b/>
                <w:bCs/>
                <w:sz w:val="24"/>
              </w:rPr>
              <w:t xml:space="preserve">Categoria prevăzută în </w:t>
            </w:r>
            <w:r w:rsidR="008714EA" w:rsidRPr="00827721">
              <w:rPr>
                <w:rFonts w:eastAsia="Times New Roman"/>
                <w:b/>
                <w:bCs/>
                <w:sz w:val="24"/>
              </w:rPr>
              <w:t xml:space="preserve">anexa nr. 3 la </w:t>
            </w:r>
            <w:r w:rsidR="002E6B69" w:rsidRPr="002E6B69">
              <w:rPr>
                <w:rFonts w:eastAsia="Times New Roman"/>
                <w:b/>
                <w:bCs/>
                <w:sz w:val="24"/>
              </w:rPr>
              <w:t>HG 74/2025</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D5B990C" w14:textId="77777777" w:rsidR="00A068FA" w:rsidRPr="00827721" w:rsidRDefault="00A068FA" w:rsidP="00AE0393">
            <w:pPr>
              <w:spacing w:before="60" w:after="60" w:line="312" w:lineRule="atLeast"/>
              <w:ind w:left="57" w:right="57" w:firstLine="0"/>
              <w:rPr>
                <w:rFonts w:eastAsia="Times New Roman"/>
                <w:b/>
                <w:bCs/>
                <w:sz w:val="24"/>
              </w:rPr>
            </w:pPr>
            <w:r w:rsidRPr="00827721">
              <w:rPr>
                <w:rFonts w:eastAsia="Times New Roman"/>
                <w:b/>
                <w:bCs/>
                <w:sz w:val="24"/>
              </w:rPr>
              <w:t>Subcategoria/exemple de materii prime</w:t>
            </w:r>
          </w:p>
        </w:tc>
      </w:tr>
      <w:tr w:rsidR="00A068FA" w:rsidRPr="00827721" w14:paraId="0A230B03"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6D39043C" w14:textId="24070A11" w:rsidR="00A068FA" w:rsidRPr="00827721" w:rsidRDefault="000A630A"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3F646928"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Deșeuri de băuturi</w:t>
            </w:r>
          </w:p>
        </w:tc>
      </w:tr>
      <w:tr w:rsidR="00A068FA" w:rsidRPr="00827721" w14:paraId="005C6B70"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D6A1FA5" w14:textId="3D19F2BC" w:rsidR="00A068FA" w:rsidRPr="00827721" w:rsidRDefault="000A630A"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B4CE790"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și deșeuri de fructe/legume (numai cozi, frunze, tulpini și pleavă)</w:t>
            </w:r>
          </w:p>
        </w:tc>
      </w:tr>
      <w:tr w:rsidR="00A068FA" w:rsidRPr="00827721" w14:paraId="5FC95B1D"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4925F5B" w14:textId="2781F7DB"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2E6124B1"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Cojile și pelicula argintie a boabelor, pulbere: cacao, cafea</w:t>
            </w:r>
          </w:p>
        </w:tc>
      </w:tr>
      <w:tr w:rsidR="00A068FA" w:rsidRPr="00827721" w14:paraId="33F3FC95"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AB945F2" w14:textId="400E5311"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(p)</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40BD29A9"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Coji/pleavă și derivate ale acestora: coji de boabe de soia</w:t>
            </w:r>
          </w:p>
        </w:tc>
      </w:tr>
      <w:tr w:rsidR="00A068FA" w:rsidRPr="00827721" w14:paraId="267DEC2D"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322D9ED8" w14:textId="00958A19"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B339F96"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și deșeuri provenite din producția de băuturi calde: reziduuri de cafea măcinată și de frunze de ceai</w:t>
            </w:r>
          </w:p>
        </w:tc>
      </w:tr>
      <w:tr w:rsidR="00A068FA" w:rsidRPr="00827721" w14:paraId="6438A377"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7DA340B" w14:textId="03DF892C"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90B5E98"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de produse lactate</w:t>
            </w:r>
          </w:p>
        </w:tc>
      </w:tr>
      <w:tr w:rsidR="00A068FA" w:rsidRPr="00827721" w14:paraId="4D9106BA"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6BE3F98C" w14:textId="319E1748"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23E97097"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Ulei alimentar uzat: ulei extras din deșeuri alimentare provenite din industrie</w:t>
            </w:r>
          </w:p>
        </w:tc>
      </w:tr>
      <w:tr w:rsidR="00A068FA" w:rsidRPr="00827721" w14:paraId="1CFDBFC0"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FBBFE69" w14:textId="18EFF045"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A1BF11C"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de cereale necomestibile și deșeuri provenite din măcinarea și prelucrarea cerealelor: grâu, porumb, orz, orez</w:t>
            </w:r>
          </w:p>
        </w:tc>
      </w:tr>
      <w:tr w:rsidR="00A068FA" w:rsidRPr="00827721" w14:paraId="7142897C"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DB1F6E6" w14:textId="47E149B7"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3F59C0B4"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și deșeuri rezultate din extracția uleiului de măsline: sâmburi de măsline</w:t>
            </w:r>
          </w:p>
        </w:tc>
      </w:tr>
      <w:tr w:rsidR="00A068FA" w:rsidRPr="00827721" w14:paraId="00607966"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20A160EC" w14:textId="28D5CDFB"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(p)</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A0FEF69"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rezultate după recoltarea culturilor agricole</w:t>
            </w:r>
          </w:p>
        </w:tc>
      </w:tr>
      <w:tr w:rsidR="00A068FA" w:rsidRPr="00827721" w14:paraId="5410D34B"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101DE0E6" w14:textId="2D4BE5E9"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(q)</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5499CCA"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Frunze de palmier, trunchi de palmier</w:t>
            </w:r>
          </w:p>
        </w:tc>
      </w:tr>
      <w:tr w:rsidR="00A068FA" w:rsidRPr="00827721" w14:paraId="24311809"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2486D577" w14:textId="53BFD94F"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(q)</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3B7FB50"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Arbori deteriorați</w:t>
            </w:r>
          </w:p>
        </w:tc>
      </w:tr>
      <w:tr w:rsidR="00A068FA" w:rsidRPr="00827721" w14:paraId="2747A22F"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0A73E14C" w14:textId="02009859" w:rsidR="00A068FA" w:rsidRPr="00827721" w:rsidRDefault="00C27E6E"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(p)</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A96D3CA"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Furaje/nutrețuri neutilizate provenite din culturile alternative</w:t>
            </w:r>
          </w:p>
        </w:tc>
      </w:tr>
      <w:tr w:rsidR="00A068FA" w:rsidRPr="00827721" w14:paraId="0808F130"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0225A897" w14:textId="6BE15057" w:rsidR="00A068FA" w:rsidRPr="00827721" w:rsidRDefault="00114B11" w:rsidP="00AE0393">
            <w:pPr>
              <w:spacing w:before="60" w:after="60" w:line="312" w:lineRule="atLeast"/>
              <w:ind w:left="57" w:right="57" w:firstLine="0"/>
              <w:rPr>
                <w:rFonts w:eastAsia="Times New Roman"/>
                <w:sz w:val="24"/>
              </w:rPr>
            </w:pPr>
            <w:r w:rsidRPr="00827721">
              <w:rPr>
                <w:rFonts w:eastAsia="Times New Roman"/>
                <w:sz w:val="24"/>
              </w:rPr>
              <w:lastRenderedPageBreak/>
              <w:t>P</w:t>
            </w:r>
            <w:r w:rsidR="00A068FA" w:rsidRPr="00827721">
              <w:rPr>
                <w:rFonts w:eastAsia="Times New Roman"/>
                <w:sz w:val="24"/>
              </w:rPr>
              <w:t>artea B litera (b)</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79C14F37" w14:textId="61E45C25"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 xml:space="preserve">Ulei de pește uzat clasificat în </w:t>
            </w:r>
            <w:proofErr w:type="spellStart"/>
            <w:r w:rsidR="00781C54" w:rsidRPr="00827721">
              <w:rPr>
                <w:rFonts w:eastAsia="Times New Roman"/>
                <w:sz w:val="24"/>
              </w:rPr>
              <w:t>în</w:t>
            </w:r>
            <w:proofErr w:type="spellEnd"/>
            <w:r w:rsidR="00781C54" w:rsidRPr="00827721">
              <w:rPr>
                <w:rFonts w:eastAsia="Times New Roman"/>
                <w:sz w:val="24"/>
              </w:rPr>
              <w:t xml:space="preserve"> conformitate cu </w:t>
            </w:r>
            <w:r w:rsidRPr="00827721">
              <w:rPr>
                <w:rFonts w:eastAsia="Times New Roman"/>
                <w:sz w:val="24"/>
              </w:rPr>
              <w:t>categoriile 1</w:t>
            </w:r>
            <w:r w:rsidR="00860363" w:rsidRPr="00827721">
              <w:rPr>
                <w:rFonts w:eastAsia="Times New Roman"/>
                <w:sz w:val="24"/>
              </w:rPr>
              <w:t xml:space="preserve"> </w:t>
            </w:r>
            <w:r w:rsidR="00860363" w:rsidRPr="00827721">
              <w:rPr>
                <w:rFonts w:eastAsia="Calibri"/>
                <w:sz w:val="24"/>
              </w:rPr>
              <w:t xml:space="preserve">(art. 10) </w:t>
            </w:r>
            <w:r w:rsidRPr="00827721">
              <w:rPr>
                <w:rFonts w:eastAsia="Times New Roman"/>
                <w:sz w:val="24"/>
              </w:rPr>
              <w:t>și 2</w:t>
            </w:r>
            <w:r w:rsidR="00860363" w:rsidRPr="00827721">
              <w:rPr>
                <w:rFonts w:eastAsia="Times New Roman"/>
                <w:sz w:val="24"/>
              </w:rPr>
              <w:t xml:space="preserve"> </w:t>
            </w:r>
            <w:r w:rsidR="00860363" w:rsidRPr="00827721">
              <w:rPr>
                <w:rFonts w:eastAsia="Calibri"/>
                <w:sz w:val="24"/>
              </w:rPr>
              <w:t>(art. 11)</w:t>
            </w:r>
            <w:r w:rsidRPr="00827721">
              <w:rPr>
                <w:rFonts w:eastAsia="Times New Roman"/>
                <w:sz w:val="24"/>
              </w:rPr>
              <w:t xml:space="preserve"> </w:t>
            </w:r>
            <w:r w:rsidR="00781C54" w:rsidRPr="00827721">
              <w:rPr>
                <w:rFonts w:eastAsia="Times New Roman"/>
                <w:sz w:val="24"/>
              </w:rPr>
              <w:t>din</w:t>
            </w:r>
            <w:r w:rsidRPr="00827721">
              <w:rPr>
                <w:rFonts w:eastAsia="Times New Roman"/>
                <w:sz w:val="24"/>
              </w:rPr>
              <w:t xml:space="preserve"> </w:t>
            </w:r>
            <w:r w:rsidR="00166FA2" w:rsidRPr="00827721">
              <w:rPr>
                <w:rFonts w:eastAsia="Times New Roman"/>
                <w:sz w:val="24"/>
              </w:rPr>
              <w:t>Legea nr. 129/2019 privind subprodusele de origine animală și produsele derivate care nu sunt destinate consumului uman.</w:t>
            </w:r>
          </w:p>
        </w:tc>
      </w:tr>
      <w:tr w:rsidR="00A068FA" w:rsidRPr="00827721" w14:paraId="36F4A5F4"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5A1980BF" w14:textId="10AFED9B" w:rsidR="00A068FA" w:rsidRPr="00827721" w:rsidRDefault="00114B11"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F6D1613" w14:textId="483B17F1"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Alte deșeuri de abator [reziduuri de origine animală (fără grăsime) cat</w:t>
            </w:r>
            <w:r w:rsidR="00FE4023" w:rsidRPr="00827721">
              <w:rPr>
                <w:rFonts w:eastAsia="Times New Roman"/>
                <w:sz w:val="24"/>
              </w:rPr>
              <w:t>egoria</w:t>
            </w:r>
            <w:r w:rsidRPr="00827721">
              <w:rPr>
                <w:rFonts w:eastAsia="Times New Roman"/>
                <w:sz w:val="24"/>
              </w:rPr>
              <w:t xml:space="preserve"> 1]</w:t>
            </w:r>
          </w:p>
        </w:tc>
      </w:tr>
      <w:tr w:rsidR="00A068FA" w:rsidRPr="00827721" w14:paraId="4CB6021D"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628F4D51" w14:textId="1E126114" w:rsidR="00A068FA" w:rsidRPr="00827721" w:rsidRDefault="00114B11"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2E9607CD"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Ape uzate industriale și derivați ai acestora</w:t>
            </w:r>
          </w:p>
        </w:tc>
      </w:tr>
      <w:tr w:rsidR="00A068FA" w:rsidRPr="00827721" w14:paraId="585C94B5"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D7BE6AD" w14:textId="4222FEA7" w:rsidR="00A068FA" w:rsidRPr="00827721" w:rsidRDefault="00114B11"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(g)</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154D7A61"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Ulei obținut din nămolul care rezultă din procesul de producție al uleiului de palmier (PSO)</w:t>
            </w:r>
          </w:p>
        </w:tc>
      </w:tr>
      <w:tr w:rsidR="00A068FA" w:rsidRPr="00827721" w14:paraId="1C290D79"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2C1C9CE" w14:textId="539023F5" w:rsidR="00A068FA" w:rsidRPr="00827721" w:rsidRDefault="00114B11"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0F67CCD0"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Reziduuri provenite din depozitarea industrială</w:t>
            </w:r>
          </w:p>
        </w:tc>
      </w:tr>
      <w:tr w:rsidR="00A068FA" w:rsidRPr="00827721" w14:paraId="73AD04C0"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6DF6A07D" w14:textId="5BC05F4B" w:rsidR="00A068FA" w:rsidRPr="00827721" w:rsidRDefault="00114B11"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2977CAD5"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 xml:space="preserve">Fracțiunea </w:t>
            </w:r>
            <w:proofErr w:type="spellStart"/>
            <w:r w:rsidRPr="00827721">
              <w:rPr>
                <w:rFonts w:eastAsia="Times New Roman"/>
                <w:sz w:val="24"/>
              </w:rPr>
              <w:t>biogenică</w:t>
            </w:r>
            <w:proofErr w:type="spellEnd"/>
            <w:r w:rsidRPr="00827721">
              <w:rPr>
                <w:rFonts w:eastAsia="Times New Roman"/>
                <w:sz w:val="24"/>
              </w:rPr>
              <w:t xml:space="preserve"> a anvelopelor scoase din uz</w:t>
            </w:r>
          </w:p>
        </w:tc>
      </w:tr>
      <w:tr w:rsidR="00A068FA" w:rsidRPr="00827721" w14:paraId="65406229"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4F9C1C81" w14:textId="7E14B2A8" w:rsidR="00A068FA" w:rsidRPr="00827721" w:rsidRDefault="00CC7414"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(q)</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32FE6A4A"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Lemn reciclat/deșeuri de lemn</w:t>
            </w:r>
          </w:p>
        </w:tc>
      </w:tr>
      <w:tr w:rsidR="00A068FA" w:rsidRPr="00827721" w14:paraId="0BA9C468"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7202B175" w14:textId="7B16E53E" w:rsidR="00A068FA" w:rsidRPr="00827721" w:rsidRDefault="00CC7414"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C5ECB4A" w14:textId="77777777" w:rsidR="00A068FA" w:rsidRPr="00827721" w:rsidRDefault="00A068FA" w:rsidP="00AE0393">
            <w:pPr>
              <w:spacing w:before="60" w:after="60" w:line="312" w:lineRule="atLeast"/>
              <w:ind w:left="57" w:right="57" w:firstLine="0"/>
              <w:rPr>
                <w:rFonts w:eastAsia="Times New Roman"/>
                <w:sz w:val="24"/>
              </w:rPr>
            </w:pPr>
            <w:proofErr w:type="spellStart"/>
            <w:r w:rsidRPr="00827721">
              <w:rPr>
                <w:rFonts w:eastAsia="Times New Roman"/>
                <w:sz w:val="24"/>
              </w:rPr>
              <w:t>Humine</w:t>
            </w:r>
            <w:proofErr w:type="spellEnd"/>
          </w:p>
        </w:tc>
      </w:tr>
      <w:tr w:rsidR="00A068FA" w:rsidRPr="00827721" w14:paraId="1FCE1412" w14:textId="77777777" w:rsidTr="00C056D2">
        <w:tc>
          <w:tcPr>
            <w:tcW w:w="2472" w:type="pct"/>
            <w:tcBorders>
              <w:top w:val="single" w:sz="6" w:space="0" w:color="000000"/>
              <w:left w:val="single" w:sz="6" w:space="0" w:color="000000"/>
              <w:bottom w:val="single" w:sz="6" w:space="0" w:color="000000"/>
              <w:right w:val="single" w:sz="6" w:space="0" w:color="000000"/>
            </w:tcBorders>
            <w:shd w:val="clear" w:color="auto" w:fill="FFFFFF"/>
            <w:hideMark/>
          </w:tcPr>
          <w:p w14:paraId="0AE07A43" w14:textId="3865726F" w:rsidR="00A068FA" w:rsidRPr="00827721" w:rsidRDefault="00CC7414" w:rsidP="00AE0393">
            <w:pPr>
              <w:spacing w:before="60" w:after="60" w:line="312" w:lineRule="atLeast"/>
              <w:ind w:left="57" w:right="57" w:firstLine="0"/>
              <w:rPr>
                <w:rFonts w:eastAsia="Times New Roman"/>
                <w:sz w:val="24"/>
              </w:rPr>
            </w:pPr>
            <w:r w:rsidRPr="00827721">
              <w:rPr>
                <w:rFonts w:eastAsia="Times New Roman"/>
                <w:sz w:val="24"/>
              </w:rPr>
              <w:t>P</w:t>
            </w:r>
            <w:r w:rsidR="00A068FA" w:rsidRPr="00827721">
              <w:rPr>
                <w:rFonts w:eastAsia="Times New Roman"/>
                <w:sz w:val="24"/>
              </w:rPr>
              <w:t>artea A litera (d)</w:t>
            </w:r>
          </w:p>
        </w:tc>
        <w:tc>
          <w:tcPr>
            <w:tcW w:w="2528" w:type="pct"/>
            <w:tcBorders>
              <w:top w:val="single" w:sz="6" w:space="0" w:color="000000"/>
              <w:left w:val="single" w:sz="6" w:space="0" w:color="000000"/>
              <w:bottom w:val="single" w:sz="6" w:space="0" w:color="000000"/>
              <w:right w:val="single" w:sz="6" w:space="0" w:color="000000"/>
            </w:tcBorders>
            <w:shd w:val="clear" w:color="auto" w:fill="FFFFFF"/>
            <w:hideMark/>
          </w:tcPr>
          <w:p w14:paraId="60BF23D2" w14:textId="77777777" w:rsidR="00A068FA" w:rsidRPr="00827721" w:rsidRDefault="00A068FA" w:rsidP="00AE0393">
            <w:pPr>
              <w:spacing w:before="60" w:after="60" w:line="312" w:lineRule="atLeast"/>
              <w:ind w:left="57" w:right="57" w:firstLine="0"/>
              <w:rPr>
                <w:rFonts w:eastAsia="Times New Roman"/>
                <w:sz w:val="24"/>
              </w:rPr>
            </w:pPr>
            <w:r w:rsidRPr="00827721">
              <w:rPr>
                <w:rFonts w:eastAsia="Times New Roman"/>
                <w:sz w:val="24"/>
              </w:rPr>
              <w:t>Pământ decolorant uzat</w:t>
            </w:r>
          </w:p>
        </w:tc>
      </w:tr>
    </w:tbl>
    <w:p w14:paraId="659D2F4D" w14:textId="3057FB26" w:rsidR="00A23ADC" w:rsidRPr="00827721" w:rsidRDefault="00A23ADC" w:rsidP="00460338">
      <w:pPr>
        <w:ind w:left="431" w:firstLine="0"/>
      </w:pPr>
    </w:p>
    <w:p w14:paraId="3A4AC07D" w14:textId="77777777" w:rsidR="00A23ADC" w:rsidRPr="00827721" w:rsidRDefault="00A23ADC">
      <w:pPr>
        <w:spacing w:line="240" w:lineRule="auto"/>
        <w:ind w:firstLine="0"/>
        <w:jc w:val="left"/>
        <w:rPr>
          <w:bCs/>
        </w:rPr>
      </w:pPr>
      <w:r w:rsidRPr="00827721">
        <w:br w:type="page"/>
      </w:r>
    </w:p>
    <w:p w14:paraId="07064463" w14:textId="77EEDC42" w:rsidR="00A23ADC" w:rsidRPr="00827721" w:rsidRDefault="00A23ADC" w:rsidP="00A23ADC">
      <w:pPr>
        <w:jc w:val="right"/>
      </w:pPr>
      <w:r w:rsidRPr="00827721">
        <w:lastRenderedPageBreak/>
        <w:t>Anexa nr. 5</w:t>
      </w:r>
    </w:p>
    <w:p w14:paraId="6801A756" w14:textId="171458C4" w:rsidR="00A23ADC" w:rsidRPr="00827721" w:rsidRDefault="00A23ADC"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4FBA122C" w14:textId="351D2A96" w:rsidR="0061153F" w:rsidRPr="00827721" w:rsidRDefault="00D942A3" w:rsidP="00890866">
      <w:pPr>
        <w:pStyle w:val="Capitol"/>
      </w:pPr>
      <w:r w:rsidRPr="00827721">
        <w:t>METODOLOGIA</w:t>
      </w:r>
      <w:r w:rsidR="00F6354F" w:rsidRPr="00827721">
        <w:t xml:space="preserve"> de determinare a reducerilor de emisii datorate acumulării carbonului în sol prin intermediul unui mai bun management agricol</w:t>
      </w:r>
    </w:p>
    <w:p w14:paraId="7B51F945" w14:textId="11889958" w:rsidR="007921B9" w:rsidRPr="00827721" w:rsidRDefault="00CE3445" w:rsidP="00460338">
      <w:pPr>
        <w:numPr>
          <w:ilvl w:val="0"/>
          <w:numId w:val="26"/>
        </w:numPr>
      </w:pPr>
      <w:r w:rsidRPr="00827721">
        <w:t>Operatorii economici care doresc să declare reduceri de emisii datorate acumulării carbonului în sol prin intermediul unui mai bun management agricol (</w:t>
      </w:r>
      <w:proofErr w:type="spellStart"/>
      <w:r w:rsidRPr="00827721">
        <w:t>e</w:t>
      </w:r>
      <w:r w:rsidRPr="00827721">
        <w:rPr>
          <w:vertAlign w:val="subscript"/>
        </w:rPr>
        <w:t>sca</w:t>
      </w:r>
      <w:proofErr w:type="spellEnd"/>
      <w:r w:rsidRPr="00827721">
        <w:t>) exprimate în grame de echivalent CO</w:t>
      </w:r>
      <w:r w:rsidRPr="00827721">
        <w:rPr>
          <w:vertAlign w:val="subscript"/>
        </w:rPr>
        <w:t>2</w:t>
      </w:r>
      <w:r w:rsidRPr="00827721">
        <w:t> per MJ utilize</w:t>
      </w:r>
      <w:r w:rsidR="00FC400F" w:rsidRPr="00827721">
        <w:t>a</w:t>
      </w:r>
      <w:r w:rsidRPr="00827721">
        <w:t>z</w:t>
      </w:r>
      <w:r w:rsidR="00FC400F" w:rsidRPr="00827721">
        <w:t>ă</w:t>
      </w:r>
      <w:r w:rsidRPr="00827721">
        <w:t xml:space="preserve"> următoarea formulă pentru a calcula valorile lor reale:</w:t>
      </w:r>
    </w:p>
    <w:p w14:paraId="703E8860" w14:textId="67CDF603" w:rsidR="0001615F" w:rsidRPr="00827721" w:rsidRDefault="00000000" w:rsidP="007921B9">
      <w:pPr>
        <w:pStyle w:val="Anexapct11"/>
        <w:numPr>
          <w:ilvl w:val="0"/>
          <w:numId w:val="0"/>
        </w:numPr>
        <w:ind w:left="431"/>
        <w:rPr>
          <w:iCs/>
        </w:rPr>
      </w:pPr>
      <m:oMathPara>
        <m:oMathParaPr>
          <m:jc m:val="center"/>
        </m:oMathParaPr>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sca</m:t>
              </m:r>
            </m:sub>
          </m:sSub>
          <m:r>
            <m:rPr>
              <m:sty m:val="p"/>
            </m:rPr>
            <w:rPr>
              <w:rFonts w:ascii="Cambria Math" w:hAnsi="Cambria Math"/>
            </w:rPr>
            <m:t xml:space="preserve"> = </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CS</m:t>
                  </m:r>
                </m:e>
                <m:sub>
                  <m:r>
                    <m:rPr>
                      <m:sty m:val="p"/>
                    </m:rPr>
                    <w:rPr>
                      <w:rFonts w:ascii="Cambria Math" w:hAnsi="Cambria Math"/>
                    </w:rPr>
                    <m:t>A</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CS</m:t>
                  </m:r>
                </m:e>
                <m:sub>
                  <m:r>
                    <m:rPr>
                      <m:sty m:val="p"/>
                    </m:rPr>
                    <w:rPr>
                      <w:rFonts w:ascii="Cambria Math" w:hAnsi="Cambria Math"/>
                    </w:rPr>
                    <m:t>R</m:t>
                  </m:r>
                </m:sub>
              </m:sSub>
            </m:e>
          </m:d>
          <m:r>
            <m:rPr>
              <m:sty m:val="p"/>
            </m:rPr>
            <w:rPr>
              <w:rFonts w:ascii="Cambria Math" w:hAnsi="Cambria Math"/>
            </w:rPr>
            <m:t xml:space="preserve">× 3,664 × </m:t>
          </m:r>
          <m:sSup>
            <m:sSupPr>
              <m:ctrlPr>
                <w:rPr>
                  <w:rFonts w:ascii="Cambria Math" w:hAnsi="Cambria Math"/>
                  <w:iCs/>
                </w:rPr>
              </m:ctrlPr>
            </m:sSupPr>
            <m:e>
              <m:r>
                <m:rPr>
                  <m:sty m:val="p"/>
                </m:rPr>
                <w:rPr>
                  <w:rFonts w:ascii="Cambria Math" w:hAnsi="Cambria Math"/>
                </w:rPr>
                <m:t>10</m:t>
              </m:r>
            </m:e>
            <m:sup>
              <m:r>
                <m:rPr>
                  <m:sty m:val="p"/>
                </m:rPr>
                <w:rPr>
                  <w:rFonts w:ascii="Cambria Math" w:hAnsi="Cambria Math"/>
                </w:rPr>
                <m:t>6</m:t>
              </m:r>
            </m:sup>
          </m:sSup>
          <m:r>
            <m:rPr>
              <m:sty m:val="p"/>
            </m:rPr>
            <w:rPr>
              <w:rFonts w:ascii="Cambria Math" w:hAnsi="Cambria Math"/>
            </w:rPr>
            <m:t xml:space="preserve">× </m:t>
          </m:r>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r>
                    <m:rPr>
                      <m:sty m:val="p"/>
                    </m:rPr>
                    <w:rPr>
                      <w:rFonts w:ascii="Cambria Math" w:hAnsi="Cambria Math"/>
                    </w:rPr>
                    <m:t>n</m:t>
                  </m:r>
                </m:den>
              </m:f>
            </m:e>
          </m:d>
          <m:r>
            <m:rPr>
              <m:sty m:val="p"/>
            </m:rPr>
            <w:rPr>
              <w:rFonts w:ascii="Cambria Math" w:hAnsi="Cambria Math"/>
            </w:rPr>
            <m:t xml:space="preserve">× </m:t>
          </m:r>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r>
                    <m:rPr>
                      <m:sty m:val="p"/>
                    </m:rPr>
                    <w:rPr>
                      <w:rFonts w:ascii="Cambria Math" w:hAnsi="Cambria Math"/>
                    </w:rPr>
                    <m:t>P</m:t>
                  </m:r>
                </m:den>
              </m:f>
            </m:e>
          </m:d>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f</m:t>
              </m:r>
            </m:sub>
          </m:sSub>
        </m:oMath>
      </m:oMathPara>
    </w:p>
    <w:p w14:paraId="48C83AE0" w14:textId="77777777" w:rsidR="00B710E3" w:rsidRPr="00827721" w:rsidRDefault="00B710E3" w:rsidP="00FF1E8E">
      <w:r w:rsidRPr="00827721">
        <w:t>unde:</w:t>
      </w:r>
    </w:p>
    <w:tbl>
      <w:tblPr>
        <w:tblW w:w="5000" w:type="pct"/>
        <w:shd w:val="clear" w:color="auto" w:fill="FFFFFF"/>
        <w:tblCellMar>
          <w:left w:w="0" w:type="dxa"/>
          <w:right w:w="0" w:type="dxa"/>
        </w:tblCellMar>
        <w:tblLook w:val="04A0" w:firstRow="1" w:lastRow="0" w:firstColumn="1" w:lastColumn="0" w:noHBand="0" w:noVBand="1"/>
      </w:tblPr>
      <w:tblGrid>
        <w:gridCol w:w="851"/>
        <w:gridCol w:w="8610"/>
      </w:tblGrid>
      <w:tr w:rsidR="00B710E3" w:rsidRPr="00827721" w14:paraId="0AEBF6DD" w14:textId="77777777" w:rsidTr="005202B6">
        <w:tc>
          <w:tcPr>
            <w:tcW w:w="450" w:type="pct"/>
            <w:shd w:val="clear" w:color="auto" w:fill="FFFFFF"/>
            <w:hideMark/>
          </w:tcPr>
          <w:p w14:paraId="448787A1" w14:textId="77777777" w:rsidR="00B710E3" w:rsidRPr="00827721" w:rsidRDefault="00B710E3" w:rsidP="00B710E3">
            <w:pPr>
              <w:ind w:firstLine="0"/>
            </w:pPr>
            <w:r w:rsidRPr="00827721">
              <w:t>CS</w:t>
            </w:r>
            <w:r w:rsidRPr="00827721">
              <w:rPr>
                <w:vertAlign w:val="subscript"/>
              </w:rPr>
              <w:t>R</w:t>
            </w:r>
          </w:p>
        </w:tc>
        <w:tc>
          <w:tcPr>
            <w:tcW w:w="4550" w:type="pct"/>
            <w:shd w:val="clear" w:color="auto" w:fill="FFFFFF"/>
            <w:hideMark/>
          </w:tcPr>
          <w:p w14:paraId="1E6B06AE" w14:textId="77777777" w:rsidR="00B710E3" w:rsidRPr="00827721" w:rsidRDefault="00B710E3" w:rsidP="00B710E3">
            <w:pPr>
              <w:ind w:firstLine="0"/>
            </w:pPr>
            <w:r w:rsidRPr="00827721">
              <w:t>reprezintă masa stocului de carbon din sol per unitate de suprafață asociat cu practica de referință de gestionare a culturilor, exprimată în Mg de carbon per ha;</w:t>
            </w:r>
          </w:p>
        </w:tc>
      </w:tr>
      <w:tr w:rsidR="00B710E3" w:rsidRPr="00827721" w14:paraId="30A798EB" w14:textId="77777777" w:rsidTr="005202B6">
        <w:tc>
          <w:tcPr>
            <w:tcW w:w="450" w:type="pct"/>
            <w:shd w:val="clear" w:color="auto" w:fill="FFFFFF"/>
            <w:hideMark/>
          </w:tcPr>
          <w:p w14:paraId="196A31DD" w14:textId="77777777" w:rsidR="00B710E3" w:rsidRPr="00827721" w:rsidRDefault="00B710E3" w:rsidP="00B710E3">
            <w:pPr>
              <w:ind w:firstLine="0"/>
            </w:pPr>
            <w:r w:rsidRPr="00827721">
              <w:t>CS</w:t>
            </w:r>
            <w:r w:rsidRPr="00827721">
              <w:rPr>
                <w:vertAlign w:val="subscript"/>
              </w:rPr>
              <w:t>A</w:t>
            </w:r>
          </w:p>
        </w:tc>
        <w:tc>
          <w:tcPr>
            <w:tcW w:w="4550" w:type="pct"/>
            <w:shd w:val="clear" w:color="auto" w:fill="FFFFFF"/>
            <w:hideMark/>
          </w:tcPr>
          <w:p w14:paraId="1A0799E5" w14:textId="77777777" w:rsidR="00B710E3" w:rsidRPr="00827721" w:rsidRDefault="00B710E3" w:rsidP="00B710E3">
            <w:pPr>
              <w:ind w:firstLine="0"/>
            </w:pPr>
            <w:r w:rsidRPr="00827721">
              <w:t>reprezintă masa stocului de carbon estimat din sol per unitate de suprafață asociat cu practicile efective de gestionare a culturilor după cel puțin 10 ani de aplicare, exprimată în Mg de carbon per ha;</w:t>
            </w:r>
          </w:p>
        </w:tc>
      </w:tr>
      <w:tr w:rsidR="00B710E3" w:rsidRPr="00827721" w14:paraId="4476B1EA" w14:textId="77777777" w:rsidTr="005202B6">
        <w:tc>
          <w:tcPr>
            <w:tcW w:w="450" w:type="pct"/>
            <w:shd w:val="clear" w:color="auto" w:fill="FFFFFF"/>
            <w:hideMark/>
          </w:tcPr>
          <w:p w14:paraId="28A24817" w14:textId="77777777" w:rsidR="00B710E3" w:rsidRPr="00827721" w:rsidRDefault="00B710E3" w:rsidP="00B710E3">
            <w:pPr>
              <w:ind w:firstLine="0"/>
            </w:pPr>
            <w:r w:rsidRPr="00827721">
              <w:t>3,664</w:t>
            </w:r>
          </w:p>
        </w:tc>
        <w:tc>
          <w:tcPr>
            <w:tcW w:w="4550" w:type="pct"/>
            <w:shd w:val="clear" w:color="auto" w:fill="FFFFFF"/>
            <w:hideMark/>
          </w:tcPr>
          <w:p w14:paraId="74B4503A" w14:textId="77777777" w:rsidR="00B710E3" w:rsidRPr="00827721" w:rsidRDefault="00B710E3" w:rsidP="00B710E3">
            <w:pPr>
              <w:ind w:firstLine="0"/>
            </w:pPr>
            <w:r w:rsidRPr="00827721">
              <w:t>reprezintă coeficientul obținut prin împărțirea masei moleculare a CO</w:t>
            </w:r>
            <w:r w:rsidRPr="00827721">
              <w:rPr>
                <w:vertAlign w:val="subscript"/>
              </w:rPr>
              <w:t>2</w:t>
            </w:r>
            <w:r w:rsidRPr="00827721">
              <w:t> (44,010 g/mol) la masa moleculară a carbonului (12,011 g/mol), exprimat în grame de echivalent CO</w:t>
            </w:r>
            <w:r w:rsidRPr="00827721">
              <w:rPr>
                <w:vertAlign w:val="subscript"/>
              </w:rPr>
              <w:t>2</w:t>
            </w:r>
            <w:r w:rsidRPr="00827721">
              <w:t> per carbon;</w:t>
            </w:r>
          </w:p>
        </w:tc>
      </w:tr>
      <w:tr w:rsidR="00B710E3" w:rsidRPr="00827721" w14:paraId="40A04C2F" w14:textId="77777777" w:rsidTr="005202B6">
        <w:tc>
          <w:tcPr>
            <w:tcW w:w="450" w:type="pct"/>
            <w:shd w:val="clear" w:color="auto" w:fill="FFFFFF"/>
            <w:hideMark/>
          </w:tcPr>
          <w:p w14:paraId="189426C4" w14:textId="77777777" w:rsidR="00B710E3" w:rsidRPr="00827721" w:rsidRDefault="00B710E3" w:rsidP="00B710E3">
            <w:pPr>
              <w:ind w:firstLine="0"/>
            </w:pPr>
            <w:r w:rsidRPr="00827721">
              <w:rPr>
                <w:i/>
                <w:iCs/>
              </w:rPr>
              <w:t>n</w:t>
            </w:r>
          </w:p>
        </w:tc>
        <w:tc>
          <w:tcPr>
            <w:tcW w:w="4550" w:type="pct"/>
            <w:shd w:val="clear" w:color="auto" w:fill="FFFFFF"/>
            <w:hideMark/>
          </w:tcPr>
          <w:p w14:paraId="069FEEFE" w14:textId="77777777" w:rsidR="00B710E3" w:rsidRPr="00827721" w:rsidRDefault="00B710E3" w:rsidP="00B710E3">
            <w:pPr>
              <w:ind w:firstLine="0"/>
            </w:pPr>
            <w:r w:rsidRPr="00827721">
              <w:t>reprezintă perioada (exprimată în ani) de cultivare a culturii în cauză;</w:t>
            </w:r>
          </w:p>
        </w:tc>
      </w:tr>
      <w:tr w:rsidR="00B710E3" w:rsidRPr="00827721" w14:paraId="0B016E3C" w14:textId="77777777" w:rsidTr="005202B6">
        <w:tc>
          <w:tcPr>
            <w:tcW w:w="450" w:type="pct"/>
            <w:shd w:val="clear" w:color="auto" w:fill="FFFFFF"/>
            <w:hideMark/>
          </w:tcPr>
          <w:p w14:paraId="60976C9B" w14:textId="77777777" w:rsidR="00B710E3" w:rsidRPr="00827721" w:rsidRDefault="00B710E3" w:rsidP="00B710E3">
            <w:pPr>
              <w:ind w:firstLine="0"/>
            </w:pPr>
            <w:r w:rsidRPr="00827721">
              <w:rPr>
                <w:i/>
                <w:iCs/>
              </w:rPr>
              <w:t>P</w:t>
            </w:r>
          </w:p>
        </w:tc>
        <w:tc>
          <w:tcPr>
            <w:tcW w:w="4550" w:type="pct"/>
            <w:shd w:val="clear" w:color="auto" w:fill="FFFFFF"/>
            <w:hideMark/>
          </w:tcPr>
          <w:p w14:paraId="2C2E65BA" w14:textId="77777777" w:rsidR="00B710E3" w:rsidRPr="00827721" w:rsidRDefault="00B710E3" w:rsidP="00B710E3">
            <w:pPr>
              <w:ind w:firstLine="0"/>
            </w:pPr>
            <w:r w:rsidRPr="00827721">
              <w:t xml:space="preserve">reprezintă productivitatea culturii (măsurată în energia generată de biocarburant sau </w:t>
            </w:r>
            <w:proofErr w:type="spellStart"/>
            <w:r w:rsidRPr="00827721">
              <w:t>biolichid</w:t>
            </w:r>
            <w:proofErr w:type="spellEnd"/>
            <w:r w:rsidRPr="00827721">
              <w:t> – MJ – per ha per an);</w:t>
            </w:r>
          </w:p>
        </w:tc>
      </w:tr>
      <w:tr w:rsidR="00B710E3" w:rsidRPr="00827721" w14:paraId="711551FD" w14:textId="77777777" w:rsidTr="005202B6">
        <w:tc>
          <w:tcPr>
            <w:tcW w:w="450" w:type="pct"/>
            <w:shd w:val="clear" w:color="auto" w:fill="FFFFFF"/>
            <w:hideMark/>
          </w:tcPr>
          <w:p w14:paraId="50EEA938" w14:textId="4244AE37" w:rsidR="00B710E3" w:rsidRPr="00827721" w:rsidRDefault="00000000" w:rsidP="00B710E3">
            <w:pPr>
              <w:ind w:firstLine="0"/>
            </w:pPr>
            <m:oMathPara>
              <m:oMathParaPr>
                <m:jc m:val="left"/>
              </m:oMathParaPr>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f</m:t>
                    </m:r>
                  </m:sub>
                </m:sSub>
              </m:oMath>
            </m:oMathPara>
          </w:p>
        </w:tc>
        <w:tc>
          <w:tcPr>
            <w:tcW w:w="4550" w:type="pct"/>
            <w:shd w:val="clear" w:color="auto" w:fill="FFFFFF"/>
            <w:hideMark/>
          </w:tcPr>
          <w:p w14:paraId="6EDEB6BD" w14:textId="77777777" w:rsidR="00B710E3" w:rsidRPr="00827721" w:rsidRDefault="00B710E3" w:rsidP="00B710E3">
            <w:pPr>
              <w:ind w:firstLine="0"/>
            </w:pPr>
            <w:r w:rsidRPr="00827721">
              <w:t>emisii generate de utilizarea la scară mai mare de îngrășăminte sau erbicide.</w:t>
            </w:r>
          </w:p>
        </w:tc>
      </w:tr>
    </w:tbl>
    <w:p w14:paraId="72FFCA97" w14:textId="77777777" w:rsidR="00FB7EA1" w:rsidRPr="00827721" w:rsidRDefault="00FB7EA1" w:rsidP="00334D4C">
      <w:pPr>
        <w:pStyle w:val="Anexapct1"/>
      </w:pPr>
      <w:r w:rsidRPr="00827721">
        <w:t xml:space="preserve">Practicile de îmbunătățire a gestionării în agricultură, acceptate în scopul reducerii emisiilor prin acumularea carbonului în sol, includ trecerea la aratul de conservare sau la semănarea direct în miriște, îmbunătățirea sistemului de rotație, utilizarea culturilor de protecție, inclusiv gestionarea reziduurilor de culturi, precum și utilizarea unui ameliorator de sol organic (de exemplu compost, </w:t>
      </w:r>
      <w:proofErr w:type="spellStart"/>
      <w:r w:rsidRPr="00827721">
        <w:t>digestat</w:t>
      </w:r>
      <w:proofErr w:type="spellEnd"/>
      <w:r w:rsidRPr="00827721">
        <w:t xml:space="preserve"> fermentat din gunoi de grajd, cărbune din biomasă etc.).</w:t>
      </w:r>
    </w:p>
    <w:p w14:paraId="1696CDF6" w14:textId="4A156297" w:rsidR="00FB7EA1" w:rsidRPr="00827721" w:rsidRDefault="00FB7EA1" w:rsidP="00334D4C">
      <w:pPr>
        <w:pStyle w:val="Anexapct1"/>
      </w:pPr>
      <w:r w:rsidRPr="00827721">
        <w:t>Calculul valorilor reale ale CS</w:t>
      </w:r>
      <w:r w:rsidRPr="00827721">
        <w:rPr>
          <w:vertAlign w:val="subscript"/>
        </w:rPr>
        <w:t>R</w:t>
      </w:r>
      <w:r w:rsidRPr="00827721">
        <w:t xml:space="preserve"> și CS</w:t>
      </w:r>
      <w:r w:rsidRPr="00827721">
        <w:rPr>
          <w:vertAlign w:val="subscript"/>
        </w:rPr>
        <w:t>A</w:t>
      </w:r>
      <w:r w:rsidRPr="00827721">
        <w:t xml:space="preserve"> se bazează pe măsurători ale stocurilor de carbon din sol. Măsurarea CS</w:t>
      </w:r>
      <w:r w:rsidRPr="00827721">
        <w:rPr>
          <w:vertAlign w:val="subscript"/>
        </w:rPr>
        <w:t>R</w:t>
      </w:r>
      <w:r w:rsidRPr="00827721">
        <w:t xml:space="preserve"> se efectuează la nivel de exploatație agricolă înainte </w:t>
      </w:r>
      <w:r w:rsidRPr="00827721">
        <w:lastRenderedPageBreak/>
        <w:t>de modificarea practicii de gestionare în vederea stabilirii unei valori de referință, iar ulterior CS</w:t>
      </w:r>
      <w:r w:rsidRPr="00827721">
        <w:rPr>
          <w:vertAlign w:val="subscript"/>
        </w:rPr>
        <w:t>A</w:t>
      </w:r>
      <w:r w:rsidRPr="00827721">
        <w:t xml:space="preserve"> se măsoară la intervale regulate de cel mult cinci ani.</w:t>
      </w:r>
    </w:p>
    <w:p w14:paraId="5F64F193" w14:textId="383BED15" w:rsidR="00FB7EA1" w:rsidRPr="00827721" w:rsidRDefault="00FB7EA1" w:rsidP="00334D4C">
      <w:pPr>
        <w:pStyle w:val="Anexapct1"/>
      </w:pPr>
      <w:r w:rsidRPr="00827721">
        <w:t xml:space="preserve">Întreaga suprafață pentru care se calculează stocurile de carbon din sol trebuie să aibă un tip similar de climă și de sol, precum și un istoric similar al practicilor de gestionare în ceea ce privește aratul și aportul de carbon în sol. În cazul în care practicile de gestionare îmbunătățită se aplică numai unei părți a exploatației agricole, reducerile de emisii de GES pot fi declarate numai pentru suprafața pe care se aplică respectivele practici. În cazul în care, pe o singură exploatație agricolă, se aplică practici diferite de gestionare îmbunătățită, reducerile de emisii de GES se calculează și se declară în mod individual pentru fiecare practică </w:t>
      </w:r>
      <w:proofErr w:type="spellStart"/>
      <w:r w:rsidRPr="00827721">
        <w:rPr>
          <w:bCs/>
        </w:rPr>
        <w:t>e</w:t>
      </w:r>
      <w:r w:rsidRPr="00827721">
        <w:rPr>
          <w:bCs/>
          <w:vertAlign w:val="subscript"/>
        </w:rPr>
        <w:t>sca</w:t>
      </w:r>
      <w:proofErr w:type="spellEnd"/>
      <w:r w:rsidRPr="00827721">
        <w:t>.</w:t>
      </w:r>
    </w:p>
    <w:p w14:paraId="61E85494" w14:textId="406F86FB" w:rsidR="00FB7EA1" w:rsidRPr="00827721" w:rsidRDefault="00FB7EA1" w:rsidP="00334D4C">
      <w:pPr>
        <w:pStyle w:val="Anexapct1"/>
      </w:pPr>
      <w:r w:rsidRPr="00827721">
        <w:t xml:space="preserve">Pentru a asigura reducerea fluctuațiilor </w:t>
      </w:r>
      <w:r w:rsidR="003117DA" w:rsidRPr="00827721">
        <w:t>anuale</w:t>
      </w:r>
      <w:r w:rsidRPr="00827721">
        <w:t xml:space="preserve"> ale stocurilor măsurate de carbon din sol și pentru a reduce erorile asociate, pot fi grupate terenurile care prezintă aceleași caracteristici ale solului și ale climei, care au un istoric similar al practicilor de gestionare în ceea ce privește aratul și aportul de carbon în sol și care vor face obiectul aceleiași practici de gestionare îmbunătățită, inclusiv terenurile care aparțin unor fermieri diferiți.</w:t>
      </w:r>
    </w:p>
    <w:p w14:paraId="3D91913F" w14:textId="61B0872B" w:rsidR="00FB7EA1" w:rsidRPr="00827721" w:rsidRDefault="00FB7EA1" w:rsidP="00334D4C">
      <w:pPr>
        <w:pStyle w:val="Anexapct1"/>
      </w:pPr>
      <w:r w:rsidRPr="00827721">
        <w:t xml:space="preserve">După prima măsurătoare a valorii de referință, creșterea carbonului din sol </w:t>
      </w:r>
      <w:r w:rsidR="00EA2803" w:rsidRPr="00827721">
        <w:t>se</w:t>
      </w:r>
      <w:r w:rsidRPr="00827721">
        <w:t xml:space="preserve"> estim</w:t>
      </w:r>
      <w:r w:rsidR="00EA2803" w:rsidRPr="00827721">
        <w:t>e</w:t>
      </w:r>
      <w:r w:rsidRPr="00827721">
        <w:t>a</w:t>
      </w:r>
      <w:r w:rsidR="00EA2803" w:rsidRPr="00827721">
        <w:t>z</w:t>
      </w:r>
      <w:r w:rsidRPr="00827721">
        <w:t>ă pe baza unor experimente sau modele de sol reprezentative, înainte de a se efectua o a doua măsurătoare a creșterii stocului de carbon. După cea de-a doua măsurătoare, măsurătorile constituie baza finală pentru determinarea valorilor reale ale creșterii stocului de carbon din sol.</w:t>
      </w:r>
    </w:p>
    <w:p w14:paraId="3D5965FA" w14:textId="292CB161" w:rsidR="00FB7EA1" w:rsidRPr="00827721" w:rsidRDefault="00C124A1" w:rsidP="00334D4C">
      <w:pPr>
        <w:pStyle w:val="Anexapct1"/>
      </w:pPr>
      <w:r w:rsidRPr="00827721">
        <w:t>D</w:t>
      </w:r>
      <w:r w:rsidR="00FB7EA1" w:rsidRPr="00827721">
        <w:t>upă a doua măsurătoare, modelarea care permit</w:t>
      </w:r>
      <w:r w:rsidR="00DE4D97" w:rsidRPr="00827721">
        <w:t>e</w:t>
      </w:r>
      <w:r w:rsidR="00FB7EA1" w:rsidRPr="00827721">
        <w:t xml:space="preserve"> operatorilor economici să estimeze creșterea anuală a stocurilor de carbon din sol </w:t>
      </w:r>
      <w:r w:rsidR="00790E35" w:rsidRPr="00827721">
        <w:t>este</w:t>
      </w:r>
      <w:r w:rsidR="00FB7EA1" w:rsidRPr="00827721">
        <w:t xml:space="preserve"> permisă numai până la următoarea măsurătoare, dacă modelele utilizate au fost calibrate, pe baza valorilor reale măsurate. Operatorii economici utilize</w:t>
      </w:r>
      <w:r w:rsidR="00DC7DEF" w:rsidRPr="00827721">
        <w:t>a</w:t>
      </w:r>
      <w:r w:rsidR="00FB7EA1" w:rsidRPr="00827721">
        <w:t>z</w:t>
      </w:r>
      <w:r w:rsidR="00DC7DEF" w:rsidRPr="00827721">
        <w:t>ă</w:t>
      </w:r>
      <w:r w:rsidR="00FB7EA1" w:rsidRPr="00827721">
        <w:t xml:space="preserve"> numai modele care au fost validate de </w:t>
      </w:r>
      <w:r w:rsidR="003675FE" w:rsidRPr="00827721">
        <w:t>schemele</w:t>
      </w:r>
      <w:r w:rsidR="00FB7EA1" w:rsidRPr="00827721">
        <w:t xml:space="preserve"> voluntare. </w:t>
      </w:r>
      <w:r w:rsidR="003675FE" w:rsidRPr="00827721">
        <w:t>Schemele</w:t>
      </w:r>
      <w:r w:rsidR="00FB7EA1" w:rsidRPr="00827721">
        <w:t xml:space="preserve"> voluntare sunt obligate să informeze operatorii economici și organismele de certificare care efectuează audituri în numele lor cu privire la modelele pe care le-au validat pentru utilizare.</w:t>
      </w:r>
    </w:p>
    <w:p w14:paraId="270FF91F" w14:textId="329DA058" w:rsidR="00FB7EA1" w:rsidRPr="00827721" w:rsidRDefault="00FB7EA1" w:rsidP="00334D4C">
      <w:pPr>
        <w:pStyle w:val="Anexapct1"/>
      </w:pPr>
      <w:r w:rsidRPr="00827721">
        <w:t xml:space="preserve">Modelele utilizate trebuie să țină seama de diferitele caracteristici ale solului și climei și de istoricul practicilor de gestionare pentru a simula dinamica în sol a carbonului. </w:t>
      </w:r>
      <w:r w:rsidR="00A569C1" w:rsidRPr="00827721">
        <w:t>Schema voluntară</w:t>
      </w:r>
      <w:r w:rsidRPr="00827721">
        <w:t xml:space="preserve"> este obligat</w:t>
      </w:r>
      <w:r w:rsidR="00164F8D" w:rsidRPr="00827721">
        <w:t>ă</w:t>
      </w:r>
      <w:r w:rsidRPr="00827721">
        <w:t xml:space="preserve"> să elaboreze un raport detaliat care să prezinte metoda de modelare validată și utilizată și ipotezele care stau la baza acesteia. Valorile reale finale aferente care sunt stabilite pe baza rezultatelor măsurătorilor cu privire la sol sunt utilizate pentru a ajusta declarațiile anuale de reduceri de emisii datorate acumulării carbonului în sol prin intermediul unui mai bun management agricol (</w:t>
      </w:r>
      <w:proofErr w:type="spellStart"/>
      <w:r w:rsidRPr="00827721">
        <w:rPr>
          <w:bCs/>
        </w:rPr>
        <w:t>e</w:t>
      </w:r>
      <w:r w:rsidRPr="00827721">
        <w:rPr>
          <w:bCs/>
          <w:vertAlign w:val="subscript"/>
        </w:rPr>
        <w:t>sca</w:t>
      </w:r>
      <w:proofErr w:type="spellEnd"/>
      <w:r w:rsidRPr="00827721">
        <w:t>), efectuate pe baza modelării.</w:t>
      </w:r>
    </w:p>
    <w:p w14:paraId="2AD4E1D2" w14:textId="28027261" w:rsidR="00FB7EA1" w:rsidRPr="00827721" w:rsidRDefault="00FB7EA1" w:rsidP="009F5978">
      <w:pPr>
        <w:pStyle w:val="Anexapct1"/>
      </w:pPr>
      <w:r w:rsidRPr="00827721">
        <w:lastRenderedPageBreak/>
        <w:t>Pentru declararea reducerilor de emisii datorate acumulării carbonului în sol prin intermediul unui mai bun management agricol (</w:t>
      </w:r>
      <w:proofErr w:type="spellStart"/>
      <w:r w:rsidRPr="00827721">
        <w:rPr>
          <w:bCs/>
        </w:rPr>
        <w:t>e</w:t>
      </w:r>
      <w:r w:rsidRPr="00827721">
        <w:rPr>
          <w:bCs/>
          <w:vertAlign w:val="subscript"/>
        </w:rPr>
        <w:t>sca</w:t>
      </w:r>
      <w:proofErr w:type="spellEnd"/>
      <w:r w:rsidRPr="00827721">
        <w:t>), măsurătorile stocurilor de carbon din sol se efectuează de către laboratoare certificate, iar probele se păstrează pentru o perioadă de cel puțin cinci ani în scopul auditării.</w:t>
      </w:r>
    </w:p>
    <w:p w14:paraId="4FBBDEA2" w14:textId="641D1C18" w:rsidR="00FB7EA1" w:rsidRPr="00827721" w:rsidRDefault="00FB7EA1" w:rsidP="009F5978">
      <w:pPr>
        <w:pStyle w:val="Anexapct1"/>
      </w:pPr>
      <w:r w:rsidRPr="00827721">
        <w:t xml:space="preserve">Pentru a lua în considerare reducerile de emisii de GES, </w:t>
      </w:r>
      <w:r w:rsidR="003675FE" w:rsidRPr="00827721">
        <w:t>schemele</w:t>
      </w:r>
      <w:r w:rsidRPr="00827721">
        <w:t xml:space="preserve"> voluntare impun fermierului sau operatorului economic asumarea angajamentului de a aplica în continuare practica de gestionare îmbunătățită pentru o perioadă minimă de zece ani. Acest angajament poate fi sub forma unui angajament pentru o perioadă de cinci ani care poate fi reînnoit.</w:t>
      </w:r>
    </w:p>
    <w:p w14:paraId="69F943E7" w14:textId="78E0AF79" w:rsidR="00FB7EA1" w:rsidRPr="00827721" w:rsidRDefault="00FB7EA1" w:rsidP="009F5978">
      <w:pPr>
        <w:pStyle w:val="Anexapct1"/>
      </w:pPr>
      <w:r w:rsidRPr="00827721">
        <w:t xml:space="preserve">Nerespectarea acestui criteriu va conduce la adăugarea, sub formă de emisii, a tuturor valorilor </w:t>
      </w:r>
      <w:proofErr w:type="spellStart"/>
      <w:r w:rsidRPr="00827721">
        <w:rPr>
          <w:bCs/>
        </w:rPr>
        <w:t>e</w:t>
      </w:r>
      <w:r w:rsidRPr="00827721">
        <w:rPr>
          <w:bCs/>
          <w:vertAlign w:val="subscript"/>
        </w:rPr>
        <w:t>sca</w:t>
      </w:r>
      <w:proofErr w:type="spellEnd"/>
      <w:r w:rsidRPr="00827721">
        <w:t xml:space="preserve"> din anul curent ale fermierului sau ale operatorului economic la totalul emisiilor de GES ale culturii energetice livrate, în locul deducerii acestora ca reduceri de emisii de GES, precum și la interdicția de a include orice valoare </w:t>
      </w:r>
      <w:proofErr w:type="spellStart"/>
      <w:r w:rsidR="00656468" w:rsidRPr="00827721">
        <w:rPr>
          <w:bCs/>
        </w:rPr>
        <w:t>e</w:t>
      </w:r>
      <w:r w:rsidR="00656468" w:rsidRPr="00827721">
        <w:rPr>
          <w:bCs/>
          <w:vertAlign w:val="subscript"/>
        </w:rPr>
        <w:t>sca</w:t>
      </w:r>
      <w:proofErr w:type="spellEnd"/>
      <w:r w:rsidR="00656468" w:rsidRPr="00827721">
        <w:t xml:space="preserve"> </w:t>
      </w:r>
      <w:r w:rsidRPr="00827721">
        <w:t xml:space="preserve">în calculele emisiilor de GES pentru o perioadă de cinci ani, indiferent de sistemul de certificare utilizat. În cazul în care un operator economic a semnat un angajament în numele unui grup de fermieri, iar unul dintre fermieri se retrage anticipat din respectivul grup, sancțiunile menționate anterior se aplică numai fermierului în cauză, nu întregului grup de fermieri în numele cărora operatorul economic a semnat angajamentul respectiv. </w:t>
      </w:r>
      <w:r w:rsidR="00A569C1" w:rsidRPr="00827721">
        <w:t>Schema voluntară</w:t>
      </w:r>
      <w:r w:rsidRPr="00827721">
        <w:t xml:space="preserve"> care a eliberat certificatul este obligat să aplice sancțiunile și să informeze în mod corespunzător toate celelalte </w:t>
      </w:r>
      <w:r w:rsidR="006B423B" w:rsidRPr="00827721">
        <w:t>scheme</w:t>
      </w:r>
      <w:r w:rsidRPr="00827721">
        <w:t xml:space="preserve"> voluntare, precum și să publice aceste informații pe site-ul său web și să le includă în rapoartele anuale de activitate care trebuie transmise </w:t>
      </w:r>
      <w:r w:rsidR="004804B6">
        <w:t>grupului de lucru</w:t>
      </w:r>
      <w:r w:rsidRPr="00827721">
        <w:t>.</w:t>
      </w:r>
    </w:p>
    <w:p w14:paraId="40D1280B" w14:textId="2FA7D9C4" w:rsidR="00FB7EA1" w:rsidRPr="00827721" w:rsidRDefault="001A2C34" w:rsidP="001C05BA">
      <w:pPr>
        <w:pStyle w:val="Anexapct1"/>
      </w:pPr>
      <w:r w:rsidRPr="00827721">
        <w:t>Anterior depunerii declarației, este necesară o perioadă neîntreruptă de minimum trei ani de aplicare a practicii de gestionare îmbunătățite</w:t>
      </w:r>
      <w:r w:rsidR="00552781" w:rsidRPr="00827721">
        <w:t>.</w:t>
      </w:r>
    </w:p>
    <w:p w14:paraId="3CC0B1C7" w14:textId="7686DF75" w:rsidR="00FB7EA1" w:rsidRPr="00827721" w:rsidRDefault="00FB7EA1" w:rsidP="001C05BA">
      <w:pPr>
        <w:pStyle w:val="Anexapct1"/>
      </w:pPr>
      <w:r w:rsidRPr="00827721">
        <w:t>Valoarea totală maximă posibilă a reducerilor de emisii anuale declarate rezultate din acumularea de carbon în sol printr-o gestionare agricolă îmbunătățită (</w:t>
      </w:r>
      <w:proofErr w:type="spellStart"/>
      <w:r w:rsidRPr="00827721">
        <w:rPr>
          <w:bCs/>
        </w:rPr>
        <w:t>e</w:t>
      </w:r>
      <w:r w:rsidRPr="00827721">
        <w:rPr>
          <w:bCs/>
          <w:vertAlign w:val="subscript"/>
        </w:rPr>
        <w:t>sca</w:t>
      </w:r>
      <w:proofErr w:type="spellEnd"/>
      <w:r w:rsidRPr="00827721">
        <w:t>) este plafonată la 45 de grame de echivalent CO</w:t>
      </w:r>
      <w:r w:rsidRPr="007F44AF">
        <w:rPr>
          <w:vertAlign w:val="subscript"/>
        </w:rPr>
        <w:t>2</w:t>
      </w:r>
      <w:r w:rsidRPr="00827721">
        <w:t xml:space="preserve"> per MJ de </w:t>
      </w:r>
      <w:r w:rsidR="008A23DF" w:rsidRPr="00827721">
        <w:t>biocarburant</w:t>
      </w:r>
      <w:r w:rsidRPr="00827721">
        <w:t xml:space="preserve"> sau de </w:t>
      </w:r>
      <w:proofErr w:type="spellStart"/>
      <w:r w:rsidRPr="00827721">
        <w:t>biolichid</w:t>
      </w:r>
      <w:proofErr w:type="spellEnd"/>
      <w:r w:rsidRPr="00827721">
        <w:t xml:space="preserve"> pentru întreaga perioadă de aplicare a practicilor </w:t>
      </w:r>
      <w:proofErr w:type="spellStart"/>
      <w:r w:rsidRPr="00827721">
        <w:rPr>
          <w:bCs/>
        </w:rPr>
        <w:t>e</w:t>
      </w:r>
      <w:r w:rsidRPr="00827721">
        <w:rPr>
          <w:bCs/>
          <w:vertAlign w:val="subscript"/>
        </w:rPr>
        <w:t>sca</w:t>
      </w:r>
      <w:proofErr w:type="spellEnd"/>
      <w:r w:rsidRPr="00827721">
        <w:t xml:space="preserve">, în cazul în care cărbunele din biomasă este utilizat ca ameliorator de sol organic, singur sau în combinație cu alte practici </w:t>
      </w:r>
      <w:proofErr w:type="spellStart"/>
      <w:r w:rsidRPr="00827721">
        <w:rPr>
          <w:bCs/>
        </w:rPr>
        <w:t>e</w:t>
      </w:r>
      <w:r w:rsidRPr="00827721">
        <w:rPr>
          <w:bCs/>
          <w:vertAlign w:val="subscript"/>
        </w:rPr>
        <w:t>sca</w:t>
      </w:r>
      <w:proofErr w:type="spellEnd"/>
      <w:r w:rsidRPr="00827721">
        <w:t xml:space="preserve"> eligibile. În toate celelalte cazuri, plafonul menționat mai sus este de 25 de grame de echivalent CO</w:t>
      </w:r>
      <w:r w:rsidRPr="007F44AF">
        <w:rPr>
          <w:vertAlign w:val="subscript"/>
        </w:rPr>
        <w:t>2</w:t>
      </w:r>
      <w:r w:rsidRPr="00827721">
        <w:t xml:space="preserve"> per MJ de </w:t>
      </w:r>
      <w:r w:rsidR="008A23DF" w:rsidRPr="00827721">
        <w:t>biocarburant</w:t>
      </w:r>
      <w:r w:rsidRPr="00827721">
        <w:t xml:space="preserve"> sau de </w:t>
      </w:r>
      <w:proofErr w:type="spellStart"/>
      <w:r w:rsidRPr="00827721">
        <w:t>biolichid</w:t>
      </w:r>
      <w:proofErr w:type="spellEnd"/>
      <w:r w:rsidRPr="00827721">
        <w:t xml:space="preserve"> pentru întreaga perioadă de aplicare a practicilor </w:t>
      </w:r>
      <w:proofErr w:type="spellStart"/>
      <w:r w:rsidRPr="00827721">
        <w:rPr>
          <w:bCs/>
        </w:rPr>
        <w:t>e</w:t>
      </w:r>
      <w:r w:rsidRPr="00827721">
        <w:rPr>
          <w:bCs/>
          <w:vertAlign w:val="subscript"/>
        </w:rPr>
        <w:t>sca</w:t>
      </w:r>
      <w:proofErr w:type="spellEnd"/>
      <w:r w:rsidRPr="00827721">
        <w:t>.</w:t>
      </w:r>
    </w:p>
    <w:p w14:paraId="52D06D82" w14:textId="2F37729B" w:rsidR="00FB7EA1" w:rsidRPr="00827721" w:rsidRDefault="00FB7EA1" w:rsidP="001C05BA">
      <w:pPr>
        <w:pStyle w:val="Anexapct1"/>
      </w:pPr>
      <w:r w:rsidRPr="00827721">
        <w:t xml:space="preserve">Producătorii primari sau operatorii economici care sunt deja implicați în practici </w:t>
      </w:r>
      <w:proofErr w:type="spellStart"/>
      <w:r w:rsidR="00656468" w:rsidRPr="00827721">
        <w:rPr>
          <w:bCs/>
        </w:rPr>
        <w:t>e</w:t>
      </w:r>
      <w:r w:rsidR="00656468" w:rsidRPr="00827721">
        <w:rPr>
          <w:bCs/>
          <w:vertAlign w:val="subscript"/>
        </w:rPr>
        <w:t>sca</w:t>
      </w:r>
      <w:proofErr w:type="spellEnd"/>
      <w:r w:rsidR="00656468" w:rsidRPr="00827721">
        <w:t xml:space="preserve"> </w:t>
      </w:r>
      <w:r w:rsidRPr="00827721">
        <w:t xml:space="preserve">și care au depus declarații </w:t>
      </w:r>
      <w:proofErr w:type="spellStart"/>
      <w:r w:rsidR="00656468" w:rsidRPr="00827721">
        <w:rPr>
          <w:bCs/>
        </w:rPr>
        <w:t>e</w:t>
      </w:r>
      <w:r w:rsidR="00656468" w:rsidRPr="00827721">
        <w:rPr>
          <w:bCs/>
          <w:vertAlign w:val="subscript"/>
        </w:rPr>
        <w:t>sca</w:t>
      </w:r>
      <w:proofErr w:type="spellEnd"/>
      <w:r w:rsidR="00656468" w:rsidRPr="00827721">
        <w:t xml:space="preserve"> </w:t>
      </w:r>
      <w:r w:rsidRPr="00827721">
        <w:t>corespunzătoare înainte de intrarea în vigoare a prezentului regulament de punere în aplicare pot aplica un plafon de 45 de grame de echivalent CO</w:t>
      </w:r>
      <w:r w:rsidRPr="007F44AF">
        <w:rPr>
          <w:vertAlign w:val="subscript"/>
        </w:rPr>
        <w:t>2</w:t>
      </w:r>
      <w:r w:rsidRPr="00827721">
        <w:t xml:space="preserve"> per MJ de </w:t>
      </w:r>
      <w:r w:rsidR="008A23DF" w:rsidRPr="00827721">
        <w:t>biocarburant</w:t>
      </w:r>
      <w:r w:rsidRPr="00827721">
        <w:t xml:space="preserve"> sau de </w:t>
      </w:r>
      <w:proofErr w:type="spellStart"/>
      <w:r w:rsidRPr="00827721">
        <w:t>biolichid</w:t>
      </w:r>
      <w:proofErr w:type="spellEnd"/>
      <w:r w:rsidRPr="00827721">
        <w:t xml:space="preserve"> pentru o perioadă </w:t>
      </w:r>
      <w:r w:rsidRPr="00827721">
        <w:lastRenderedPageBreak/>
        <w:t>de tranziție până la prima măsurătoare a creșterii stocului de carbon efectuată în cel de-al cincilea an. În acest caz, creșterea măsurată a stocului de carbon în cel de-al cincilea an va deveni un plafon pentru declarațiile anuale care urmează să fie depuse în următoarea perioadă de cinci ani. În cazul în care prima măsurătoare a creșterii stocului de carbon efectuată în cel de-al cincilea an indică o creștere anuală totală mai mare a stocului de carbon în comparație cu declarațiile anuale prezentate, diferența anuală poate fi declarată de producătorii primari sau de operatorii economici în anii următori pentru a compensa creșterile mai scăzute ale stocurilor de carbon. Respectiv, în cazul în care prima măsurătoare a creșterii stocului de carbon în cel de-al cincilea an indică o creștere anuală totală mai mică a stocului de carbon din sol în comparație cu declarațiile anuale prezentate, diferența anuală trebuie dedusă în consecință de către fermieri sau de către operatorii economici din declarațiile lor din următorii cinci ani.</w:t>
      </w:r>
    </w:p>
    <w:p w14:paraId="7BA7928D" w14:textId="228F1B99" w:rsidR="00FB7EA1" w:rsidRPr="00827721" w:rsidRDefault="00FB7EA1" w:rsidP="001C05BA">
      <w:pPr>
        <w:pStyle w:val="Anexapct1"/>
      </w:pPr>
      <w:r w:rsidRPr="00827721">
        <w:t>Dacă aplicarea practicilor eligibile de gestionare agricolă îmbunătățită (</w:t>
      </w:r>
      <w:proofErr w:type="spellStart"/>
      <w:r w:rsidR="001E4FC6" w:rsidRPr="00827721">
        <w:rPr>
          <w:bCs/>
        </w:rPr>
        <w:t>e</w:t>
      </w:r>
      <w:r w:rsidR="001E4FC6" w:rsidRPr="00827721">
        <w:rPr>
          <w:bCs/>
          <w:vertAlign w:val="subscript"/>
        </w:rPr>
        <w:t>sca</w:t>
      </w:r>
      <w:proofErr w:type="spellEnd"/>
      <w:r w:rsidRPr="00827721">
        <w:t xml:space="preserve">) a început în trecut, dar nu a fost prezentată nicio declarație anterioară </w:t>
      </w:r>
      <w:proofErr w:type="spellStart"/>
      <w:r w:rsidR="001E4FC6" w:rsidRPr="00827721">
        <w:rPr>
          <w:bCs/>
        </w:rPr>
        <w:t>e</w:t>
      </w:r>
      <w:r w:rsidR="001E4FC6" w:rsidRPr="00827721">
        <w:rPr>
          <w:bCs/>
          <w:vertAlign w:val="subscript"/>
        </w:rPr>
        <w:t>sca</w:t>
      </w:r>
      <w:proofErr w:type="spellEnd"/>
      <w:r w:rsidRPr="00827721">
        <w:t xml:space="preserve">, pot fi depuse declarații anuale retroactive </w:t>
      </w:r>
      <w:proofErr w:type="spellStart"/>
      <w:r w:rsidR="001E4FC6" w:rsidRPr="00827721">
        <w:rPr>
          <w:bCs/>
        </w:rPr>
        <w:t>e</w:t>
      </w:r>
      <w:r w:rsidR="001E4FC6" w:rsidRPr="00827721">
        <w:rPr>
          <w:bCs/>
          <w:vertAlign w:val="subscript"/>
        </w:rPr>
        <w:t>sca</w:t>
      </w:r>
      <w:proofErr w:type="spellEnd"/>
      <w:r w:rsidRPr="00827721">
        <w:t xml:space="preserve">, însă pentru o perioadă de cel mult trei ani anterioară momentului certificării </w:t>
      </w:r>
      <w:proofErr w:type="spellStart"/>
      <w:r w:rsidR="001E4FC6" w:rsidRPr="00827721">
        <w:rPr>
          <w:bCs/>
        </w:rPr>
        <w:t>e</w:t>
      </w:r>
      <w:r w:rsidR="001E4FC6" w:rsidRPr="00827721">
        <w:rPr>
          <w:bCs/>
          <w:vertAlign w:val="subscript"/>
        </w:rPr>
        <w:t>sca</w:t>
      </w:r>
      <w:proofErr w:type="spellEnd"/>
      <w:r w:rsidRPr="00827721">
        <w:t>. Operatorul economic este obligat să furnizeze dovezi corespunzătoare cu privire la începerea aplicării practicilor agricole îmbunătățite. În acest caz, estimarea CS</w:t>
      </w:r>
      <w:r w:rsidRPr="00827721">
        <w:rPr>
          <w:vertAlign w:val="subscript"/>
        </w:rPr>
        <w:t>R</w:t>
      </w:r>
      <w:r w:rsidRPr="00827721">
        <w:t xml:space="preserve"> valorii se baz</w:t>
      </w:r>
      <w:r w:rsidR="009B3146" w:rsidRPr="00827721">
        <w:t>e</w:t>
      </w:r>
      <w:r w:rsidRPr="00827721">
        <w:t>a</w:t>
      </w:r>
      <w:r w:rsidR="009B3146" w:rsidRPr="00827721">
        <w:t>ză</w:t>
      </w:r>
      <w:r w:rsidRPr="00827721">
        <w:t xml:space="preserve"> pe o măsurătoare comparativă pe un teren învecinat sau pe un alt teren cu condiții climatice și pedologice similare, precum și cu un istoric similar al activităților de gestionare a terenului. Dacă nu există date disponibile pentru terenul respectiv, </w:t>
      </w:r>
      <w:r w:rsidR="001E4FC6" w:rsidRPr="00827721">
        <w:t>CS</w:t>
      </w:r>
      <w:r w:rsidR="001E4FC6" w:rsidRPr="00827721">
        <w:rPr>
          <w:vertAlign w:val="subscript"/>
        </w:rPr>
        <w:t>R</w:t>
      </w:r>
      <w:r w:rsidR="001E4FC6" w:rsidRPr="00827721">
        <w:t xml:space="preserve"> </w:t>
      </w:r>
      <w:r w:rsidRPr="00827721">
        <w:t>valoarea estimată se baz</w:t>
      </w:r>
      <w:r w:rsidR="00CF2C65" w:rsidRPr="00827721">
        <w:t>e</w:t>
      </w:r>
      <w:r w:rsidRPr="00827721">
        <w:t>a</w:t>
      </w:r>
      <w:r w:rsidR="00CF2C65" w:rsidRPr="00827721">
        <w:t>ză</w:t>
      </w:r>
      <w:r w:rsidRPr="00827721">
        <w:t xml:space="preserve"> pe modelare. În acest caz, se efectuează imediat o primă măsurătoare, în momentul semnării angajamentului. Următoarea măsurătoare a creșterii stocului de carbon </w:t>
      </w:r>
      <w:r w:rsidR="0051283C" w:rsidRPr="00827721">
        <w:t>se</w:t>
      </w:r>
      <w:r w:rsidRPr="00827721">
        <w:t xml:space="preserve"> efectu</w:t>
      </w:r>
      <w:r w:rsidR="0051283C" w:rsidRPr="00827721">
        <w:t>e</w:t>
      </w:r>
      <w:r w:rsidRPr="00827721">
        <w:t>a</w:t>
      </w:r>
      <w:r w:rsidR="0051283C" w:rsidRPr="00827721">
        <w:t>z</w:t>
      </w:r>
      <w:r w:rsidRPr="00827721">
        <w:t>ă după cinci ani.</w:t>
      </w:r>
    </w:p>
    <w:p w14:paraId="1B346340" w14:textId="66AE2820" w:rsidR="007E208C" w:rsidRPr="00827721" w:rsidRDefault="00FB7EA1" w:rsidP="001C05BA">
      <w:pPr>
        <w:pStyle w:val="Anexapct1"/>
      </w:pPr>
      <w:r w:rsidRPr="00827721">
        <w:t>Se ia în considerare creșterea emisiilor rezultate din utilizarea la scară mai mare de îngrășăminte sau ierbicide ca urmare a aplicării unor practici agricole îmbunătățite. În acest scop, se furnizează dovezi corespunzătoare privind cantitățile anterioare de îngrășăminte sau erbicide utilizate, calculate ca medie pentru cei trei ani anteriori aplicării noilor practici agricole. Poate fi luată în considerare în calcule contribuția culturilor de fixare a azotului utilizate pentru a reduce necesitatea de îngrășăminte suplimentare.</w:t>
      </w:r>
    </w:p>
    <w:p w14:paraId="0DD31686" w14:textId="77777777" w:rsidR="00C070F9" w:rsidRPr="00827721" w:rsidRDefault="00C070F9" w:rsidP="001C05BA">
      <w:pPr>
        <w:pStyle w:val="Anexapct1"/>
        <w:rPr>
          <w:lang w:val="pt-BR"/>
        </w:rPr>
      </w:pPr>
      <w:r w:rsidRPr="00827721">
        <w:rPr>
          <w:lang w:val="pt-BR"/>
        </w:rPr>
        <w:t>În ceea ce privește prelevarea de probe, se aplică următoarele norme:</w:t>
      </w:r>
    </w:p>
    <w:p w14:paraId="4C3AE20D" w14:textId="77777777" w:rsidR="00C070F9" w:rsidRPr="00827721" w:rsidRDefault="00C070F9" w:rsidP="00BB0568">
      <w:pPr>
        <w:pStyle w:val="Anexapct11"/>
        <w:rPr>
          <w:lang w:val="pt-BR"/>
        </w:rPr>
      </w:pPr>
      <w:r w:rsidRPr="00827721">
        <w:rPr>
          <w:lang w:val="pt-BR"/>
        </w:rPr>
        <w:t>Metoda prelevării reprezentative:</w:t>
      </w:r>
    </w:p>
    <w:p w14:paraId="3CE6E8F7" w14:textId="77777777" w:rsidR="00C070F9" w:rsidRPr="00827721" w:rsidRDefault="00C070F9" w:rsidP="00BB0568">
      <w:pPr>
        <w:pStyle w:val="Anexapct111"/>
        <w:rPr>
          <w:lang w:val="pt-BR"/>
        </w:rPr>
      </w:pPr>
      <w:r w:rsidRPr="00827721">
        <w:rPr>
          <w:lang w:val="pt-BR"/>
        </w:rPr>
        <w:t>prelevarea se efectuează pentru fiecare parcelă sau teren;</w:t>
      </w:r>
    </w:p>
    <w:p w14:paraId="30F516FE" w14:textId="77777777" w:rsidR="00C070F9" w:rsidRPr="00827721" w:rsidRDefault="00C070F9" w:rsidP="00BB0568">
      <w:pPr>
        <w:pStyle w:val="Anexapct111"/>
        <w:rPr>
          <w:lang w:val="pt-BR"/>
        </w:rPr>
      </w:pPr>
      <w:r w:rsidRPr="00827721">
        <w:rPr>
          <w:lang w:val="pt-BR"/>
        </w:rPr>
        <w:lastRenderedPageBreak/>
        <w:t>se prelevează cel puțin o probă de 15 subprobe bine distribuite la fiecare 5 hectare sau pentru fiecare teren, reținându-se suprafața cea mai mică dintre acestea (ținând seama de eterogenitatea conținutului de carbon al parcelei);</w:t>
      </w:r>
    </w:p>
    <w:p w14:paraId="698FE739" w14:textId="66EBEB59" w:rsidR="00C070F9" w:rsidRPr="00827721" w:rsidRDefault="00C070F9" w:rsidP="00BB0568">
      <w:pPr>
        <w:pStyle w:val="Anexapct111"/>
        <w:rPr>
          <w:lang w:val="pt-BR"/>
        </w:rPr>
      </w:pPr>
      <w:r w:rsidRPr="00827721">
        <w:rPr>
          <w:lang w:val="pt-BR"/>
        </w:rPr>
        <w:t xml:space="preserve">terenurile mai mici care prezintă aceleași condiții climatice, același tip de sol, aceeași practică agricolă de referință și aceeași practică </w:t>
      </w:r>
      <w:proofErr w:type="spellStart"/>
      <w:r w:rsidR="00942DF1" w:rsidRPr="00827721">
        <w:rPr>
          <w:bCs/>
        </w:rPr>
        <w:t>e</w:t>
      </w:r>
      <w:r w:rsidR="00942DF1" w:rsidRPr="00827721">
        <w:rPr>
          <w:bCs/>
          <w:vertAlign w:val="subscript"/>
        </w:rPr>
        <w:t>sca</w:t>
      </w:r>
      <w:proofErr w:type="spellEnd"/>
      <w:r w:rsidR="00942DF1" w:rsidRPr="00827721">
        <w:rPr>
          <w:lang w:val="pt-BR"/>
        </w:rPr>
        <w:t xml:space="preserve"> </w:t>
      </w:r>
      <w:r w:rsidRPr="00827721">
        <w:rPr>
          <w:lang w:val="pt-BR"/>
        </w:rPr>
        <w:t>pot fi grupate;</w:t>
      </w:r>
    </w:p>
    <w:p w14:paraId="08BD80EF" w14:textId="77777777" w:rsidR="00C070F9" w:rsidRPr="00827721" w:rsidRDefault="00C070F9" w:rsidP="00BB0568">
      <w:pPr>
        <w:pStyle w:val="Anexapct111"/>
        <w:rPr>
          <w:lang w:val="it-IT"/>
        </w:rPr>
      </w:pPr>
      <w:r w:rsidRPr="00827721">
        <w:rPr>
          <w:lang w:val="it-IT"/>
        </w:rPr>
        <w:t>prelevarea de probe se efectuează fie primăvara, înainte de cultivarea și fertilizarea solului, fie toamna, la cel puțin două luni după recoltare;</w:t>
      </w:r>
    </w:p>
    <w:p w14:paraId="2694B6BF" w14:textId="77777777" w:rsidR="00C070F9" w:rsidRPr="00445A3B" w:rsidRDefault="00C070F9" w:rsidP="00BB0568">
      <w:pPr>
        <w:pStyle w:val="Anexapct111"/>
        <w:rPr>
          <w:lang w:val="pt-BR"/>
        </w:rPr>
      </w:pPr>
      <w:r w:rsidRPr="00445A3B">
        <w:rPr>
          <w:lang w:val="pt-BR"/>
        </w:rPr>
        <w:t>se efectuează măsurători directe ale variațiilor stocului de carbon din sol pentru primii 30 cm de sol;</w:t>
      </w:r>
    </w:p>
    <w:p w14:paraId="6E510729" w14:textId="77777777" w:rsidR="00C070F9" w:rsidRPr="00445A3B" w:rsidRDefault="00C070F9" w:rsidP="00BB0568">
      <w:pPr>
        <w:pStyle w:val="Anexapct111"/>
        <w:rPr>
          <w:lang w:val="pt-BR"/>
        </w:rPr>
      </w:pPr>
      <w:r w:rsidRPr="00445A3B">
        <w:rPr>
          <w:lang w:val="pt-BR"/>
        </w:rPr>
        <w:t>punctele prelevării inițiale pentru măsurarea nivelului de referință al stocurilor de carbon din sol se utilizează în condiții de teren identice (în special umiditatea solului);</w:t>
      </w:r>
    </w:p>
    <w:p w14:paraId="1902F224" w14:textId="77777777" w:rsidR="00C070F9" w:rsidRPr="00827721" w:rsidRDefault="00C070F9" w:rsidP="00BB0568">
      <w:pPr>
        <w:pStyle w:val="Anexapct111"/>
        <w:rPr>
          <w:lang w:val="it-IT"/>
        </w:rPr>
      </w:pPr>
      <w:r w:rsidRPr="00827721">
        <w:rPr>
          <w:lang w:val="it-IT"/>
        </w:rPr>
        <w:t>protocolul de prelevare a probelor trebuie să fie bine documentat.</w:t>
      </w:r>
    </w:p>
    <w:p w14:paraId="38F6EEBD" w14:textId="77777777" w:rsidR="00C070F9" w:rsidRPr="00827721" w:rsidRDefault="00C070F9" w:rsidP="00BB0568">
      <w:pPr>
        <w:pStyle w:val="Anexapct11"/>
        <w:rPr>
          <w:lang w:val="fr-FR"/>
        </w:rPr>
      </w:pPr>
      <w:proofErr w:type="spellStart"/>
      <w:r w:rsidRPr="00827721">
        <w:rPr>
          <w:lang w:val="fr-FR"/>
        </w:rPr>
        <w:t>Măsurarea</w:t>
      </w:r>
      <w:proofErr w:type="spellEnd"/>
      <w:r w:rsidRPr="00827721">
        <w:rPr>
          <w:lang w:val="fr-FR"/>
        </w:rPr>
        <w:t xml:space="preserve"> </w:t>
      </w:r>
      <w:proofErr w:type="spellStart"/>
      <w:r w:rsidRPr="00827721">
        <w:rPr>
          <w:lang w:val="fr-FR"/>
        </w:rPr>
        <w:t>conținutului</w:t>
      </w:r>
      <w:proofErr w:type="spellEnd"/>
      <w:r w:rsidRPr="00827721">
        <w:rPr>
          <w:lang w:val="fr-FR"/>
        </w:rPr>
        <w:t xml:space="preserve"> de </w:t>
      </w:r>
      <w:proofErr w:type="spellStart"/>
      <w:r w:rsidRPr="00827721">
        <w:rPr>
          <w:lang w:val="fr-FR"/>
        </w:rPr>
        <w:t>carbon</w:t>
      </w:r>
      <w:proofErr w:type="spellEnd"/>
      <w:r w:rsidRPr="00827721">
        <w:rPr>
          <w:lang w:val="fr-FR"/>
        </w:rPr>
        <w:t xml:space="preserve"> </w:t>
      </w:r>
      <w:proofErr w:type="spellStart"/>
      <w:r w:rsidRPr="00827721">
        <w:rPr>
          <w:lang w:val="fr-FR"/>
        </w:rPr>
        <w:t>din</w:t>
      </w:r>
      <w:proofErr w:type="spellEnd"/>
      <w:r w:rsidRPr="00827721">
        <w:rPr>
          <w:lang w:val="fr-FR"/>
        </w:rPr>
        <w:t xml:space="preserve"> </w:t>
      </w:r>
      <w:proofErr w:type="gramStart"/>
      <w:r w:rsidRPr="00827721">
        <w:rPr>
          <w:lang w:val="fr-FR"/>
        </w:rPr>
        <w:t>sol:</w:t>
      </w:r>
      <w:proofErr w:type="gramEnd"/>
    </w:p>
    <w:p w14:paraId="38CDC79F" w14:textId="77777777" w:rsidR="00C070F9" w:rsidRPr="00827721" w:rsidRDefault="00C070F9" w:rsidP="00BB0568">
      <w:pPr>
        <w:pStyle w:val="Anexapct111"/>
        <w:rPr>
          <w:lang w:val="pt-BR"/>
        </w:rPr>
      </w:pPr>
      <w:r w:rsidRPr="00827721">
        <w:rPr>
          <w:lang w:val="pt-BR"/>
        </w:rPr>
        <w:t>probele de sol sunt uscate, cernute și, dacă este necesar, măcinate;</w:t>
      </w:r>
    </w:p>
    <w:p w14:paraId="3C47D4C4" w14:textId="77777777" w:rsidR="00C070F9" w:rsidRPr="00827721" w:rsidRDefault="00C070F9" w:rsidP="00BB0568">
      <w:pPr>
        <w:pStyle w:val="Anexapct111"/>
        <w:rPr>
          <w:lang w:val="pt-BR"/>
        </w:rPr>
      </w:pPr>
      <w:r w:rsidRPr="00827721">
        <w:rPr>
          <w:lang w:val="pt-BR"/>
        </w:rPr>
        <w:t>în cazul în care se utilizează metoda arderii, carbonul anorganic este exclus.</w:t>
      </w:r>
    </w:p>
    <w:p w14:paraId="1773A6CF" w14:textId="77777777" w:rsidR="00C070F9" w:rsidRPr="00827721" w:rsidRDefault="00C070F9" w:rsidP="00BB0568">
      <w:pPr>
        <w:pStyle w:val="Anexapct11"/>
        <w:rPr>
          <w:lang w:val="it-IT"/>
        </w:rPr>
      </w:pPr>
      <w:r w:rsidRPr="00827721">
        <w:rPr>
          <w:lang w:val="it-IT"/>
        </w:rPr>
        <w:t>Determinarea densității substanței uscate în vrac:</w:t>
      </w:r>
    </w:p>
    <w:p w14:paraId="377D9BB1" w14:textId="77777777" w:rsidR="00C070F9" w:rsidRPr="00827721" w:rsidRDefault="00C070F9" w:rsidP="00BB0568">
      <w:pPr>
        <w:pStyle w:val="Anexapct111"/>
        <w:rPr>
          <w:lang w:val="it-IT"/>
        </w:rPr>
      </w:pPr>
      <w:r w:rsidRPr="00827721">
        <w:rPr>
          <w:lang w:val="it-IT"/>
        </w:rPr>
        <w:t>se iau în considerare variațiile în timp ale densității în vrac;</w:t>
      </w:r>
    </w:p>
    <w:p w14:paraId="7EAAC3FB" w14:textId="67227DD8" w:rsidR="00C070F9" w:rsidRPr="00827721" w:rsidRDefault="00C070F9" w:rsidP="00BB0568">
      <w:pPr>
        <w:pStyle w:val="Anexapct111"/>
        <w:rPr>
          <w:lang w:val="it-IT"/>
        </w:rPr>
      </w:pPr>
      <w:r w:rsidRPr="00827721">
        <w:rPr>
          <w:lang w:val="it-IT"/>
        </w:rPr>
        <w:t>densitatea în vrac trebui</w:t>
      </w:r>
      <w:r w:rsidR="003D01C1" w:rsidRPr="00827721">
        <w:rPr>
          <w:lang w:val="it-IT"/>
        </w:rPr>
        <w:t>e</w:t>
      </w:r>
      <w:r w:rsidRPr="00827721">
        <w:rPr>
          <w:lang w:val="it-IT"/>
        </w:rPr>
        <w:t xml:space="preserve"> măsurată prin metoda lovirii, adică prin lovirea mecanică a unui cilindru introdus în sol, reducându-se astfel în mod semnificativ orice eroare asociată cu măsurarea densității în vrac;</w:t>
      </w:r>
    </w:p>
    <w:p w14:paraId="6A91AEA6" w14:textId="77777777" w:rsidR="00C070F9" w:rsidRPr="00827721" w:rsidRDefault="00C070F9" w:rsidP="00BB0568">
      <w:pPr>
        <w:pStyle w:val="Anexapct111"/>
        <w:rPr>
          <w:lang w:val="it-IT"/>
        </w:rPr>
      </w:pPr>
      <w:r w:rsidRPr="00827721">
        <w:rPr>
          <w:lang w:val="it-IT"/>
        </w:rPr>
        <w:t>în cazul în care metoda lovirii nu este posibilă, în special în cazul solurilor nisipoase, se utilizează o metodă fiabilă;</w:t>
      </w:r>
    </w:p>
    <w:p w14:paraId="77FE1D47" w14:textId="77777777" w:rsidR="00C070F9" w:rsidRPr="00827721" w:rsidRDefault="00C070F9" w:rsidP="00BB0568">
      <w:pPr>
        <w:pStyle w:val="Anexapct111"/>
        <w:rPr>
          <w:lang w:val="pt-BR"/>
        </w:rPr>
      </w:pPr>
      <w:r w:rsidRPr="00827721">
        <w:rPr>
          <w:lang w:val="pt-BR"/>
        </w:rPr>
        <w:t>probele trebuie uscate în cuptor înainte de cântărire.</w:t>
      </w:r>
    </w:p>
    <w:p w14:paraId="588DDEB6" w14:textId="5EB8B05D" w:rsidR="00C070F9" w:rsidRPr="00445A3B" w:rsidRDefault="00C070F9" w:rsidP="00460338">
      <w:pPr>
        <w:numPr>
          <w:ilvl w:val="0"/>
          <w:numId w:val="26"/>
        </w:numPr>
        <w:rPr>
          <w:lang w:val="it-IT"/>
        </w:rPr>
      </w:pPr>
      <w:r w:rsidRPr="00827721">
        <w:t>Aplicarea</w:t>
      </w:r>
      <w:r w:rsidRPr="00827721">
        <w:rPr>
          <w:lang w:val="pt-BR"/>
        </w:rPr>
        <w:t xml:space="preserve"> metodologiei de mai sus cu privire la valorile </w:t>
      </w:r>
      <w:proofErr w:type="spellStart"/>
      <w:r w:rsidR="00942DF1" w:rsidRPr="00827721">
        <w:t>e</w:t>
      </w:r>
      <w:r w:rsidR="00942DF1" w:rsidRPr="00827721">
        <w:rPr>
          <w:vertAlign w:val="subscript"/>
        </w:rPr>
        <w:t>sca</w:t>
      </w:r>
      <w:proofErr w:type="spellEnd"/>
      <w:r w:rsidR="00942DF1" w:rsidRPr="00827721">
        <w:rPr>
          <w:lang w:val="pt-BR"/>
        </w:rPr>
        <w:t xml:space="preserve"> </w:t>
      </w:r>
      <w:r w:rsidRPr="00827721">
        <w:rPr>
          <w:lang w:val="pt-BR"/>
        </w:rPr>
        <w:t xml:space="preserve">și calcularea valorilor reale ale emisiilor de GES sunt verificate în mod corespunzător de către organismele de certificare și documentate în rapoartele de audit. </w:t>
      </w:r>
      <w:r w:rsidR="003675FE" w:rsidRPr="00445A3B">
        <w:rPr>
          <w:lang w:val="it-IT"/>
        </w:rPr>
        <w:t>Schemele</w:t>
      </w:r>
      <w:r w:rsidRPr="00445A3B">
        <w:rPr>
          <w:lang w:val="it-IT"/>
        </w:rPr>
        <w:t xml:space="preserve"> voluntare sunt obligate să emită orientări detaliate cu privire la aplicarea acestei metodologii, inclusiv cu privire la modelele lor de sol validate, pentru operatorii economici și organismele de certificare, precum și să îi sprijine pe auditorii lor în ceea ce privește sarcinile de verificare. </w:t>
      </w:r>
      <w:r w:rsidR="003675FE" w:rsidRPr="00445A3B">
        <w:rPr>
          <w:lang w:val="it-IT"/>
        </w:rPr>
        <w:t>Schemele</w:t>
      </w:r>
      <w:r w:rsidRPr="00445A3B">
        <w:rPr>
          <w:lang w:val="it-IT"/>
        </w:rPr>
        <w:t xml:space="preserve"> voluntare includ în rapoartele lor anuale de activitate care trebuie prezentate </w:t>
      </w:r>
      <w:r w:rsidR="004804B6" w:rsidRPr="00445A3B">
        <w:rPr>
          <w:lang w:val="it-IT"/>
        </w:rPr>
        <w:t>grupului de lucru</w:t>
      </w:r>
      <w:r w:rsidR="006D243A" w:rsidRPr="00445A3B">
        <w:rPr>
          <w:lang w:val="it-IT"/>
        </w:rPr>
        <w:t xml:space="preserve"> </w:t>
      </w:r>
      <w:r w:rsidRPr="00445A3B">
        <w:rPr>
          <w:lang w:val="it-IT"/>
        </w:rPr>
        <w:t xml:space="preserve">informații statistice detaliate și </w:t>
      </w:r>
      <w:r w:rsidR="006E6477" w:rsidRPr="00445A3B">
        <w:rPr>
          <w:lang w:val="it-IT"/>
        </w:rPr>
        <w:t>opinie</w:t>
      </w:r>
      <w:r w:rsidRPr="00445A3B">
        <w:rPr>
          <w:lang w:val="it-IT"/>
        </w:rPr>
        <w:t xml:space="preserve"> cu privire la punerea în aplicare a metodologiei </w:t>
      </w:r>
      <w:proofErr w:type="spellStart"/>
      <w:r w:rsidR="00942DF1" w:rsidRPr="00827721">
        <w:t>e</w:t>
      </w:r>
      <w:r w:rsidR="00942DF1" w:rsidRPr="00827721">
        <w:rPr>
          <w:vertAlign w:val="subscript"/>
        </w:rPr>
        <w:t>sca</w:t>
      </w:r>
      <w:proofErr w:type="spellEnd"/>
      <w:r w:rsidRPr="00445A3B">
        <w:rPr>
          <w:lang w:val="it-IT"/>
        </w:rPr>
        <w:t>.</w:t>
      </w:r>
    </w:p>
    <w:p w14:paraId="55A5C834" w14:textId="6E52BFEA" w:rsidR="00C070F9" w:rsidRPr="00445A3B" w:rsidRDefault="00464B0B" w:rsidP="00460338">
      <w:pPr>
        <w:numPr>
          <w:ilvl w:val="0"/>
          <w:numId w:val="26"/>
        </w:numPr>
        <w:rPr>
          <w:lang w:val="it-IT"/>
        </w:rPr>
      </w:pPr>
      <w:r w:rsidRPr="00445A3B">
        <w:rPr>
          <w:lang w:val="it-IT"/>
        </w:rPr>
        <w:lastRenderedPageBreak/>
        <w:t>Grupul de lucru</w:t>
      </w:r>
      <w:r w:rsidR="0092064D" w:rsidRPr="00445A3B">
        <w:rPr>
          <w:lang w:val="it-IT"/>
        </w:rPr>
        <w:t xml:space="preserve"> </w:t>
      </w:r>
      <w:r w:rsidR="00C070F9" w:rsidRPr="00827721">
        <w:t>monitorizează</w:t>
      </w:r>
      <w:r w:rsidR="00C070F9" w:rsidRPr="00445A3B">
        <w:rPr>
          <w:lang w:val="it-IT"/>
        </w:rPr>
        <w:t xml:space="preserve"> în mod corespunzător punerea în aplicare a metodologiei </w:t>
      </w:r>
      <w:proofErr w:type="spellStart"/>
      <w:r w:rsidR="00942DF1" w:rsidRPr="00827721">
        <w:t>e</w:t>
      </w:r>
      <w:r w:rsidR="00942DF1" w:rsidRPr="00827721">
        <w:rPr>
          <w:vertAlign w:val="subscript"/>
        </w:rPr>
        <w:t>sca</w:t>
      </w:r>
      <w:proofErr w:type="spellEnd"/>
      <w:r w:rsidR="00942DF1" w:rsidRPr="00445A3B">
        <w:rPr>
          <w:lang w:val="it-IT"/>
        </w:rPr>
        <w:t xml:space="preserve"> </w:t>
      </w:r>
      <w:r w:rsidR="00C070F9" w:rsidRPr="00445A3B">
        <w:rPr>
          <w:lang w:val="it-IT"/>
        </w:rPr>
        <w:t xml:space="preserve">ca parte a monitorizării activităților </w:t>
      </w:r>
      <w:r w:rsidR="003675FE" w:rsidRPr="00445A3B">
        <w:rPr>
          <w:lang w:val="it-IT"/>
        </w:rPr>
        <w:t>schemelor</w:t>
      </w:r>
      <w:r w:rsidR="00C070F9" w:rsidRPr="00445A3B">
        <w:rPr>
          <w:lang w:val="it-IT"/>
        </w:rPr>
        <w:t xml:space="preserve"> voluntare, care acoperă, </w:t>
      </w:r>
      <w:r w:rsidR="007E01E3" w:rsidRPr="00445A3B">
        <w:rPr>
          <w:lang w:val="it-IT"/>
        </w:rPr>
        <w:t>în special</w:t>
      </w:r>
      <w:r w:rsidR="00C070F9" w:rsidRPr="00445A3B">
        <w:rPr>
          <w:lang w:val="it-IT"/>
        </w:rPr>
        <w:t>:</w:t>
      </w:r>
    </w:p>
    <w:p w14:paraId="3749BBCA" w14:textId="598CAD96" w:rsidR="00C070F9" w:rsidRPr="00827721" w:rsidRDefault="00C070F9" w:rsidP="003B5DE6">
      <w:pPr>
        <w:pStyle w:val="Anexapct11"/>
        <w:rPr>
          <w:lang w:val="pt-BR"/>
        </w:rPr>
      </w:pPr>
      <w:r w:rsidRPr="00827721">
        <w:rPr>
          <w:lang w:val="pt-BR"/>
        </w:rPr>
        <w:t>punerea în aplicare a proiectelor, care permit</w:t>
      </w:r>
      <w:r w:rsidR="009E34BE" w:rsidRPr="00827721">
        <w:rPr>
          <w:lang w:val="pt-BR"/>
        </w:rPr>
        <w:t xml:space="preserve">e </w:t>
      </w:r>
      <w:r w:rsidRPr="00827721">
        <w:rPr>
          <w:lang w:val="pt-BR"/>
        </w:rPr>
        <w:t>evaluarea raportului dintre rezultatele modelării și măsurătorile de pe teren;</w:t>
      </w:r>
    </w:p>
    <w:p w14:paraId="0262E972" w14:textId="77777777" w:rsidR="00C070F9" w:rsidRPr="00827721" w:rsidRDefault="00C070F9" w:rsidP="003B5DE6">
      <w:pPr>
        <w:pStyle w:val="Anexapct11"/>
        <w:rPr>
          <w:lang w:val="pt-BR"/>
        </w:rPr>
      </w:pPr>
      <w:r w:rsidRPr="00827721">
        <w:rPr>
          <w:lang w:val="pt-BR"/>
        </w:rPr>
        <w:t>compararea declarațiilor și a rezultatelor cu estimările privind saturația în carbon organic a solului pentru a stabili criterii și recomandări și, eventual, cerințe pentru menținerea pe termen lung a unui anumit echilibru pentru a garanta obținerea de rezultate pe termen lung;</w:t>
      </w:r>
    </w:p>
    <w:p w14:paraId="62544310" w14:textId="77777777" w:rsidR="00C070F9" w:rsidRPr="00827721" w:rsidRDefault="00C070F9" w:rsidP="003B5DE6">
      <w:pPr>
        <w:pStyle w:val="Anexapct11"/>
        <w:rPr>
          <w:lang w:val="pt-BR"/>
        </w:rPr>
      </w:pPr>
      <w:r w:rsidRPr="00827721">
        <w:rPr>
          <w:lang w:val="pt-BR"/>
        </w:rPr>
        <w:t>formularea de recomandări și de cerințe pentru selectarea și calibrarea adecvată de modele, precum și a unor indicatori fiabili pentru modelarea rezultatelor.</w:t>
      </w:r>
    </w:p>
    <w:p w14:paraId="188195D4" w14:textId="32BFEC93" w:rsidR="009E21FE" w:rsidRPr="00827721" w:rsidRDefault="00323F3D" w:rsidP="00460338">
      <w:pPr>
        <w:numPr>
          <w:ilvl w:val="0"/>
          <w:numId w:val="26"/>
        </w:numPr>
        <w:rPr>
          <w:lang w:val="pt-BR"/>
        </w:rPr>
      </w:pPr>
      <w:r>
        <w:rPr>
          <w:lang w:val="pt-BR"/>
        </w:rPr>
        <w:t>Grupul de lucru</w:t>
      </w:r>
      <w:r w:rsidR="003018DA" w:rsidRPr="00827721">
        <w:rPr>
          <w:lang w:val="pt-BR"/>
        </w:rPr>
        <w:t xml:space="preserve"> </w:t>
      </w:r>
      <w:r w:rsidR="00C070F9" w:rsidRPr="00827721">
        <w:rPr>
          <w:lang w:val="pt-BR"/>
        </w:rPr>
        <w:t xml:space="preserve">poate revizui abordarea metodologică descrisă în prezenta anexă, precum și plafoanele aplicate declarațiilor anuale privind acumularea stocurilor de carbon, pe baza rezultatelor acestei monitorizări sau cu scopul </w:t>
      </w:r>
      <w:r w:rsidR="00810DDE" w:rsidRPr="00827721">
        <w:rPr>
          <w:lang w:val="pt-BR"/>
        </w:rPr>
        <w:t>alinierii acestora</w:t>
      </w:r>
      <w:r w:rsidR="00C070F9" w:rsidRPr="00827721">
        <w:rPr>
          <w:lang w:val="pt-BR"/>
        </w:rPr>
        <w:t xml:space="preserve"> în viitor la evoluția cunoștințelor sau la noua legislație în acest domeniu.</w:t>
      </w:r>
    </w:p>
    <w:p w14:paraId="0EFBB566" w14:textId="77777777" w:rsidR="009E21FE" w:rsidRPr="00827721" w:rsidRDefault="009E21FE">
      <w:pPr>
        <w:rPr>
          <w:bCs/>
          <w:lang w:val="pt-BR"/>
        </w:rPr>
      </w:pPr>
      <w:r w:rsidRPr="00827721">
        <w:rPr>
          <w:lang w:val="pt-BR"/>
        </w:rPr>
        <w:br w:type="page"/>
      </w:r>
    </w:p>
    <w:p w14:paraId="306CB02F" w14:textId="1B4F223E" w:rsidR="009E21FE" w:rsidRPr="00827721" w:rsidRDefault="009E21FE" w:rsidP="009E21FE">
      <w:pPr>
        <w:jc w:val="right"/>
      </w:pPr>
      <w:r w:rsidRPr="00827721">
        <w:lastRenderedPageBreak/>
        <w:t>Anexa nr. 6</w:t>
      </w:r>
    </w:p>
    <w:p w14:paraId="790A19F3" w14:textId="6385C96B" w:rsidR="00391D4A" w:rsidRPr="00827721" w:rsidRDefault="00391D4A"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54AFB6A4" w14:textId="58112455" w:rsidR="009E21FE" w:rsidRPr="00827721" w:rsidRDefault="009E21FE" w:rsidP="00391D4A">
      <w:pPr>
        <w:pStyle w:val="Capitol"/>
      </w:pPr>
      <w:r w:rsidRPr="00827721">
        <w:t>Liste neexhaustive de exemple ale unor practici esențiale de gestionare și monitorizare pentru promovarea și monitorizarea sechestrării carbonului în sol și a calității solului</w:t>
      </w:r>
    </w:p>
    <w:p w14:paraId="1C62A255" w14:textId="77777777" w:rsidR="009E21FE" w:rsidRPr="00827721" w:rsidRDefault="009E21FE" w:rsidP="00391D4A">
      <w:pPr>
        <w:pStyle w:val="Sectiune"/>
      </w:pPr>
      <w:r w:rsidRPr="00827721">
        <w:t>Tabelul 1</w:t>
      </w:r>
    </w:p>
    <w:p w14:paraId="0EFA4689" w14:textId="77777777" w:rsidR="009E21FE" w:rsidRPr="00827721" w:rsidRDefault="009E21FE" w:rsidP="00391D4A">
      <w:pPr>
        <w:pStyle w:val="Sectiune"/>
      </w:pPr>
      <w:r w:rsidRPr="00827721">
        <w:t>Exemple de practici esențiale de gestionare a solurilor pentru promovarea sechestrării carbonului în sol (având în vedere absența reziduurilor) și pentru promovarea calității solului</w:t>
      </w:r>
    </w:p>
    <w:tbl>
      <w:tblPr>
        <w:tblW w:w="9600"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165"/>
        <w:gridCol w:w="3435"/>
      </w:tblGrid>
      <w:tr w:rsidR="009E21FE" w:rsidRPr="00827721" w14:paraId="0FF4CD0A"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270BD54" w14:textId="77777777" w:rsidR="009E21FE" w:rsidRPr="00827721" w:rsidRDefault="009E21FE" w:rsidP="00710F97">
            <w:pPr>
              <w:spacing w:before="60" w:after="60" w:line="240" w:lineRule="auto"/>
              <w:ind w:left="57" w:right="57" w:firstLine="0"/>
              <w:rPr>
                <w:rFonts w:eastAsia="Times New Roman"/>
                <w:b/>
                <w:bCs/>
                <w:sz w:val="24"/>
                <w:lang w:eastAsia="ro-RO"/>
              </w:rPr>
            </w:pPr>
            <w:r w:rsidRPr="00827721">
              <w:rPr>
                <w:rFonts w:eastAsia="Times New Roman"/>
                <w:b/>
                <w:bCs/>
                <w:sz w:val="24"/>
                <w:lang w:eastAsia="ro-RO"/>
              </w:rPr>
              <w:t>Cerință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1C04E7" w14:textId="77777777" w:rsidR="009E21FE" w:rsidRPr="00827721" w:rsidRDefault="009E21FE" w:rsidP="00710F97">
            <w:pPr>
              <w:spacing w:before="60" w:after="60" w:line="240" w:lineRule="auto"/>
              <w:ind w:left="57" w:right="57" w:firstLine="0"/>
              <w:rPr>
                <w:rFonts w:eastAsia="Times New Roman"/>
                <w:b/>
                <w:bCs/>
                <w:sz w:val="24"/>
                <w:lang w:eastAsia="ro-RO"/>
              </w:rPr>
            </w:pPr>
            <w:r w:rsidRPr="00827721">
              <w:rPr>
                <w:rFonts w:eastAsia="Times New Roman"/>
                <w:b/>
                <w:bCs/>
                <w:sz w:val="24"/>
                <w:lang w:eastAsia="ro-RO"/>
              </w:rPr>
              <w:t>Parametrul de calitate a solului</w:t>
            </w:r>
          </w:p>
        </w:tc>
      </w:tr>
      <w:tr w:rsidR="009E21FE" w:rsidRPr="00827721" w14:paraId="1ED2F342"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6AB82C"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Cel puțin o rotație de trei culturi, inclusiv de leguminoase sau îngrășământ verde, în cadrul sistemului de culturi, ținând seama de cerințele agronomice privind succesiunea culturilor specifice fiecărei culturi și de condițiile climatice. Un amestec de specii de cultură cultivate între culturile cu scop comercial este considerat o singură cultură.</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284B06"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Promovarea fertilității solului, sechestrarea carbonului în sol, limitarea eroziunii solurilor, biodiversitatea solurilor și promovarea controlului agenților patogeni</w:t>
            </w:r>
          </w:p>
        </w:tc>
      </w:tr>
      <w:tr w:rsidR="009E21FE" w:rsidRPr="00827721" w14:paraId="2ED9EEDD"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CAE8CB" w14:textId="2630A389"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Însămânțarea de culturi de acoperire/de captare/intermediare utilizând un amestec de specii de culturi adecvat la nivel local care să includă cel puțin o leguminoasă. Practicile de gestionare a culturilor trebui</w:t>
            </w:r>
            <w:r w:rsidR="004D240C" w:rsidRPr="00827721">
              <w:rPr>
                <w:rFonts w:eastAsia="Times New Roman"/>
                <w:sz w:val="24"/>
                <w:lang w:eastAsia="ro-RO"/>
              </w:rPr>
              <w:t>e</w:t>
            </w:r>
            <w:r w:rsidRPr="00827721">
              <w:rPr>
                <w:rFonts w:eastAsia="Times New Roman"/>
                <w:sz w:val="24"/>
                <w:lang w:eastAsia="ro-RO"/>
              </w:rPr>
              <w:t xml:space="preserve"> să asigure o acoperire minimă a solului pentru a evita solurile necultivate în perioadele cele mai sensibile.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5187F8"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Promovarea fertilității solului, reținerea carbonului în sol, evitarea eroziunii solurilor, biodiversitatea solurilor</w:t>
            </w:r>
          </w:p>
        </w:tc>
      </w:tr>
      <w:tr w:rsidR="009E21FE" w:rsidRPr="00827721" w14:paraId="1B812790"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AD6FD8" w14:textId="69DE651D"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Prevenirea tasării solurilor (frecvența și calendarul operațiunilor pe teren trebui</w:t>
            </w:r>
            <w:r w:rsidR="002874D3" w:rsidRPr="00827721">
              <w:rPr>
                <w:rFonts w:eastAsia="Times New Roman"/>
                <w:sz w:val="24"/>
                <w:lang w:eastAsia="ro-RO"/>
              </w:rPr>
              <w:t>e</w:t>
            </w:r>
            <w:r w:rsidRPr="00827721">
              <w:rPr>
                <w:rFonts w:eastAsia="Times New Roman"/>
                <w:sz w:val="24"/>
                <w:lang w:eastAsia="ro-RO"/>
              </w:rPr>
              <w:t xml:space="preserve"> planificate pentru a evita deplasarea pe solurile umede; operațiunile de arat trebui</w:t>
            </w:r>
            <w:r w:rsidR="002874D3" w:rsidRPr="00827721">
              <w:rPr>
                <w:rFonts w:eastAsia="Times New Roman"/>
                <w:sz w:val="24"/>
                <w:lang w:eastAsia="ro-RO"/>
              </w:rPr>
              <w:t>e</w:t>
            </w:r>
            <w:r w:rsidRPr="00827721">
              <w:rPr>
                <w:rFonts w:eastAsia="Times New Roman"/>
                <w:sz w:val="24"/>
                <w:lang w:eastAsia="ro-RO"/>
              </w:rPr>
              <w:t xml:space="preserve"> evitate sau reduse în mod semnificativ pe solurile umede; se poate utiliza planificarea controlată a deplasărilor).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A8B053"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Menținerea structurii solurilor, evitarea eroziunii solurilor, menținerea biodiversității solurilor</w:t>
            </w:r>
          </w:p>
        </w:tc>
      </w:tr>
      <w:tr w:rsidR="009E21FE" w:rsidRPr="00827721" w14:paraId="5E06BBAE"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D776C2"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Interzicerea arderii miriștilor arabile, cu excepția cazului în care autoritatea a acordat o derogare din motive fitosanitare.</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F3DA34"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Reținerea carbonului în sol, utilizarea eficientă a resurselor</w:t>
            </w:r>
          </w:p>
        </w:tc>
      </w:tr>
      <w:tr w:rsidR="009E21FE" w:rsidRPr="00827721" w14:paraId="1D956C0E"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5AE44B"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 xml:space="preserve">Pe solurile acide pe care se aplică amendamente calcice, în zonele în care solurile sunt degradate și în care </w:t>
            </w:r>
            <w:proofErr w:type="spellStart"/>
            <w:r w:rsidRPr="00827721">
              <w:rPr>
                <w:rFonts w:eastAsia="Times New Roman"/>
                <w:sz w:val="24"/>
                <w:lang w:eastAsia="ro-RO"/>
              </w:rPr>
              <w:t>acidifierea</w:t>
            </w:r>
            <w:proofErr w:type="spellEnd"/>
            <w:r w:rsidRPr="00827721">
              <w:rPr>
                <w:rFonts w:eastAsia="Times New Roman"/>
                <w:sz w:val="24"/>
                <w:lang w:eastAsia="ro-RO"/>
              </w:rPr>
              <w:t xml:space="preserve"> are un impact asupra productivității culturilor.</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F4E22C"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Îmbunătățirea structurii solurilor, a biodiversității solurilor, a carbonului din sol</w:t>
            </w:r>
          </w:p>
        </w:tc>
      </w:tr>
      <w:tr w:rsidR="009E21FE" w:rsidRPr="00827721" w14:paraId="2428A682" w14:textId="77777777">
        <w:trPr>
          <w:jc w:val="center"/>
        </w:trPr>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5F2629"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Arat de conservare/semănare direct în miriște – Controlul eroziunii – adăugarea de amendamente organice (cărbune din biomasă, compost, gunoi de grajd, reziduuri de culturi) – utilizarea culturilor de acoperire, reumidificare</w:t>
            </w:r>
          </w:p>
          <w:p w14:paraId="4547BAE7"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 xml:space="preserve">Refacerea vegetației: plantare (schimbarea speciilor, protecția cu </w:t>
            </w:r>
            <w:proofErr w:type="spellStart"/>
            <w:r w:rsidRPr="00827721">
              <w:rPr>
                <w:rFonts w:eastAsia="Times New Roman"/>
                <w:sz w:val="24"/>
                <w:lang w:eastAsia="ro-RO"/>
              </w:rPr>
              <w:t>mulci</w:t>
            </w:r>
            <w:proofErr w:type="spellEnd"/>
            <w:r w:rsidRPr="00827721">
              <w:rPr>
                <w:rFonts w:eastAsia="Times New Roman"/>
                <w:sz w:val="24"/>
                <w:lang w:eastAsia="ro-RO"/>
              </w:rPr>
              <w:t xml:space="preserve"> de paie) – elemente de peisaj – </w:t>
            </w:r>
            <w:proofErr w:type="spellStart"/>
            <w:r w:rsidRPr="00827721">
              <w:rPr>
                <w:rFonts w:eastAsia="Times New Roman"/>
                <w:sz w:val="24"/>
                <w:lang w:eastAsia="ro-RO"/>
              </w:rPr>
              <w:t>agrosilvicultură</w:t>
            </w:r>
            <w:proofErr w:type="spellEnd"/>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D9F8BF" w14:textId="77777777" w:rsidR="009E21FE" w:rsidRPr="00827721" w:rsidRDefault="009E21FE" w:rsidP="00710F97">
            <w:pPr>
              <w:spacing w:before="60" w:after="60" w:line="240" w:lineRule="auto"/>
              <w:ind w:left="57" w:right="57" w:firstLine="0"/>
              <w:rPr>
                <w:rFonts w:eastAsia="Times New Roman"/>
                <w:sz w:val="24"/>
                <w:lang w:eastAsia="ro-RO"/>
              </w:rPr>
            </w:pPr>
            <w:r w:rsidRPr="00827721">
              <w:rPr>
                <w:rFonts w:eastAsia="Times New Roman"/>
                <w:sz w:val="24"/>
                <w:lang w:eastAsia="ro-RO"/>
              </w:rPr>
              <w:t>Creșterea cantității de carbon organic din sol</w:t>
            </w:r>
          </w:p>
        </w:tc>
      </w:tr>
    </w:tbl>
    <w:p w14:paraId="3E2AC536" w14:textId="2D0D6834" w:rsidR="009E21FE" w:rsidRPr="00827721" w:rsidRDefault="009E21FE" w:rsidP="00544F24">
      <w:pPr>
        <w:pStyle w:val="Sectiune"/>
        <w:rPr>
          <w:rFonts w:eastAsia="Times New Roman"/>
          <w:lang w:eastAsia="ro-RO"/>
        </w:rPr>
      </w:pPr>
      <w:r w:rsidRPr="00827721">
        <w:rPr>
          <w:rFonts w:eastAsia="Times New Roman"/>
          <w:lang w:eastAsia="ro-RO"/>
        </w:rPr>
        <w:lastRenderedPageBreak/>
        <w:t xml:space="preserve">Tabelul </w:t>
      </w:r>
      <w:r w:rsidR="00B84C00" w:rsidRPr="00827721">
        <w:rPr>
          <w:rFonts w:eastAsia="Times New Roman"/>
          <w:lang w:eastAsia="ro-RO"/>
        </w:rPr>
        <w:t>2</w:t>
      </w:r>
    </w:p>
    <w:p w14:paraId="09DC7220" w14:textId="77777777" w:rsidR="009E21FE" w:rsidRPr="00827721" w:rsidRDefault="009E21FE" w:rsidP="00544F24">
      <w:pPr>
        <w:pStyle w:val="Sectiune"/>
        <w:rPr>
          <w:rFonts w:eastAsia="Times New Roman"/>
          <w:lang w:eastAsia="ro-RO"/>
        </w:rPr>
      </w:pPr>
      <w:r w:rsidRPr="00827721">
        <w:rPr>
          <w:rFonts w:eastAsia="Times New Roman"/>
          <w:lang w:eastAsia="ro-RO"/>
        </w:rPr>
        <w:t>Exemple de practici de monitorizare a calității solului și a efectelor măsurilor de atenuare a emisiilor de dioxid de carbon</w:t>
      </w:r>
    </w:p>
    <w:tbl>
      <w:tblPr>
        <w:tblW w:w="8795" w:type="dxa"/>
        <w:jc w:val="center"/>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27"/>
        <w:gridCol w:w="5968"/>
      </w:tblGrid>
      <w:tr w:rsidR="009E21FE" w:rsidRPr="00827721" w14:paraId="00D9E3B0"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12F05E" w14:textId="77777777" w:rsidR="009E21FE" w:rsidRPr="00827721" w:rsidRDefault="009E21FE" w:rsidP="00AE0393">
            <w:pPr>
              <w:spacing w:before="60" w:after="60" w:line="240" w:lineRule="auto"/>
              <w:ind w:left="57" w:right="57" w:firstLine="0"/>
              <w:jc w:val="left"/>
              <w:rPr>
                <w:rFonts w:eastAsia="Times New Roman"/>
                <w:b/>
                <w:bCs/>
                <w:sz w:val="24"/>
                <w:lang w:eastAsia="ro-RO"/>
              </w:rPr>
            </w:pPr>
            <w:r w:rsidRPr="00827721">
              <w:rPr>
                <w:rFonts w:eastAsia="Times New Roman"/>
                <w:b/>
                <w:bCs/>
                <w:sz w:val="24"/>
                <w:lang w:eastAsia="ro-RO"/>
              </w:rPr>
              <w:t>Abordarea bazată pe monitorizare</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C2F93" w14:textId="77777777" w:rsidR="009E21FE" w:rsidRPr="00827721" w:rsidRDefault="009E21FE" w:rsidP="00AE0393">
            <w:pPr>
              <w:spacing w:before="60" w:after="60" w:line="240" w:lineRule="auto"/>
              <w:ind w:left="57" w:right="57" w:firstLine="0"/>
              <w:jc w:val="left"/>
              <w:rPr>
                <w:rFonts w:eastAsia="Times New Roman"/>
                <w:b/>
                <w:bCs/>
                <w:sz w:val="24"/>
                <w:lang w:eastAsia="ro-RO"/>
              </w:rPr>
            </w:pPr>
            <w:r w:rsidRPr="00827721">
              <w:rPr>
                <w:rFonts w:eastAsia="Times New Roman"/>
                <w:b/>
                <w:bCs/>
                <w:sz w:val="24"/>
                <w:lang w:eastAsia="ro-RO"/>
              </w:rPr>
              <w:t>Metoda de verificare/demonstrare</w:t>
            </w:r>
          </w:p>
        </w:tc>
      </w:tr>
      <w:tr w:rsidR="009E21FE" w:rsidRPr="00827721" w14:paraId="7F783F76"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007CC7"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Evaluarea riscurilor</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BFADB8"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Identificarea zonelor cu risc ridicat de deteriorare a calității solului contribuie la prevenirea acestor riscuri și se concentrează asupra zonelor cu cel mai mare impact.</w:t>
            </w:r>
          </w:p>
        </w:tc>
      </w:tr>
      <w:tr w:rsidR="009E21FE" w:rsidRPr="00827721" w14:paraId="5B792F0F"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2786FB"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Analiza materiei organice din sol</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72216D"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Prelevarea consecventă de probe de materie organică din sol îmbunătățește activitatea de monitorizare, astfel încât această materie să poată fi menținută sau îmbunătățită.</w:t>
            </w:r>
          </w:p>
        </w:tc>
      </w:tr>
      <w:tr w:rsidR="009E21FE" w:rsidRPr="00827721" w14:paraId="1E0190E3"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0F31D5"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Analiza carbonului organic din sol</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F79AFD"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Carbonul organic din sol este considerat un bun indicator pentru o calitate mai mare a solului.</w:t>
            </w:r>
          </w:p>
        </w:tc>
      </w:tr>
      <w:tr w:rsidR="009E21FE" w:rsidRPr="00827721" w14:paraId="38C9A497"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0180D"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Prelevarea de probe pentru determinarea indicelui de condiționare a solului</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477E6C"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O valoare pozitivă indică faptul că se preconizează că sistemul va avea o cantitate mai mare de materie organică în sol.</w:t>
            </w:r>
          </w:p>
        </w:tc>
      </w:tr>
      <w:tr w:rsidR="009E21FE" w:rsidRPr="00827721" w14:paraId="5E887C00"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BC06E7"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Evaluarea gradului de eroziune a solului</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61A1CA"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Asigură faptul că gradul de eroziune se situează sub un nivel tolerabil, de exemplu, nivelurile „t” ale Serviciului de cercetare agricolă din cadrul Departamentului Agriculturii al Statelor Unite.</w:t>
            </w:r>
          </w:p>
        </w:tc>
      </w:tr>
      <w:tr w:rsidR="009E21FE" w:rsidRPr="00827721" w14:paraId="4DB11986"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09FFFD"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 xml:space="preserve">Planul de gestionare a </w:t>
            </w:r>
            <w:proofErr w:type="spellStart"/>
            <w:r w:rsidRPr="00827721">
              <w:rPr>
                <w:rFonts w:eastAsia="Times New Roman"/>
                <w:sz w:val="24"/>
                <w:lang w:eastAsia="ro-RO"/>
              </w:rPr>
              <w:t>nutrienților</w:t>
            </w:r>
            <w:proofErr w:type="spellEnd"/>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AE6DA4"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 xml:space="preserve">Un plan care prezintă strategia privind </w:t>
            </w:r>
            <w:proofErr w:type="spellStart"/>
            <w:r w:rsidRPr="00827721">
              <w:rPr>
                <w:rFonts w:eastAsia="Times New Roman"/>
                <w:sz w:val="24"/>
                <w:lang w:eastAsia="ro-RO"/>
              </w:rPr>
              <w:t>nutrienții</w:t>
            </w:r>
            <w:proofErr w:type="spellEnd"/>
            <w:r w:rsidRPr="00827721">
              <w:rPr>
                <w:rFonts w:eastAsia="Times New Roman"/>
                <w:sz w:val="24"/>
                <w:lang w:eastAsia="ro-RO"/>
              </w:rPr>
              <w:t xml:space="preserve"> (axându-se în principal pe N, P, K) și regimurile de îngrășăminte poate preveni dezechilibrele în ceea ce privește </w:t>
            </w:r>
            <w:proofErr w:type="spellStart"/>
            <w:r w:rsidRPr="00827721">
              <w:rPr>
                <w:rFonts w:eastAsia="Times New Roman"/>
                <w:sz w:val="24"/>
                <w:lang w:eastAsia="ro-RO"/>
              </w:rPr>
              <w:t>nutrienții</w:t>
            </w:r>
            <w:proofErr w:type="spellEnd"/>
            <w:r w:rsidRPr="00827721">
              <w:rPr>
                <w:rFonts w:eastAsia="Times New Roman"/>
                <w:sz w:val="24"/>
                <w:lang w:eastAsia="ro-RO"/>
              </w:rPr>
              <w:t>.</w:t>
            </w:r>
          </w:p>
        </w:tc>
      </w:tr>
      <w:tr w:rsidR="009E21FE" w:rsidRPr="00827721" w14:paraId="3EDAD765" w14:textId="77777777" w:rsidTr="00AE0393">
        <w:trPr>
          <w:jc w:val="center"/>
        </w:trPr>
        <w:tc>
          <w:tcPr>
            <w:tcW w:w="282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2D0791"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 xml:space="preserve">Analiza regulată a </w:t>
            </w:r>
            <w:proofErr w:type="spellStart"/>
            <w:r w:rsidRPr="00827721">
              <w:rPr>
                <w:rFonts w:eastAsia="Times New Roman"/>
                <w:sz w:val="24"/>
                <w:lang w:eastAsia="ro-RO"/>
              </w:rPr>
              <w:t>pH-ului</w:t>
            </w:r>
            <w:proofErr w:type="spellEnd"/>
            <w:r w:rsidRPr="00827721">
              <w:rPr>
                <w:rFonts w:eastAsia="Times New Roman"/>
                <w:sz w:val="24"/>
                <w:lang w:eastAsia="ro-RO"/>
              </w:rPr>
              <w:t xml:space="preserve"> solului</w:t>
            </w:r>
          </w:p>
        </w:tc>
        <w:tc>
          <w:tcPr>
            <w:tcW w:w="596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881001" w14:textId="77777777" w:rsidR="009E21FE" w:rsidRPr="00827721" w:rsidRDefault="009E21FE" w:rsidP="00AE0393">
            <w:pPr>
              <w:spacing w:before="60" w:after="60" w:line="240" w:lineRule="auto"/>
              <w:ind w:left="57" w:right="57" w:firstLine="0"/>
              <w:rPr>
                <w:rFonts w:eastAsia="Times New Roman"/>
                <w:sz w:val="24"/>
                <w:lang w:eastAsia="ro-RO"/>
              </w:rPr>
            </w:pPr>
            <w:r w:rsidRPr="00827721">
              <w:rPr>
                <w:rFonts w:eastAsia="Times New Roman"/>
                <w:sz w:val="24"/>
                <w:lang w:eastAsia="ro-RO"/>
              </w:rPr>
              <w:t xml:space="preserve">Monitorizarea </w:t>
            </w:r>
            <w:proofErr w:type="spellStart"/>
            <w:r w:rsidRPr="00827721">
              <w:rPr>
                <w:rFonts w:eastAsia="Times New Roman"/>
                <w:sz w:val="24"/>
                <w:lang w:eastAsia="ro-RO"/>
              </w:rPr>
              <w:t>pH-ului</w:t>
            </w:r>
            <w:proofErr w:type="spellEnd"/>
            <w:r w:rsidRPr="00827721">
              <w:rPr>
                <w:rFonts w:eastAsia="Times New Roman"/>
                <w:sz w:val="24"/>
                <w:lang w:eastAsia="ro-RO"/>
              </w:rPr>
              <w:t xml:space="preserve"> ajută la identificarea dezechilibrelor în ceea ce privește </w:t>
            </w:r>
            <w:proofErr w:type="spellStart"/>
            <w:r w:rsidRPr="00827721">
              <w:rPr>
                <w:rFonts w:eastAsia="Times New Roman"/>
                <w:sz w:val="24"/>
                <w:lang w:eastAsia="ro-RO"/>
              </w:rPr>
              <w:t>pH-ul</w:t>
            </w:r>
            <w:proofErr w:type="spellEnd"/>
            <w:r w:rsidRPr="00827721">
              <w:rPr>
                <w:rFonts w:eastAsia="Times New Roman"/>
                <w:sz w:val="24"/>
                <w:lang w:eastAsia="ro-RO"/>
              </w:rPr>
              <w:t>.</w:t>
            </w:r>
          </w:p>
        </w:tc>
      </w:tr>
    </w:tbl>
    <w:p w14:paraId="5124BE5E" w14:textId="6372D972" w:rsidR="00DE079E" w:rsidRPr="00445A3B" w:rsidRDefault="00DE079E" w:rsidP="00460338">
      <w:pPr>
        <w:ind w:left="431" w:firstLine="0"/>
        <w:rPr>
          <w:lang w:val="it-IT"/>
        </w:rPr>
      </w:pPr>
    </w:p>
    <w:p w14:paraId="480CC501" w14:textId="77777777" w:rsidR="00DE079E" w:rsidRPr="00445A3B" w:rsidRDefault="00DE079E">
      <w:pPr>
        <w:rPr>
          <w:bCs/>
          <w:lang w:val="it-IT"/>
        </w:rPr>
      </w:pPr>
      <w:r w:rsidRPr="00445A3B">
        <w:rPr>
          <w:lang w:val="it-IT"/>
        </w:rPr>
        <w:br w:type="page"/>
      </w:r>
    </w:p>
    <w:p w14:paraId="733BFE69" w14:textId="652BA373" w:rsidR="00BB53A8" w:rsidRPr="00827721" w:rsidRDefault="00BB53A8" w:rsidP="00BB53A8">
      <w:pPr>
        <w:jc w:val="right"/>
      </w:pPr>
      <w:r w:rsidRPr="00827721">
        <w:lastRenderedPageBreak/>
        <w:t>Anexa nr. 7</w:t>
      </w:r>
    </w:p>
    <w:p w14:paraId="5D13971D" w14:textId="27494F14" w:rsidR="005E71D1" w:rsidRPr="00827721" w:rsidRDefault="005E71D1"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7D2F50E8" w14:textId="77777777" w:rsidR="00B039EA" w:rsidRPr="00827721" w:rsidRDefault="00B039EA" w:rsidP="00B039EA">
      <w:pPr>
        <w:pStyle w:val="Capitol"/>
      </w:pPr>
      <w:r w:rsidRPr="00827721">
        <w:t>Metodologia de determinare a emisiilor provenite din extracția sau cultivarea de materii prime</w:t>
      </w:r>
    </w:p>
    <w:p w14:paraId="6F83039A" w14:textId="35A471BB" w:rsidR="004E09EC" w:rsidRPr="00827721" w:rsidRDefault="004E09EC" w:rsidP="004E09EC">
      <w:pPr>
        <w:pStyle w:val="Capitol"/>
      </w:pPr>
      <w:r w:rsidRPr="00827721">
        <w:rPr>
          <w:caps w:val="0"/>
        </w:rPr>
        <w:t>Capitolul</w:t>
      </w:r>
      <w:r w:rsidRPr="00827721">
        <w:t xml:space="preserve"> </w:t>
      </w:r>
      <w:r w:rsidR="00010F7B" w:rsidRPr="00827721">
        <w:t>I</w:t>
      </w:r>
    </w:p>
    <w:p w14:paraId="087275AC" w14:textId="44E94AE4" w:rsidR="00B039EA" w:rsidRPr="00827721" w:rsidRDefault="00B039EA" w:rsidP="000318CD">
      <w:pPr>
        <w:pStyle w:val="Capitol"/>
      </w:pPr>
      <w:r w:rsidRPr="00827721">
        <w:t>Dispoziții generale</w:t>
      </w:r>
    </w:p>
    <w:p w14:paraId="7F3B2044" w14:textId="73A94AEC" w:rsidR="00BB53A8" w:rsidRPr="00827721" w:rsidRDefault="00FF1540" w:rsidP="007A62DE">
      <w:pPr>
        <w:pStyle w:val="Anexapct1"/>
        <w:numPr>
          <w:ilvl w:val="0"/>
          <w:numId w:val="59"/>
        </w:numPr>
        <w:rPr>
          <w:rFonts w:eastAsia="Times New Roman"/>
          <w:lang w:eastAsia="ro-RO"/>
        </w:rPr>
      </w:pPr>
      <w:r w:rsidRPr="00827721">
        <w:rPr>
          <w:rFonts w:eastAsia="Times New Roman"/>
          <w:lang w:eastAsia="ro-RO"/>
        </w:rPr>
        <w:t xml:space="preserve">La pct. </w:t>
      </w:r>
      <w:r w:rsidR="0087387A" w:rsidRPr="00827721">
        <w:rPr>
          <w:rFonts w:eastAsia="Times New Roman"/>
          <w:lang w:eastAsia="ro-RO"/>
        </w:rPr>
        <w:t>10</w:t>
      </w:r>
      <w:r w:rsidR="006B152D" w:rsidRPr="00827721">
        <w:rPr>
          <w:rFonts w:eastAsia="Times New Roman"/>
          <w:lang w:eastAsia="ro-RO"/>
        </w:rPr>
        <w:t xml:space="preserve"> și 28</w:t>
      </w:r>
      <w:r w:rsidR="00F42DE3" w:rsidRPr="00827721">
        <w:rPr>
          <w:rFonts w:eastAsia="Times New Roman"/>
          <w:lang w:eastAsia="ro-RO"/>
        </w:rPr>
        <w:t xml:space="preserve"> din anexa nr. 2</w:t>
      </w:r>
      <w:r w:rsidR="006B152D" w:rsidRPr="00827721">
        <w:rPr>
          <w:rFonts w:eastAsia="Times New Roman"/>
          <w:lang w:eastAsia="ro-RO"/>
        </w:rPr>
        <w:t xml:space="preserve"> </w:t>
      </w:r>
      <w:r w:rsidR="00BF20FF">
        <w:t xml:space="preserve">din </w:t>
      </w:r>
      <w:r w:rsidR="00BF20FF" w:rsidRPr="00347C70">
        <w:rPr>
          <w:iCs/>
        </w:rPr>
        <w:t>HG 53/2025</w:t>
      </w:r>
      <w:r w:rsidR="006B152D" w:rsidRPr="00827721">
        <w:rPr>
          <w:rFonts w:eastAsia="Times New Roman"/>
          <w:lang w:eastAsia="ro-RO"/>
        </w:rPr>
        <w:t xml:space="preserve"> </w:t>
      </w:r>
      <w:r w:rsidR="00BB53A8" w:rsidRPr="00827721">
        <w:rPr>
          <w:rFonts w:eastAsia="Times New Roman"/>
          <w:lang w:eastAsia="ro-RO"/>
        </w:rPr>
        <w:t>se prevede că, pentru a se calcula emisiile provenite din extracția sau cultivarea de materii prime, calculul trebuie să includă toate emisiile provenite din însuși procesul de extracție sau cultivare; din colectarea, uscarea și depozitarea de materii prime; din deșeuri și scurgeri; precum și din producerea de substanțe chimice sau produse utilizate în procesul de extracție sau de cultivare.</w:t>
      </w:r>
    </w:p>
    <w:p w14:paraId="1A51C418" w14:textId="61D34480" w:rsidR="00BB53A8" w:rsidRPr="00827721" w:rsidRDefault="00BB53A8" w:rsidP="007A62DE">
      <w:pPr>
        <w:pStyle w:val="Anexapct1"/>
        <w:rPr>
          <w:rFonts w:eastAsia="Times New Roman"/>
          <w:lang w:eastAsia="ro-RO"/>
        </w:rPr>
      </w:pPr>
      <w:r w:rsidRPr="00827721">
        <w:rPr>
          <w:rFonts w:eastAsia="Times New Roman"/>
          <w:lang w:eastAsia="ro-RO"/>
        </w:rPr>
        <w:t>Se exclude captarea de CO</w:t>
      </w:r>
      <w:r w:rsidRPr="00827721">
        <w:rPr>
          <w:rFonts w:ascii="inherit" w:eastAsia="Times New Roman" w:hAnsi="inherit"/>
          <w:sz w:val="17"/>
          <w:szCs w:val="17"/>
          <w:vertAlign w:val="subscript"/>
          <w:lang w:eastAsia="ro-RO"/>
        </w:rPr>
        <w:t>2</w:t>
      </w:r>
      <w:r w:rsidRPr="00827721">
        <w:rPr>
          <w:rFonts w:eastAsia="Times New Roman"/>
          <w:lang w:eastAsia="ro-RO"/>
        </w:rPr>
        <w:t xml:space="preserve"> în cadrul cultivării de materii prime. Se pot obține estimări ale emisiilor rezultate din cultivarea biomasei agricole folosindu-se mediile regionale pentru emisiile provenite din cultivare incluse în rapoartele menționate la </w:t>
      </w:r>
      <w:r w:rsidR="00941537" w:rsidRPr="00827721">
        <w:rPr>
          <w:rFonts w:eastAsia="Times New Roman"/>
          <w:lang w:eastAsia="ro-RO"/>
        </w:rPr>
        <w:t>pct. 5</w:t>
      </w:r>
      <w:r w:rsidR="00941537" w:rsidRPr="00827721">
        <w:rPr>
          <w:rFonts w:eastAsia="Times New Roman"/>
          <w:vertAlign w:val="superscript"/>
          <w:lang w:eastAsia="ro-RO"/>
        </w:rPr>
        <w:t>1</w:t>
      </w:r>
      <w:r w:rsidR="00941537" w:rsidRPr="00827721">
        <w:rPr>
          <w:rFonts w:eastAsia="Times New Roman"/>
          <w:lang w:eastAsia="ro-RO"/>
        </w:rPr>
        <w:t xml:space="preserve"> </w:t>
      </w:r>
      <w:r w:rsidR="00BC76FF" w:rsidRPr="00827721">
        <w:rPr>
          <w:rFonts w:eastAsia="Times New Roman"/>
          <w:lang w:eastAsia="ro-RO"/>
        </w:rPr>
        <w:t xml:space="preserve">din anexa nr. 2 </w:t>
      </w:r>
      <w:r w:rsidR="00265A1C" w:rsidRPr="00827721">
        <w:rPr>
          <w:rFonts w:eastAsia="Times New Roman"/>
          <w:lang w:eastAsia="ro-RO"/>
        </w:rPr>
        <w:t>la anexa</w:t>
      </w:r>
      <w:r w:rsidR="00E308FE" w:rsidRPr="00827721">
        <w:rPr>
          <w:rFonts w:eastAsia="Times New Roman"/>
          <w:lang w:eastAsia="ro-RO"/>
        </w:rPr>
        <w:t xml:space="preserve"> nr. 1 </w:t>
      </w:r>
      <w:r w:rsidR="00E308FE" w:rsidRPr="00827721">
        <w:t xml:space="preserve">la </w:t>
      </w:r>
      <w:r w:rsidR="00C72EEB" w:rsidRPr="00C72EEB">
        <w:rPr>
          <w:iCs/>
        </w:rPr>
        <w:t>HG 53/2025</w:t>
      </w:r>
      <w:r w:rsidR="00C72EEB" w:rsidRPr="00827721">
        <w:t xml:space="preserve"> </w:t>
      </w:r>
      <w:r w:rsidRPr="00827721">
        <w:rPr>
          <w:rFonts w:eastAsia="Times New Roman"/>
          <w:lang w:eastAsia="ro-RO"/>
        </w:rPr>
        <w:t>sau din informații cu privire la valorile implicite detaliate privind emisiile provenite din cultivare incluse în prezenta anexă, ca alternativă la utilizarea valorilor efective. În absența unor informații relevante în rapoartele respective, valorile medii pot fi calculate pe baza practicilor agricole locale, de exemplu pe baza unor date provenite de la un grup de exploatații agricole, ca alternativă la utilizarea valorilor reale.</w:t>
      </w:r>
    </w:p>
    <w:p w14:paraId="74400EB3" w14:textId="1091B33F" w:rsidR="00854747" w:rsidRPr="00827721" w:rsidRDefault="00854747" w:rsidP="000318CD">
      <w:pPr>
        <w:pStyle w:val="Capitol"/>
        <w:rPr>
          <w:rFonts w:eastAsia="Times New Roman"/>
          <w:lang w:eastAsia="ro-RO"/>
        </w:rPr>
      </w:pPr>
      <w:r w:rsidRPr="00827721">
        <w:rPr>
          <w:rFonts w:eastAsia="Times New Roman"/>
          <w:lang w:eastAsia="ro-RO"/>
        </w:rPr>
        <w:t>C</w:t>
      </w:r>
      <w:r w:rsidR="000318CD" w:rsidRPr="00827721">
        <w:rPr>
          <w:rFonts w:eastAsia="Times New Roman"/>
          <w:caps w:val="0"/>
          <w:lang w:eastAsia="ro-RO"/>
        </w:rPr>
        <w:t>apitolul II</w:t>
      </w:r>
    </w:p>
    <w:p w14:paraId="4074FB3B" w14:textId="717781B7" w:rsidR="000318CD" w:rsidRPr="00827721" w:rsidRDefault="00BB53A8" w:rsidP="000318CD">
      <w:pPr>
        <w:pStyle w:val="Capitol"/>
        <w:rPr>
          <w:rFonts w:eastAsia="Times New Roman"/>
          <w:lang w:eastAsia="ro-RO"/>
        </w:rPr>
      </w:pPr>
      <w:r w:rsidRPr="00827721">
        <w:rPr>
          <w:rFonts w:eastAsia="Times New Roman"/>
          <w:lang w:eastAsia="ro-RO"/>
        </w:rPr>
        <w:t xml:space="preserve">EMISIILE PROVENITE DIN </w:t>
      </w:r>
      <w:r w:rsidRPr="00827721">
        <w:t>ÎNSUȘI PROCESUL DE EXTRACȚIE SAU CULTIVARE</w:t>
      </w:r>
    </w:p>
    <w:p w14:paraId="150BAB0D" w14:textId="77777777" w:rsidR="00DF26A1" w:rsidRPr="00827721" w:rsidRDefault="00DF26A1" w:rsidP="00DF26A1">
      <w:pPr>
        <w:pStyle w:val="Sectiune"/>
      </w:pPr>
      <w:r w:rsidRPr="00827721">
        <w:t>Secțiunea 1</w:t>
      </w:r>
    </w:p>
    <w:p w14:paraId="7BADD5FB" w14:textId="60ACFA29" w:rsidR="00DF26A1" w:rsidRPr="00827721" w:rsidRDefault="007A68FE" w:rsidP="00DF26A1">
      <w:pPr>
        <w:pStyle w:val="Sectiune"/>
      </w:pPr>
      <w:r w:rsidRPr="00827721">
        <w:t>Tipul de emisii</w:t>
      </w:r>
    </w:p>
    <w:p w14:paraId="235C1FBB" w14:textId="77777777" w:rsidR="00BB53A8" w:rsidRPr="00827721" w:rsidRDefault="00BB53A8" w:rsidP="00B236E0">
      <w:pPr>
        <w:pStyle w:val="Anexapct1"/>
        <w:rPr>
          <w:rFonts w:eastAsia="Times New Roman"/>
          <w:lang w:eastAsia="ro-RO"/>
        </w:rPr>
      </w:pPr>
      <w:r w:rsidRPr="00827721">
        <w:rPr>
          <w:rFonts w:eastAsia="Times New Roman"/>
          <w:lang w:eastAsia="ro-RO"/>
        </w:rPr>
        <w:t>Emisiile provenite din însuși procesul de extracție sau cultivare includ toate emisiile provenite din (i) furnizarea combustibililor pentru utilajele agricole utilizate; (ii) producția de material săditor pentru cultivarea plantelor; (iii) producția de îngrășăminte și pesticide; (iv) </w:t>
      </w:r>
      <w:proofErr w:type="spellStart"/>
      <w:r w:rsidRPr="00827721">
        <w:rPr>
          <w:rFonts w:eastAsia="Times New Roman"/>
          <w:lang w:eastAsia="ro-RO"/>
        </w:rPr>
        <w:t>acidifierea</w:t>
      </w:r>
      <w:proofErr w:type="spellEnd"/>
      <w:r w:rsidRPr="00827721">
        <w:rPr>
          <w:rFonts w:eastAsia="Times New Roman"/>
          <w:lang w:eastAsia="ro-RO"/>
        </w:rPr>
        <w:t xml:space="preserve"> îngrășămintelor și aplicarea de amendamente calcice; și (v) emisiile din sol provenite din cultivarea plantelor.</w:t>
      </w:r>
    </w:p>
    <w:p w14:paraId="1BE9409D" w14:textId="6F8BB938" w:rsidR="00F328AF" w:rsidRPr="00827721" w:rsidRDefault="00F328AF" w:rsidP="00F328AF">
      <w:pPr>
        <w:pStyle w:val="Sectiune"/>
      </w:pPr>
      <w:r w:rsidRPr="00827721">
        <w:t xml:space="preserve">Secțiunea </w:t>
      </w:r>
      <w:r w:rsidR="007A68FE" w:rsidRPr="00827721">
        <w:t>a 2-a</w:t>
      </w:r>
    </w:p>
    <w:p w14:paraId="5E607FD5" w14:textId="5679B3CB" w:rsidR="00F328AF" w:rsidRPr="00827721" w:rsidRDefault="00F328AF" w:rsidP="00F328AF">
      <w:pPr>
        <w:pStyle w:val="Sectiune"/>
      </w:pPr>
      <w:r w:rsidRPr="00827721">
        <w:lastRenderedPageBreak/>
        <w:t xml:space="preserve">Combustibilii utilizați (motorină, benzină, păcură grea, </w:t>
      </w:r>
      <w:r w:rsidR="008A23DF" w:rsidRPr="00827721">
        <w:t>biocarburanți</w:t>
      </w:r>
      <w:r w:rsidRPr="00827721">
        <w:t xml:space="preserve"> sau alte tipuri de combustibil) pentru utilajele agricole</w:t>
      </w:r>
    </w:p>
    <w:p w14:paraId="6BBD5801" w14:textId="29F5992E" w:rsidR="00BB53A8" w:rsidRPr="00827721" w:rsidRDefault="00BB53A8" w:rsidP="00133AB1">
      <w:pPr>
        <w:pStyle w:val="Anexapct1"/>
        <w:rPr>
          <w:rFonts w:eastAsia="Times New Roman"/>
          <w:lang w:eastAsia="ro-RO"/>
        </w:rPr>
      </w:pPr>
      <w:r w:rsidRPr="00827721">
        <w:rPr>
          <w:rFonts w:eastAsia="Times New Roman"/>
          <w:lang w:eastAsia="ro-RO"/>
        </w:rPr>
        <w:t xml:space="preserve">Emisiile de GES provenite din cultivarea plantelor (pregătirea terenului, însămânțarea, aplicarea de îngrășăminte și pesticide, recoltarea, colectarea) includ toate emisiile generate de combustibilii utilizați (cum ar fi motorina, benzina, păcura grea, </w:t>
      </w:r>
      <w:r w:rsidR="008A23DF" w:rsidRPr="00827721">
        <w:rPr>
          <w:rFonts w:eastAsia="Times New Roman"/>
          <w:lang w:eastAsia="ro-RO"/>
        </w:rPr>
        <w:t>biocarburanții</w:t>
      </w:r>
      <w:r w:rsidRPr="00827721">
        <w:rPr>
          <w:rFonts w:eastAsia="Times New Roman"/>
          <w:lang w:eastAsia="ro-RO"/>
        </w:rPr>
        <w:t xml:space="preserve"> sau alte tipuri de combustibil) pentru utilajele agricole. Cantitatea de combustibili utilizată în utilajele agricole trebuie să fie documentată în mod corespunzător. Trebuie utilizați factorii de emisie corespunzători ai combustibililor, în conformitate cu anexa </w:t>
      </w:r>
      <w:r w:rsidR="00AD2114" w:rsidRPr="00827721">
        <w:rPr>
          <w:rFonts w:eastAsia="Times New Roman"/>
          <w:lang w:eastAsia="ro-RO"/>
        </w:rPr>
        <w:t>nr. 9</w:t>
      </w:r>
      <w:r w:rsidRPr="00827721">
        <w:rPr>
          <w:rFonts w:eastAsia="Times New Roman"/>
          <w:lang w:eastAsia="ro-RO"/>
        </w:rPr>
        <w:t xml:space="preserve">. În cazul în care se utilizează biocarburanți, trebuie utilizate valorile implicite de emisii de GES prevăzute în </w:t>
      </w:r>
      <w:r w:rsidR="00BF20FF" w:rsidRPr="00347C70">
        <w:rPr>
          <w:iCs/>
        </w:rPr>
        <w:t>HG 53/2025</w:t>
      </w:r>
      <w:r w:rsidRPr="00827721">
        <w:rPr>
          <w:rFonts w:eastAsia="Times New Roman"/>
          <w:lang w:eastAsia="ro-RO"/>
        </w:rPr>
        <w:t>.</w:t>
      </w:r>
    </w:p>
    <w:p w14:paraId="30C84283" w14:textId="5D653717" w:rsidR="002F0981" w:rsidRPr="00827721" w:rsidRDefault="002F0981" w:rsidP="00EC69D1">
      <w:pPr>
        <w:pStyle w:val="Sectiune"/>
      </w:pPr>
      <w:r w:rsidRPr="00827721">
        <w:t xml:space="preserve">Secțiunea a </w:t>
      </w:r>
      <w:r w:rsidR="007A68FE" w:rsidRPr="00827721">
        <w:t>3</w:t>
      </w:r>
      <w:r w:rsidRPr="00827721">
        <w:t>-a</w:t>
      </w:r>
    </w:p>
    <w:p w14:paraId="59E60AC9" w14:textId="35B9B7AD" w:rsidR="00BB53A8" w:rsidRPr="00827721" w:rsidRDefault="00BB53A8" w:rsidP="00EC69D1">
      <w:pPr>
        <w:pStyle w:val="Sectiune"/>
      </w:pPr>
      <w:r w:rsidRPr="00827721">
        <w:t>Îngrășăminte chimice și pesticide</w:t>
      </w:r>
    </w:p>
    <w:p w14:paraId="69389490" w14:textId="0F86D95C" w:rsidR="00BB53A8" w:rsidRPr="00827721" w:rsidRDefault="00BB53A8" w:rsidP="00133AB1">
      <w:pPr>
        <w:pStyle w:val="Anexapct1"/>
        <w:rPr>
          <w:rFonts w:eastAsia="Times New Roman"/>
          <w:lang w:eastAsia="ro-RO"/>
        </w:rPr>
      </w:pPr>
      <w:r w:rsidRPr="00827721">
        <w:rPr>
          <w:rFonts w:eastAsia="Times New Roman"/>
          <w:lang w:eastAsia="ro-RO"/>
        </w:rPr>
        <w:t>Emisiile provenite din utilizarea de îngrășăminte chimice și de pesticide (</w:t>
      </w:r>
      <w:hyperlink r:id="rId22" w:anchor="E0004" w:history="1">
        <w:r w:rsidR="006B1DCC" w:rsidRPr="00827721">
          <w:rPr>
            <w:rFonts w:eastAsia="Times New Roman"/>
            <w:lang w:eastAsia="ro-RO"/>
          </w:rPr>
          <w:t>toate produsele de protecție a plantelor, inclusiv erbicidele, insecticidele, fungicidele etc.)</w:t>
        </w:r>
      </w:hyperlink>
      <w:r w:rsidRPr="00827721">
        <w:rPr>
          <w:rFonts w:eastAsia="Times New Roman"/>
          <w:lang w:eastAsia="ro-RO"/>
        </w:rPr>
        <w:t xml:space="preserve"> pentru cultivarea de materii prime includ toate emisiile aferente provenite din fabricarea îngrășămintelor chimice și a pesticidelor. Cantitatea de îngrășăminte chimice și de pesticide trebuie să fie documentată în mod corespunzător, în funcție de cultură, de condițiile locale și de practicile agricole. Trebuie utilizați factorii de emisie corespunzători, inclusiv emisiile din amonte, pentru a contabiliza emisiile provenite din producția de îngrășăminte chimice și de pesticide, în conformitate cu anexa </w:t>
      </w:r>
      <w:r w:rsidR="000A7DA2" w:rsidRPr="00827721">
        <w:rPr>
          <w:rFonts w:eastAsia="Times New Roman"/>
          <w:lang w:eastAsia="ro-RO"/>
        </w:rPr>
        <w:t>nr. 9</w:t>
      </w:r>
      <w:r w:rsidRPr="00827721">
        <w:rPr>
          <w:rFonts w:eastAsia="Times New Roman"/>
          <w:lang w:eastAsia="ro-RO"/>
        </w:rPr>
        <w:t xml:space="preserve">. În cazul în care operatorul economic cunoaște fabrica ce produce îngrășământul și aceasta intră sub incidența sistemului </w:t>
      </w:r>
      <w:r w:rsidR="005C2211" w:rsidRPr="00827721">
        <w:rPr>
          <w:rFonts w:eastAsia="Times New Roman"/>
          <w:lang w:eastAsia="ro-RO"/>
        </w:rPr>
        <w:t xml:space="preserve">Uniunii Europene </w:t>
      </w:r>
      <w:r w:rsidRPr="00827721">
        <w:rPr>
          <w:rFonts w:eastAsia="Times New Roman"/>
          <w:lang w:eastAsia="ro-RO"/>
        </w:rPr>
        <w:t xml:space="preserve">de comercializare a certificatelor de emisii (ETS), operatorul economic </w:t>
      </w:r>
      <w:r w:rsidR="005D44CF" w:rsidRPr="00827721">
        <w:rPr>
          <w:rFonts w:eastAsia="Times New Roman"/>
          <w:lang w:eastAsia="ro-RO"/>
        </w:rPr>
        <w:t xml:space="preserve">are dreptul </w:t>
      </w:r>
      <w:r w:rsidR="00192A48" w:rsidRPr="00827721">
        <w:rPr>
          <w:rFonts w:eastAsia="Times New Roman"/>
          <w:lang w:eastAsia="ro-RO"/>
        </w:rPr>
        <w:t xml:space="preserve">să </w:t>
      </w:r>
      <w:r w:rsidRPr="00827721">
        <w:rPr>
          <w:rFonts w:eastAsia="Times New Roman"/>
          <w:lang w:eastAsia="ro-RO"/>
        </w:rPr>
        <w:t>utiliz</w:t>
      </w:r>
      <w:r w:rsidR="00192A48" w:rsidRPr="00827721">
        <w:rPr>
          <w:rFonts w:eastAsia="Times New Roman"/>
          <w:lang w:eastAsia="ro-RO"/>
        </w:rPr>
        <w:t>eze</w:t>
      </w:r>
      <w:r w:rsidRPr="00827721">
        <w:rPr>
          <w:rFonts w:eastAsia="Times New Roman"/>
          <w:lang w:eastAsia="ro-RO"/>
        </w:rPr>
        <w:t xml:space="preserve"> emisiile de producție declarate în cadrul ETS, adăugând emisiile din amonte pentru gazele naturale etc. </w:t>
      </w:r>
      <w:r w:rsidR="00903130" w:rsidRPr="00827721">
        <w:rPr>
          <w:rFonts w:eastAsia="Times New Roman"/>
          <w:lang w:eastAsia="ro-RO"/>
        </w:rPr>
        <w:t>De asemenea, s</w:t>
      </w:r>
      <w:r w:rsidRPr="00827721">
        <w:rPr>
          <w:rFonts w:eastAsia="Times New Roman"/>
          <w:lang w:eastAsia="ro-RO"/>
        </w:rPr>
        <w:t>e include transportul îngrășămintelor, utilizând emisiile provenite din modurile de transport enumerate în anexa </w:t>
      </w:r>
      <w:r w:rsidR="005C2211" w:rsidRPr="00827721">
        <w:rPr>
          <w:rFonts w:eastAsia="Times New Roman"/>
          <w:lang w:eastAsia="ro-RO"/>
        </w:rPr>
        <w:t>nr. 9</w:t>
      </w:r>
      <w:r w:rsidRPr="00827721">
        <w:rPr>
          <w:rFonts w:eastAsia="Times New Roman"/>
          <w:lang w:eastAsia="ro-RO"/>
        </w:rPr>
        <w:t>. În cazul în care operatorul economic nu cunoaște fabrica ce furnizează îngrășământul, acesta utilize</w:t>
      </w:r>
      <w:r w:rsidR="00DA04C3" w:rsidRPr="00827721">
        <w:rPr>
          <w:rFonts w:eastAsia="Times New Roman"/>
          <w:lang w:eastAsia="ro-RO"/>
        </w:rPr>
        <w:t>a</w:t>
      </w:r>
      <w:r w:rsidRPr="00827721">
        <w:rPr>
          <w:rFonts w:eastAsia="Times New Roman"/>
          <w:lang w:eastAsia="ro-RO"/>
        </w:rPr>
        <w:t>z</w:t>
      </w:r>
      <w:r w:rsidR="00DA04C3" w:rsidRPr="00827721">
        <w:rPr>
          <w:rFonts w:eastAsia="Times New Roman"/>
          <w:lang w:eastAsia="ro-RO"/>
        </w:rPr>
        <w:t>ă</w:t>
      </w:r>
      <w:r w:rsidRPr="00827721">
        <w:rPr>
          <w:rFonts w:eastAsia="Times New Roman"/>
          <w:lang w:eastAsia="ro-RO"/>
        </w:rPr>
        <w:t xml:space="preserve"> valorile standard prevăzute în anexa </w:t>
      </w:r>
      <w:r w:rsidR="005C2211" w:rsidRPr="00827721">
        <w:rPr>
          <w:rFonts w:eastAsia="Times New Roman"/>
          <w:lang w:eastAsia="ro-RO"/>
        </w:rPr>
        <w:t>nr. 9</w:t>
      </w:r>
      <w:r w:rsidRPr="00827721">
        <w:rPr>
          <w:rFonts w:eastAsia="Times New Roman"/>
          <w:lang w:eastAsia="ro-RO"/>
        </w:rPr>
        <w:t>.</w:t>
      </w:r>
    </w:p>
    <w:p w14:paraId="197FE807" w14:textId="767A0B5F" w:rsidR="00E13111" w:rsidRPr="00827721" w:rsidRDefault="00E13111" w:rsidP="00EC69D1">
      <w:pPr>
        <w:pStyle w:val="Sectiune"/>
        <w:rPr>
          <w:rFonts w:eastAsia="Times New Roman"/>
          <w:lang w:eastAsia="ro-RO"/>
        </w:rPr>
      </w:pPr>
      <w:r w:rsidRPr="00827721">
        <w:rPr>
          <w:rFonts w:eastAsia="Times New Roman"/>
          <w:lang w:eastAsia="ro-RO"/>
        </w:rPr>
        <w:t xml:space="preserve">Secțiunea a </w:t>
      </w:r>
      <w:r w:rsidR="007A68FE" w:rsidRPr="00827721">
        <w:rPr>
          <w:rFonts w:eastAsia="Times New Roman"/>
          <w:lang w:eastAsia="ro-RO"/>
        </w:rPr>
        <w:t>4</w:t>
      </w:r>
      <w:r w:rsidRPr="00827721">
        <w:rPr>
          <w:rFonts w:eastAsia="Times New Roman"/>
          <w:lang w:eastAsia="ro-RO"/>
        </w:rPr>
        <w:t>-a</w:t>
      </w:r>
    </w:p>
    <w:p w14:paraId="3AA84675" w14:textId="1AF08DE2" w:rsidR="00BB53A8" w:rsidRPr="00827721" w:rsidRDefault="00BB53A8" w:rsidP="00EC69D1">
      <w:pPr>
        <w:pStyle w:val="Sectiune"/>
        <w:rPr>
          <w:rFonts w:eastAsia="Times New Roman"/>
          <w:i/>
          <w:iCs/>
          <w:lang w:eastAsia="ro-RO"/>
        </w:rPr>
      </w:pPr>
      <w:r w:rsidRPr="00827721">
        <w:rPr>
          <w:rFonts w:eastAsia="Times New Roman"/>
          <w:lang w:eastAsia="ro-RO"/>
        </w:rPr>
        <w:t>Material de sămânță</w:t>
      </w:r>
    </w:p>
    <w:p w14:paraId="64A3D0CA" w14:textId="0706E4D8" w:rsidR="00BB53A8" w:rsidRPr="00827721" w:rsidRDefault="00BB53A8" w:rsidP="00133AB1">
      <w:pPr>
        <w:pStyle w:val="Anexapct1"/>
        <w:rPr>
          <w:rFonts w:eastAsia="Times New Roman"/>
          <w:lang w:eastAsia="ro-RO"/>
        </w:rPr>
      </w:pPr>
      <w:r w:rsidRPr="00827721">
        <w:rPr>
          <w:rFonts w:eastAsia="Times New Roman"/>
          <w:lang w:eastAsia="ro-RO"/>
        </w:rPr>
        <w:t>Calculul emisiilor provenite din cultivare rezultate din producția de material de sămânță destinat cultivării plantelor se bazează pe datele reale privind materialul de sămânță utilizat. Factorii de emisie pentru producția și furnizarea de material de sămânță pot fi utilizați pentru a contabiliza emisiile asociate producției de semințe. Trebuie utilizate valorile standard prevăzute în anexa </w:t>
      </w:r>
      <w:r w:rsidR="008903CB" w:rsidRPr="00827721">
        <w:rPr>
          <w:rFonts w:eastAsia="Times New Roman"/>
          <w:lang w:eastAsia="ro-RO"/>
        </w:rPr>
        <w:t xml:space="preserve">nr. 9 </w:t>
      </w:r>
      <w:r w:rsidRPr="00827721">
        <w:rPr>
          <w:rFonts w:eastAsia="Times New Roman"/>
          <w:lang w:eastAsia="ro-RO"/>
        </w:rPr>
        <w:t xml:space="preserve">pentru factorii de emisie. </w:t>
      </w:r>
      <w:r w:rsidRPr="00827721">
        <w:rPr>
          <w:rFonts w:eastAsia="Times New Roman"/>
          <w:lang w:eastAsia="ro-RO"/>
        </w:rPr>
        <w:lastRenderedPageBreak/>
        <w:t>Pentru alte semințe, trebuie utilizate valorile din literatura de specialitate în următoarea ordine:</w:t>
      </w:r>
    </w:p>
    <w:p w14:paraId="0A929551" w14:textId="77777777" w:rsidR="00BB53A8" w:rsidRPr="00827721" w:rsidRDefault="00BB53A8" w:rsidP="00D50D93">
      <w:pPr>
        <w:pStyle w:val="Anexapct11"/>
        <w:rPr>
          <w:rFonts w:eastAsia="Times New Roman"/>
          <w:lang w:eastAsia="ro-RO"/>
        </w:rPr>
      </w:pPr>
      <w:r w:rsidRPr="00827721">
        <w:rPr>
          <w:rFonts w:eastAsia="Times New Roman"/>
          <w:lang w:eastAsia="ro-RO"/>
        </w:rPr>
        <w:t>versiunea 5 a raportului JEC-WTW;</w:t>
      </w:r>
    </w:p>
    <w:p w14:paraId="51ACBAA0" w14:textId="77777777" w:rsidR="00BB53A8" w:rsidRPr="00827721" w:rsidRDefault="00BB53A8" w:rsidP="00D50D93">
      <w:pPr>
        <w:pStyle w:val="Anexapct11"/>
        <w:rPr>
          <w:rFonts w:eastAsia="Times New Roman"/>
          <w:lang w:eastAsia="ro-RO"/>
        </w:rPr>
      </w:pPr>
      <w:r w:rsidRPr="00827721">
        <w:rPr>
          <w:rFonts w:eastAsia="Times New Roman"/>
          <w:lang w:eastAsia="ro-RO"/>
        </w:rPr>
        <w:t>baza de date ECOINVENT;</w:t>
      </w:r>
    </w:p>
    <w:p w14:paraId="5C9AB1F8" w14:textId="77777777" w:rsidR="00BB53A8" w:rsidRPr="00827721" w:rsidRDefault="00BB53A8" w:rsidP="00D50D93">
      <w:pPr>
        <w:pStyle w:val="Anexapct11"/>
        <w:rPr>
          <w:rFonts w:eastAsia="Times New Roman"/>
          <w:lang w:eastAsia="ro-RO"/>
        </w:rPr>
      </w:pPr>
      <w:r w:rsidRPr="00827721">
        <w:rPr>
          <w:rFonts w:eastAsia="Times New Roman"/>
          <w:lang w:eastAsia="ro-RO"/>
        </w:rPr>
        <w:t>surse „oficiale”, cum ar fi Grupul interguvernamental privind schimbările climatice (IPCC), Agenția Internațională a Energiei (AIE) sau guvernele;</w:t>
      </w:r>
    </w:p>
    <w:p w14:paraId="6206B176" w14:textId="77777777" w:rsidR="00BB53A8" w:rsidRPr="00827721" w:rsidRDefault="00BB53A8" w:rsidP="00D50D93">
      <w:pPr>
        <w:pStyle w:val="Anexapct11"/>
        <w:rPr>
          <w:rFonts w:eastAsia="Times New Roman"/>
          <w:lang w:eastAsia="ro-RO"/>
        </w:rPr>
      </w:pPr>
      <w:r w:rsidRPr="00827721">
        <w:rPr>
          <w:rFonts w:eastAsia="Times New Roman"/>
          <w:lang w:eastAsia="ro-RO"/>
        </w:rPr>
        <w:t>alte surse de date revizuite, cum ar fi baza de date E3, baza de date GEMIS;</w:t>
      </w:r>
    </w:p>
    <w:p w14:paraId="751B09E3" w14:textId="77777777" w:rsidR="00BB53A8" w:rsidRPr="00827721" w:rsidRDefault="00BB53A8" w:rsidP="00D50D93">
      <w:pPr>
        <w:pStyle w:val="Anexapct11"/>
        <w:rPr>
          <w:rFonts w:eastAsia="Times New Roman"/>
          <w:lang w:eastAsia="ro-RO"/>
        </w:rPr>
      </w:pPr>
      <w:r w:rsidRPr="00827721">
        <w:rPr>
          <w:rFonts w:eastAsia="Times New Roman"/>
          <w:lang w:eastAsia="ro-RO"/>
        </w:rPr>
        <w:t>publicații evaluate </w:t>
      </w:r>
      <w:r w:rsidRPr="00827721">
        <w:rPr>
          <w:rFonts w:eastAsia="Times New Roman"/>
          <w:i/>
          <w:iCs/>
          <w:lang w:eastAsia="ro-RO"/>
        </w:rPr>
        <w:t xml:space="preserve">inter </w:t>
      </w:r>
      <w:proofErr w:type="spellStart"/>
      <w:r w:rsidRPr="00827721">
        <w:rPr>
          <w:rFonts w:eastAsia="Times New Roman"/>
          <w:i/>
          <w:iCs/>
          <w:lang w:eastAsia="ro-RO"/>
        </w:rPr>
        <w:t>pares</w:t>
      </w:r>
      <w:proofErr w:type="spellEnd"/>
      <w:r w:rsidRPr="00827721">
        <w:rPr>
          <w:rFonts w:eastAsia="Times New Roman"/>
          <w:lang w:eastAsia="ro-RO"/>
        </w:rPr>
        <w:t>;</w:t>
      </w:r>
    </w:p>
    <w:p w14:paraId="141C7D99" w14:textId="77777777" w:rsidR="00BB53A8" w:rsidRPr="00827721" w:rsidRDefault="00BB53A8" w:rsidP="00D50D93">
      <w:pPr>
        <w:pStyle w:val="Anexapct11"/>
        <w:rPr>
          <w:rFonts w:eastAsia="Times New Roman"/>
          <w:lang w:eastAsia="ro-RO"/>
        </w:rPr>
      </w:pPr>
      <w:r w:rsidRPr="00827721">
        <w:rPr>
          <w:rFonts w:eastAsia="Times New Roman"/>
          <w:lang w:eastAsia="ro-RO"/>
        </w:rPr>
        <w:t>estimări proprii documentate în mod corespunzător.</w:t>
      </w:r>
    </w:p>
    <w:p w14:paraId="2A2207C0" w14:textId="5165A9FE" w:rsidR="004F04EB" w:rsidRPr="00827721" w:rsidRDefault="004F04EB" w:rsidP="004F04EB">
      <w:pPr>
        <w:shd w:val="clear" w:color="auto" w:fill="FFFFFF"/>
        <w:spacing w:before="120" w:line="240" w:lineRule="auto"/>
        <w:ind w:firstLine="0"/>
        <w:jc w:val="center"/>
        <w:rPr>
          <w:rFonts w:eastAsia="Times New Roman"/>
          <w:b/>
          <w:bCs/>
          <w:szCs w:val="28"/>
          <w:lang w:eastAsia="ro-RO"/>
        </w:rPr>
      </w:pPr>
      <w:r w:rsidRPr="00827721">
        <w:rPr>
          <w:rFonts w:eastAsia="Times New Roman"/>
          <w:b/>
          <w:bCs/>
          <w:szCs w:val="28"/>
          <w:lang w:eastAsia="ro-RO"/>
        </w:rPr>
        <w:t xml:space="preserve">Secțiunea a </w:t>
      </w:r>
      <w:r w:rsidR="007A68FE" w:rsidRPr="00827721">
        <w:rPr>
          <w:rFonts w:eastAsia="Times New Roman"/>
          <w:b/>
          <w:bCs/>
          <w:szCs w:val="28"/>
          <w:lang w:eastAsia="ro-RO"/>
        </w:rPr>
        <w:t>5</w:t>
      </w:r>
      <w:r w:rsidRPr="00827721">
        <w:rPr>
          <w:rFonts w:eastAsia="Times New Roman"/>
          <w:b/>
          <w:bCs/>
          <w:szCs w:val="28"/>
          <w:lang w:eastAsia="ro-RO"/>
        </w:rPr>
        <w:t>-a</w:t>
      </w:r>
    </w:p>
    <w:p w14:paraId="033C0A3E" w14:textId="77777777" w:rsidR="004F04EB" w:rsidRPr="00827721" w:rsidRDefault="00BB53A8" w:rsidP="00EC69D1">
      <w:pPr>
        <w:pStyle w:val="Sectiune"/>
        <w:rPr>
          <w:rFonts w:eastAsia="Times New Roman"/>
          <w:lang w:eastAsia="ro-RO"/>
        </w:rPr>
      </w:pPr>
      <w:r w:rsidRPr="00827721">
        <w:rPr>
          <w:rFonts w:eastAsia="Times New Roman"/>
          <w:lang w:eastAsia="ro-RO"/>
        </w:rPr>
        <w:t xml:space="preserve">Emisii provenite din </w:t>
      </w:r>
      <w:proofErr w:type="spellStart"/>
      <w:r w:rsidRPr="00827721">
        <w:rPr>
          <w:rFonts w:eastAsia="Times New Roman"/>
          <w:lang w:eastAsia="ro-RO"/>
        </w:rPr>
        <w:t>acidifierea</w:t>
      </w:r>
      <w:proofErr w:type="spellEnd"/>
      <w:r w:rsidRPr="00827721">
        <w:rPr>
          <w:rFonts w:eastAsia="Times New Roman"/>
          <w:lang w:eastAsia="ro-RO"/>
        </w:rPr>
        <w:t xml:space="preserve"> îngrășămintelor </w:t>
      </w:r>
    </w:p>
    <w:p w14:paraId="240B00B2" w14:textId="3A845EF7" w:rsidR="00BB53A8" w:rsidRPr="00827721" w:rsidRDefault="00BB53A8" w:rsidP="00EC69D1">
      <w:pPr>
        <w:pStyle w:val="Sectiune"/>
        <w:rPr>
          <w:rFonts w:eastAsia="Times New Roman"/>
          <w:lang w:eastAsia="ro-RO"/>
        </w:rPr>
      </w:pPr>
      <w:r w:rsidRPr="00827721">
        <w:rPr>
          <w:rFonts w:eastAsia="Times New Roman"/>
          <w:lang w:eastAsia="ro-RO"/>
        </w:rPr>
        <w:t>și aplicarea de amendamente calcice</w:t>
      </w:r>
    </w:p>
    <w:p w14:paraId="55266349" w14:textId="77777777" w:rsidR="00BB53A8" w:rsidRPr="00827721" w:rsidRDefault="00BB53A8" w:rsidP="00133AB1">
      <w:pPr>
        <w:pStyle w:val="Anexapct1"/>
        <w:rPr>
          <w:rFonts w:eastAsia="Times New Roman"/>
          <w:lang w:eastAsia="ro-RO"/>
        </w:rPr>
      </w:pPr>
      <w:r w:rsidRPr="00827721">
        <w:rPr>
          <w:rFonts w:eastAsia="Times New Roman"/>
          <w:lang w:eastAsia="ro-RO"/>
        </w:rPr>
        <w:t xml:space="preserve">Emisiile rezultate din neutralizarea </w:t>
      </w:r>
      <w:proofErr w:type="spellStart"/>
      <w:r w:rsidRPr="00827721">
        <w:rPr>
          <w:rFonts w:eastAsia="Times New Roman"/>
          <w:lang w:eastAsia="ro-RO"/>
        </w:rPr>
        <w:t>acidifierii</w:t>
      </w:r>
      <w:proofErr w:type="spellEnd"/>
      <w:r w:rsidRPr="00827721">
        <w:rPr>
          <w:rFonts w:eastAsia="Times New Roman"/>
          <w:lang w:eastAsia="ro-RO"/>
        </w:rPr>
        <w:t xml:space="preserve"> îngrășămintelor și aplicarea de amendamente calcice trebuie să țină seama de emisiile de CO</w:t>
      </w:r>
      <w:r w:rsidRPr="00827721">
        <w:rPr>
          <w:rFonts w:ascii="inherit" w:eastAsia="Times New Roman" w:hAnsi="inherit"/>
          <w:vertAlign w:val="subscript"/>
          <w:lang w:eastAsia="ro-RO"/>
        </w:rPr>
        <w:t>2</w:t>
      </w:r>
      <w:r w:rsidRPr="00827721">
        <w:rPr>
          <w:rFonts w:eastAsia="Times New Roman"/>
          <w:lang w:eastAsia="ro-RO"/>
        </w:rPr>
        <w:t xml:space="preserve"> rezultate din neutralizarea acidității îngrășămintelor azotate sau din reacțiile </w:t>
      </w:r>
      <w:proofErr w:type="spellStart"/>
      <w:r w:rsidRPr="00827721">
        <w:rPr>
          <w:rFonts w:eastAsia="Times New Roman"/>
          <w:lang w:eastAsia="ro-RO"/>
        </w:rPr>
        <w:t>agrocalcarului</w:t>
      </w:r>
      <w:proofErr w:type="spellEnd"/>
      <w:r w:rsidRPr="00827721">
        <w:rPr>
          <w:rFonts w:eastAsia="Times New Roman"/>
          <w:lang w:eastAsia="ro-RO"/>
        </w:rPr>
        <w:t xml:space="preserve"> din sol.</w:t>
      </w:r>
    </w:p>
    <w:p w14:paraId="60CAAC48" w14:textId="188F80F6" w:rsidR="00FB675D" w:rsidRPr="00827721" w:rsidRDefault="00FB675D" w:rsidP="00EC69D1">
      <w:pPr>
        <w:pStyle w:val="Sectiune"/>
        <w:rPr>
          <w:rFonts w:eastAsia="Times New Roman"/>
          <w:lang w:eastAsia="ro-RO"/>
        </w:rPr>
      </w:pPr>
      <w:r w:rsidRPr="00827721">
        <w:rPr>
          <w:rFonts w:eastAsia="Times New Roman"/>
          <w:lang w:eastAsia="ro-RO"/>
        </w:rPr>
        <w:t xml:space="preserve">Secțiunea a </w:t>
      </w:r>
      <w:r w:rsidR="007A68FE" w:rsidRPr="00827721">
        <w:rPr>
          <w:rFonts w:eastAsia="Times New Roman"/>
          <w:lang w:eastAsia="ro-RO"/>
        </w:rPr>
        <w:t>6</w:t>
      </w:r>
      <w:r w:rsidRPr="00827721">
        <w:rPr>
          <w:rFonts w:eastAsia="Times New Roman"/>
          <w:lang w:eastAsia="ro-RO"/>
        </w:rPr>
        <w:t>-a</w:t>
      </w:r>
    </w:p>
    <w:p w14:paraId="3CBBD152" w14:textId="5B86E34B" w:rsidR="00BB53A8" w:rsidRPr="00827721" w:rsidRDefault="00BB53A8" w:rsidP="00EC69D1">
      <w:pPr>
        <w:pStyle w:val="Sectiune"/>
        <w:rPr>
          <w:rFonts w:eastAsia="Times New Roman"/>
          <w:lang w:eastAsia="ro-RO"/>
        </w:rPr>
      </w:pPr>
      <w:r w:rsidRPr="00827721">
        <w:rPr>
          <w:rFonts w:eastAsia="Times New Roman"/>
          <w:lang w:eastAsia="ro-RO"/>
        </w:rPr>
        <w:t xml:space="preserve">Emisii provenite din neutralizarea </w:t>
      </w:r>
      <w:proofErr w:type="spellStart"/>
      <w:r w:rsidRPr="00827721">
        <w:rPr>
          <w:rFonts w:eastAsia="Times New Roman"/>
          <w:lang w:eastAsia="ro-RO"/>
        </w:rPr>
        <w:t>acidifierii</w:t>
      </w:r>
      <w:proofErr w:type="spellEnd"/>
      <w:r w:rsidRPr="00827721">
        <w:rPr>
          <w:rFonts w:eastAsia="Times New Roman"/>
          <w:lang w:eastAsia="ro-RO"/>
        </w:rPr>
        <w:t xml:space="preserve"> îngrășămintelor</w:t>
      </w:r>
    </w:p>
    <w:p w14:paraId="0C59FC8D" w14:textId="628E1E2E" w:rsidR="00BB53A8" w:rsidRPr="00827721" w:rsidRDefault="00BB53A8" w:rsidP="00133AB1">
      <w:pPr>
        <w:pStyle w:val="Anexapct1"/>
        <w:rPr>
          <w:rFonts w:eastAsia="Times New Roman"/>
          <w:lang w:eastAsia="ro-RO"/>
        </w:rPr>
      </w:pPr>
      <w:r w:rsidRPr="00827721">
        <w:rPr>
          <w:rFonts w:eastAsia="Times New Roman"/>
          <w:lang w:eastAsia="ro-RO"/>
        </w:rPr>
        <w:t xml:space="preserve">Emisiile rezultate din </w:t>
      </w:r>
      <w:proofErr w:type="spellStart"/>
      <w:r w:rsidRPr="00827721">
        <w:rPr>
          <w:rFonts w:eastAsia="Times New Roman"/>
          <w:lang w:eastAsia="ro-RO"/>
        </w:rPr>
        <w:t>acidifierea</w:t>
      </w:r>
      <w:proofErr w:type="spellEnd"/>
      <w:r w:rsidRPr="00827721">
        <w:rPr>
          <w:rFonts w:eastAsia="Times New Roman"/>
          <w:lang w:eastAsia="ro-RO"/>
        </w:rPr>
        <w:t xml:space="preserve"> cauzată de utilizarea îngrășămintelor pe bază de azot pe teren se iau în considerare pentru calculul emisiilor, pe baza cantității de îngrășăminte azotoase utilizate. Pentru îngrășămintele pe bază de nitrați, valoarea emisiilor rezultate din neutralizarea îngrășămintelor azotoase din sol trebuie să fie de 0,</w:t>
      </w:r>
      <w:r w:rsidR="000F2D8B" w:rsidRPr="00827721">
        <w:rPr>
          <w:rFonts w:eastAsia="Times New Roman"/>
          <w:lang w:eastAsia="ro-RO"/>
        </w:rPr>
        <w:t>806 </w:t>
      </w:r>
      <w:r w:rsidRPr="00827721">
        <w:rPr>
          <w:rFonts w:eastAsia="Times New Roman"/>
          <w:lang w:eastAsia="ro-RO"/>
        </w:rPr>
        <w:t>kg CO</w:t>
      </w:r>
      <w:r w:rsidRPr="00827721">
        <w:rPr>
          <w:rFonts w:ascii="inherit" w:eastAsia="Times New Roman" w:hAnsi="inherit"/>
          <w:vertAlign w:val="subscript"/>
          <w:lang w:eastAsia="ro-RO"/>
        </w:rPr>
        <w:t>2</w:t>
      </w:r>
      <w:r w:rsidRPr="00827721">
        <w:rPr>
          <w:rFonts w:eastAsia="Times New Roman"/>
          <w:lang w:eastAsia="ro-RO"/>
        </w:rPr>
        <w:t>/kg N; pentru îngrășămintele pe bază de uree, valoarea emisiilor de neutralizare trebuie să fie de 0,</w:t>
      </w:r>
      <w:r w:rsidR="005A680C" w:rsidRPr="00827721">
        <w:rPr>
          <w:rFonts w:eastAsia="Times New Roman"/>
          <w:lang w:eastAsia="ro-RO"/>
        </w:rPr>
        <w:t>783 </w:t>
      </w:r>
      <w:r w:rsidRPr="00827721">
        <w:rPr>
          <w:rFonts w:eastAsia="Times New Roman"/>
          <w:lang w:eastAsia="ro-RO"/>
        </w:rPr>
        <w:t>kg CO</w:t>
      </w:r>
      <w:r w:rsidRPr="00827721">
        <w:rPr>
          <w:rFonts w:ascii="inherit" w:eastAsia="Times New Roman" w:hAnsi="inherit"/>
          <w:vertAlign w:val="subscript"/>
          <w:lang w:eastAsia="ro-RO"/>
        </w:rPr>
        <w:t>2</w:t>
      </w:r>
      <w:r w:rsidRPr="00827721">
        <w:rPr>
          <w:rFonts w:eastAsia="Times New Roman"/>
          <w:lang w:eastAsia="ro-RO"/>
        </w:rPr>
        <w:t>/kg N.</w:t>
      </w:r>
    </w:p>
    <w:p w14:paraId="09F72DD5" w14:textId="7C382AAB" w:rsidR="00FB675D" w:rsidRPr="00827721" w:rsidRDefault="00FB675D" w:rsidP="00EC69D1">
      <w:pPr>
        <w:pStyle w:val="Sectiune"/>
        <w:rPr>
          <w:rFonts w:eastAsia="Times New Roman"/>
          <w:lang w:eastAsia="ro-RO"/>
        </w:rPr>
      </w:pPr>
      <w:r w:rsidRPr="00827721">
        <w:rPr>
          <w:rFonts w:eastAsia="Times New Roman"/>
          <w:lang w:eastAsia="ro-RO"/>
        </w:rPr>
        <w:t>Secțiunea a</w:t>
      </w:r>
      <w:r w:rsidR="007A68FE" w:rsidRPr="00827721">
        <w:rPr>
          <w:rFonts w:eastAsia="Times New Roman"/>
          <w:lang w:eastAsia="ro-RO"/>
        </w:rPr>
        <w:t xml:space="preserve"> 7</w:t>
      </w:r>
      <w:r w:rsidRPr="00827721">
        <w:rPr>
          <w:rFonts w:eastAsia="Times New Roman"/>
          <w:lang w:eastAsia="ro-RO"/>
        </w:rPr>
        <w:t>-a</w:t>
      </w:r>
    </w:p>
    <w:p w14:paraId="733A64D1" w14:textId="387EB270" w:rsidR="00BB53A8" w:rsidRPr="00827721" w:rsidRDefault="00BB53A8" w:rsidP="00EC69D1">
      <w:pPr>
        <w:pStyle w:val="Sectiune"/>
        <w:rPr>
          <w:rFonts w:eastAsia="Times New Roman"/>
          <w:lang w:eastAsia="ro-RO"/>
        </w:rPr>
      </w:pPr>
      <w:r w:rsidRPr="00827721">
        <w:rPr>
          <w:rFonts w:ascii="inherit" w:eastAsia="Times New Roman" w:hAnsi="inherit"/>
          <w:lang w:eastAsia="ro-RO"/>
        </w:rPr>
        <w:t>Emisii de sol rezultate din aplicarea de amendamente calcice (</w:t>
      </w:r>
      <w:proofErr w:type="spellStart"/>
      <w:r w:rsidRPr="00827721">
        <w:rPr>
          <w:rFonts w:ascii="inherit" w:eastAsia="Times New Roman" w:hAnsi="inherit"/>
          <w:lang w:eastAsia="ro-RO"/>
        </w:rPr>
        <w:t>agrocalcar</w:t>
      </w:r>
      <w:proofErr w:type="spellEnd"/>
      <w:r w:rsidRPr="00827721">
        <w:rPr>
          <w:rFonts w:ascii="inherit" w:eastAsia="Times New Roman" w:hAnsi="inherit"/>
          <w:lang w:eastAsia="ro-RO"/>
        </w:rPr>
        <w:t>)</w:t>
      </w:r>
    </w:p>
    <w:p w14:paraId="223A9D97" w14:textId="77777777" w:rsidR="00BB53A8" w:rsidRPr="00827721" w:rsidRDefault="00BB53A8" w:rsidP="00133AB1">
      <w:pPr>
        <w:pStyle w:val="Anexapct1"/>
        <w:rPr>
          <w:rFonts w:eastAsia="Times New Roman"/>
          <w:lang w:eastAsia="ro-RO"/>
        </w:rPr>
      </w:pPr>
      <w:r w:rsidRPr="00827721">
        <w:rPr>
          <w:rFonts w:eastAsia="Times New Roman"/>
          <w:lang w:eastAsia="ro-RO"/>
        </w:rPr>
        <w:t xml:space="preserve">Cantitatea reală de </w:t>
      </w:r>
      <w:proofErr w:type="spellStart"/>
      <w:r w:rsidRPr="00827721">
        <w:rPr>
          <w:rFonts w:eastAsia="Times New Roman"/>
          <w:lang w:eastAsia="ro-RO"/>
        </w:rPr>
        <w:t>agrocalcar</w:t>
      </w:r>
      <w:proofErr w:type="spellEnd"/>
      <w:r w:rsidRPr="00827721">
        <w:rPr>
          <w:rFonts w:eastAsia="Times New Roman"/>
          <w:lang w:eastAsia="ro-RO"/>
        </w:rPr>
        <w:t xml:space="preserve"> utilizată trebuie să fie documentată în mod corespunzător. Emisiile se calculează după cum urmează:</w:t>
      </w:r>
    </w:p>
    <w:p w14:paraId="7ECE121E" w14:textId="721B44B9" w:rsidR="00BB53A8" w:rsidRPr="00827721" w:rsidRDefault="00BB53A8" w:rsidP="00623E7C">
      <w:pPr>
        <w:pStyle w:val="Anexapct11"/>
        <w:rPr>
          <w:rFonts w:eastAsia="Times New Roman"/>
          <w:lang w:eastAsia="ro-RO"/>
        </w:rPr>
      </w:pPr>
      <w:r w:rsidRPr="00827721">
        <w:rPr>
          <w:rFonts w:eastAsia="Times New Roman"/>
          <w:lang w:eastAsia="ro-RO"/>
        </w:rPr>
        <w:t xml:space="preserve">Pe solurile acide, cu un pH mai mic de 6,4, </w:t>
      </w:r>
      <w:proofErr w:type="spellStart"/>
      <w:r w:rsidRPr="00827721">
        <w:rPr>
          <w:rFonts w:eastAsia="Times New Roman"/>
          <w:lang w:eastAsia="ro-RO"/>
        </w:rPr>
        <w:t>agrocalcarul</w:t>
      </w:r>
      <w:proofErr w:type="spellEnd"/>
      <w:r w:rsidRPr="00827721">
        <w:rPr>
          <w:rFonts w:eastAsia="Times New Roman"/>
          <w:lang w:eastAsia="ro-RO"/>
        </w:rPr>
        <w:t xml:space="preserve"> este dizolvat cu acizi din sol pentru a forma predominant CO</w:t>
      </w:r>
      <w:r w:rsidRPr="00827721">
        <w:rPr>
          <w:rFonts w:eastAsia="Times New Roman"/>
          <w:vertAlign w:val="subscript"/>
          <w:lang w:eastAsia="ro-RO"/>
        </w:rPr>
        <w:t>2</w:t>
      </w:r>
      <w:r w:rsidRPr="00827721">
        <w:rPr>
          <w:rFonts w:eastAsia="Times New Roman"/>
          <w:lang w:eastAsia="ro-RO"/>
        </w:rPr>
        <w:t>, mai degrabă decât bicarbonat, eliberând aproape în întregime CO</w:t>
      </w:r>
      <w:r w:rsidRPr="00827721">
        <w:rPr>
          <w:rFonts w:eastAsia="Times New Roman"/>
          <w:vertAlign w:val="subscript"/>
          <w:lang w:eastAsia="ro-RO"/>
        </w:rPr>
        <w:t>2</w:t>
      </w:r>
      <w:r w:rsidRPr="00827721">
        <w:rPr>
          <w:rFonts w:eastAsia="Times New Roman"/>
          <w:lang w:eastAsia="ro-RO"/>
        </w:rPr>
        <w:t xml:space="preserve"> în </w:t>
      </w:r>
      <w:proofErr w:type="spellStart"/>
      <w:r w:rsidRPr="00827721">
        <w:rPr>
          <w:rFonts w:eastAsia="Times New Roman"/>
          <w:lang w:eastAsia="ro-RO"/>
        </w:rPr>
        <w:t>agrocalcar</w:t>
      </w:r>
      <w:proofErr w:type="spellEnd"/>
      <w:r w:rsidRPr="00827721">
        <w:rPr>
          <w:rFonts w:eastAsia="Times New Roman"/>
          <w:lang w:eastAsia="ro-RO"/>
        </w:rPr>
        <w:t xml:space="preserve"> (0,44 kg CO</w:t>
      </w:r>
      <w:r w:rsidRPr="00827721">
        <w:rPr>
          <w:rFonts w:eastAsia="Times New Roman"/>
          <w:vertAlign w:val="subscript"/>
          <w:lang w:eastAsia="ro-RO"/>
        </w:rPr>
        <w:t>2</w:t>
      </w:r>
      <w:r w:rsidRPr="00827721">
        <w:rPr>
          <w:rFonts w:eastAsia="Times New Roman"/>
          <w:lang w:eastAsia="ro-RO"/>
        </w:rPr>
        <w:t xml:space="preserve">/kg de </w:t>
      </w:r>
      <w:proofErr w:type="spellStart"/>
      <w:r w:rsidRPr="00827721">
        <w:rPr>
          <w:rFonts w:eastAsia="Times New Roman"/>
          <w:lang w:eastAsia="ro-RO"/>
        </w:rPr>
        <w:t>agrocalcar</w:t>
      </w:r>
      <w:proofErr w:type="spellEnd"/>
      <w:r w:rsidRPr="00827721">
        <w:rPr>
          <w:rFonts w:eastAsia="Times New Roman"/>
          <w:lang w:eastAsia="ro-RO"/>
        </w:rPr>
        <w:t xml:space="preserve"> echivalent de CaCO</w:t>
      </w:r>
      <w:r w:rsidRPr="00827721">
        <w:rPr>
          <w:rFonts w:eastAsia="Times New Roman"/>
          <w:vertAlign w:val="subscript"/>
          <w:lang w:eastAsia="ro-RO"/>
        </w:rPr>
        <w:t>3</w:t>
      </w:r>
      <w:r w:rsidRPr="00827721">
        <w:rPr>
          <w:rFonts w:eastAsia="Times New Roman"/>
          <w:lang w:eastAsia="ro-RO"/>
        </w:rPr>
        <w:t>).</w:t>
      </w:r>
    </w:p>
    <w:p w14:paraId="27599EDA" w14:textId="32CB48A8" w:rsidR="00BB53A8" w:rsidRPr="00827721" w:rsidRDefault="00BB53A8" w:rsidP="00623E7C">
      <w:pPr>
        <w:pStyle w:val="Anexapct11"/>
        <w:rPr>
          <w:rFonts w:eastAsia="Times New Roman"/>
          <w:lang w:eastAsia="ro-RO"/>
        </w:rPr>
      </w:pPr>
      <w:r w:rsidRPr="00827721">
        <w:rPr>
          <w:rFonts w:eastAsia="Times New Roman"/>
          <w:lang w:eastAsia="ro-RO"/>
        </w:rPr>
        <w:t xml:space="preserve">În cazul în care </w:t>
      </w:r>
      <w:proofErr w:type="spellStart"/>
      <w:r w:rsidRPr="00827721">
        <w:rPr>
          <w:rFonts w:eastAsia="Times New Roman"/>
          <w:lang w:eastAsia="ro-RO"/>
        </w:rPr>
        <w:t>pH-ul</w:t>
      </w:r>
      <w:proofErr w:type="spellEnd"/>
      <w:r w:rsidRPr="00827721">
        <w:rPr>
          <w:rFonts w:eastAsia="Times New Roman"/>
          <w:lang w:eastAsia="ro-RO"/>
        </w:rPr>
        <w:t xml:space="preserve"> solului este de minimum 6,4, în calcul se ia în considerare un factor de emisie de 0,98/12,44 = 0,079 kg CO</w:t>
      </w:r>
      <w:r w:rsidRPr="00827721">
        <w:rPr>
          <w:rFonts w:eastAsia="Times New Roman"/>
          <w:vertAlign w:val="subscript"/>
          <w:lang w:eastAsia="ro-RO"/>
        </w:rPr>
        <w:t>2</w:t>
      </w:r>
      <w:r w:rsidRPr="00827721">
        <w:rPr>
          <w:rFonts w:eastAsia="Times New Roman"/>
          <w:lang w:eastAsia="ro-RO"/>
        </w:rPr>
        <w:t xml:space="preserve">/(kg echivalent de </w:t>
      </w:r>
      <w:r w:rsidRPr="00827721">
        <w:rPr>
          <w:rFonts w:eastAsia="Times New Roman"/>
          <w:lang w:eastAsia="ro-RO"/>
        </w:rPr>
        <w:lastRenderedPageBreak/>
        <w:t>CaCO</w:t>
      </w:r>
      <w:r w:rsidRPr="00827721">
        <w:rPr>
          <w:rFonts w:eastAsia="Times New Roman"/>
          <w:vertAlign w:val="subscript"/>
          <w:lang w:eastAsia="ro-RO"/>
        </w:rPr>
        <w:t>3</w:t>
      </w:r>
      <w:r w:rsidRPr="00827721">
        <w:rPr>
          <w:rFonts w:eastAsia="Times New Roman"/>
          <w:lang w:eastAsia="ro-RO"/>
        </w:rPr>
        <w:t xml:space="preserve">), pe lângă emisiile rezultate din neutralizarea </w:t>
      </w:r>
      <w:proofErr w:type="spellStart"/>
      <w:r w:rsidRPr="00827721">
        <w:rPr>
          <w:rFonts w:eastAsia="Times New Roman"/>
          <w:lang w:eastAsia="ro-RO"/>
        </w:rPr>
        <w:t>acidifierii</w:t>
      </w:r>
      <w:proofErr w:type="spellEnd"/>
      <w:r w:rsidRPr="00827721">
        <w:rPr>
          <w:rFonts w:eastAsia="Times New Roman"/>
          <w:lang w:eastAsia="ro-RO"/>
        </w:rPr>
        <w:t xml:space="preserve"> cauzate de îngrășământ.</w:t>
      </w:r>
    </w:p>
    <w:p w14:paraId="2D1C2CA9" w14:textId="533D91AB" w:rsidR="00BB53A8" w:rsidRPr="00827721" w:rsidRDefault="00BB53A8" w:rsidP="00623E7C">
      <w:pPr>
        <w:pStyle w:val="Anexapct11"/>
        <w:rPr>
          <w:rFonts w:eastAsia="Times New Roman"/>
          <w:lang w:eastAsia="ro-RO"/>
        </w:rPr>
      </w:pPr>
      <w:r w:rsidRPr="00827721">
        <w:rPr>
          <w:rFonts w:eastAsia="Times New Roman"/>
          <w:lang w:eastAsia="ro-RO"/>
        </w:rPr>
        <w:t xml:space="preserve">Emisiile de amendamente calcice calculate pe baza utilizării efective a </w:t>
      </w:r>
      <w:proofErr w:type="spellStart"/>
      <w:r w:rsidRPr="00827721">
        <w:rPr>
          <w:rFonts w:eastAsia="Times New Roman"/>
          <w:lang w:eastAsia="ro-RO"/>
        </w:rPr>
        <w:t>agrocalcarului</w:t>
      </w:r>
      <w:proofErr w:type="spellEnd"/>
      <w:r w:rsidRPr="00827721">
        <w:rPr>
          <w:rFonts w:eastAsia="Times New Roman"/>
          <w:lang w:eastAsia="ro-RO"/>
        </w:rPr>
        <w:t xml:space="preserve">, calculate la </w:t>
      </w:r>
      <w:r w:rsidR="00B74B15" w:rsidRPr="00827721">
        <w:rPr>
          <w:rFonts w:eastAsia="Times New Roman"/>
          <w:lang w:eastAsia="ro-RO"/>
        </w:rPr>
        <w:t xml:space="preserve">subpct. 9.1 </w:t>
      </w:r>
      <w:r w:rsidRPr="00827721">
        <w:rPr>
          <w:rFonts w:eastAsia="Times New Roman"/>
          <w:lang w:eastAsia="ro-RO"/>
        </w:rPr>
        <w:t>și </w:t>
      </w:r>
      <w:r w:rsidR="00B74B15" w:rsidRPr="00827721">
        <w:rPr>
          <w:rFonts w:eastAsia="Times New Roman"/>
          <w:lang w:eastAsia="ro-RO"/>
        </w:rPr>
        <w:t>9.</w:t>
      </w:r>
      <w:r w:rsidRPr="00827721">
        <w:rPr>
          <w:rFonts w:eastAsia="Times New Roman"/>
          <w:lang w:eastAsia="ro-RO"/>
        </w:rPr>
        <w:t xml:space="preserve">2 , pot fi mai mari decât emisiile rezultate din neutralizarea îngrășămintelor calculate la </w:t>
      </w:r>
      <w:r w:rsidR="000A62E5" w:rsidRPr="00827721">
        <w:rPr>
          <w:rFonts w:eastAsia="Times New Roman"/>
          <w:lang w:eastAsia="ro-RO"/>
        </w:rPr>
        <w:t>pct. 8</w:t>
      </w:r>
      <w:r w:rsidRPr="00827721">
        <w:rPr>
          <w:rFonts w:eastAsia="Times New Roman"/>
          <w:lang w:eastAsia="ro-RO"/>
        </w:rPr>
        <w:t xml:space="preserve"> dacă </w:t>
      </w:r>
      <w:proofErr w:type="spellStart"/>
      <w:r w:rsidRPr="00827721">
        <w:rPr>
          <w:rFonts w:eastAsia="Times New Roman"/>
          <w:lang w:eastAsia="ro-RO"/>
        </w:rPr>
        <w:t>acidifierea</w:t>
      </w:r>
      <w:proofErr w:type="spellEnd"/>
      <w:r w:rsidRPr="00827721">
        <w:rPr>
          <w:rFonts w:eastAsia="Times New Roman"/>
          <w:lang w:eastAsia="ro-RO"/>
        </w:rPr>
        <w:t xml:space="preserve"> îngrășământului a fost neutralizată de </w:t>
      </w:r>
      <w:proofErr w:type="spellStart"/>
      <w:r w:rsidRPr="00827721">
        <w:rPr>
          <w:rFonts w:eastAsia="Times New Roman"/>
          <w:lang w:eastAsia="ro-RO"/>
        </w:rPr>
        <w:t>agrocalcarul</w:t>
      </w:r>
      <w:proofErr w:type="spellEnd"/>
      <w:r w:rsidRPr="00827721">
        <w:rPr>
          <w:rFonts w:eastAsia="Times New Roman"/>
          <w:lang w:eastAsia="ro-RO"/>
        </w:rPr>
        <w:t xml:space="preserve"> aplicat. Într-un astfel de caz, emisiile rezultate din neutralizarea îngrășămintelor</w:t>
      </w:r>
      <w:r w:rsidR="00F02718" w:rsidRPr="00827721">
        <w:rPr>
          <w:rFonts w:eastAsia="Times New Roman"/>
          <w:lang w:eastAsia="ro-RO"/>
        </w:rPr>
        <w:t>,</w:t>
      </w:r>
      <w:r w:rsidRPr="00827721">
        <w:rPr>
          <w:rFonts w:eastAsia="Times New Roman"/>
          <w:lang w:eastAsia="ro-RO"/>
        </w:rPr>
        <w:t xml:space="preserve"> </w:t>
      </w:r>
      <w:r w:rsidR="00F02718" w:rsidRPr="00827721">
        <w:rPr>
          <w:rFonts w:eastAsia="Times New Roman"/>
          <w:lang w:eastAsia="ro-RO"/>
        </w:rPr>
        <w:t xml:space="preserve">în </w:t>
      </w:r>
      <w:r w:rsidR="009A0075" w:rsidRPr="00827721">
        <w:rPr>
          <w:rFonts w:eastAsia="Times New Roman"/>
          <w:lang w:eastAsia="ro-RO"/>
        </w:rPr>
        <w:t>conform</w:t>
      </w:r>
      <w:r w:rsidR="00F02718" w:rsidRPr="00827721">
        <w:rPr>
          <w:rFonts w:eastAsia="Times New Roman"/>
          <w:lang w:eastAsia="ro-RO"/>
        </w:rPr>
        <w:t>itate cu</w:t>
      </w:r>
      <w:r w:rsidR="009A0075" w:rsidRPr="00827721">
        <w:rPr>
          <w:rFonts w:eastAsia="Times New Roman"/>
          <w:lang w:eastAsia="ro-RO"/>
        </w:rPr>
        <w:t xml:space="preserve"> pct. 8</w:t>
      </w:r>
      <w:r w:rsidR="00F02718" w:rsidRPr="00827721">
        <w:rPr>
          <w:rFonts w:eastAsia="Times New Roman"/>
          <w:lang w:eastAsia="ro-RO"/>
        </w:rPr>
        <w:t>,</w:t>
      </w:r>
      <w:r w:rsidRPr="00827721">
        <w:rPr>
          <w:rFonts w:eastAsia="Times New Roman"/>
          <w:lang w:eastAsia="ro-RO"/>
        </w:rPr>
        <w:t xml:space="preserve"> pot fi scăzute din valorile calculate ale emisiilor rezultate din aplicarea de amendamente calcice, pentru a evita contabilizarea de două ori a acestor emisii.</w:t>
      </w:r>
    </w:p>
    <w:p w14:paraId="2CEA0C3D" w14:textId="2C37E088" w:rsidR="00BB53A8" w:rsidRPr="00827721" w:rsidRDefault="00BB53A8" w:rsidP="004C0886">
      <w:pPr>
        <w:pStyle w:val="Anexapct111"/>
        <w:rPr>
          <w:rFonts w:eastAsia="Times New Roman"/>
          <w:lang w:eastAsia="ro-RO"/>
        </w:rPr>
      </w:pPr>
      <w:r w:rsidRPr="00827721">
        <w:rPr>
          <w:rFonts w:eastAsia="Times New Roman"/>
          <w:lang w:eastAsia="ro-RO"/>
        </w:rPr>
        <w:t xml:space="preserve">Emisiile rezultate din </w:t>
      </w:r>
      <w:proofErr w:type="spellStart"/>
      <w:r w:rsidRPr="00827721">
        <w:rPr>
          <w:rFonts w:eastAsia="Times New Roman"/>
          <w:lang w:eastAsia="ro-RO"/>
        </w:rPr>
        <w:t>acidifierea</w:t>
      </w:r>
      <w:proofErr w:type="spellEnd"/>
      <w:r w:rsidRPr="00827721">
        <w:rPr>
          <w:rFonts w:eastAsia="Times New Roman"/>
          <w:lang w:eastAsia="ro-RO"/>
        </w:rPr>
        <w:t xml:space="preserve"> îngrășămintelor pot fi mai mari decât cele atribuite </w:t>
      </w:r>
      <w:proofErr w:type="spellStart"/>
      <w:r w:rsidRPr="00827721">
        <w:rPr>
          <w:rFonts w:eastAsia="Times New Roman"/>
          <w:lang w:eastAsia="ro-RO"/>
        </w:rPr>
        <w:t>agrocalcarului</w:t>
      </w:r>
      <w:proofErr w:type="spellEnd"/>
      <w:r w:rsidRPr="00827721">
        <w:rPr>
          <w:rFonts w:eastAsia="Times New Roman"/>
          <w:lang w:eastAsia="ro-RO"/>
        </w:rPr>
        <w:t xml:space="preserve">. În acest caz, scăderea </w:t>
      </w:r>
      <w:r w:rsidR="003240EF" w:rsidRPr="00827721">
        <w:rPr>
          <w:rFonts w:eastAsia="Times New Roman"/>
          <w:lang w:eastAsia="ro-RO"/>
        </w:rPr>
        <w:t>are</w:t>
      </w:r>
      <w:r w:rsidRPr="00827721">
        <w:rPr>
          <w:rFonts w:eastAsia="Times New Roman"/>
          <w:lang w:eastAsia="ro-RO"/>
        </w:rPr>
        <w:t xml:space="preserve"> ca rezultat valori nete aparent negative ale emisiilor rezultate din aplicarea de amendamente calcice, deoarece aciditatea îngrășămintelor nu este în întregime neutralizată de </w:t>
      </w:r>
      <w:proofErr w:type="spellStart"/>
      <w:r w:rsidRPr="00827721">
        <w:rPr>
          <w:rFonts w:eastAsia="Times New Roman"/>
          <w:lang w:eastAsia="ro-RO"/>
        </w:rPr>
        <w:t>agrocalcar</w:t>
      </w:r>
      <w:proofErr w:type="spellEnd"/>
      <w:r w:rsidRPr="00827721">
        <w:rPr>
          <w:rFonts w:eastAsia="Times New Roman"/>
          <w:lang w:eastAsia="ro-RO"/>
        </w:rPr>
        <w:t xml:space="preserve">, fiind neutralizată parțial și de carbonați naturali. În acest caz, valorile nete ale emisiilor rezultate din aplicarea de amendamente calcice sunt egale cu zero, însă emisiile rezultate din </w:t>
      </w:r>
      <w:proofErr w:type="spellStart"/>
      <w:r w:rsidRPr="00827721">
        <w:rPr>
          <w:rFonts w:eastAsia="Times New Roman"/>
          <w:lang w:eastAsia="ro-RO"/>
        </w:rPr>
        <w:t>acidifierea</w:t>
      </w:r>
      <w:proofErr w:type="spellEnd"/>
      <w:r w:rsidRPr="00827721">
        <w:rPr>
          <w:rFonts w:eastAsia="Times New Roman"/>
          <w:lang w:eastAsia="ro-RO"/>
        </w:rPr>
        <w:t xml:space="preserve"> îngrășămintelor care se produce în orice caz se mențin la valorile specificate la </w:t>
      </w:r>
      <w:r w:rsidR="00FC296E" w:rsidRPr="00827721">
        <w:rPr>
          <w:rFonts w:eastAsia="Times New Roman"/>
          <w:lang w:eastAsia="ro-RO"/>
        </w:rPr>
        <w:t>pct. 8</w:t>
      </w:r>
      <w:r w:rsidRPr="00827721">
        <w:rPr>
          <w:rFonts w:eastAsia="Times New Roman"/>
          <w:lang w:eastAsia="ro-RO"/>
        </w:rPr>
        <w:t>.</w:t>
      </w:r>
    </w:p>
    <w:p w14:paraId="29E44685" w14:textId="3646FD1F" w:rsidR="00BB53A8" w:rsidRPr="00827721" w:rsidRDefault="00BB53A8" w:rsidP="004C0886">
      <w:pPr>
        <w:pStyle w:val="Anexapct111"/>
        <w:rPr>
          <w:rFonts w:eastAsia="Times New Roman"/>
          <w:lang w:eastAsia="ro-RO"/>
        </w:rPr>
      </w:pPr>
      <w:r w:rsidRPr="00827721">
        <w:rPr>
          <w:rFonts w:eastAsia="Times New Roman"/>
          <w:lang w:eastAsia="ro-RO"/>
        </w:rPr>
        <w:t xml:space="preserve">În cazul în care nu sunt disponibile date reale privind utilizarea </w:t>
      </w:r>
      <w:proofErr w:type="spellStart"/>
      <w:r w:rsidRPr="00827721">
        <w:rPr>
          <w:rFonts w:eastAsia="Times New Roman"/>
          <w:lang w:eastAsia="ro-RO"/>
        </w:rPr>
        <w:t>agrocalcarului</w:t>
      </w:r>
      <w:proofErr w:type="spellEnd"/>
      <w:r w:rsidRPr="00827721">
        <w:rPr>
          <w:rFonts w:eastAsia="Times New Roman"/>
          <w:lang w:eastAsia="ro-RO"/>
        </w:rPr>
        <w:t xml:space="preserve">, se presupune că se utilizează </w:t>
      </w:r>
      <w:proofErr w:type="spellStart"/>
      <w:r w:rsidRPr="00827721">
        <w:rPr>
          <w:rFonts w:eastAsia="Times New Roman"/>
          <w:lang w:eastAsia="ro-RO"/>
        </w:rPr>
        <w:t>agrocalcarul</w:t>
      </w:r>
      <w:proofErr w:type="spellEnd"/>
      <w:r w:rsidRPr="00827721">
        <w:rPr>
          <w:rFonts w:eastAsia="Times New Roman"/>
          <w:lang w:eastAsia="ro-RO"/>
        </w:rPr>
        <w:t xml:space="preserve"> recomandat de </w:t>
      </w:r>
      <w:r w:rsidR="00755EF3" w:rsidRPr="00827721">
        <w:rPr>
          <w:rFonts w:eastAsia="Times New Roman"/>
          <w:lang w:eastAsia="ro-RO"/>
        </w:rPr>
        <w:t>asociații din domeniu</w:t>
      </w:r>
      <w:r w:rsidRPr="00827721">
        <w:rPr>
          <w:rFonts w:eastAsia="Times New Roman"/>
          <w:lang w:eastAsia="ro-RO"/>
        </w:rPr>
        <w:t xml:space="preserve">. Aceste date depind de tipul de cultură, de </w:t>
      </w:r>
      <w:proofErr w:type="spellStart"/>
      <w:r w:rsidRPr="00827721">
        <w:rPr>
          <w:rFonts w:eastAsia="Times New Roman"/>
          <w:lang w:eastAsia="ro-RO"/>
        </w:rPr>
        <w:t>pH-ul</w:t>
      </w:r>
      <w:proofErr w:type="spellEnd"/>
      <w:r w:rsidRPr="00827721">
        <w:rPr>
          <w:rFonts w:eastAsia="Times New Roman"/>
          <w:lang w:eastAsia="ro-RO"/>
        </w:rPr>
        <w:t xml:space="preserve"> măsurat al solului, de tipul de sol și pe tipul de amendamente calcice. Emisiile de CO</w:t>
      </w:r>
      <w:r w:rsidRPr="00827721">
        <w:rPr>
          <w:rFonts w:eastAsia="Times New Roman"/>
          <w:vertAlign w:val="subscript"/>
          <w:lang w:eastAsia="ro-RO"/>
        </w:rPr>
        <w:t>2</w:t>
      </w:r>
      <w:r w:rsidRPr="00827721">
        <w:rPr>
          <w:rFonts w:eastAsia="Times New Roman"/>
          <w:lang w:eastAsia="ro-RO"/>
        </w:rPr>
        <w:t xml:space="preserve"> aferente se calculează conform procedurii descrise la </w:t>
      </w:r>
      <w:r w:rsidR="0084759F" w:rsidRPr="00827721">
        <w:rPr>
          <w:rFonts w:eastAsia="Times New Roman"/>
          <w:lang w:eastAsia="ro-RO"/>
        </w:rPr>
        <w:t>subpct. 9.1 și 9.2</w:t>
      </w:r>
      <w:r w:rsidRPr="00827721">
        <w:rPr>
          <w:rFonts w:eastAsia="Times New Roman"/>
          <w:lang w:eastAsia="ro-RO"/>
        </w:rPr>
        <w:t xml:space="preserve">. Cu toate acestea, scăderea specificată la </w:t>
      </w:r>
      <w:r w:rsidR="0084759F" w:rsidRPr="00827721">
        <w:rPr>
          <w:rFonts w:eastAsia="Times New Roman"/>
          <w:lang w:eastAsia="ro-RO"/>
        </w:rPr>
        <w:t>subpct. 9.3</w:t>
      </w:r>
      <w:r w:rsidRPr="00827721">
        <w:rPr>
          <w:rFonts w:eastAsia="Times New Roman"/>
          <w:lang w:eastAsia="ro-RO"/>
        </w:rPr>
        <w:t xml:space="preserve"> nu se aplică în acest caz, deoarece utilizarea recomandată a </w:t>
      </w:r>
      <w:proofErr w:type="spellStart"/>
      <w:r w:rsidRPr="00827721">
        <w:rPr>
          <w:rFonts w:eastAsia="Times New Roman"/>
          <w:lang w:eastAsia="ro-RO"/>
        </w:rPr>
        <w:t>agrocalcarului</w:t>
      </w:r>
      <w:proofErr w:type="spellEnd"/>
      <w:r w:rsidRPr="00827721">
        <w:rPr>
          <w:rFonts w:eastAsia="Times New Roman"/>
          <w:lang w:eastAsia="ro-RO"/>
        </w:rPr>
        <w:t xml:space="preserve"> nu include </w:t>
      </w:r>
      <w:proofErr w:type="spellStart"/>
      <w:r w:rsidRPr="00827721">
        <w:rPr>
          <w:rFonts w:eastAsia="Times New Roman"/>
          <w:lang w:eastAsia="ro-RO"/>
        </w:rPr>
        <w:t>agrocalcarul</w:t>
      </w:r>
      <w:proofErr w:type="spellEnd"/>
      <w:r w:rsidRPr="00827721">
        <w:rPr>
          <w:rFonts w:eastAsia="Times New Roman"/>
          <w:lang w:eastAsia="ro-RO"/>
        </w:rPr>
        <w:t xml:space="preserve"> utilizat pentru neutralizarea îngrășământului aplicat în același an, astfel încât nu există posibilitatea unei duble contabilizări a emisiilor rezultate din neutralizarea îngrășămintelor.</w:t>
      </w:r>
    </w:p>
    <w:p w14:paraId="3169D78F" w14:textId="0A388DAD" w:rsidR="008F3F2C" w:rsidRPr="00827721" w:rsidRDefault="008F3F2C" w:rsidP="00B258FE">
      <w:pPr>
        <w:pStyle w:val="Sectiune"/>
        <w:rPr>
          <w:rFonts w:eastAsia="Times New Roman"/>
          <w:lang w:eastAsia="ro-RO"/>
        </w:rPr>
      </w:pPr>
      <w:r w:rsidRPr="00827721">
        <w:rPr>
          <w:rFonts w:eastAsia="Times New Roman"/>
          <w:lang w:eastAsia="ro-RO"/>
        </w:rPr>
        <w:t xml:space="preserve">Secțiunea a </w:t>
      </w:r>
      <w:r w:rsidR="007A68FE" w:rsidRPr="00827721">
        <w:rPr>
          <w:rFonts w:eastAsia="Times New Roman"/>
          <w:lang w:eastAsia="ro-RO"/>
        </w:rPr>
        <w:t>8</w:t>
      </w:r>
      <w:r w:rsidRPr="00827721">
        <w:rPr>
          <w:rFonts w:eastAsia="Times New Roman"/>
          <w:lang w:eastAsia="ro-RO"/>
        </w:rPr>
        <w:t>-a</w:t>
      </w:r>
    </w:p>
    <w:p w14:paraId="3572254C" w14:textId="19EC3BA8" w:rsidR="00BB53A8" w:rsidRPr="00827721" w:rsidRDefault="00BB53A8" w:rsidP="00B258FE">
      <w:pPr>
        <w:pStyle w:val="Sectiune"/>
        <w:rPr>
          <w:rFonts w:eastAsia="Times New Roman"/>
          <w:i/>
          <w:iCs/>
          <w:lang w:eastAsia="ro-RO"/>
        </w:rPr>
      </w:pPr>
      <w:r w:rsidRPr="00827721">
        <w:rPr>
          <w:rFonts w:ascii="inherit" w:eastAsia="Times New Roman" w:hAnsi="inherit"/>
          <w:lang w:eastAsia="ro-RO"/>
        </w:rPr>
        <w:t>Emisiile din sol (protoxid de azot/N2O) provenite din cultivarea plantelor</w:t>
      </w:r>
    </w:p>
    <w:p w14:paraId="770DAB4C" w14:textId="1D66988E" w:rsidR="00BB53A8" w:rsidRPr="00827721" w:rsidRDefault="00BB53A8" w:rsidP="00133AB1">
      <w:pPr>
        <w:pStyle w:val="Anexapct1"/>
        <w:rPr>
          <w:rFonts w:eastAsia="Times New Roman"/>
          <w:lang w:eastAsia="ro-RO"/>
        </w:rPr>
      </w:pPr>
      <w:r w:rsidRPr="00827721">
        <w:rPr>
          <w:rFonts w:eastAsia="Times New Roman"/>
          <w:lang w:eastAsia="ro-RO"/>
        </w:rPr>
        <w:t>Calculul emisiilor de N</w:t>
      </w:r>
      <w:r w:rsidRPr="00827721">
        <w:rPr>
          <w:rFonts w:ascii="inherit" w:eastAsia="Times New Roman" w:hAnsi="inherit"/>
          <w:vertAlign w:val="subscript"/>
          <w:lang w:eastAsia="ro-RO"/>
        </w:rPr>
        <w:t>2</w:t>
      </w:r>
      <w:r w:rsidRPr="00827721">
        <w:rPr>
          <w:rFonts w:eastAsia="Times New Roman"/>
          <w:lang w:eastAsia="ro-RO"/>
        </w:rPr>
        <w:t xml:space="preserve">O provenite din solurile gestionate respectă metodologia stabilită de </w:t>
      </w:r>
      <w:r w:rsidR="00B63433" w:rsidRPr="00827721">
        <w:rPr>
          <w:rFonts w:eastAsia="Times New Roman"/>
          <w:lang w:eastAsia="ro-RO"/>
        </w:rPr>
        <w:t xml:space="preserve">grupul </w:t>
      </w:r>
      <w:r w:rsidRPr="00827721">
        <w:rPr>
          <w:rFonts w:eastAsia="Times New Roman"/>
          <w:lang w:eastAsia="ro-RO"/>
        </w:rPr>
        <w:t>interguvernamental privind schimbările climatice (IPCC). Pentru calcularea emisiilor de N</w:t>
      </w:r>
      <w:r w:rsidRPr="00827721">
        <w:rPr>
          <w:rFonts w:ascii="inherit" w:eastAsia="Times New Roman" w:hAnsi="inherit"/>
          <w:vertAlign w:val="subscript"/>
          <w:lang w:eastAsia="ro-RO"/>
        </w:rPr>
        <w:t>2</w:t>
      </w:r>
      <w:r w:rsidRPr="00827721">
        <w:rPr>
          <w:rFonts w:eastAsia="Times New Roman"/>
          <w:lang w:eastAsia="ro-RO"/>
        </w:rPr>
        <w:t xml:space="preserve">O provenite din cultivarea plantelor, se utilizează factorii de emisie specifici defalcați pe culturi pentru diferite condiții de mediu (care corespund nivelului 2 al metodologiei stabilite de IPCC). </w:t>
      </w:r>
      <w:r w:rsidR="004C117A" w:rsidRPr="00827721">
        <w:rPr>
          <w:rFonts w:eastAsia="Times New Roman"/>
          <w:lang w:eastAsia="ro-RO"/>
        </w:rPr>
        <w:t xml:space="preserve">Se iau </w:t>
      </w:r>
      <w:r w:rsidRPr="00827721">
        <w:rPr>
          <w:rFonts w:eastAsia="Times New Roman"/>
          <w:lang w:eastAsia="ro-RO"/>
        </w:rPr>
        <w:t xml:space="preserve">în considerare factorii de emisie specifici pentru condiții de mediu diferite, condiții pedologice diferite și culturi diferite. Operatorii economici </w:t>
      </w:r>
      <w:r w:rsidR="000C389D" w:rsidRPr="00827721">
        <w:rPr>
          <w:rFonts w:eastAsia="Times New Roman"/>
          <w:lang w:eastAsia="ro-RO"/>
        </w:rPr>
        <w:t>pot</w:t>
      </w:r>
      <w:r w:rsidRPr="00827721">
        <w:rPr>
          <w:rFonts w:eastAsia="Times New Roman"/>
          <w:lang w:eastAsia="ro-RO"/>
        </w:rPr>
        <w:t xml:space="preserve"> utiliza modele validate </w:t>
      </w:r>
      <w:r w:rsidRPr="00827721">
        <w:rPr>
          <w:rFonts w:eastAsia="Times New Roman"/>
          <w:lang w:eastAsia="ro-RO"/>
        </w:rPr>
        <w:lastRenderedPageBreak/>
        <w:t>pentru a calcula factorii de emisie respectivi, cu condiția ca modelele să țină seama de aceste aspecte. În conformitate cu orientările IPCC (</w:t>
      </w:r>
      <w:r w:rsidR="0065709D" w:rsidRPr="00827721">
        <w:rPr>
          <w:rFonts w:eastAsia="Times New Roman"/>
          <w:lang w:eastAsia="ro-RO"/>
        </w:rPr>
        <w:t xml:space="preserve">anul </w:t>
      </w:r>
      <w:r w:rsidR="0065709D" w:rsidRPr="00827721">
        <w:t>2006, volumul 4, capitolul 11: Emisiile de N2O din solurile gestionate și emisiile de CO</w:t>
      </w:r>
      <w:r w:rsidR="0065709D" w:rsidRPr="007F44AF">
        <w:rPr>
          <w:vertAlign w:val="subscript"/>
        </w:rPr>
        <w:t>2</w:t>
      </w:r>
      <w:r w:rsidR="0065709D" w:rsidRPr="00827721">
        <w:t xml:space="preserve"> provenite din aplicarea de amendamente calcice și uree</w:t>
      </w:r>
      <w:r w:rsidRPr="00827721">
        <w:rPr>
          <w:rFonts w:eastAsia="Times New Roman"/>
          <w:lang w:eastAsia="ro-RO"/>
        </w:rPr>
        <w:t>), se iau în considerare atât emisiile directe, cât și cele indirecte de N</w:t>
      </w:r>
      <w:r w:rsidRPr="00827721">
        <w:rPr>
          <w:rFonts w:ascii="inherit" w:eastAsia="Times New Roman" w:hAnsi="inherit"/>
          <w:vertAlign w:val="subscript"/>
          <w:lang w:eastAsia="ro-RO"/>
        </w:rPr>
        <w:t>2</w:t>
      </w:r>
      <w:r w:rsidRPr="00827721">
        <w:rPr>
          <w:rFonts w:eastAsia="Times New Roman"/>
          <w:lang w:eastAsia="ro-RO"/>
        </w:rPr>
        <w:t xml:space="preserve">O. Se utilizează instrumentul </w:t>
      </w:r>
      <w:r w:rsidR="001D1013" w:rsidRPr="00827721">
        <w:rPr>
          <w:rFonts w:eastAsia="Times New Roman"/>
          <w:lang w:eastAsia="ro-RO"/>
        </w:rPr>
        <w:t>global de calcul al emisiilor de oxid de azot (</w:t>
      </w:r>
      <w:r w:rsidRPr="00827721">
        <w:rPr>
          <w:rFonts w:eastAsia="Times New Roman"/>
          <w:lang w:eastAsia="ro-RO"/>
        </w:rPr>
        <w:t>GNOC</w:t>
      </w:r>
      <w:r w:rsidR="001D1013" w:rsidRPr="00827721">
        <w:rPr>
          <w:rFonts w:eastAsia="Times New Roman"/>
          <w:lang w:eastAsia="ro-RO"/>
        </w:rPr>
        <w:t>)</w:t>
      </w:r>
      <w:r w:rsidRPr="00827721">
        <w:rPr>
          <w:rFonts w:eastAsia="Times New Roman"/>
          <w:lang w:eastAsia="ro-RO"/>
        </w:rPr>
        <w:t>, care se bazează pe formulele de mai jos, în conformitate cu convențiile privind denumirile din ghidurile IPCC (2006):</w:t>
      </w:r>
    </w:p>
    <w:p w14:paraId="627188E1" w14:textId="77777777" w:rsidR="00BB53A8" w:rsidRPr="00827721" w:rsidRDefault="00BB53A8" w:rsidP="008F3F2C">
      <w:pPr>
        <w:shd w:val="clear" w:color="auto" w:fill="FFFFFF"/>
        <w:spacing w:before="120" w:line="240" w:lineRule="auto"/>
        <w:ind w:firstLine="0"/>
        <w:jc w:val="center"/>
        <w:rPr>
          <w:rFonts w:eastAsia="Times New Roman"/>
          <w:szCs w:val="28"/>
          <w:lang w:eastAsia="ro-RO"/>
        </w:rPr>
      </w:pPr>
      <w:r w:rsidRPr="00827721">
        <w:rPr>
          <w:rFonts w:eastAsia="Times New Roman"/>
          <w:szCs w:val="28"/>
          <w:lang w:eastAsia="ro-RO"/>
        </w:rPr>
        <w:t>N</w:t>
      </w:r>
      <w:r w:rsidRPr="00827721">
        <w:rPr>
          <w:rFonts w:eastAsia="Times New Roman"/>
          <w:szCs w:val="28"/>
          <w:vertAlign w:val="subscript"/>
          <w:lang w:eastAsia="ro-RO"/>
        </w:rPr>
        <w:t>2</w:t>
      </w:r>
      <w:r w:rsidRPr="00827721">
        <w:rPr>
          <w:rFonts w:eastAsia="Times New Roman"/>
          <w:szCs w:val="28"/>
          <w:lang w:eastAsia="ro-RO"/>
        </w:rPr>
        <w:t>O</w:t>
      </w:r>
      <w:r w:rsidRPr="00827721">
        <w:rPr>
          <w:rFonts w:eastAsia="Times New Roman"/>
          <w:szCs w:val="28"/>
          <w:vertAlign w:val="subscript"/>
          <w:lang w:eastAsia="ro-RO"/>
        </w:rPr>
        <w:t>total</w:t>
      </w:r>
      <w:r w:rsidRPr="00827721">
        <w:rPr>
          <w:rFonts w:eastAsia="Times New Roman"/>
          <w:szCs w:val="28"/>
          <w:lang w:eastAsia="ro-RO"/>
        </w:rPr>
        <w:t> – N = N</w:t>
      </w:r>
      <w:r w:rsidRPr="00827721">
        <w:rPr>
          <w:rFonts w:eastAsia="Times New Roman"/>
          <w:szCs w:val="28"/>
          <w:vertAlign w:val="subscript"/>
          <w:lang w:eastAsia="ro-RO"/>
        </w:rPr>
        <w:t>2</w:t>
      </w:r>
      <w:r w:rsidRPr="00827721">
        <w:rPr>
          <w:rFonts w:eastAsia="Times New Roman"/>
          <w:szCs w:val="28"/>
          <w:lang w:eastAsia="ro-RO"/>
        </w:rPr>
        <w:t>O</w:t>
      </w:r>
      <w:r w:rsidRPr="00827721">
        <w:rPr>
          <w:rFonts w:eastAsia="Times New Roman"/>
          <w:szCs w:val="28"/>
          <w:vertAlign w:val="subscript"/>
          <w:lang w:eastAsia="ro-RO"/>
        </w:rPr>
        <w:t>direct</w:t>
      </w:r>
      <w:r w:rsidRPr="00827721">
        <w:rPr>
          <w:rFonts w:eastAsia="Times New Roman"/>
          <w:szCs w:val="28"/>
          <w:lang w:eastAsia="ro-RO"/>
        </w:rPr>
        <w:t> – N + N</w:t>
      </w:r>
      <w:r w:rsidRPr="00827721">
        <w:rPr>
          <w:rFonts w:eastAsia="Times New Roman"/>
          <w:szCs w:val="28"/>
          <w:vertAlign w:val="subscript"/>
          <w:lang w:eastAsia="ro-RO"/>
        </w:rPr>
        <w:t>2</w:t>
      </w:r>
      <w:r w:rsidRPr="00827721">
        <w:rPr>
          <w:rFonts w:eastAsia="Times New Roman"/>
          <w:szCs w:val="28"/>
          <w:lang w:eastAsia="ro-RO"/>
        </w:rPr>
        <w:t>O</w:t>
      </w:r>
      <w:r w:rsidRPr="00827721">
        <w:rPr>
          <w:rFonts w:eastAsia="Times New Roman"/>
          <w:szCs w:val="28"/>
          <w:vertAlign w:val="subscript"/>
          <w:lang w:eastAsia="ro-RO"/>
        </w:rPr>
        <w:t>indirect</w:t>
      </w:r>
      <w:r w:rsidRPr="00827721">
        <w:rPr>
          <w:rFonts w:eastAsia="Times New Roman"/>
          <w:szCs w:val="28"/>
          <w:lang w:eastAsia="ro-RO"/>
        </w:rPr>
        <w:t> – N</w:t>
      </w:r>
    </w:p>
    <w:p w14:paraId="389D0CC2" w14:textId="77777777" w:rsidR="00BB53A8" w:rsidRPr="00827721" w:rsidRDefault="00BB53A8" w:rsidP="002D029E">
      <w:pPr>
        <w:rPr>
          <w:rFonts w:eastAsia="Times New Roman"/>
          <w:lang w:eastAsia="ro-RO"/>
        </w:rPr>
      </w:pPr>
      <w:r w:rsidRPr="00827721">
        <w:rPr>
          <w:rFonts w:eastAsia="Times New Roman"/>
          <w:lang w:eastAsia="ro-RO"/>
        </w:rPr>
        <w:t>unde:</w:t>
      </w:r>
    </w:p>
    <w:p w14:paraId="4D3659C7" w14:textId="77777777" w:rsidR="00F63279" w:rsidRPr="00827721" w:rsidRDefault="00BB53A8" w:rsidP="00BB53A8">
      <w:pPr>
        <w:shd w:val="clear" w:color="auto" w:fill="FFFFFF"/>
        <w:spacing w:before="120" w:line="240" w:lineRule="auto"/>
        <w:ind w:firstLine="0"/>
        <w:rPr>
          <w:rFonts w:eastAsia="Times New Roman"/>
          <w:szCs w:val="28"/>
          <w:lang w:eastAsia="ro-RO"/>
        </w:rPr>
      </w:pPr>
      <w:r w:rsidRPr="00827721">
        <w:rPr>
          <w:rFonts w:eastAsia="Times New Roman"/>
          <w:szCs w:val="28"/>
          <w:lang w:eastAsia="ro-RO"/>
        </w:rPr>
        <w:t>Pentru solurile minerale: </w:t>
      </w:r>
    </w:p>
    <w:p w14:paraId="7BFF5354" w14:textId="5EB1271D" w:rsidR="00BB53A8" w:rsidRPr="00827721" w:rsidRDefault="00BB53A8" w:rsidP="00F63279">
      <w:pPr>
        <w:shd w:val="clear" w:color="auto" w:fill="FFFFFF"/>
        <w:spacing w:before="120" w:line="240" w:lineRule="auto"/>
        <w:ind w:firstLine="0"/>
        <w:jc w:val="center"/>
        <w:rPr>
          <w:rFonts w:eastAsia="Times New Roman"/>
          <w:szCs w:val="28"/>
          <w:lang w:eastAsia="ro-RO"/>
        </w:rPr>
      </w:pPr>
      <w:r w:rsidRPr="00827721">
        <w:rPr>
          <w:rFonts w:eastAsia="Times New Roman"/>
          <w:i/>
          <w:iCs/>
          <w:szCs w:val="28"/>
          <w:lang w:eastAsia="ro-RO"/>
        </w:rPr>
        <w:t>N</w:t>
      </w:r>
      <w:r w:rsidRPr="00827721">
        <w:rPr>
          <w:rFonts w:eastAsia="Times New Roman"/>
          <w:i/>
          <w:iCs/>
          <w:szCs w:val="28"/>
          <w:vertAlign w:val="subscript"/>
          <w:lang w:eastAsia="ro-RO"/>
        </w:rPr>
        <w:t>2</w:t>
      </w:r>
      <w:r w:rsidRPr="00827721">
        <w:rPr>
          <w:rFonts w:eastAsia="Times New Roman"/>
          <w:i/>
          <w:iCs/>
          <w:szCs w:val="28"/>
          <w:lang w:eastAsia="ro-RO"/>
        </w:rPr>
        <w:t>O</w:t>
      </w:r>
      <w:r w:rsidRPr="00827721">
        <w:rPr>
          <w:rFonts w:eastAsia="Times New Roman"/>
          <w:i/>
          <w:iCs/>
          <w:szCs w:val="28"/>
          <w:vertAlign w:val="subscript"/>
          <w:lang w:eastAsia="ro-RO"/>
        </w:rPr>
        <w:t>Direct</w:t>
      </w:r>
      <w:r w:rsidRPr="00827721">
        <w:rPr>
          <w:rFonts w:eastAsia="Times New Roman"/>
          <w:i/>
          <w:iCs/>
          <w:szCs w:val="28"/>
          <w:lang w:eastAsia="ro-RO"/>
        </w:rPr>
        <w:t> – N = [(F</w:t>
      </w:r>
      <w:r w:rsidRPr="00827721">
        <w:rPr>
          <w:rFonts w:eastAsia="Times New Roman"/>
          <w:i/>
          <w:iCs/>
          <w:szCs w:val="28"/>
          <w:vertAlign w:val="subscript"/>
          <w:lang w:eastAsia="ro-RO"/>
        </w:rPr>
        <w:t>SN</w:t>
      </w:r>
      <w:r w:rsidRPr="00827721">
        <w:rPr>
          <w:rFonts w:eastAsia="Times New Roman"/>
          <w:i/>
          <w:iCs/>
          <w:szCs w:val="28"/>
          <w:lang w:eastAsia="ro-RO"/>
        </w:rPr>
        <w:t> + F</w:t>
      </w:r>
      <w:r w:rsidRPr="00827721">
        <w:rPr>
          <w:rFonts w:eastAsia="Times New Roman"/>
          <w:i/>
          <w:iCs/>
          <w:szCs w:val="28"/>
          <w:vertAlign w:val="subscript"/>
          <w:lang w:eastAsia="ro-RO"/>
        </w:rPr>
        <w:t>ON</w:t>
      </w:r>
      <w:r w:rsidRPr="00827721">
        <w:rPr>
          <w:rFonts w:eastAsia="Times New Roman"/>
          <w:i/>
          <w:iCs/>
          <w:szCs w:val="28"/>
          <w:lang w:eastAsia="ro-RO"/>
        </w:rPr>
        <w:t>) • EF</w:t>
      </w:r>
      <w:r w:rsidRPr="00827721">
        <w:rPr>
          <w:rFonts w:eastAsia="Times New Roman"/>
          <w:i/>
          <w:iCs/>
          <w:szCs w:val="28"/>
          <w:vertAlign w:val="subscript"/>
          <w:lang w:eastAsia="ro-RO"/>
        </w:rPr>
        <w:t>1ij</w:t>
      </w:r>
      <w:r w:rsidRPr="00827721">
        <w:rPr>
          <w:rFonts w:eastAsia="Times New Roman"/>
          <w:i/>
          <w:iCs/>
          <w:szCs w:val="28"/>
          <w:lang w:eastAsia="ro-RO"/>
        </w:rPr>
        <w:t>] + [F</w:t>
      </w:r>
      <w:r w:rsidRPr="00827721">
        <w:rPr>
          <w:rFonts w:eastAsia="Times New Roman"/>
          <w:i/>
          <w:iCs/>
          <w:szCs w:val="28"/>
          <w:vertAlign w:val="subscript"/>
          <w:lang w:eastAsia="ro-RO"/>
        </w:rPr>
        <w:t>CR</w:t>
      </w:r>
      <w:r w:rsidRPr="00827721">
        <w:rPr>
          <w:rFonts w:eastAsia="Times New Roman"/>
          <w:i/>
          <w:iCs/>
          <w:szCs w:val="28"/>
          <w:lang w:eastAsia="ro-RO"/>
        </w:rPr>
        <w:t> • E</w:t>
      </w:r>
      <w:r w:rsidRPr="00827721">
        <w:rPr>
          <w:rFonts w:eastAsia="Times New Roman"/>
          <w:i/>
          <w:iCs/>
          <w:szCs w:val="28"/>
          <w:vertAlign w:val="subscript"/>
          <w:lang w:eastAsia="ro-RO"/>
        </w:rPr>
        <w:t>F1</w:t>
      </w:r>
      <w:r w:rsidRPr="00827721">
        <w:rPr>
          <w:rFonts w:eastAsia="Times New Roman"/>
          <w:i/>
          <w:iCs/>
          <w:szCs w:val="28"/>
          <w:lang w:eastAsia="ro-RO"/>
        </w:rPr>
        <w:t>]</w:t>
      </w:r>
    </w:p>
    <w:p w14:paraId="0E16CF14" w14:textId="77777777" w:rsidR="00F63279" w:rsidRPr="00827721" w:rsidRDefault="00BB53A8" w:rsidP="00BB53A8">
      <w:pPr>
        <w:shd w:val="clear" w:color="auto" w:fill="FFFFFF"/>
        <w:spacing w:before="120" w:line="240" w:lineRule="auto"/>
        <w:ind w:firstLine="0"/>
        <w:rPr>
          <w:rFonts w:eastAsia="Times New Roman"/>
          <w:szCs w:val="28"/>
          <w:lang w:eastAsia="ro-RO"/>
        </w:rPr>
      </w:pPr>
      <w:r w:rsidRPr="00827721">
        <w:rPr>
          <w:rFonts w:eastAsia="Times New Roman"/>
          <w:szCs w:val="28"/>
          <w:lang w:eastAsia="ro-RO"/>
        </w:rPr>
        <w:t>Pentru solurile organice: </w:t>
      </w:r>
    </w:p>
    <w:p w14:paraId="0D2CAA17" w14:textId="5E6CC6E3" w:rsidR="00BB53A8" w:rsidRPr="00827721" w:rsidRDefault="00BB53A8" w:rsidP="00F63279">
      <w:pPr>
        <w:shd w:val="clear" w:color="auto" w:fill="FFFFFF"/>
        <w:spacing w:before="120" w:line="240" w:lineRule="auto"/>
        <w:ind w:firstLine="0"/>
        <w:jc w:val="center"/>
        <w:rPr>
          <w:rFonts w:eastAsia="Times New Roman"/>
          <w:szCs w:val="28"/>
          <w:lang w:eastAsia="ro-RO"/>
        </w:rPr>
      </w:pPr>
      <w:r w:rsidRPr="00827721">
        <w:rPr>
          <w:rFonts w:eastAsia="Times New Roman"/>
          <w:i/>
          <w:iCs/>
          <w:szCs w:val="28"/>
          <w:lang w:eastAsia="ro-RO"/>
        </w:rPr>
        <w:t>N</w:t>
      </w:r>
      <w:r w:rsidRPr="00827721">
        <w:rPr>
          <w:rFonts w:eastAsia="Times New Roman"/>
          <w:szCs w:val="28"/>
          <w:lang w:eastAsia="ro-RO"/>
        </w:rPr>
        <w:t> </w:t>
      </w:r>
      <w:r w:rsidRPr="00827721">
        <w:rPr>
          <w:rFonts w:eastAsia="Times New Roman"/>
          <w:szCs w:val="28"/>
          <w:vertAlign w:val="subscript"/>
          <w:lang w:eastAsia="ro-RO"/>
        </w:rPr>
        <w:t>2</w:t>
      </w:r>
      <w:r w:rsidRPr="00827721">
        <w:rPr>
          <w:rFonts w:eastAsia="Times New Roman"/>
          <w:szCs w:val="28"/>
          <w:lang w:eastAsia="ro-RO"/>
        </w:rPr>
        <w:t> </w:t>
      </w:r>
      <w:proofErr w:type="spellStart"/>
      <w:r w:rsidRPr="00827721">
        <w:rPr>
          <w:rFonts w:eastAsia="Times New Roman"/>
          <w:i/>
          <w:iCs/>
          <w:szCs w:val="28"/>
          <w:lang w:eastAsia="ro-RO"/>
        </w:rPr>
        <w:t>O</w:t>
      </w:r>
      <w:r w:rsidRPr="00827721">
        <w:rPr>
          <w:rFonts w:eastAsia="Times New Roman"/>
          <w:i/>
          <w:iCs/>
          <w:szCs w:val="28"/>
          <w:vertAlign w:val="subscript"/>
          <w:lang w:eastAsia="ro-RO"/>
        </w:rPr>
        <w:t>Direct</w:t>
      </w:r>
      <w:proofErr w:type="spellEnd"/>
      <w:r w:rsidRPr="00827721">
        <w:rPr>
          <w:rFonts w:eastAsia="Times New Roman"/>
          <w:i/>
          <w:iCs/>
          <w:szCs w:val="28"/>
          <w:lang w:eastAsia="ro-RO"/>
        </w:rPr>
        <w:t> </w:t>
      </w:r>
      <w:r w:rsidRPr="00827721">
        <w:rPr>
          <w:rFonts w:eastAsia="Times New Roman"/>
          <w:szCs w:val="28"/>
          <w:lang w:eastAsia="ro-RO"/>
        </w:rPr>
        <w:t> – </w:t>
      </w:r>
      <w:r w:rsidRPr="00827721">
        <w:rPr>
          <w:rFonts w:eastAsia="Times New Roman"/>
          <w:i/>
          <w:iCs/>
          <w:szCs w:val="28"/>
          <w:lang w:eastAsia="ro-RO"/>
        </w:rPr>
        <w:t>N</w:t>
      </w:r>
      <w:r w:rsidRPr="00827721">
        <w:rPr>
          <w:rFonts w:eastAsia="Times New Roman"/>
          <w:szCs w:val="28"/>
          <w:lang w:eastAsia="ro-RO"/>
        </w:rPr>
        <w:t> = </w:t>
      </w:r>
      <w:r w:rsidRPr="00827721">
        <w:rPr>
          <w:rFonts w:eastAsia="Times New Roman"/>
          <w:i/>
          <w:iCs/>
          <w:szCs w:val="28"/>
          <w:lang w:eastAsia="ro-RO"/>
        </w:rPr>
        <w:t>[(F</w:t>
      </w:r>
      <w:r w:rsidRPr="00827721">
        <w:rPr>
          <w:rFonts w:eastAsia="Times New Roman"/>
          <w:i/>
          <w:iCs/>
          <w:szCs w:val="28"/>
          <w:vertAlign w:val="subscript"/>
          <w:lang w:eastAsia="ro-RO"/>
        </w:rPr>
        <w:t>SN</w:t>
      </w:r>
      <w:r w:rsidRPr="00827721">
        <w:rPr>
          <w:rFonts w:eastAsia="Times New Roman"/>
          <w:i/>
          <w:iCs/>
          <w:szCs w:val="28"/>
          <w:lang w:eastAsia="ro-RO"/>
        </w:rPr>
        <w:t> + F</w:t>
      </w:r>
      <w:r w:rsidRPr="00827721">
        <w:rPr>
          <w:rFonts w:eastAsia="Times New Roman"/>
          <w:i/>
          <w:iCs/>
          <w:szCs w:val="28"/>
          <w:vertAlign w:val="subscript"/>
          <w:lang w:eastAsia="ro-RO"/>
        </w:rPr>
        <w:t>ON</w:t>
      </w:r>
      <w:r w:rsidRPr="00827721">
        <w:rPr>
          <w:rFonts w:eastAsia="Times New Roman"/>
          <w:i/>
          <w:iCs/>
          <w:szCs w:val="28"/>
          <w:lang w:eastAsia="ro-RO"/>
        </w:rPr>
        <w:t>) • EF</w:t>
      </w:r>
      <w:r w:rsidRPr="00827721">
        <w:rPr>
          <w:rFonts w:eastAsia="Times New Roman"/>
          <w:i/>
          <w:iCs/>
          <w:szCs w:val="28"/>
          <w:vertAlign w:val="subscript"/>
          <w:lang w:eastAsia="ro-RO"/>
        </w:rPr>
        <w:t>1</w:t>
      </w:r>
      <w:r w:rsidRPr="00827721">
        <w:rPr>
          <w:rFonts w:eastAsia="Times New Roman"/>
          <w:i/>
          <w:iCs/>
          <w:szCs w:val="28"/>
          <w:lang w:eastAsia="ro-RO"/>
        </w:rPr>
        <w:t>] + [F</w:t>
      </w:r>
      <w:r w:rsidRPr="00827721">
        <w:rPr>
          <w:rFonts w:eastAsia="Times New Roman"/>
          <w:i/>
          <w:iCs/>
          <w:szCs w:val="28"/>
          <w:vertAlign w:val="subscript"/>
          <w:lang w:eastAsia="ro-RO"/>
        </w:rPr>
        <w:t>CR</w:t>
      </w:r>
      <w:r w:rsidRPr="00827721">
        <w:rPr>
          <w:rFonts w:eastAsia="Times New Roman"/>
          <w:i/>
          <w:iCs/>
          <w:szCs w:val="28"/>
          <w:lang w:eastAsia="ro-RO"/>
        </w:rPr>
        <w:t> • E</w:t>
      </w:r>
      <w:r w:rsidRPr="00827721">
        <w:rPr>
          <w:rFonts w:eastAsia="Times New Roman"/>
          <w:i/>
          <w:iCs/>
          <w:szCs w:val="28"/>
          <w:vertAlign w:val="subscript"/>
          <w:lang w:eastAsia="ro-RO"/>
        </w:rPr>
        <w:t>F1</w:t>
      </w:r>
      <w:r w:rsidRPr="00827721">
        <w:rPr>
          <w:rFonts w:eastAsia="Times New Roman"/>
          <w:i/>
          <w:iCs/>
          <w:szCs w:val="28"/>
          <w:lang w:eastAsia="ro-RO"/>
        </w:rPr>
        <w:t>] + [(</w:t>
      </w:r>
      <w:proofErr w:type="spellStart"/>
      <w:r w:rsidRPr="00827721">
        <w:rPr>
          <w:rFonts w:eastAsia="Times New Roman"/>
          <w:i/>
          <w:iCs/>
          <w:szCs w:val="28"/>
          <w:lang w:eastAsia="ro-RO"/>
        </w:rPr>
        <w:t>F</w:t>
      </w:r>
      <w:r w:rsidRPr="00827721">
        <w:rPr>
          <w:rFonts w:eastAsia="Times New Roman"/>
          <w:i/>
          <w:iCs/>
          <w:szCs w:val="28"/>
          <w:vertAlign w:val="subscript"/>
          <w:lang w:eastAsia="ro-RO"/>
        </w:rPr>
        <w:t>OS,CG,Temp</w:t>
      </w:r>
      <w:proofErr w:type="spellEnd"/>
      <w:r w:rsidRPr="00827721">
        <w:rPr>
          <w:rFonts w:eastAsia="Times New Roman"/>
          <w:i/>
          <w:iCs/>
          <w:szCs w:val="28"/>
          <w:lang w:eastAsia="ro-RO"/>
        </w:rPr>
        <w:t> • EF</w:t>
      </w:r>
      <w:r w:rsidRPr="00827721">
        <w:rPr>
          <w:rFonts w:eastAsia="Times New Roman"/>
          <w:i/>
          <w:iCs/>
          <w:szCs w:val="28"/>
          <w:vertAlign w:val="subscript"/>
          <w:lang w:eastAsia="ro-RO"/>
        </w:rPr>
        <w:t xml:space="preserve">2CG, </w:t>
      </w:r>
      <w:proofErr w:type="spellStart"/>
      <w:r w:rsidRPr="00827721">
        <w:rPr>
          <w:rFonts w:eastAsia="Times New Roman"/>
          <w:i/>
          <w:iCs/>
          <w:szCs w:val="28"/>
          <w:vertAlign w:val="subscript"/>
          <w:lang w:eastAsia="ro-RO"/>
        </w:rPr>
        <w:t>Temp</w:t>
      </w:r>
      <w:proofErr w:type="spellEnd"/>
      <w:r w:rsidRPr="00827721">
        <w:rPr>
          <w:rFonts w:eastAsia="Times New Roman"/>
          <w:i/>
          <w:iCs/>
          <w:szCs w:val="28"/>
          <w:lang w:eastAsia="ro-RO"/>
        </w:rPr>
        <w:t>] + [</w:t>
      </w:r>
      <w:proofErr w:type="spellStart"/>
      <w:r w:rsidRPr="00827721">
        <w:rPr>
          <w:rFonts w:eastAsia="Times New Roman"/>
          <w:i/>
          <w:iCs/>
          <w:szCs w:val="28"/>
          <w:lang w:eastAsia="ro-RO"/>
        </w:rPr>
        <w:t>F</w:t>
      </w:r>
      <w:r w:rsidRPr="00827721">
        <w:rPr>
          <w:rFonts w:eastAsia="Times New Roman"/>
          <w:i/>
          <w:iCs/>
          <w:szCs w:val="28"/>
          <w:vertAlign w:val="subscript"/>
          <w:lang w:eastAsia="ro-RO"/>
        </w:rPr>
        <w:t>CROS,CG,Trop</w:t>
      </w:r>
      <w:proofErr w:type="spellEnd"/>
      <w:r w:rsidRPr="00827721">
        <w:rPr>
          <w:rFonts w:eastAsia="Times New Roman"/>
          <w:i/>
          <w:iCs/>
          <w:szCs w:val="28"/>
          <w:lang w:eastAsia="ro-RO"/>
        </w:rPr>
        <w:t> • E</w:t>
      </w:r>
      <w:r w:rsidRPr="00827721">
        <w:rPr>
          <w:rFonts w:eastAsia="Times New Roman"/>
          <w:i/>
          <w:iCs/>
          <w:szCs w:val="28"/>
          <w:vertAlign w:val="subscript"/>
          <w:lang w:eastAsia="ro-RO"/>
        </w:rPr>
        <w:t>2CG,Trop</w:t>
      </w:r>
      <w:r w:rsidRPr="00827721">
        <w:rPr>
          <w:rFonts w:eastAsia="Times New Roman"/>
          <w:i/>
          <w:iCs/>
          <w:szCs w:val="28"/>
          <w:lang w:eastAsia="ro-RO"/>
        </w:rPr>
        <w:t>]</w:t>
      </w:r>
    </w:p>
    <w:p w14:paraId="453E52AE" w14:textId="77777777" w:rsidR="00F63279" w:rsidRPr="00827721" w:rsidRDefault="00BB53A8" w:rsidP="00BB53A8">
      <w:pPr>
        <w:shd w:val="clear" w:color="auto" w:fill="FFFFFF"/>
        <w:spacing w:before="120" w:line="240" w:lineRule="auto"/>
        <w:ind w:firstLine="0"/>
        <w:rPr>
          <w:rFonts w:eastAsia="Times New Roman"/>
          <w:szCs w:val="28"/>
          <w:lang w:eastAsia="ro-RO"/>
        </w:rPr>
      </w:pPr>
      <w:r w:rsidRPr="00827721">
        <w:rPr>
          <w:rFonts w:eastAsia="Times New Roman"/>
          <w:szCs w:val="28"/>
          <w:lang w:eastAsia="ro-RO"/>
        </w:rPr>
        <w:t>Atât pentru solurile minerale, cât și pentru solurile organice: </w:t>
      </w:r>
    </w:p>
    <w:p w14:paraId="0585EF7A" w14:textId="459A2305" w:rsidR="00BB53A8" w:rsidRPr="00827721" w:rsidRDefault="00BB53A8" w:rsidP="00A075B1">
      <w:pPr>
        <w:shd w:val="clear" w:color="auto" w:fill="FFFFFF"/>
        <w:spacing w:before="120" w:line="240" w:lineRule="auto"/>
        <w:ind w:firstLine="0"/>
        <w:jc w:val="center"/>
        <w:rPr>
          <w:rFonts w:eastAsia="Times New Roman"/>
          <w:szCs w:val="28"/>
          <w:lang w:eastAsia="ro-RO"/>
        </w:rPr>
      </w:pPr>
      <w:r w:rsidRPr="00827721">
        <w:rPr>
          <w:rFonts w:eastAsia="Times New Roman"/>
          <w:i/>
          <w:iCs/>
          <w:szCs w:val="28"/>
          <w:lang w:eastAsia="ro-RO"/>
        </w:rPr>
        <w:t>N</w:t>
      </w:r>
      <w:r w:rsidRPr="00827721">
        <w:rPr>
          <w:rFonts w:eastAsia="Times New Roman"/>
          <w:szCs w:val="28"/>
          <w:lang w:eastAsia="ro-RO"/>
        </w:rPr>
        <w:t> </w:t>
      </w:r>
      <w:r w:rsidRPr="00827721">
        <w:rPr>
          <w:rFonts w:eastAsia="Times New Roman"/>
          <w:szCs w:val="28"/>
          <w:vertAlign w:val="subscript"/>
          <w:lang w:eastAsia="ro-RO"/>
        </w:rPr>
        <w:t>2</w:t>
      </w:r>
      <w:r w:rsidRPr="00827721">
        <w:rPr>
          <w:rFonts w:eastAsia="Times New Roman"/>
          <w:szCs w:val="28"/>
          <w:lang w:eastAsia="ro-RO"/>
        </w:rPr>
        <w:t> </w:t>
      </w:r>
      <w:proofErr w:type="spellStart"/>
      <w:r w:rsidRPr="00827721">
        <w:rPr>
          <w:rFonts w:eastAsia="Times New Roman"/>
          <w:i/>
          <w:iCs/>
          <w:szCs w:val="28"/>
          <w:lang w:eastAsia="ro-RO"/>
        </w:rPr>
        <w:t>O</w:t>
      </w:r>
      <w:r w:rsidRPr="00827721">
        <w:rPr>
          <w:rFonts w:eastAsia="Times New Roman"/>
          <w:i/>
          <w:iCs/>
          <w:szCs w:val="28"/>
          <w:vertAlign w:val="subscript"/>
          <w:lang w:eastAsia="ro-RO"/>
        </w:rPr>
        <w:t>Direct</w:t>
      </w:r>
      <w:proofErr w:type="spellEnd"/>
      <w:r w:rsidRPr="00827721">
        <w:rPr>
          <w:rFonts w:eastAsia="Times New Roman"/>
          <w:i/>
          <w:iCs/>
          <w:szCs w:val="28"/>
          <w:lang w:eastAsia="ro-RO"/>
        </w:rPr>
        <w:t> </w:t>
      </w:r>
      <w:r w:rsidRPr="00827721">
        <w:rPr>
          <w:rFonts w:eastAsia="Times New Roman"/>
          <w:szCs w:val="28"/>
          <w:lang w:eastAsia="ro-RO"/>
        </w:rPr>
        <w:t> – </w:t>
      </w:r>
      <w:r w:rsidRPr="00827721">
        <w:rPr>
          <w:rFonts w:eastAsia="Times New Roman"/>
          <w:i/>
          <w:iCs/>
          <w:szCs w:val="28"/>
          <w:lang w:eastAsia="ro-RO"/>
        </w:rPr>
        <w:t>N</w:t>
      </w:r>
      <w:r w:rsidRPr="00827721">
        <w:rPr>
          <w:rFonts w:eastAsia="Times New Roman"/>
          <w:szCs w:val="28"/>
          <w:lang w:eastAsia="ro-RO"/>
        </w:rPr>
        <w:t> = </w:t>
      </w:r>
      <w:r w:rsidRPr="00827721">
        <w:rPr>
          <w:rFonts w:eastAsia="Times New Roman"/>
          <w:i/>
          <w:iCs/>
          <w:szCs w:val="28"/>
          <w:lang w:eastAsia="ro-RO"/>
        </w:rPr>
        <w:t>[[(F</w:t>
      </w:r>
      <w:r w:rsidRPr="00827721">
        <w:rPr>
          <w:rFonts w:eastAsia="Times New Roman"/>
          <w:i/>
          <w:iCs/>
          <w:szCs w:val="28"/>
          <w:vertAlign w:val="subscript"/>
          <w:lang w:eastAsia="ro-RO"/>
        </w:rPr>
        <w:t>SN</w:t>
      </w:r>
      <w:r w:rsidRPr="00827721">
        <w:rPr>
          <w:rFonts w:eastAsia="Times New Roman"/>
          <w:i/>
          <w:iCs/>
          <w:szCs w:val="28"/>
          <w:lang w:eastAsia="ro-RO"/>
        </w:rPr>
        <w:t xml:space="preserve"> • </w:t>
      </w:r>
      <w:proofErr w:type="spellStart"/>
      <w:r w:rsidRPr="00827721">
        <w:rPr>
          <w:rFonts w:eastAsia="Times New Roman"/>
          <w:i/>
          <w:iCs/>
          <w:szCs w:val="28"/>
          <w:lang w:eastAsia="ro-RO"/>
        </w:rPr>
        <w:t>Frac</w:t>
      </w:r>
      <w:r w:rsidRPr="00827721">
        <w:rPr>
          <w:rFonts w:eastAsia="Times New Roman"/>
          <w:i/>
          <w:iCs/>
          <w:szCs w:val="28"/>
          <w:vertAlign w:val="subscript"/>
          <w:lang w:eastAsia="ro-RO"/>
        </w:rPr>
        <w:t>GASF</w:t>
      </w:r>
      <w:proofErr w:type="spellEnd"/>
      <w:r w:rsidRPr="00827721">
        <w:rPr>
          <w:rFonts w:eastAsia="Times New Roman"/>
          <w:i/>
          <w:iCs/>
          <w:szCs w:val="28"/>
          <w:lang w:eastAsia="ro-RO"/>
        </w:rPr>
        <w:t>) + (F</w:t>
      </w:r>
      <w:r w:rsidRPr="00827721">
        <w:rPr>
          <w:rFonts w:eastAsia="Times New Roman"/>
          <w:i/>
          <w:iCs/>
          <w:szCs w:val="28"/>
          <w:vertAlign w:val="subscript"/>
          <w:lang w:eastAsia="ro-RO"/>
        </w:rPr>
        <w:t>ON</w:t>
      </w:r>
      <w:r w:rsidRPr="00827721">
        <w:rPr>
          <w:rFonts w:eastAsia="Times New Roman"/>
          <w:i/>
          <w:iCs/>
          <w:szCs w:val="28"/>
          <w:lang w:eastAsia="ro-RO"/>
        </w:rPr>
        <w:t xml:space="preserve"> • </w:t>
      </w:r>
      <w:proofErr w:type="spellStart"/>
      <w:r w:rsidRPr="00827721">
        <w:rPr>
          <w:rFonts w:eastAsia="Times New Roman"/>
          <w:i/>
          <w:iCs/>
          <w:szCs w:val="28"/>
          <w:lang w:eastAsia="ro-RO"/>
        </w:rPr>
        <w:t>Erac</w:t>
      </w:r>
      <w:r w:rsidRPr="00827721">
        <w:rPr>
          <w:rFonts w:eastAsia="Times New Roman"/>
          <w:i/>
          <w:iCs/>
          <w:szCs w:val="28"/>
          <w:vertAlign w:val="subscript"/>
          <w:lang w:eastAsia="ro-RO"/>
        </w:rPr>
        <w:t>GASM</w:t>
      </w:r>
      <w:proofErr w:type="spellEnd"/>
      <w:r w:rsidRPr="00827721">
        <w:rPr>
          <w:rFonts w:eastAsia="Times New Roman"/>
          <w:i/>
          <w:iCs/>
          <w:szCs w:val="28"/>
          <w:lang w:eastAsia="ro-RO"/>
        </w:rPr>
        <w:t>) • EF</w:t>
      </w:r>
      <w:r w:rsidRPr="00827721">
        <w:rPr>
          <w:rFonts w:eastAsia="Times New Roman"/>
          <w:i/>
          <w:iCs/>
          <w:szCs w:val="28"/>
          <w:vertAlign w:val="subscript"/>
          <w:lang w:eastAsia="ro-RO"/>
        </w:rPr>
        <w:t>4</w:t>
      </w:r>
      <w:r w:rsidRPr="00827721">
        <w:rPr>
          <w:rFonts w:eastAsia="Times New Roman"/>
          <w:i/>
          <w:iCs/>
          <w:szCs w:val="28"/>
          <w:lang w:eastAsia="ro-RO"/>
        </w:rPr>
        <w:t>] + [(F</w:t>
      </w:r>
      <w:r w:rsidRPr="00827721">
        <w:rPr>
          <w:rFonts w:eastAsia="Times New Roman"/>
          <w:i/>
          <w:iCs/>
          <w:szCs w:val="28"/>
          <w:vertAlign w:val="subscript"/>
          <w:lang w:eastAsia="ro-RO"/>
        </w:rPr>
        <w:t>SN</w:t>
      </w:r>
      <w:r w:rsidRPr="00827721">
        <w:rPr>
          <w:rFonts w:eastAsia="Times New Roman"/>
          <w:i/>
          <w:iCs/>
          <w:szCs w:val="28"/>
          <w:lang w:eastAsia="ro-RO"/>
        </w:rPr>
        <w:t> +F</w:t>
      </w:r>
      <w:r w:rsidRPr="00827721">
        <w:rPr>
          <w:rFonts w:eastAsia="Times New Roman"/>
          <w:i/>
          <w:iCs/>
          <w:szCs w:val="28"/>
          <w:vertAlign w:val="subscript"/>
          <w:lang w:eastAsia="ro-RO"/>
        </w:rPr>
        <w:t>ON</w:t>
      </w:r>
      <w:r w:rsidRPr="00827721">
        <w:rPr>
          <w:rFonts w:eastAsia="Times New Roman"/>
          <w:i/>
          <w:iCs/>
          <w:szCs w:val="28"/>
          <w:lang w:eastAsia="ro-RO"/>
        </w:rPr>
        <w:t> + F</w:t>
      </w:r>
      <w:r w:rsidRPr="00827721">
        <w:rPr>
          <w:rFonts w:eastAsia="Times New Roman"/>
          <w:i/>
          <w:iCs/>
          <w:szCs w:val="28"/>
          <w:vertAlign w:val="subscript"/>
          <w:lang w:eastAsia="ro-RO"/>
        </w:rPr>
        <w:t>CR</w:t>
      </w:r>
      <w:r w:rsidRPr="00827721">
        <w:rPr>
          <w:rFonts w:eastAsia="Times New Roman"/>
          <w:i/>
          <w:iCs/>
          <w:szCs w:val="28"/>
          <w:lang w:eastAsia="ro-RO"/>
        </w:rPr>
        <w:t xml:space="preserve">) • </w:t>
      </w:r>
      <w:proofErr w:type="spellStart"/>
      <w:r w:rsidRPr="00827721">
        <w:rPr>
          <w:rFonts w:eastAsia="Times New Roman"/>
          <w:i/>
          <w:iCs/>
          <w:szCs w:val="28"/>
          <w:lang w:eastAsia="ro-RO"/>
        </w:rPr>
        <w:t>Frac</w:t>
      </w:r>
      <w:r w:rsidRPr="00827721">
        <w:rPr>
          <w:rFonts w:eastAsia="Times New Roman"/>
          <w:i/>
          <w:iCs/>
          <w:szCs w:val="28"/>
          <w:vertAlign w:val="subscript"/>
          <w:lang w:eastAsia="ro-RO"/>
        </w:rPr>
        <w:t>Leach</w:t>
      </w:r>
      <w:proofErr w:type="spellEnd"/>
      <w:r w:rsidRPr="00827721">
        <w:rPr>
          <w:rFonts w:eastAsia="Times New Roman"/>
          <w:i/>
          <w:iCs/>
          <w:szCs w:val="28"/>
          <w:vertAlign w:val="subscript"/>
          <w:lang w:eastAsia="ro-RO"/>
        </w:rPr>
        <w:t>-(H)</w:t>
      </w:r>
      <w:r w:rsidRPr="00827721">
        <w:rPr>
          <w:rFonts w:eastAsia="Times New Roman"/>
          <w:i/>
          <w:iCs/>
          <w:szCs w:val="28"/>
          <w:lang w:eastAsia="ro-RO"/>
        </w:rPr>
        <w:t> • EF</w:t>
      </w:r>
      <w:r w:rsidRPr="00827721">
        <w:rPr>
          <w:rFonts w:eastAsia="Times New Roman"/>
          <w:i/>
          <w:iCs/>
          <w:szCs w:val="28"/>
          <w:vertAlign w:val="subscript"/>
          <w:lang w:eastAsia="ro-RO"/>
        </w:rPr>
        <w:t>5</w:t>
      </w:r>
      <w:r w:rsidRPr="00827721">
        <w:rPr>
          <w:rFonts w:eastAsia="Times New Roman"/>
          <w:i/>
          <w:iCs/>
          <w:szCs w:val="28"/>
          <w:lang w:eastAsia="ro-RO"/>
        </w:rPr>
        <w:t>]</w:t>
      </w:r>
    </w:p>
    <w:p w14:paraId="64BCCD3D" w14:textId="70DE069B" w:rsidR="00AD666F" w:rsidRPr="00827721" w:rsidRDefault="00BB53A8" w:rsidP="00EF5DC5">
      <w:pPr>
        <w:pStyle w:val="Anexapct1"/>
        <w:ind w:left="431" w:firstLine="0"/>
      </w:pPr>
      <w:r w:rsidRPr="00827721">
        <w:rPr>
          <w:lang w:eastAsia="ro-RO"/>
        </w:rPr>
        <w:t>Aportul de N provenit din reziduurile de culturi agricole trebuie calculat pentru:</w:t>
      </w:r>
    </w:p>
    <w:p w14:paraId="0425F61B" w14:textId="03F74AAB" w:rsidR="00BB53A8" w:rsidRPr="00827721" w:rsidRDefault="00BB53A8" w:rsidP="00AD666F">
      <w:pPr>
        <w:pStyle w:val="Anexapct11"/>
      </w:pPr>
      <w:r w:rsidRPr="00827721">
        <w:t>sfeclă de zahăr, trestie de zahăr în conformitate cu IPCC (2006), vol</w:t>
      </w:r>
      <w:r w:rsidR="003475C5" w:rsidRPr="00827721">
        <w:t>umul</w:t>
      </w:r>
      <w:r w:rsidRPr="00827721">
        <w:t xml:space="preserve"> 4 capitolul 11 secțiunea 11.6, fără a lua în considerare reziduurile din subsol și cu adăugarea aportului de N provenit din vinasă și din turte de filtrare în cazul trestiei de zahăr;</w:t>
      </w:r>
    </w:p>
    <w:p w14:paraId="3F5F13B2" w14:textId="77777777" w:rsidR="00BB53A8" w:rsidRPr="00827721" w:rsidRDefault="00BB53A8" w:rsidP="00E74763">
      <w:pPr>
        <w:ind w:left="431" w:firstLine="0"/>
        <w:jc w:val="center"/>
        <w:rPr>
          <w:lang w:eastAsia="ro-RO"/>
        </w:rPr>
      </w:pPr>
      <w:r w:rsidRPr="00827721">
        <w:rPr>
          <w:lang w:eastAsia="ro-RO"/>
        </w:rPr>
        <w:t xml:space="preserve">FCR = </w:t>
      </w:r>
      <w:proofErr w:type="spellStart"/>
      <w:r w:rsidRPr="00827721">
        <w:rPr>
          <w:lang w:eastAsia="ro-RO"/>
        </w:rPr>
        <w:t>Yield</w:t>
      </w:r>
      <w:proofErr w:type="spellEnd"/>
      <w:r w:rsidRPr="00827721">
        <w:rPr>
          <w:lang w:eastAsia="ro-RO"/>
        </w:rPr>
        <w:t xml:space="preserve"> • DRY • (1-FracBurnt • Cf) • [RAG • NAG • (1 - </w:t>
      </w:r>
      <w:proofErr w:type="spellStart"/>
      <w:r w:rsidRPr="00827721">
        <w:rPr>
          <w:lang w:eastAsia="ro-RO"/>
        </w:rPr>
        <w:t>FracRemove</w:t>
      </w:r>
      <w:proofErr w:type="spellEnd"/>
      <w:r w:rsidRPr="00827721">
        <w:rPr>
          <w:lang w:eastAsia="ro-RO"/>
        </w:rPr>
        <w:t>)] + FVF</w:t>
      </w:r>
    </w:p>
    <w:p w14:paraId="235477FE" w14:textId="40F835BF" w:rsidR="00887524" w:rsidRPr="00827721" w:rsidRDefault="00BB53A8" w:rsidP="00E74763">
      <w:pPr>
        <w:pStyle w:val="Anexapct11"/>
        <w:rPr>
          <w:lang w:eastAsia="ro-RO"/>
        </w:rPr>
      </w:pPr>
      <w:r w:rsidRPr="00827721">
        <w:rPr>
          <w:lang w:eastAsia="ro-RO"/>
        </w:rPr>
        <w:t>plantațiile de nucă de cocos și de palmier pentru ulei care aplică o valoare fixă a aportului de N prevăzută în literatura de specialitate, întrucât IPCC (2006) nu prevede nicio metodă implicită de calcul pentru factorii de emisie standard, în conformitate cu anexa </w:t>
      </w:r>
      <w:r w:rsidR="003475C5" w:rsidRPr="00827721">
        <w:rPr>
          <w:lang w:eastAsia="ro-RO"/>
        </w:rPr>
        <w:t>nr. 9</w:t>
      </w:r>
      <w:r w:rsidRPr="00827721">
        <w:rPr>
          <w:lang w:eastAsia="ro-RO"/>
        </w:rPr>
        <w:t>;</w:t>
      </w:r>
    </w:p>
    <w:p w14:paraId="76F7E710" w14:textId="0D32C000" w:rsidR="00BB53A8" w:rsidRPr="00827721" w:rsidRDefault="00BB53A8" w:rsidP="00E74763">
      <w:pPr>
        <w:pStyle w:val="Anexapct11"/>
        <w:rPr>
          <w:lang w:eastAsia="ro-RO"/>
        </w:rPr>
      </w:pPr>
      <w:r w:rsidRPr="00827721">
        <w:rPr>
          <w:lang w:eastAsia="ro-RO"/>
        </w:rPr>
        <w:t>pentru toate celelalte culturi în conformitate cu IPCC (2006), vol</w:t>
      </w:r>
      <w:r w:rsidR="003475C5" w:rsidRPr="00827721">
        <w:rPr>
          <w:lang w:eastAsia="ro-RO"/>
        </w:rPr>
        <w:t>umul</w:t>
      </w:r>
      <w:r w:rsidRPr="00827721">
        <w:rPr>
          <w:lang w:eastAsia="ro-RO"/>
        </w:rPr>
        <w:t xml:space="preserve"> 4, capitolul 11, secțiunile 11.7a, 11.11, 11.12, ca</w:t>
      </w:r>
      <w:r w:rsidR="003A4A77" w:rsidRPr="00827721">
        <w:rPr>
          <w:lang w:eastAsia="ro-RO"/>
        </w:rPr>
        <w:t>:</w:t>
      </w:r>
    </w:p>
    <w:p w14:paraId="1F683991" w14:textId="77777777" w:rsidR="00BB53A8" w:rsidRPr="00827721" w:rsidRDefault="00BB53A8" w:rsidP="00E74763">
      <w:pPr>
        <w:ind w:left="431" w:firstLine="0"/>
        <w:jc w:val="center"/>
        <w:rPr>
          <w:lang w:eastAsia="ro-RO"/>
        </w:rPr>
      </w:pPr>
      <w:r w:rsidRPr="00827721">
        <w:rPr>
          <w:lang w:eastAsia="ro-RO"/>
        </w:rPr>
        <w:t>FCR = (1-FracBurnt • Cf) • AGDM • NAG • (1-FracRemove) + (AGDM + </w:t>
      </w:r>
      <w:proofErr w:type="spellStart"/>
      <w:r w:rsidRPr="00827721">
        <w:rPr>
          <w:lang w:eastAsia="ro-RO"/>
        </w:rPr>
        <w:t>Yield</w:t>
      </w:r>
      <w:proofErr w:type="spellEnd"/>
      <w:r w:rsidRPr="00827721">
        <w:rPr>
          <w:lang w:eastAsia="ro-RO"/>
        </w:rPr>
        <w:t xml:space="preserve"> • DRY) • RBG-BIO • NBG</w:t>
      </w:r>
    </w:p>
    <w:p w14:paraId="7C7520C0" w14:textId="77777777" w:rsidR="00BB53A8" w:rsidRPr="00827721" w:rsidRDefault="00BB53A8" w:rsidP="002D029E">
      <w:pPr>
        <w:rPr>
          <w:rFonts w:eastAsia="Times New Roman"/>
          <w:lang w:eastAsia="ro-RO"/>
        </w:rPr>
      </w:pPr>
      <w:r w:rsidRPr="00827721">
        <w:rPr>
          <w:rFonts w:eastAsia="Times New Roman"/>
          <w:lang w:eastAsia="ro-RO"/>
        </w:rPr>
        <w:t>unde:</w:t>
      </w:r>
    </w:p>
    <w:tbl>
      <w:tblPr>
        <w:tblW w:w="5022" w:type="pct"/>
        <w:tblCellMar>
          <w:left w:w="0" w:type="dxa"/>
          <w:right w:w="0" w:type="dxa"/>
        </w:tblCellMar>
        <w:tblLook w:val="04A0" w:firstRow="1" w:lastRow="0" w:firstColumn="1" w:lastColumn="0" w:noHBand="0" w:noVBand="1"/>
      </w:tblPr>
      <w:tblGrid>
        <w:gridCol w:w="1349"/>
        <w:gridCol w:w="211"/>
        <w:gridCol w:w="7943"/>
      </w:tblGrid>
      <w:tr w:rsidR="00BB53A8" w:rsidRPr="00827721" w14:paraId="05EC9A84" w14:textId="77777777" w:rsidTr="001B48BD">
        <w:tc>
          <w:tcPr>
            <w:tcW w:w="710" w:type="pct"/>
            <w:hideMark/>
          </w:tcPr>
          <w:p w14:paraId="347664FB" w14:textId="77777777" w:rsidR="00BB53A8" w:rsidRPr="00827721" w:rsidRDefault="00BB53A8" w:rsidP="00BB53A8">
            <w:pPr>
              <w:spacing w:before="120" w:line="240" w:lineRule="auto"/>
              <w:ind w:firstLine="0"/>
              <w:rPr>
                <w:rFonts w:eastAsia="Times New Roman"/>
                <w:szCs w:val="28"/>
                <w:lang w:eastAsia="ro-RO"/>
              </w:rPr>
            </w:pPr>
            <w:r w:rsidRPr="00827721">
              <w:rPr>
                <w:rFonts w:eastAsia="Times New Roman"/>
                <w:szCs w:val="28"/>
                <w:lang w:eastAsia="ro-RO"/>
              </w:rPr>
              <w:lastRenderedPageBreak/>
              <w:t>N</w:t>
            </w:r>
            <w:r w:rsidRPr="00827721">
              <w:rPr>
                <w:rFonts w:eastAsia="Times New Roman"/>
                <w:szCs w:val="28"/>
                <w:vertAlign w:val="subscript"/>
                <w:lang w:eastAsia="ro-RO"/>
              </w:rPr>
              <w:t>2</w:t>
            </w:r>
            <w:r w:rsidRPr="00827721">
              <w:rPr>
                <w:rFonts w:eastAsia="Times New Roman"/>
                <w:szCs w:val="28"/>
                <w:lang w:eastAsia="ro-RO"/>
              </w:rPr>
              <w:t>O</w:t>
            </w:r>
            <w:r w:rsidRPr="00827721">
              <w:rPr>
                <w:rFonts w:eastAsia="Times New Roman"/>
                <w:szCs w:val="28"/>
                <w:vertAlign w:val="subscript"/>
                <w:lang w:eastAsia="ro-RO"/>
              </w:rPr>
              <w:t>total</w:t>
            </w:r>
            <w:r w:rsidRPr="00827721">
              <w:rPr>
                <w:rFonts w:eastAsia="Times New Roman"/>
                <w:szCs w:val="28"/>
                <w:lang w:eastAsia="ro-RO"/>
              </w:rPr>
              <w:t> - N</w:t>
            </w:r>
          </w:p>
        </w:tc>
        <w:tc>
          <w:tcPr>
            <w:tcW w:w="111" w:type="pct"/>
            <w:hideMark/>
          </w:tcPr>
          <w:p w14:paraId="3D0CB525" w14:textId="77777777" w:rsidR="00BB53A8" w:rsidRPr="00827721" w:rsidRDefault="00BB53A8" w:rsidP="00BB53A8">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hideMark/>
          </w:tcPr>
          <w:p w14:paraId="2B8E1C9E" w14:textId="4854CC28" w:rsidR="00BB53A8" w:rsidRPr="00827721" w:rsidRDefault="00BB53A8" w:rsidP="00BB53A8">
            <w:pPr>
              <w:spacing w:before="120" w:line="240" w:lineRule="auto"/>
              <w:ind w:firstLine="0"/>
              <w:rPr>
                <w:rFonts w:eastAsia="Times New Roman"/>
                <w:szCs w:val="28"/>
                <w:lang w:eastAsia="ro-RO"/>
              </w:rPr>
            </w:pPr>
            <w:r w:rsidRPr="00827721">
              <w:rPr>
                <w:rFonts w:eastAsia="Times New Roman"/>
                <w:szCs w:val="28"/>
                <w:lang w:eastAsia="ro-RO"/>
              </w:rPr>
              <w:t>emisiile anuale directe și indirecte de N</w:t>
            </w:r>
            <w:r w:rsidRPr="00827721">
              <w:rPr>
                <w:rFonts w:eastAsia="Times New Roman"/>
                <w:szCs w:val="28"/>
                <w:vertAlign w:val="subscript"/>
                <w:lang w:eastAsia="ro-RO"/>
              </w:rPr>
              <w:t>2</w:t>
            </w:r>
            <w:r w:rsidRPr="00827721">
              <w:rPr>
                <w:rFonts w:eastAsia="Times New Roman"/>
                <w:szCs w:val="28"/>
                <w:lang w:eastAsia="ro-RO"/>
              </w:rPr>
              <w:t>O–N provenite din solurile gestionate; kg N</w:t>
            </w:r>
            <w:r w:rsidRPr="00827721">
              <w:rPr>
                <w:rFonts w:eastAsia="Times New Roman"/>
                <w:szCs w:val="28"/>
                <w:vertAlign w:val="subscript"/>
                <w:lang w:eastAsia="ro-RO"/>
              </w:rPr>
              <w:t>2</w:t>
            </w:r>
            <w:r w:rsidRPr="00827721">
              <w:rPr>
                <w:rFonts w:eastAsia="Times New Roman"/>
                <w:szCs w:val="28"/>
                <w:lang w:eastAsia="ro-RO"/>
              </w:rPr>
              <w:t>O–N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00433584" w:rsidRPr="00827721">
              <w:rPr>
                <w:rFonts w:eastAsia="Times New Roman"/>
                <w:szCs w:val="28"/>
                <w:lang w:eastAsia="ro-RO"/>
              </w:rPr>
              <w:t>;</w:t>
            </w:r>
          </w:p>
        </w:tc>
      </w:tr>
      <w:tr w:rsidR="00687CC4" w:rsidRPr="00827721" w14:paraId="5BA30CF2" w14:textId="77777777" w:rsidTr="001B48BD">
        <w:tc>
          <w:tcPr>
            <w:tcW w:w="710" w:type="pct"/>
          </w:tcPr>
          <w:p w14:paraId="004B81E6" w14:textId="043550F2"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N</w:t>
            </w:r>
            <w:r w:rsidRPr="00827721">
              <w:rPr>
                <w:rFonts w:eastAsia="Times New Roman"/>
                <w:szCs w:val="28"/>
                <w:vertAlign w:val="subscript"/>
                <w:lang w:eastAsia="ro-RO"/>
              </w:rPr>
              <w:t>2</w:t>
            </w:r>
            <w:r w:rsidRPr="00827721">
              <w:rPr>
                <w:rFonts w:eastAsia="Times New Roman"/>
                <w:szCs w:val="28"/>
                <w:lang w:eastAsia="ro-RO"/>
              </w:rPr>
              <w:t>O</w:t>
            </w:r>
            <w:r w:rsidRPr="00827721">
              <w:rPr>
                <w:rFonts w:eastAsia="Times New Roman"/>
                <w:szCs w:val="28"/>
                <w:vertAlign w:val="subscript"/>
                <w:lang w:eastAsia="ro-RO"/>
              </w:rPr>
              <w:t>direct</w:t>
            </w:r>
            <w:r w:rsidRPr="00827721">
              <w:rPr>
                <w:rFonts w:eastAsia="Times New Roman"/>
                <w:szCs w:val="28"/>
                <w:lang w:eastAsia="ro-RO"/>
              </w:rPr>
              <w:t> - N</w:t>
            </w:r>
          </w:p>
        </w:tc>
        <w:tc>
          <w:tcPr>
            <w:tcW w:w="111" w:type="pct"/>
          </w:tcPr>
          <w:p w14:paraId="6BC30C99" w14:textId="0C6F13E8"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34C744B1" w14:textId="4C36C615"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emisiile anuale directe de N</w:t>
            </w:r>
            <w:r w:rsidRPr="00827721">
              <w:rPr>
                <w:rFonts w:eastAsia="Times New Roman"/>
                <w:szCs w:val="28"/>
                <w:vertAlign w:val="subscript"/>
                <w:lang w:eastAsia="ro-RO"/>
              </w:rPr>
              <w:t>2</w:t>
            </w:r>
            <w:r w:rsidRPr="00827721">
              <w:rPr>
                <w:rFonts w:eastAsia="Times New Roman"/>
                <w:szCs w:val="28"/>
                <w:lang w:eastAsia="ro-RO"/>
              </w:rPr>
              <w:t>O–N provenite din solurile gestionate; kg N</w:t>
            </w:r>
            <w:r w:rsidRPr="00827721">
              <w:rPr>
                <w:rFonts w:eastAsia="Times New Roman"/>
                <w:szCs w:val="28"/>
                <w:vertAlign w:val="subscript"/>
                <w:lang w:eastAsia="ro-RO"/>
              </w:rPr>
              <w:t>2</w:t>
            </w:r>
            <w:r w:rsidRPr="00827721">
              <w:rPr>
                <w:rFonts w:eastAsia="Times New Roman"/>
                <w:szCs w:val="28"/>
                <w:lang w:eastAsia="ro-RO"/>
              </w:rPr>
              <w:t>O–N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687CC4" w:rsidRPr="00827721" w14:paraId="255C1F41" w14:textId="77777777" w:rsidTr="001B48BD">
        <w:tc>
          <w:tcPr>
            <w:tcW w:w="710" w:type="pct"/>
          </w:tcPr>
          <w:p w14:paraId="6DD6638B" w14:textId="2629EC97"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N</w:t>
            </w:r>
            <w:r w:rsidRPr="00827721">
              <w:rPr>
                <w:rFonts w:eastAsia="Times New Roman"/>
                <w:szCs w:val="28"/>
                <w:vertAlign w:val="subscript"/>
                <w:lang w:eastAsia="ro-RO"/>
              </w:rPr>
              <w:t>2</w:t>
            </w:r>
            <w:r w:rsidRPr="00827721">
              <w:rPr>
                <w:rFonts w:eastAsia="Times New Roman"/>
                <w:szCs w:val="28"/>
                <w:lang w:eastAsia="ro-RO"/>
              </w:rPr>
              <w:t>O</w:t>
            </w:r>
            <w:r w:rsidRPr="00827721">
              <w:rPr>
                <w:rFonts w:eastAsia="Times New Roman"/>
                <w:szCs w:val="28"/>
                <w:vertAlign w:val="subscript"/>
                <w:lang w:eastAsia="ro-RO"/>
              </w:rPr>
              <w:t>indirect</w:t>
            </w:r>
            <w:r w:rsidRPr="00827721">
              <w:rPr>
                <w:rFonts w:eastAsia="Times New Roman"/>
                <w:szCs w:val="28"/>
                <w:lang w:eastAsia="ro-RO"/>
              </w:rPr>
              <w:t>-N</w:t>
            </w:r>
          </w:p>
        </w:tc>
        <w:tc>
          <w:tcPr>
            <w:tcW w:w="111" w:type="pct"/>
          </w:tcPr>
          <w:p w14:paraId="54B5C0C2" w14:textId="75D036B2"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5BB0B6A8" w14:textId="4FCF464C"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 xml:space="preserve"> emisiile anuale indirecte de N</w:t>
            </w:r>
            <w:r w:rsidRPr="00827721">
              <w:rPr>
                <w:rFonts w:eastAsia="Times New Roman"/>
                <w:szCs w:val="28"/>
                <w:vertAlign w:val="subscript"/>
                <w:lang w:eastAsia="ro-RO"/>
              </w:rPr>
              <w:t>2</w:t>
            </w:r>
            <w:r w:rsidRPr="00827721">
              <w:rPr>
                <w:rFonts w:eastAsia="Times New Roman"/>
                <w:szCs w:val="28"/>
                <w:lang w:eastAsia="ro-RO"/>
              </w:rPr>
              <w:t>O–N (și anume, cantitatea anuală de N</w:t>
            </w:r>
            <w:r w:rsidRPr="00827721">
              <w:rPr>
                <w:rFonts w:eastAsia="Times New Roman"/>
                <w:szCs w:val="28"/>
                <w:vertAlign w:val="subscript"/>
                <w:lang w:eastAsia="ro-RO"/>
              </w:rPr>
              <w:t>2</w:t>
            </w:r>
            <w:r w:rsidRPr="00827721">
              <w:rPr>
                <w:rFonts w:eastAsia="Times New Roman"/>
                <w:szCs w:val="28"/>
                <w:lang w:eastAsia="ro-RO"/>
              </w:rPr>
              <w:t>O–N provenită din depunerile atmosferice de N volatilizat din solurile gestionate și cantitatea anuală de N</w:t>
            </w:r>
            <w:r w:rsidRPr="00827721">
              <w:rPr>
                <w:rFonts w:eastAsia="Times New Roman"/>
                <w:szCs w:val="28"/>
                <w:vertAlign w:val="subscript"/>
                <w:lang w:eastAsia="ro-RO"/>
              </w:rPr>
              <w:t>2</w:t>
            </w:r>
            <w:r w:rsidRPr="00827721">
              <w:rPr>
                <w:rFonts w:eastAsia="Times New Roman"/>
                <w:szCs w:val="28"/>
                <w:lang w:eastAsia="ro-RO"/>
              </w:rPr>
              <w:t>O–N provenită din percolarea și scurgerea adaosurilor de N în solurile gestionate din regiunile în care se produce percolarea/scurgerea); kg N</w:t>
            </w:r>
            <w:r w:rsidRPr="00827721">
              <w:rPr>
                <w:rFonts w:eastAsia="Times New Roman"/>
                <w:szCs w:val="28"/>
                <w:vertAlign w:val="subscript"/>
                <w:lang w:eastAsia="ro-RO"/>
              </w:rPr>
              <w:t>2</w:t>
            </w:r>
            <w:r w:rsidRPr="00827721">
              <w:rPr>
                <w:rFonts w:eastAsia="Times New Roman"/>
                <w:szCs w:val="28"/>
                <w:lang w:eastAsia="ro-RO"/>
              </w:rPr>
              <w:t>O–N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687CC4" w:rsidRPr="00827721" w14:paraId="1D9D6739" w14:textId="77777777" w:rsidTr="001B48BD">
        <w:tc>
          <w:tcPr>
            <w:tcW w:w="710" w:type="pct"/>
          </w:tcPr>
          <w:p w14:paraId="578354A1" w14:textId="5565D0DD"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F</w:t>
            </w:r>
            <w:r w:rsidRPr="00827721">
              <w:rPr>
                <w:rFonts w:eastAsia="Times New Roman"/>
                <w:szCs w:val="28"/>
                <w:vertAlign w:val="subscript"/>
                <w:lang w:eastAsia="ro-RO"/>
              </w:rPr>
              <w:t>SN</w:t>
            </w:r>
          </w:p>
        </w:tc>
        <w:tc>
          <w:tcPr>
            <w:tcW w:w="111" w:type="pct"/>
          </w:tcPr>
          <w:p w14:paraId="645280CC" w14:textId="3E0A99F5"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4C2409EB" w14:textId="37C12685"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aportul anual de îngrășământ sintetic pe bază de azot; kg 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687CC4" w:rsidRPr="00827721" w14:paraId="5618DA1F" w14:textId="77777777" w:rsidTr="001B48BD">
        <w:tc>
          <w:tcPr>
            <w:tcW w:w="710" w:type="pct"/>
          </w:tcPr>
          <w:p w14:paraId="2A71B144" w14:textId="096DAE94"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F</w:t>
            </w:r>
            <w:r w:rsidRPr="00827721">
              <w:rPr>
                <w:rFonts w:eastAsia="Times New Roman"/>
                <w:szCs w:val="28"/>
                <w:vertAlign w:val="subscript"/>
                <w:lang w:eastAsia="ro-RO"/>
              </w:rPr>
              <w:t>ON</w:t>
            </w:r>
          </w:p>
        </w:tc>
        <w:tc>
          <w:tcPr>
            <w:tcW w:w="111" w:type="pct"/>
          </w:tcPr>
          <w:p w14:paraId="66AA402A" w14:textId="4FCF087B"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2C6C6985" w14:textId="548530AC"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cantitatea anuală de N provenit din gunoiul de grajd aplicat ca îngrășământ; kg 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687CC4" w:rsidRPr="00827721" w14:paraId="7211C6D1" w14:textId="77777777" w:rsidTr="001B48BD">
        <w:tc>
          <w:tcPr>
            <w:tcW w:w="710" w:type="pct"/>
          </w:tcPr>
          <w:p w14:paraId="2E95FE2C" w14:textId="658394C6"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F</w:t>
            </w:r>
            <w:r w:rsidRPr="00827721">
              <w:rPr>
                <w:rFonts w:eastAsia="Times New Roman"/>
                <w:szCs w:val="28"/>
                <w:vertAlign w:val="subscript"/>
                <w:lang w:eastAsia="ro-RO"/>
              </w:rPr>
              <w:t>CR</w:t>
            </w:r>
          </w:p>
        </w:tc>
        <w:tc>
          <w:tcPr>
            <w:tcW w:w="111" w:type="pct"/>
          </w:tcPr>
          <w:p w14:paraId="4B44B0C8" w14:textId="03EF4B0C"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253EB77C" w14:textId="0E1EBA0B"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cantitatea anuală de N provenit din reziduurile de culturi agricole (deasupra solului și din subsol); kg 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687CC4" w:rsidRPr="00827721" w14:paraId="56E2F6AB" w14:textId="77777777" w:rsidTr="001B48BD">
        <w:tc>
          <w:tcPr>
            <w:tcW w:w="710" w:type="pct"/>
          </w:tcPr>
          <w:p w14:paraId="39B9EB9D" w14:textId="26E8A1BE" w:rsidR="00687CC4" w:rsidRPr="00827721" w:rsidRDefault="00687CC4" w:rsidP="00687CC4">
            <w:pPr>
              <w:spacing w:before="120" w:line="240" w:lineRule="auto"/>
              <w:ind w:firstLine="0"/>
              <w:rPr>
                <w:rFonts w:eastAsia="Times New Roman"/>
                <w:szCs w:val="28"/>
                <w:lang w:eastAsia="ro-RO"/>
              </w:rPr>
            </w:pPr>
            <w:proofErr w:type="spellStart"/>
            <w:r w:rsidRPr="00827721">
              <w:rPr>
                <w:rFonts w:eastAsia="Times New Roman"/>
                <w:szCs w:val="28"/>
                <w:lang w:eastAsia="ro-RO"/>
              </w:rPr>
              <w:t>F</w:t>
            </w:r>
            <w:r w:rsidRPr="00827721">
              <w:rPr>
                <w:rFonts w:eastAsia="Times New Roman"/>
                <w:szCs w:val="28"/>
                <w:vertAlign w:val="subscript"/>
                <w:lang w:eastAsia="ro-RO"/>
              </w:rPr>
              <w:t>OS,CG,Temp</w:t>
            </w:r>
            <w:proofErr w:type="spellEnd"/>
          </w:p>
        </w:tc>
        <w:tc>
          <w:tcPr>
            <w:tcW w:w="111" w:type="pct"/>
          </w:tcPr>
          <w:p w14:paraId="2C90BC81" w14:textId="4591BE41"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479C6BDE" w14:textId="033CA15A"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suprafața anuală a solurilor organice gestionate/drenate de sub terenurile cultivate în condiții de climă temperată;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1A1DFAFE" w14:textId="77777777" w:rsidTr="001B48BD">
        <w:tc>
          <w:tcPr>
            <w:tcW w:w="710" w:type="pct"/>
          </w:tcPr>
          <w:p w14:paraId="1CB2688F" w14:textId="3CA1EA39"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F</w:t>
            </w:r>
            <w:r w:rsidRPr="00827721">
              <w:rPr>
                <w:rFonts w:eastAsia="Times New Roman"/>
                <w:szCs w:val="28"/>
                <w:vertAlign w:val="subscript"/>
                <w:lang w:eastAsia="ro-RO"/>
              </w:rPr>
              <w:t>OS,CG,Trop</w:t>
            </w:r>
            <w:proofErr w:type="spellEnd"/>
          </w:p>
        </w:tc>
        <w:tc>
          <w:tcPr>
            <w:tcW w:w="111" w:type="pct"/>
          </w:tcPr>
          <w:p w14:paraId="0361ED2D" w14:textId="59264017"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5ED485CD" w14:textId="5B0E239D"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suprafața anuală a solurilor organice gestionate/drenate de sub terenurile cultivate în condiții de climă tropicală; ha</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6A38C206" w14:textId="77777777" w:rsidTr="001B48BD">
        <w:tc>
          <w:tcPr>
            <w:tcW w:w="710" w:type="pct"/>
          </w:tcPr>
          <w:p w14:paraId="48A1C5AF" w14:textId="1147BA6A"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Frac</w:t>
            </w:r>
            <w:r w:rsidRPr="00827721">
              <w:rPr>
                <w:rFonts w:eastAsia="Times New Roman"/>
                <w:szCs w:val="28"/>
                <w:vertAlign w:val="subscript"/>
                <w:lang w:eastAsia="ro-RO"/>
              </w:rPr>
              <w:t>GASF</w:t>
            </w:r>
            <w:proofErr w:type="spellEnd"/>
          </w:p>
        </w:tc>
        <w:tc>
          <w:tcPr>
            <w:tcW w:w="111" w:type="pct"/>
          </w:tcPr>
          <w:p w14:paraId="0129A5D7" w14:textId="07C73D1E"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35CBE5B9" w14:textId="01805BC1"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0,10 (kg N NH</w:t>
            </w:r>
            <w:r w:rsidRPr="00827721">
              <w:rPr>
                <w:rFonts w:eastAsia="Times New Roman"/>
                <w:szCs w:val="28"/>
                <w:vertAlign w:val="subscript"/>
                <w:lang w:eastAsia="ro-RO"/>
              </w:rPr>
              <w:t>3</w:t>
            </w:r>
            <w:r w:rsidRPr="00827721">
              <w:rPr>
                <w:rFonts w:eastAsia="Times New Roman"/>
                <w:szCs w:val="28"/>
                <w:lang w:eastAsia="ro-RO"/>
              </w:rPr>
              <w:t>–N + </w:t>
            </w:r>
            <w:proofErr w:type="spellStart"/>
            <w:r w:rsidRPr="00827721">
              <w:rPr>
                <w:rFonts w:eastAsia="Times New Roman"/>
                <w:szCs w:val="28"/>
                <w:lang w:eastAsia="ro-RO"/>
              </w:rPr>
              <w:t>NOx</w:t>
            </w:r>
            <w:proofErr w:type="spellEnd"/>
            <w:r w:rsidRPr="00827721">
              <w:rPr>
                <w:rFonts w:eastAsia="Times New Roman"/>
                <w:szCs w:val="28"/>
                <w:lang w:eastAsia="ro-RO"/>
              </w:rPr>
              <w:t>–N) (kg N aplicat)</w:t>
            </w:r>
            <w:r w:rsidRPr="00827721">
              <w:rPr>
                <w:rFonts w:eastAsia="Times New Roman"/>
                <w:szCs w:val="28"/>
                <w:vertAlign w:val="superscript"/>
                <w:lang w:eastAsia="ro-RO"/>
              </w:rPr>
              <w:t>-1</w:t>
            </w:r>
            <w:r w:rsidRPr="00827721">
              <w:rPr>
                <w:rFonts w:eastAsia="Times New Roman"/>
                <w:szCs w:val="28"/>
                <w:lang w:eastAsia="ro-RO"/>
              </w:rPr>
              <w:t>. Volatilizarea îngrășămintelor sintetice;</w:t>
            </w:r>
          </w:p>
        </w:tc>
      </w:tr>
      <w:tr w:rsidR="00D46E6E" w:rsidRPr="00827721" w14:paraId="14F892D1" w14:textId="77777777" w:rsidTr="001B48BD">
        <w:tc>
          <w:tcPr>
            <w:tcW w:w="710" w:type="pct"/>
          </w:tcPr>
          <w:p w14:paraId="62F7DB53" w14:textId="474D25B1"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Frac</w:t>
            </w:r>
            <w:r w:rsidRPr="00827721">
              <w:rPr>
                <w:rFonts w:eastAsia="Times New Roman"/>
                <w:szCs w:val="28"/>
                <w:vertAlign w:val="subscript"/>
                <w:lang w:eastAsia="ro-RO"/>
              </w:rPr>
              <w:t>GASM</w:t>
            </w:r>
            <w:proofErr w:type="spellEnd"/>
          </w:p>
        </w:tc>
        <w:tc>
          <w:tcPr>
            <w:tcW w:w="111" w:type="pct"/>
          </w:tcPr>
          <w:p w14:paraId="59A5EE92" w14:textId="75ABDBED"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4DBE34B3" w14:textId="5D211120"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0,20 (kg N NH</w:t>
            </w:r>
            <w:r w:rsidRPr="00827721">
              <w:rPr>
                <w:rFonts w:eastAsia="Times New Roman"/>
                <w:szCs w:val="28"/>
                <w:vertAlign w:val="subscript"/>
                <w:lang w:eastAsia="ro-RO"/>
              </w:rPr>
              <w:t>3</w:t>
            </w:r>
            <w:r w:rsidRPr="00827721">
              <w:rPr>
                <w:rFonts w:eastAsia="Times New Roman"/>
                <w:szCs w:val="28"/>
                <w:lang w:eastAsia="ro-RO"/>
              </w:rPr>
              <w:t>–N + </w:t>
            </w:r>
            <w:proofErr w:type="spellStart"/>
            <w:r w:rsidRPr="00827721">
              <w:rPr>
                <w:rFonts w:eastAsia="Times New Roman"/>
                <w:szCs w:val="28"/>
                <w:lang w:eastAsia="ro-RO"/>
              </w:rPr>
              <w:t>NOx</w:t>
            </w:r>
            <w:proofErr w:type="spellEnd"/>
            <w:r w:rsidRPr="00827721">
              <w:rPr>
                <w:rFonts w:eastAsia="Times New Roman"/>
                <w:szCs w:val="28"/>
                <w:lang w:eastAsia="ro-RO"/>
              </w:rPr>
              <w:t>–N) (kg N aplicat)</w:t>
            </w:r>
            <w:r w:rsidRPr="00827721">
              <w:rPr>
                <w:rFonts w:eastAsia="Times New Roman"/>
                <w:szCs w:val="28"/>
                <w:vertAlign w:val="superscript"/>
                <w:lang w:eastAsia="ro-RO"/>
              </w:rPr>
              <w:t>-1</w:t>
            </w:r>
            <w:r w:rsidRPr="00827721">
              <w:rPr>
                <w:rFonts w:eastAsia="Times New Roman"/>
                <w:szCs w:val="28"/>
                <w:lang w:eastAsia="ro-RO"/>
              </w:rPr>
              <w:t>. Volatilizarea tuturor îngrășămintelor organice pe bază de azot aplicate;</w:t>
            </w:r>
          </w:p>
        </w:tc>
      </w:tr>
      <w:tr w:rsidR="00D46E6E" w:rsidRPr="00827721" w14:paraId="671B17D0" w14:textId="77777777" w:rsidTr="001B48BD">
        <w:tc>
          <w:tcPr>
            <w:tcW w:w="710" w:type="pct"/>
          </w:tcPr>
          <w:p w14:paraId="76ACB9FF" w14:textId="592A1C24"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Frac</w:t>
            </w:r>
            <w:r w:rsidRPr="00827721">
              <w:rPr>
                <w:rFonts w:eastAsia="Times New Roman"/>
                <w:szCs w:val="28"/>
                <w:vertAlign w:val="subscript"/>
                <w:lang w:eastAsia="ro-RO"/>
              </w:rPr>
              <w:t>Leach</w:t>
            </w:r>
            <w:proofErr w:type="spellEnd"/>
            <w:r w:rsidRPr="00827721">
              <w:rPr>
                <w:rFonts w:eastAsia="Times New Roman"/>
                <w:szCs w:val="28"/>
                <w:vertAlign w:val="subscript"/>
                <w:lang w:eastAsia="ro-RO"/>
              </w:rPr>
              <w:t>-(H)</w:t>
            </w:r>
          </w:p>
        </w:tc>
        <w:tc>
          <w:tcPr>
            <w:tcW w:w="111" w:type="pct"/>
          </w:tcPr>
          <w:p w14:paraId="5B6859EE" w14:textId="3F867868"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4D4EE7B0" w14:textId="24C5F3C4"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0,30 kg N (kg adaosuri de N) -1. Pierderile de N prin percolare/scurgere pentru regiunile în care se produce percolarea/scurgerea;</w:t>
            </w:r>
          </w:p>
        </w:tc>
      </w:tr>
      <w:tr w:rsidR="00D46E6E" w:rsidRPr="00827721" w14:paraId="2CAB8D2D" w14:textId="77777777" w:rsidTr="001B48BD">
        <w:tc>
          <w:tcPr>
            <w:tcW w:w="710" w:type="pct"/>
          </w:tcPr>
          <w:p w14:paraId="126BF887" w14:textId="134814D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1ij</w:t>
            </w:r>
          </w:p>
        </w:tc>
        <w:tc>
          <w:tcPr>
            <w:tcW w:w="111" w:type="pct"/>
          </w:tcPr>
          <w:p w14:paraId="532A05EB" w14:textId="4F547DA8"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0E31EF07" w14:textId="7765720A"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factorii de emisie specifici culturilor și amplasamentului pentru emisiile de N</w:t>
            </w:r>
            <w:r w:rsidRPr="00827721">
              <w:rPr>
                <w:rFonts w:eastAsia="Times New Roman"/>
                <w:szCs w:val="28"/>
                <w:vertAlign w:val="subscript"/>
                <w:lang w:eastAsia="ro-RO"/>
              </w:rPr>
              <w:t>2</w:t>
            </w:r>
            <w:r w:rsidRPr="00827721">
              <w:rPr>
                <w:rFonts w:eastAsia="Times New Roman"/>
                <w:szCs w:val="28"/>
                <w:lang w:eastAsia="ro-RO"/>
              </w:rPr>
              <w:t>O provenite din aplicarea de îngrășăminte sintetice și de N organic în solurile minerale [kg N</w:t>
            </w:r>
            <w:r w:rsidRPr="00827721">
              <w:rPr>
                <w:rFonts w:eastAsia="Times New Roman"/>
                <w:szCs w:val="28"/>
                <w:vertAlign w:val="subscript"/>
                <w:lang w:eastAsia="ro-RO"/>
              </w:rPr>
              <w:t>2</w:t>
            </w:r>
            <w:r w:rsidRPr="00827721">
              <w:rPr>
                <w:rFonts w:eastAsia="Times New Roman"/>
                <w:szCs w:val="28"/>
                <w:lang w:eastAsia="ro-RO"/>
              </w:rPr>
              <w:t>O–N (kg aport de N)</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10325C7F" w14:textId="77777777" w:rsidTr="001B48BD">
        <w:tc>
          <w:tcPr>
            <w:tcW w:w="710" w:type="pct"/>
          </w:tcPr>
          <w:p w14:paraId="3267686B" w14:textId="6B70A892"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1</w:t>
            </w:r>
          </w:p>
        </w:tc>
        <w:tc>
          <w:tcPr>
            <w:tcW w:w="111" w:type="pct"/>
          </w:tcPr>
          <w:p w14:paraId="441DACF5" w14:textId="5BFFCB32"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418115E9" w14:textId="7F231534"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0,01 [kg N</w:t>
            </w:r>
            <w:r w:rsidRPr="00827721">
              <w:rPr>
                <w:rFonts w:eastAsia="Times New Roman"/>
                <w:szCs w:val="28"/>
                <w:vertAlign w:val="subscript"/>
                <w:lang w:eastAsia="ro-RO"/>
              </w:rPr>
              <w:t>2</w:t>
            </w:r>
            <w:r w:rsidRPr="00827721">
              <w:rPr>
                <w:rFonts w:eastAsia="Times New Roman"/>
                <w:szCs w:val="28"/>
                <w:lang w:eastAsia="ro-RO"/>
              </w:rPr>
              <w:t>O–N (kg aport de N)</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0D7C7B5B" w14:textId="77777777" w:rsidTr="001B48BD">
        <w:tc>
          <w:tcPr>
            <w:tcW w:w="710" w:type="pct"/>
          </w:tcPr>
          <w:p w14:paraId="2D3AAA19" w14:textId="148F4014"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2CG,Temp</w:t>
            </w:r>
          </w:p>
        </w:tc>
        <w:tc>
          <w:tcPr>
            <w:tcW w:w="111" w:type="pct"/>
          </w:tcPr>
          <w:p w14:paraId="3E9C4B09" w14:textId="5699F96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0CF77CD4" w14:textId="6C02092F"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8 kg 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 pentru solurile pentru culturi ecologice și solurile pășunilor din zonele cu climă temperată;</w:t>
            </w:r>
          </w:p>
        </w:tc>
      </w:tr>
      <w:tr w:rsidR="00D46E6E" w:rsidRPr="00827721" w14:paraId="61A717BD" w14:textId="77777777" w:rsidTr="001B48BD">
        <w:tc>
          <w:tcPr>
            <w:tcW w:w="710" w:type="pct"/>
          </w:tcPr>
          <w:p w14:paraId="07C178AB" w14:textId="37B9E822"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2CG,Trop</w:t>
            </w:r>
          </w:p>
        </w:tc>
        <w:tc>
          <w:tcPr>
            <w:tcW w:w="111" w:type="pct"/>
          </w:tcPr>
          <w:p w14:paraId="243EF351" w14:textId="720B22A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1E0930F0" w14:textId="303DA415"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16 kg 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 pentru solurile pentru culturi ecologice și solurile pășunilor din zonele cu climă tropicală;</w:t>
            </w:r>
          </w:p>
        </w:tc>
      </w:tr>
      <w:tr w:rsidR="00D46E6E" w:rsidRPr="00827721" w14:paraId="5F269D85" w14:textId="77777777" w:rsidTr="001B48BD">
        <w:tc>
          <w:tcPr>
            <w:tcW w:w="710" w:type="pct"/>
          </w:tcPr>
          <w:p w14:paraId="3EBF2E05" w14:textId="29CBED68"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4</w:t>
            </w:r>
          </w:p>
        </w:tc>
        <w:tc>
          <w:tcPr>
            <w:tcW w:w="111" w:type="pct"/>
          </w:tcPr>
          <w:p w14:paraId="47553B46" w14:textId="0F5F6B2D"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2BCFD4E2" w14:textId="5A9F6042"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0,01 [kg N</w:t>
            </w:r>
            <w:r w:rsidRPr="00827721">
              <w:rPr>
                <w:rFonts w:eastAsia="Times New Roman"/>
                <w:szCs w:val="28"/>
                <w:vertAlign w:val="subscript"/>
                <w:lang w:eastAsia="ro-RO"/>
              </w:rPr>
              <w:t>2</w:t>
            </w:r>
            <w:r w:rsidRPr="00827721">
              <w:rPr>
                <w:rFonts w:eastAsia="Times New Roman"/>
                <w:szCs w:val="28"/>
                <w:lang w:eastAsia="ro-RO"/>
              </w:rPr>
              <w:t>O–N (kg N NH</w:t>
            </w:r>
            <w:r w:rsidRPr="00827721">
              <w:rPr>
                <w:rFonts w:eastAsia="Times New Roman"/>
                <w:szCs w:val="28"/>
                <w:vertAlign w:val="subscript"/>
                <w:lang w:eastAsia="ro-RO"/>
              </w:rPr>
              <w:t>3</w:t>
            </w:r>
            <w:r w:rsidRPr="00827721">
              <w:rPr>
                <w:rFonts w:eastAsia="Times New Roman"/>
                <w:szCs w:val="28"/>
                <w:lang w:eastAsia="ro-RO"/>
              </w:rPr>
              <w:t>–N + </w:t>
            </w:r>
            <w:proofErr w:type="spellStart"/>
            <w:r w:rsidRPr="00827721">
              <w:rPr>
                <w:rFonts w:eastAsia="Times New Roman"/>
                <w:szCs w:val="28"/>
                <w:lang w:eastAsia="ro-RO"/>
              </w:rPr>
              <w:t>NOx</w:t>
            </w:r>
            <w:proofErr w:type="spellEnd"/>
            <w:r w:rsidRPr="00827721">
              <w:rPr>
                <w:rFonts w:eastAsia="Times New Roman"/>
                <w:szCs w:val="28"/>
                <w:lang w:eastAsia="ro-RO"/>
              </w:rPr>
              <w:t>–N volatilizat)</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0060C44C" w14:textId="77777777" w:rsidTr="001B48BD">
        <w:tc>
          <w:tcPr>
            <w:tcW w:w="710" w:type="pct"/>
          </w:tcPr>
          <w:p w14:paraId="42F795C9" w14:textId="531DEF97"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5</w:t>
            </w:r>
          </w:p>
        </w:tc>
        <w:tc>
          <w:tcPr>
            <w:tcW w:w="111" w:type="pct"/>
          </w:tcPr>
          <w:p w14:paraId="2F3A15F7" w14:textId="3E7D5DA8"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62696551" w14:textId="6A7EC740"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0,0075 [kg N</w:t>
            </w:r>
            <w:r w:rsidRPr="00827721">
              <w:rPr>
                <w:rFonts w:eastAsia="Times New Roman"/>
                <w:szCs w:val="28"/>
                <w:vertAlign w:val="subscript"/>
                <w:lang w:eastAsia="ro-RO"/>
              </w:rPr>
              <w:t>2</w:t>
            </w:r>
            <w:r w:rsidRPr="00827721">
              <w:rPr>
                <w:rFonts w:eastAsia="Times New Roman"/>
                <w:szCs w:val="28"/>
                <w:lang w:eastAsia="ro-RO"/>
              </w:rPr>
              <w:t>O–N (kg N percolare/scurgere)</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01446224" w14:textId="77777777" w:rsidTr="001B48BD">
        <w:tc>
          <w:tcPr>
            <w:tcW w:w="710" w:type="pct"/>
          </w:tcPr>
          <w:p w14:paraId="51CC8569" w14:textId="4317CE7D"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Yield</w:t>
            </w:r>
            <w:proofErr w:type="spellEnd"/>
          </w:p>
        </w:tc>
        <w:tc>
          <w:tcPr>
            <w:tcW w:w="111" w:type="pct"/>
          </w:tcPr>
          <w:p w14:paraId="2E26E08B" w14:textId="03596077"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2480EE58" w14:textId="16D65A8C"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randamentul anual al culturilor în stare proaspătă (kg ha</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3546F72A" w14:textId="77777777" w:rsidTr="001B48BD">
        <w:tc>
          <w:tcPr>
            <w:tcW w:w="710" w:type="pct"/>
          </w:tcPr>
          <w:p w14:paraId="576B9CC3" w14:textId="5887EAF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lastRenderedPageBreak/>
              <w:t>DRY</w:t>
            </w:r>
          </w:p>
        </w:tc>
        <w:tc>
          <w:tcPr>
            <w:tcW w:w="111" w:type="pct"/>
          </w:tcPr>
          <w:p w14:paraId="5669BEE7" w14:textId="714E28FF"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31CD8A7F" w14:textId="5E87B6F8"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 xml:space="preserve">fracția de substanță uscată din produsul recoltat [kg </w:t>
            </w:r>
            <w:proofErr w:type="spellStart"/>
            <w:r w:rsidRPr="00827721">
              <w:rPr>
                <w:rFonts w:eastAsia="Times New Roman"/>
                <w:szCs w:val="28"/>
                <w:lang w:eastAsia="ro-RO"/>
              </w:rPr>
              <w:t>d.m</w:t>
            </w:r>
            <w:proofErr w:type="spellEnd"/>
            <w:r w:rsidRPr="00827721">
              <w:rPr>
                <w:rFonts w:eastAsia="Times New Roman"/>
                <w:szCs w:val="28"/>
                <w:lang w:eastAsia="ro-RO"/>
              </w:rPr>
              <w:t>. (kg greutate în stare proaspătă)</w:t>
            </w:r>
            <w:r w:rsidRPr="00827721">
              <w:rPr>
                <w:rFonts w:eastAsia="Times New Roman"/>
                <w:szCs w:val="28"/>
                <w:vertAlign w:val="superscript"/>
                <w:lang w:eastAsia="ro-RO"/>
              </w:rPr>
              <w:t>-1</w:t>
            </w:r>
            <w:r w:rsidRPr="00827721">
              <w:rPr>
                <w:rFonts w:eastAsia="Times New Roman"/>
                <w:szCs w:val="28"/>
                <w:lang w:eastAsia="ro-RO"/>
              </w:rPr>
              <w:t>] (a se vedea tabelul 1);</w:t>
            </w:r>
          </w:p>
        </w:tc>
      </w:tr>
      <w:tr w:rsidR="00D46E6E" w:rsidRPr="00827721" w14:paraId="708E47F0" w14:textId="77777777" w:rsidTr="001B48BD">
        <w:tc>
          <w:tcPr>
            <w:tcW w:w="710" w:type="pct"/>
          </w:tcPr>
          <w:p w14:paraId="213F89BA" w14:textId="44596E4E"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Frac</w:t>
            </w:r>
            <w:r w:rsidRPr="00827721">
              <w:rPr>
                <w:rFonts w:eastAsia="Times New Roman"/>
                <w:szCs w:val="28"/>
                <w:vertAlign w:val="subscript"/>
                <w:lang w:eastAsia="ro-RO"/>
              </w:rPr>
              <w:t>Burnt</w:t>
            </w:r>
            <w:proofErr w:type="spellEnd"/>
          </w:p>
        </w:tc>
        <w:tc>
          <w:tcPr>
            <w:tcW w:w="111" w:type="pct"/>
          </w:tcPr>
          <w:p w14:paraId="1D936084" w14:textId="35E97310"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39EA676B" w14:textId="57F006A6"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fracțiunea suprafeței cultivate arse anual [ha (ha)-1];</w:t>
            </w:r>
          </w:p>
        </w:tc>
      </w:tr>
      <w:tr w:rsidR="00D46E6E" w:rsidRPr="00827721" w14:paraId="7C322F77" w14:textId="77777777" w:rsidTr="001B48BD">
        <w:tc>
          <w:tcPr>
            <w:tcW w:w="710" w:type="pct"/>
          </w:tcPr>
          <w:p w14:paraId="702AC8E8" w14:textId="3EC99FC3"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C</w:t>
            </w:r>
            <w:r w:rsidRPr="00827721">
              <w:rPr>
                <w:rFonts w:eastAsia="Times New Roman"/>
                <w:szCs w:val="28"/>
                <w:vertAlign w:val="subscript"/>
                <w:lang w:eastAsia="ro-RO"/>
              </w:rPr>
              <w:t>f</w:t>
            </w:r>
          </w:p>
        </w:tc>
        <w:tc>
          <w:tcPr>
            <w:tcW w:w="111" w:type="pct"/>
          </w:tcPr>
          <w:p w14:paraId="346A5B1A" w14:textId="5802D707"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6F35C0CB" w14:textId="0000038F"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factorul de ardere [adimensional] (a se vedea tabelul 1);</w:t>
            </w:r>
          </w:p>
        </w:tc>
      </w:tr>
      <w:tr w:rsidR="00D46E6E" w:rsidRPr="00827721" w14:paraId="1A9490C4" w14:textId="77777777" w:rsidTr="001B48BD">
        <w:tc>
          <w:tcPr>
            <w:tcW w:w="710" w:type="pct"/>
          </w:tcPr>
          <w:p w14:paraId="574F97D1" w14:textId="169B0BA7"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R</w:t>
            </w:r>
            <w:r w:rsidRPr="00827721">
              <w:rPr>
                <w:rFonts w:eastAsia="Times New Roman"/>
                <w:szCs w:val="28"/>
                <w:vertAlign w:val="subscript"/>
                <w:lang w:eastAsia="ro-RO"/>
              </w:rPr>
              <w:t>AG</w:t>
            </w:r>
          </w:p>
        </w:tc>
        <w:tc>
          <w:tcPr>
            <w:tcW w:w="111" w:type="pct"/>
          </w:tcPr>
          <w:p w14:paraId="238006C4" w14:textId="551AC847"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01905EE1" w14:textId="5089463A"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 xml:space="preserve">raportul dintre reziduurile de deasupra solului, substanța uscată și randamentul de substanță uscată recoltată, pentru cultură [kg </w:t>
            </w:r>
            <w:proofErr w:type="spellStart"/>
            <w:r w:rsidRPr="00827721">
              <w:rPr>
                <w:rFonts w:eastAsia="Times New Roman"/>
                <w:szCs w:val="28"/>
                <w:lang w:eastAsia="ro-RO"/>
              </w:rPr>
              <w:t>d.m</w:t>
            </w:r>
            <w:proofErr w:type="spellEnd"/>
            <w:r w:rsidRPr="00827721">
              <w:rPr>
                <w:rFonts w:eastAsia="Times New Roman"/>
                <w:szCs w:val="28"/>
                <w:lang w:eastAsia="ro-RO"/>
              </w:rPr>
              <w:t xml:space="preserve">. (kg </w:t>
            </w:r>
            <w:proofErr w:type="spellStart"/>
            <w:r w:rsidRPr="00827721">
              <w:rPr>
                <w:rFonts w:eastAsia="Times New Roman"/>
                <w:szCs w:val="28"/>
                <w:lang w:eastAsia="ro-RO"/>
              </w:rPr>
              <w:t>d.m</w:t>
            </w:r>
            <w:proofErr w:type="spellEnd"/>
            <w:r w:rsidRPr="00827721">
              <w:rPr>
                <w:rFonts w:eastAsia="Times New Roman"/>
                <w:szCs w:val="28"/>
                <w:lang w:eastAsia="ro-RO"/>
              </w:rPr>
              <w:t>.)</w:t>
            </w:r>
            <w:r w:rsidRPr="00827721">
              <w:rPr>
                <w:rFonts w:eastAsia="Times New Roman"/>
                <w:szCs w:val="28"/>
                <w:vertAlign w:val="superscript"/>
                <w:lang w:eastAsia="ro-RO"/>
              </w:rPr>
              <w:t>-1</w:t>
            </w:r>
            <w:r w:rsidRPr="00827721">
              <w:rPr>
                <w:rFonts w:eastAsia="Times New Roman"/>
                <w:szCs w:val="28"/>
                <w:lang w:eastAsia="ro-RO"/>
              </w:rPr>
              <w:t>] (a se vedea tabelul </w:t>
            </w:r>
            <w:r w:rsidR="007723FB" w:rsidRPr="00827721">
              <w:rPr>
                <w:rFonts w:eastAsia="Times New Roman"/>
                <w:szCs w:val="28"/>
                <w:lang w:eastAsia="ro-RO"/>
              </w:rPr>
              <w:t>1</w:t>
            </w:r>
            <w:r w:rsidRPr="00827721">
              <w:rPr>
                <w:rFonts w:eastAsia="Times New Roman"/>
                <w:szCs w:val="28"/>
                <w:lang w:eastAsia="ro-RO"/>
              </w:rPr>
              <w:t>);</w:t>
            </w:r>
          </w:p>
        </w:tc>
      </w:tr>
      <w:tr w:rsidR="00D46E6E" w:rsidRPr="00827721" w14:paraId="6A732F93" w14:textId="77777777" w:rsidTr="001B48BD">
        <w:tc>
          <w:tcPr>
            <w:tcW w:w="710" w:type="pct"/>
          </w:tcPr>
          <w:p w14:paraId="754778FC" w14:textId="5639E45F"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N</w:t>
            </w:r>
            <w:r w:rsidRPr="00827721">
              <w:rPr>
                <w:rFonts w:eastAsia="Times New Roman"/>
                <w:szCs w:val="28"/>
                <w:vertAlign w:val="subscript"/>
                <w:lang w:eastAsia="ro-RO"/>
              </w:rPr>
              <w:t>AG</w:t>
            </w:r>
          </w:p>
        </w:tc>
        <w:tc>
          <w:tcPr>
            <w:tcW w:w="111" w:type="pct"/>
          </w:tcPr>
          <w:p w14:paraId="51F947D1" w14:textId="05FAE56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634508E5" w14:textId="053F98E8"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 xml:space="preserve">conținutul de N din reziduurile de deasupra solului [kg N (kg </w:t>
            </w:r>
            <w:proofErr w:type="spellStart"/>
            <w:r w:rsidRPr="00827721">
              <w:rPr>
                <w:rFonts w:eastAsia="Times New Roman"/>
                <w:szCs w:val="28"/>
                <w:lang w:eastAsia="ro-RO"/>
              </w:rPr>
              <w:t>d.m</w:t>
            </w:r>
            <w:proofErr w:type="spellEnd"/>
            <w:r w:rsidRPr="00827721">
              <w:rPr>
                <w:rFonts w:eastAsia="Times New Roman"/>
                <w:szCs w:val="28"/>
                <w:lang w:eastAsia="ro-RO"/>
              </w:rPr>
              <w:t>.)-1] (a se vedea tabelul 1);</w:t>
            </w:r>
          </w:p>
        </w:tc>
      </w:tr>
      <w:tr w:rsidR="00D46E6E" w:rsidRPr="00827721" w14:paraId="3AA0FA29" w14:textId="77777777" w:rsidTr="001B48BD">
        <w:tc>
          <w:tcPr>
            <w:tcW w:w="710" w:type="pct"/>
          </w:tcPr>
          <w:p w14:paraId="0FEE3F5C" w14:textId="644A6C0C" w:rsidR="00D46E6E" w:rsidRPr="00827721" w:rsidRDefault="00D46E6E" w:rsidP="00D46E6E">
            <w:pPr>
              <w:spacing w:before="120" w:line="240" w:lineRule="auto"/>
              <w:ind w:firstLine="0"/>
              <w:rPr>
                <w:rFonts w:eastAsia="Times New Roman"/>
                <w:szCs w:val="28"/>
                <w:lang w:eastAsia="ro-RO"/>
              </w:rPr>
            </w:pPr>
            <w:proofErr w:type="spellStart"/>
            <w:r w:rsidRPr="00827721">
              <w:rPr>
                <w:rFonts w:eastAsia="Times New Roman"/>
                <w:szCs w:val="28"/>
                <w:lang w:eastAsia="ro-RO"/>
              </w:rPr>
              <w:t>Frac</w:t>
            </w:r>
            <w:r w:rsidRPr="00827721">
              <w:rPr>
                <w:rFonts w:eastAsia="Times New Roman"/>
                <w:szCs w:val="28"/>
                <w:vertAlign w:val="subscript"/>
                <w:lang w:eastAsia="ro-RO"/>
              </w:rPr>
              <w:t>Remove</w:t>
            </w:r>
            <w:proofErr w:type="spellEnd"/>
          </w:p>
        </w:tc>
        <w:tc>
          <w:tcPr>
            <w:tcW w:w="111" w:type="pct"/>
          </w:tcPr>
          <w:p w14:paraId="420178C6" w14:textId="161FE26D"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4D83214A" w14:textId="603E2FCF"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 xml:space="preserve">fracția de reziduuri de deasupra solului îndepărtate de pe teren [kg </w:t>
            </w:r>
            <w:proofErr w:type="spellStart"/>
            <w:r w:rsidRPr="00827721">
              <w:rPr>
                <w:rFonts w:eastAsia="Times New Roman"/>
                <w:szCs w:val="28"/>
                <w:lang w:eastAsia="ro-RO"/>
              </w:rPr>
              <w:t>d.m</w:t>
            </w:r>
            <w:proofErr w:type="spellEnd"/>
            <w:r w:rsidRPr="00827721">
              <w:rPr>
                <w:rFonts w:eastAsia="Times New Roman"/>
                <w:szCs w:val="28"/>
                <w:lang w:eastAsia="ro-RO"/>
              </w:rPr>
              <w:t>. (kg AGDM)</w:t>
            </w:r>
            <w:r w:rsidRPr="00827721">
              <w:rPr>
                <w:rFonts w:eastAsia="Times New Roman"/>
                <w:szCs w:val="28"/>
                <w:vertAlign w:val="superscript"/>
                <w:lang w:eastAsia="ro-RO"/>
              </w:rPr>
              <w:t>-1</w:t>
            </w:r>
            <w:r w:rsidRPr="00827721">
              <w:rPr>
                <w:rFonts w:eastAsia="Times New Roman"/>
                <w:szCs w:val="28"/>
                <w:lang w:eastAsia="ro-RO"/>
              </w:rPr>
              <w:t>];</w:t>
            </w:r>
          </w:p>
        </w:tc>
      </w:tr>
      <w:tr w:rsidR="00D46E6E" w:rsidRPr="00827721" w14:paraId="5DC2AC61" w14:textId="77777777" w:rsidTr="001B48BD">
        <w:tc>
          <w:tcPr>
            <w:tcW w:w="710" w:type="pct"/>
          </w:tcPr>
          <w:p w14:paraId="5C489605" w14:textId="4BB6D57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F</w:t>
            </w:r>
            <w:r w:rsidRPr="00827721">
              <w:rPr>
                <w:rFonts w:eastAsia="Times New Roman"/>
                <w:szCs w:val="28"/>
                <w:vertAlign w:val="subscript"/>
                <w:lang w:eastAsia="ro-RO"/>
              </w:rPr>
              <w:t>VF</w:t>
            </w:r>
          </w:p>
        </w:tc>
        <w:tc>
          <w:tcPr>
            <w:tcW w:w="111" w:type="pct"/>
          </w:tcPr>
          <w:p w14:paraId="67B027B0" w14:textId="40285BD3"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6BEF7E06" w14:textId="67577176"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cantitatea anuală de N provenită din vinasa și din turtele de filtrare de trestie de zahăr și reîntoarsă în sol [kg N ha</w:t>
            </w:r>
            <w:r w:rsidRPr="00827721">
              <w:rPr>
                <w:rFonts w:eastAsia="Times New Roman"/>
                <w:szCs w:val="28"/>
                <w:vertAlign w:val="superscript"/>
                <w:lang w:eastAsia="ro-RO"/>
              </w:rPr>
              <w:t>-1</w:t>
            </w:r>
            <w:r w:rsidRPr="00827721">
              <w:rPr>
                <w:rFonts w:eastAsia="Times New Roman"/>
                <w:szCs w:val="28"/>
                <w:lang w:eastAsia="ro-RO"/>
              </w:rPr>
              <w:t>], calculată ca randament * 0,000508;</w:t>
            </w:r>
          </w:p>
        </w:tc>
      </w:tr>
      <w:tr w:rsidR="00D46E6E" w:rsidRPr="00827721" w14:paraId="01BFC952" w14:textId="77777777" w:rsidTr="001B48BD">
        <w:tc>
          <w:tcPr>
            <w:tcW w:w="710" w:type="pct"/>
          </w:tcPr>
          <w:p w14:paraId="5C7655C6" w14:textId="0E690B36"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AG</w:t>
            </w:r>
          </w:p>
        </w:tc>
        <w:tc>
          <w:tcPr>
            <w:tcW w:w="111" w:type="pct"/>
          </w:tcPr>
          <w:p w14:paraId="42C5663F" w14:textId="6EDFC23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w:t>
            </w:r>
          </w:p>
        </w:tc>
        <w:tc>
          <w:tcPr>
            <w:tcW w:w="4179" w:type="pct"/>
          </w:tcPr>
          <w:p w14:paraId="29F04625" w14:textId="192AF9F9" w:rsidR="00D46E6E" w:rsidRPr="00827721" w:rsidRDefault="00D46E6E" w:rsidP="00D46E6E">
            <w:pPr>
              <w:spacing w:before="120" w:line="240" w:lineRule="auto"/>
              <w:ind w:firstLine="0"/>
              <w:rPr>
                <w:rFonts w:eastAsia="Times New Roman"/>
                <w:szCs w:val="28"/>
                <w:lang w:eastAsia="ro-RO"/>
              </w:rPr>
            </w:pPr>
            <w:r w:rsidRPr="00827721">
              <w:rPr>
                <w:rFonts w:eastAsia="Times New Roman"/>
                <w:szCs w:val="28"/>
                <w:lang w:eastAsia="ro-RO"/>
              </w:rPr>
              <w:t xml:space="preserve">reziduu de substanță uscată de deasupra solului [kg </w:t>
            </w:r>
            <w:proofErr w:type="spellStart"/>
            <w:r w:rsidRPr="00827721">
              <w:rPr>
                <w:rFonts w:eastAsia="Times New Roman"/>
                <w:szCs w:val="28"/>
                <w:lang w:eastAsia="ro-RO"/>
              </w:rPr>
              <w:t>d.m</w:t>
            </w:r>
            <w:proofErr w:type="spellEnd"/>
            <w:r w:rsidRPr="00827721">
              <w:rPr>
                <w:rFonts w:eastAsia="Times New Roman"/>
                <w:szCs w:val="28"/>
                <w:lang w:eastAsia="ro-RO"/>
              </w:rPr>
              <w:t>. ha</w:t>
            </w:r>
            <w:r w:rsidRPr="00827721">
              <w:rPr>
                <w:rFonts w:eastAsia="Times New Roman"/>
                <w:szCs w:val="28"/>
                <w:vertAlign w:val="superscript"/>
                <w:lang w:eastAsia="ro-RO"/>
              </w:rPr>
              <w:t>-1</w:t>
            </w:r>
            <w:r w:rsidRPr="00827721">
              <w:rPr>
                <w:rFonts w:eastAsia="Times New Roman"/>
                <w:szCs w:val="28"/>
                <w:lang w:eastAsia="ro-RO"/>
              </w:rPr>
              <w:t>].</w:t>
            </w:r>
          </w:p>
        </w:tc>
      </w:tr>
    </w:tbl>
    <w:p w14:paraId="60F06782" w14:textId="77777777" w:rsidR="00BB53A8" w:rsidRPr="00827721" w:rsidRDefault="00BB53A8" w:rsidP="00BB53A8">
      <w:pPr>
        <w:shd w:val="clear" w:color="auto" w:fill="FFFFFF"/>
        <w:spacing w:line="240" w:lineRule="auto"/>
        <w:ind w:firstLine="0"/>
        <w:jc w:val="left"/>
      </w:pPr>
    </w:p>
    <w:p w14:paraId="649D775E" w14:textId="148D9416" w:rsidR="00BB53A8" w:rsidRPr="00827721" w:rsidRDefault="00BB53A8" w:rsidP="00D46E6E">
      <w:pPr>
        <w:pStyle w:val="Anexapct11"/>
        <w:rPr>
          <w:rFonts w:eastAsia="Times New Roman"/>
          <w:b/>
          <w:bCs/>
          <w:szCs w:val="28"/>
          <w:lang w:eastAsia="ro-RO"/>
        </w:rPr>
      </w:pPr>
      <w:r w:rsidRPr="00827721">
        <w:t>Factorii</w:t>
      </w:r>
      <w:r w:rsidRPr="00827721">
        <w:rPr>
          <w:lang w:eastAsia="ro-RO"/>
        </w:rPr>
        <w:t xml:space="preserve"> de emisie specifici culturilor și amplasamentului pentru emisiile de N2O provenite din aplicarea de îngrășăminte sintetice și de N organic</w:t>
      </w:r>
      <w:r w:rsidR="00DC4DC4" w:rsidRPr="00827721">
        <w:rPr>
          <w:lang w:eastAsia="ro-RO"/>
        </w:rPr>
        <w:t>:</w:t>
      </w:r>
    </w:p>
    <w:p w14:paraId="07F93B67" w14:textId="6D6A4E7E" w:rsidR="00BB53A8" w:rsidRPr="00827721" w:rsidRDefault="00BB53A8" w:rsidP="00492937">
      <w:pPr>
        <w:pStyle w:val="Anexapct111"/>
        <w:rPr>
          <w:rFonts w:eastAsia="Times New Roman"/>
          <w:lang w:eastAsia="ro-RO"/>
        </w:rPr>
      </w:pPr>
      <w:r w:rsidRPr="00827721">
        <w:rPr>
          <w:rFonts w:eastAsia="Times New Roman"/>
          <w:lang w:eastAsia="ro-RO"/>
        </w:rPr>
        <w:t>Emisiile de N</w:t>
      </w:r>
      <w:r w:rsidRPr="00827721">
        <w:rPr>
          <w:rFonts w:eastAsia="Times New Roman"/>
          <w:vertAlign w:val="subscript"/>
          <w:lang w:eastAsia="ro-RO"/>
        </w:rPr>
        <w:t>2</w:t>
      </w:r>
      <w:r w:rsidRPr="00827721">
        <w:rPr>
          <w:rFonts w:eastAsia="Times New Roman"/>
          <w:lang w:eastAsia="ro-RO"/>
        </w:rPr>
        <w:t xml:space="preserve">O generate de solurile utilizate în agricultură, pe terenuri agricole diferite, în condiții de mediu diferite și în clase diferite de utilizare a terenurilor agricole pot fi determinate conform modelului statistic </w:t>
      </w:r>
      <w:proofErr w:type="spellStart"/>
      <w:r w:rsidRPr="00827721">
        <w:rPr>
          <w:rFonts w:eastAsia="Times New Roman"/>
          <w:lang w:eastAsia="ro-RO"/>
        </w:rPr>
        <w:t>Stehfest</w:t>
      </w:r>
      <w:proofErr w:type="spellEnd"/>
      <w:r w:rsidRPr="00827721">
        <w:rPr>
          <w:rFonts w:eastAsia="Times New Roman"/>
          <w:lang w:eastAsia="ro-RO"/>
        </w:rPr>
        <w:t xml:space="preserve"> și </w:t>
      </w:r>
      <w:proofErr w:type="spellStart"/>
      <w:r w:rsidRPr="00827721">
        <w:rPr>
          <w:rFonts w:eastAsia="Times New Roman"/>
          <w:lang w:eastAsia="ro-RO"/>
        </w:rPr>
        <w:t>Bouwman</w:t>
      </w:r>
      <w:proofErr w:type="spellEnd"/>
      <w:r w:rsidRPr="00827721">
        <w:rPr>
          <w:rFonts w:eastAsia="Times New Roman"/>
          <w:lang w:eastAsia="ro-RO"/>
        </w:rPr>
        <w:t xml:space="preserve"> (2006) (în continuare </w:t>
      </w:r>
      <w:r w:rsidR="00783593" w:rsidRPr="00827721">
        <w:rPr>
          <w:rFonts w:eastAsia="Times New Roman"/>
          <w:lang w:eastAsia="ro-RO"/>
        </w:rPr>
        <w:t xml:space="preserve">- </w:t>
      </w:r>
      <w:r w:rsidRPr="00827721">
        <w:rPr>
          <w:rFonts w:eastAsia="Times New Roman"/>
          <w:i/>
          <w:iCs/>
          <w:lang w:eastAsia="ro-RO"/>
        </w:rPr>
        <w:t>modelul S&amp;B</w:t>
      </w:r>
      <w:r w:rsidRPr="00827721">
        <w:rPr>
          <w:rFonts w:eastAsia="Times New Roman"/>
          <w:lang w:eastAsia="ro-RO"/>
        </w:rPr>
        <w:t>):</w:t>
      </w:r>
    </w:p>
    <w:p w14:paraId="7F688142" w14:textId="77777777" w:rsidR="00BB53A8" w:rsidRPr="00827721" w:rsidRDefault="00BB53A8" w:rsidP="00DC4DC4">
      <w:pPr>
        <w:shd w:val="clear" w:color="auto" w:fill="FFFFFF"/>
        <w:spacing w:before="120" w:line="240" w:lineRule="auto"/>
        <w:ind w:firstLine="0"/>
        <w:jc w:val="center"/>
        <w:rPr>
          <w:rFonts w:eastAsia="Times New Roman"/>
          <w:szCs w:val="28"/>
          <w:lang w:eastAsia="ro-RO"/>
        </w:rPr>
      </w:pPr>
      <w:r w:rsidRPr="00827721">
        <w:rPr>
          <w:rFonts w:eastAsia="Times New Roman"/>
          <w:noProof/>
          <w:szCs w:val="28"/>
          <w:lang w:eastAsia="ro-RO"/>
        </w:rPr>
        <w:drawing>
          <wp:inline distT="0" distB="0" distL="0" distR="0" wp14:anchorId="0B20FD9A" wp14:editId="6EC0E557">
            <wp:extent cx="2195830" cy="375285"/>
            <wp:effectExtent l="0" t="0" r="0" b="5715"/>
            <wp:docPr id="10"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5830" cy="375285"/>
                    </a:xfrm>
                    <a:prstGeom prst="rect">
                      <a:avLst/>
                    </a:prstGeom>
                    <a:noFill/>
                    <a:ln>
                      <a:noFill/>
                    </a:ln>
                  </pic:spPr>
                </pic:pic>
              </a:graphicData>
            </a:graphic>
          </wp:inline>
        </w:drawing>
      </w:r>
    </w:p>
    <w:p w14:paraId="6733AC92" w14:textId="77777777" w:rsidR="00BB53A8" w:rsidRPr="00827721" w:rsidRDefault="00BB53A8" w:rsidP="002D029E">
      <w:pPr>
        <w:rPr>
          <w:rFonts w:eastAsia="Times New Roman"/>
          <w:lang w:eastAsia="ro-RO"/>
        </w:rPr>
      </w:pPr>
      <w:r w:rsidRPr="00827721">
        <w:rPr>
          <w:rFonts w:eastAsia="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324"/>
        <w:gridCol w:w="8"/>
        <w:gridCol w:w="205"/>
        <w:gridCol w:w="8924"/>
      </w:tblGrid>
      <w:tr w:rsidR="002D029E" w:rsidRPr="00827721" w14:paraId="22472CC8" w14:textId="77777777" w:rsidTr="00687CC4">
        <w:tc>
          <w:tcPr>
            <w:tcW w:w="0" w:type="auto"/>
            <w:shd w:val="clear" w:color="auto" w:fill="FFFFFF"/>
            <w:hideMark/>
          </w:tcPr>
          <w:p w14:paraId="447056F3" w14:textId="77777777" w:rsidR="002D029E" w:rsidRPr="00827721" w:rsidRDefault="002D029E" w:rsidP="00BB53A8">
            <w:pPr>
              <w:spacing w:before="120" w:line="240" w:lineRule="auto"/>
              <w:ind w:firstLine="0"/>
              <w:rPr>
                <w:rFonts w:eastAsia="Times New Roman"/>
                <w:szCs w:val="28"/>
                <w:lang w:eastAsia="ro-RO"/>
              </w:rPr>
            </w:pPr>
            <w:r w:rsidRPr="00827721">
              <w:rPr>
                <w:rFonts w:eastAsia="Times New Roman"/>
                <w:szCs w:val="28"/>
                <w:lang w:eastAsia="ro-RO"/>
              </w:rPr>
              <w:t>E</w:t>
            </w:r>
          </w:p>
        </w:tc>
        <w:tc>
          <w:tcPr>
            <w:tcW w:w="0" w:type="auto"/>
            <w:shd w:val="clear" w:color="auto" w:fill="FFFFFF"/>
          </w:tcPr>
          <w:p w14:paraId="4422B790" w14:textId="77777777" w:rsidR="002D029E" w:rsidRPr="00827721" w:rsidRDefault="002D029E" w:rsidP="00BB53A8">
            <w:pPr>
              <w:spacing w:before="120" w:line="240" w:lineRule="auto"/>
              <w:ind w:firstLine="0"/>
              <w:rPr>
                <w:rFonts w:eastAsia="Times New Roman"/>
                <w:szCs w:val="28"/>
                <w:lang w:eastAsia="ro-RO"/>
              </w:rPr>
            </w:pPr>
          </w:p>
        </w:tc>
        <w:tc>
          <w:tcPr>
            <w:tcW w:w="0" w:type="auto"/>
            <w:shd w:val="clear" w:color="auto" w:fill="FFFFFF"/>
            <w:hideMark/>
          </w:tcPr>
          <w:p w14:paraId="24C47010" w14:textId="51D06E42" w:rsidR="002D029E" w:rsidRPr="00827721" w:rsidRDefault="002D029E" w:rsidP="00BB53A8">
            <w:pPr>
              <w:spacing w:before="120" w:line="240" w:lineRule="auto"/>
              <w:ind w:firstLine="0"/>
              <w:rPr>
                <w:rFonts w:eastAsia="Times New Roman"/>
                <w:szCs w:val="28"/>
                <w:lang w:eastAsia="ro-RO"/>
              </w:rPr>
            </w:pPr>
            <w:r w:rsidRPr="00827721">
              <w:rPr>
                <w:rFonts w:eastAsia="Times New Roman"/>
                <w:szCs w:val="28"/>
                <w:lang w:eastAsia="ro-RO"/>
              </w:rPr>
              <w:t>=</w:t>
            </w:r>
          </w:p>
        </w:tc>
        <w:tc>
          <w:tcPr>
            <w:tcW w:w="0" w:type="auto"/>
            <w:shd w:val="clear" w:color="auto" w:fill="FFFFFF"/>
            <w:hideMark/>
          </w:tcPr>
          <w:p w14:paraId="1F0BC9BD" w14:textId="77777777" w:rsidR="002D029E" w:rsidRPr="00827721" w:rsidRDefault="002D029E" w:rsidP="00BB53A8">
            <w:pPr>
              <w:spacing w:before="120" w:line="240" w:lineRule="auto"/>
              <w:ind w:firstLine="0"/>
              <w:rPr>
                <w:rFonts w:eastAsia="Times New Roman"/>
                <w:szCs w:val="28"/>
                <w:lang w:eastAsia="ro-RO"/>
              </w:rPr>
            </w:pPr>
            <w:r w:rsidRPr="00827721">
              <w:rPr>
                <w:rFonts w:eastAsia="Times New Roman"/>
                <w:szCs w:val="28"/>
                <w:lang w:eastAsia="ro-RO"/>
              </w:rPr>
              <w:t>emisiile de N</w:t>
            </w:r>
            <w:r w:rsidRPr="00827721">
              <w:rPr>
                <w:rFonts w:eastAsia="Times New Roman"/>
                <w:szCs w:val="28"/>
                <w:vertAlign w:val="subscript"/>
                <w:lang w:eastAsia="ro-RO"/>
              </w:rPr>
              <w:t>2</w:t>
            </w:r>
            <w:r w:rsidRPr="00827721">
              <w:rPr>
                <w:rFonts w:eastAsia="Times New Roman"/>
                <w:szCs w:val="28"/>
                <w:lang w:eastAsia="ro-RO"/>
              </w:rPr>
              <w:t>O (în kg N</w:t>
            </w:r>
            <w:r w:rsidRPr="00827721">
              <w:rPr>
                <w:rFonts w:eastAsia="Times New Roman"/>
                <w:szCs w:val="28"/>
                <w:vertAlign w:val="subscript"/>
                <w:lang w:eastAsia="ro-RO"/>
              </w:rPr>
              <w:t>2</w:t>
            </w:r>
            <w:r w:rsidRPr="00827721">
              <w:rPr>
                <w:rFonts w:eastAsia="Times New Roman"/>
                <w:szCs w:val="28"/>
                <w:lang w:eastAsia="ro-RO"/>
              </w:rPr>
              <w:t>O-N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w:t>
            </w:r>
          </w:p>
        </w:tc>
      </w:tr>
      <w:tr w:rsidR="00687CC4" w:rsidRPr="00827721" w14:paraId="75D1F65F" w14:textId="77777777" w:rsidTr="00687CC4">
        <w:tc>
          <w:tcPr>
            <w:tcW w:w="0" w:type="auto"/>
            <w:shd w:val="clear" w:color="auto" w:fill="FFFFFF"/>
          </w:tcPr>
          <w:p w14:paraId="1372DE7D" w14:textId="66DED41D" w:rsidR="00687CC4" w:rsidRPr="00827721" w:rsidRDefault="00687CC4" w:rsidP="00687CC4">
            <w:pPr>
              <w:spacing w:before="120" w:line="240" w:lineRule="auto"/>
              <w:ind w:firstLine="0"/>
              <w:rPr>
                <w:rFonts w:eastAsia="Times New Roman"/>
                <w:szCs w:val="28"/>
                <w:lang w:eastAsia="ro-RO"/>
              </w:rPr>
            </w:pPr>
            <w:r w:rsidRPr="00827721">
              <w:rPr>
                <w:rFonts w:eastAsia="Times New Roman"/>
                <w:i/>
                <w:iCs/>
                <w:szCs w:val="28"/>
                <w:lang w:eastAsia="ro-RO"/>
              </w:rPr>
              <w:t>ev</w:t>
            </w:r>
          </w:p>
        </w:tc>
        <w:tc>
          <w:tcPr>
            <w:tcW w:w="0" w:type="auto"/>
            <w:shd w:val="clear" w:color="auto" w:fill="FFFFFF"/>
          </w:tcPr>
          <w:p w14:paraId="38CE18B5" w14:textId="77777777" w:rsidR="00687CC4" w:rsidRPr="00827721" w:rsidRDefault="00687CC4" w:rsidP="00687CC4">
            <w:pPr>
              <w:spacing w:before="120" w:line="240" w:lineRule="auto"/>
              <w:ind w:firstLine="0"/>
              <w:rPr>
                <w:rFonts w:eastAsia="Times New Roman"/>
                <w:szCs w:val="28"/>
                <w:lang w:eastAsia="ro-RO"/>
              </w:rPr>
            </w:pPr>
          </w:p>
        </w:tc>
        <w:tc>
          <w:tcPr>
            <w:tcW w:w="0" w:type="auto"/>
            <w:shd w:val="clear" w:color="auto" w:fill="FFFFFF"/>
          </w:tcPr>
          <w:p w14:paraId="5596B38A" w14:textId="0D7C39D3"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0" w:type="auto"/>
            <w:shd w:val="clear" w:color="auto" w:fill="FFFFFF"/>
          </w:tcPr>
          <w:p w14:paraId="1172A288" w14:textId="71C30C98"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valoarea efectului pentru diferiți factori (a se vedea tabelul 2)</w:t>
            </w:r>
          </w:p>
        </w:tc>
      </w:tr>
    </w:tbl>
    <w:p w14:paraId="1F8DB552" w14:textId="77777777" w:rsidR="00BB53A8" w:rsidRPr="00827721" w:rsidRDefault="00BB53A8" w:rsidP="00BB53A8">
      <w:pPr>
        <w:spacing w:line="240" w:lineRule="auto"/>
        <w:ind w:firstLine="0"/>
        <w:jc w:val="left"/>
        <w:rPr>
          <w:rFonts w:eastAsia="Times New Roman"/>
          <w:vanish/>
          <w:szCs w:val="28"/>
          <w:lang w:eastAsia="ro-RO"/>
        </w:rPr>
      </w:pPr>
    </w:p>
    <w:p w14:paraId="4A639404" w14:textId="22523535" w:rsidR="00BB53A8" w:rsidRPr="00827721" w:rsidRDefault="00BB53A8" w:rsidP="00BB53A8">
      <w:pPr>
        <w:shd w:val="clear" w:color="auto" w:fill="FFFFFF"/>
        <w:spacing w:before="120" w:line="240" w:lineRule="auto"/>
        <w:ind w:firstLine="0"/>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1ij</w:t>
      </w:r>
      <w:r w:rsidRPr="00827721">
        <w:rPr>
          <w:rFonts w:eastAsia="Times New Roman"/>
          <w:szCs w:val="28"/>
          <w:lang w:eastAsia="ro-RO"/>
        </w:rPr>
        <w:t xml:space="preserve"> pentru cultura de </w:t>
      </w:r>
      <w:r w:rsidR="008A23DF" w:rsidRPr="00827721">
        <w:rPr>
          <w:rFonts w:eastAsia="Times New Roman"/>
          <w:szCs w:val="28"/>
          <w:lang w:eastAsia="ro-RO"/>
        </w:rPr>
        <w:t>biocarburant</w:t>
      </w:r>
      <w:r w:rsidRPr="00827721">
        <w:rPr>
          <w:rFonts w:eastAsia="Times New Roman"/>
          <w:szCs w:val="28"/>
          <w:lang w:eastAsia="ro-RO"/>
        </w:rPr>
        <w:t xml:space="preserve"> i în locul j se calculează (modelul S&amp;B) după cum urmează:</w:t>
      </w:r>
    </w:p>
    <w:p w14:paraId="69322EC0" w14:textId="77777777" w:rsidR="00BB53A8" w:rsidRPr="00827721" w:rsidRDefault="00BB53A8" w:rsidP="00DC4DC4">
      <w:pPr>
        <w:shd w:val="clear" w:color="auto" w:fill="FFFFFF"/>
        <w:spacing w:before="120" w:line="240" w:lineRule="auto"/>
        <w:ind w:firstLine="0"/>
        <w:jc w:val="center"/>
        <w:rPr>
          <w:rFonts w:eastAsia="Times New Roman"/>
          <w:szCs w:val="28"/>
          <w:lang w:eastAsia="ro-RO"/>
        </w:rPr>
      </w:pPr>
      <w:r w:rsidRPr="00827721">
        <w:rPr>
          <w:rFonts w:eastAsia="Times New Roman"/>
          <w:szCs w:val="28"/>
          <w:lang w:eastAsia="ro-RO"/>
        </w:rPr>
        <w:t>EF</w:t>
      </w:r>
      <w:r w:rsidRPr="00827721">
        <w:rPr>
          <w:rFonts w:eastAsia="Times New Roman"/>
          <w:szCs w:val="28"/>
          <w:vertAlign w:val="subscript"/>
          <w:lang w:eastAsia="ro-RO"/>
        </w:rPr>
        <w:t>1ij</w:t>
      </w:r>
      <w:r w:rsidRPr="00827721">
        <w:rPr>
          <w:rFonts w:eastAsia="Times New Roman"/>
          <w:szCs w:val="28"/>
          <w:lang w:eastAsia="ro-RO"/>
        </w:rPr>
        <w:t> = (</w:t>
      </w:r>
      <w:proofErr w:type="spellStart"/>
      <w:r w:rsidRPr="00827721">
        <w:rPr>
          <w:rFonts w:eastAsia="Times New Roman"/>
          <w:szCs w:val="28"/>
          <w:lang w:eastAsia="ro-RO"/>
        </w:rPr>
        <w:t>E</w:t>
      </w:r>
      <w:r w:rsidRPr="00827721">
        <w:rPr>
          <w:rFonts w:eastAsia="Times New Roman"/>
          <w:szCs w:val="28"/>
          <w:vertAlign w:val="subscript"/>
          <w:lang w:eastAsia="ro-RO"/>
        </w:rPr>
        <w:t>fert,ij</w:t>
      </w:r>
      <w:proofErr w:type="spellEnd"/>
      <w:r w:rsidRPr="00827721">
        <w:rPr>
          <w:rFonts w:eastAsia="Times New Roman"/>
          <w:szCs w:val="28"/>
          <w:lang w:eastAsia="ro-RO"/>
        </w:rPr>
        <w:t xml:space="preserve"> – </w:t>
      </w:r>
      <w:proofErr w:type="spellStart"/>
      <w:r w:rsidRPr="00827721">
        <w:rPr>
          <w:rFonts w:eastAsia="Times New Roman"/>
          <w:szCs w:val="28"/>
          <w:lang w:eastAsia="ro-RO"/>
        </w:rPr>
        <w:t>E</w:t>
      </w:r>
      <w:r w:rsidRPr="00827721">
        <w:rPr>
          <w:rFonts w:eastAsia="Times New Roman"/>
          <w:szCs w:val="28"/>
          <w:vertAlign w:val="subscript"/>
          <w:lang w:eastAsia="ro-RO"/>
        </w:rPr>
        <w:t>unfert,ij</w:t>
      </w:r>
      <w:proofErr w:type="spellEnd"/>
      <w:r w:rsidRPr="00827721">
        <w:rPr>
          <w:rFonts w:eastAsia="Times New Roman"/>
          <w:szCs w:val="28"/>
          <w:lang w:eastAsia="ro-RO"/>
        </w:rPr>
        <w:t>)/</w:t>
      </w:r>
      <w:proofErr w:type="spellStart"/>
      <w:r w:rsidRPr="00827721">
        <w:rPr>
          <w:rFonts w:eastAsia="Times New Roman"/>
          <w:szCs w:val="28"/>
          <w:lang w:eastAsia="ro-RO"/>
        </w:rPr>
        <w:t>N</w:t>
      </w:r>
      <w:r w:rsidRPr="00827721">
        <w:rPr>
          <w:rFonts w:eastAsia="Times New Roman"/>
          <w:szCs w:val="28"/>
          <w:vertAlign w:val="subscript"/>
          <w:lang w:eastAsia="ro-RO"/>
        </w:rPr>
        <w:t>appl,ij</w:t>
      </w:r>
      <w:proofErr w:type="spellEnd"/>
    </w:p>
    <w:p w14:paraId="453858A9" w14:textId="3AAA8928" w:rsidR="00BB53A8" w:rsidRPr="00827721" w:rsidRDefault="00BB53A8" w:rsidP="000608AC">
      <w:pPr>
        <w:pStyle w:val="Anexapct111"/>
        <w:spacing w:before="240"/>
        <w:rPr>
          <w:rFonts w:eastAsia="Times New Roman"/>
          <w:lang w:eastAsia="ro-RO"/>
        </w:rPr>
      </w:pPr>
      <w:r w:rsidRPr="00827721">
        <w:rPr>
          <w:rFonts w:eastAsia="Times New Roman"/>
          <w:lang w:eastAsia="ro-RO"/>
        </w:rPr>
        <w:t>Factorul IPCC (2006) (EF1) pentru emisiile directe de N</w:t>
      </w:r>
      <w:r w:rsidRPr="00827721">
        <w:rPr>
          <w:rFonts w:eastAsia="Times New Roman"/>
          <w:vertAlign w:val="subscript"/>
          <w:lang w:eastAsia="ro-RO"/>
        </w:rPr>
        <w:t>2</w:t>
      </w:r>
      <w:r w:rsidRPr="00827721">
        <w:rPr>
          <w:rFonts w:eastAsia="Times New Roman"/>
          <w:lang w:eastAsia="ro-RO"/>
        </w:rPr>
        <w:t xml:space="preserve">O generate de aportul de îngrășăminte calculat pe baza unei medii globale se înlocuiește cu EF1ij specific culturii și amplasamentului pentru emisiile directe provenite de la </w:t>
      </w:r>
      <w:r w:rsidRPr="00827721">
        <w:rPr>
          <w:rFonts w:eastAsia="Times New Roman"/>
          <w:lang w:eastAsia="ro-RO"/>
        </w:rPr>
        <w:lastRenderedPageBreak/>
        <w:t>îngrășămintele minerale și azotul din gunoiul de grajd, calculat pe baza EF1ij specific culturii și amplasamentului, aplicând modelul S&amp;B</w:t>
      </w:r>
      <w:r w:rsidR="00047CBE" w:rsidRPr="00827721">
        <w:rPr>
          <w:rFonts w:eastAsia="Times New Roman"/>
          <w:lang w:eastAsia="ro-RO"/>
        </w:rPr>
        <w:t>:</w:t>
      </w:r>
    </w:p>
    <w:p w14:paraId="1DAE2E3A" w14:textId="77777777" w:rsidR="00BB53A8" w:rsidRPr="00827721" w:rsidRDefault="00BB53A8" w:rsidP="00687CC4">
      <w:pPr>
        <w:rPr>
          <w:rFonts w:eastAsia="Times New Roman"/>
          <w:lang w:eastAsia="ro-RO"/>
        </w:rPr>
      </w:pPr>
      <w:r w:rsidRPr="00827721">
        <w:rPr>
          <w:rFonts w:eastAsia="Times New Roman"/>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746"/>
        <w:gridCol w:w="158"/>
        <w:gridCol w:w="8557"/>
      </w:tblGrid>
      <w:tr w:rsidR="00BB53A8" w:rsidRPr="00827721" w14:paraId="6D60CCF6" w14:textId="77777777" w:rsidTr="00687CC4">
        <w:tc>
          <w:tcPr>
            <w:tcW w:w="0" w:type="auto"/>
            <w:shd w:val="clear" w:color="auto" w:fill="FFFFFF"/>
            <w:hideMark/>
          </w:tcPr>
          <w:p w14:paraId="3E3030F3" w14:textId="77777777" w:rsidR="00BB53A8" w:rsidRPr="00827721" w:rsidRDefault="00BB53A8" w:rsidP="00BB53A8">
            <w:pPr>
              <w:spacing w:before="120" w:line="240" w:lineRule="auto"/>
              <w:ind w:firstLine="0"/>
              <w:rPr>
                <w:rFonts w:eastAsia="Times New Roman"/>
                <w:szCs w:val="28"/>
                <w:lang w:eastAsia="ro-RO"/>
              </w:rPr>
            </w:pPr>
            <w:proofErr w:type="spellStart"/>
            <w:r w:rsidRPr="00827721">
              <w:rPr>
                <w:rFonts w:eastAsia="Times New Roman"/>
                <w:szCs w:val="28"/>
                <w:lang w:eastAsia="ro-RO"/>
              </w:rPr>
              <w:t>E</w:t>
            </w:r>
            <w:r w:rsidRPr="00827721">
              <w:rPr>
                <w:rFonts w:eastAsia="Times New Roman"/>
                <w:szCs w:val="28"/>
                <w:vertAlign w:val="subscript"/>
                <w:lang w:eastAsia="ro-RO"/>
              </w:rPr>
              <w:t>fert,ij</w:t>
            </w:r>
            <w:proofErr w:type="spellEnd"/>
          </w:p>
        </w:tc>
        <w:tc>
          <w:tcPr>
            <w:tcW w:w="0" w:type="auto"/>
            <w:shd w:val="clear" w:color="auto" w:fill="FFFFFF"/>
            <w:hideMark/>
          </w:tcPr>
          <w:p w14:paraId="59D2B7DD" w14:textId="77777777" w:rsidR="00BB53A8" w:rsidRPr="00827721" w:rsidRDefault="00BB53A8" w:rsidP="00BB53A8">
            <w:pPr>
              <w:spacing w:before="120" w:line="240" w:lineRule="auto"/>
              <w:ind w:firstLine="0"/>
              <w:rPr>
                <w:rFonts w:eastAsia="Times New Roman"/>
                <w:szCs w:val="28"/>
                <w:lang w:eastAsia="ro-RO"/>
              </w:rPr>
            </w:pPr>
            <w:r w:rsidRPr="00827721">
              <w:rPr>
                <w:rFonts w:eastAsia="Times New Roman"/>
                <w:szCs w:val="28"/>
                <w:lang w:eastAsia="ro-RO"/>
              </w:rPr>
              <w:t>=</w:t>
            </w:r>
          </w:p>
        </w:tc>
        <w:tc>
          <w:tcPr>
            <w:tcW w:w="0" w:type="auto"/>
            <w:shd w:val="clear" w:color="auto" w:fill="FFFFFF"/>
            <w:hideMark/>
          </w:tcPr>
          <w:p w14:paraId="03E46E1C" w14:textId="77777777" w:rsidR="00BB53A8" w:rsidRPr="00827721" w:rsidRDefault="00BB53A8" w:rsidP="00BB53A8">
            <w:pPr>
              <w:spacing w:before="120" w:line="240" w:lineRule="auto"/>
              <w:ind w:firstLine="0"/>
              <w:rPr>
                <w:rFonts w:eastAsia="Times New Roman"/>
                <w:szCs w:val="28"/>
                <w:lang w:eastAsia="ro-RO"/>
              </w:rPr>
            </w:pPr>
            <w:r w:rsidRPr="00827721">
              <w:rPr>
                <w:rFonts w:eastAsia="Times New Roman"/>
                <w:szCs w:val="28"/>
                <w:lang w:eastAsia="ro-RO"/>
              </w:rPr>
              <w:t>emisiile de N</w:t>
            </w:r>
            <w:r w:rsidRPr="00827721">
              <w:rPr>
                <w:rFonts w:eastAsia="Times New Roman"/>
                <w:szCs w:val="28"/>
                <w:vertAlign w:val="subscript"/>
                <w:lang w:eastAsia="ro-RO"/>
              </w:rPr>
              <w:t>2</w:t>
            </w:r>
            <w:r w:rsidRPr="00827721">
              <w:rPr>
                <w:rFonts w:eastAsia="Times New Roman"/>
                <w:szCs w:val="28"/>
                <w:lang w:eastAsia="ro-RO"/>
              </w:rPr>
              <w:t>O (în kg N</w:t>
            </w:r>
            <w:r w:rsidRPr="00827721">
              <w:rPr>
                <w:rFonts w:eastAsia="Times New Roman"/>
                <w:szCs w:val="28"/>
                <w:vertAlign w:val="subscript"/>
                <w:lang w:eastAsia="ro-RO"/>
              </w:rPr>
              <w:t>2</w:t>
            </w:r>
            <w:r w:rsidRPr="00827721">
              <w:rPr>
                <w:rFonts w:eastAsia="Times New Roman"/>
                <w:szCs w:val="28"/>
                <w:lang w:eastAsia="ro-RO"/>
              </w:rPr>
              <w:t>O-N ha</w:t>
            </w:r>
            <w:r w:rsidRPr="00827721">
              <w:rPr>
                <w:rFonts w:eastAsia="Times New Roman"/>
                <w:szCs w:val="28"/>
                <w:vertAlign w:val="sub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 calculate conform modelului S&amp;B, unde aportul de îngrășăminte reprezintă rata efectivă de aplicare a azotului (îngrășământ mineral și gunoi de grajd) la cultura i în locul j;</w:t>
            </w:r>
          </w:p>
        </w:tc>
      </w:tr>
      <w:tr w:rsidR="00687CC4" w:rsidRPr="00827721" w14:paraId="7F120D4A" w14:textId="77777777" w:rsidTr="00687CC4">
        <w:tc>
          <w:tcPr>
            <w:tcW w:w="0" w:type="auto"/>
            <w:shd w:val="clear" w:color="auto" w:fill="FFFFFF"/>
          </w:tcPr>
          <w:p w14:paraId="4E303623" w14:textId="5C572815" w:rsidR="00687CC4" w:rsidRPr="00827721" w:rsidRDefault="00687CC4" w:rsidP="00687CC4">
            <w:pPr>
              <w:spacing w:before="120" w:line="240" w:lineRule="auto"/>
              <w:ind w:firstLine="0"/>
              <w:rPr>
                <w:rFonts w:eastAsia="Times New Roman"/>
                <w:szCs w:val="28"/>
                <w:lang w:eastAsia="ro-RO"/>
              </w:rPr>
            </w:pPr>
            <w:proofErr w:type="spellStart"/>
            <w:r w:rsidRPr="00827721">
              <w:rPr>
                <w:rFonts w:eastAsia="Times New Roman"/>
                <w:szCs w:val="28"/>
                <w:lang w:eastAsia="ro-RO"/>
              </w:rPr>
              <w:t>E</w:t>
            </w:r>
            <w:r w:rsidRPr="00827721">
              <w:rPr>
                <w:rFonts w:eastAsia="Times New Roman"/>
                <w:szCs w:val="28"/>
                <w:vertAlign w:val="subscript"/>
                <w:lang w:eastAsia="ro-RO"/>
              </w:rPr>
              <w:t>unfert,ij</w:t>
            </w:r>
            <w:proofErr w:type="spellEnd"/>
          </w:p>
        </w:tc>
        <w:tc>
          <w:tcPr>
            <w:tcW w:w="0" w:type="auto"/>
            <w:shd w:val="clear" w:color="auto" w:fill="FFFFFF"/>
          </w:tcPr>
          <w:p w14:paraId="2A99BCC6" w14:textId="16A98F6A"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0" w:type="auto"/>
            <w:shd w:val="clear" w:color="auto" w:fill="FFFFFF"/>
          </w:tcPr>
          <w:p w14:paraId="66EBCC86" w14:textId="01EF8A90"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emisiile de N</w:t>
            </w:r>
            <w:r w:rsidRPr="00827721">
              <w:rPr>
                <w:rFonts w:eastAsia="Times New Roman"/>
                <w:szCs w:val="28"/>
                <w:vertAlign w:val="subscript"/>
                <w:lang w:eastAsia="ro-RO"/>
              </w:rPr>
              <w:t>2</w:t>
            </w:r>
            <w:r w:rsidRPr="00827721">
              <w:rPr>
                <w:rFonts w:eastAsia="Times New Roman"/>
                <w:szCs w:val="28"/>
                <w:lang w:eastAsia="ro-RO"/>
              </w:rPr>
              <w:t>O provenite de la cultura i în locul j (în kg N</w:t>
            </w:r>
            <w:r w:rsidRPr="00827721">
              <w:rPr>
                <w:rFonts w:eastAsia="Times New Roman"/>
                <w:szCs w:val="28"/>
                <w:vertAlign w:val="subscript"/>
                <w:lang w:eastAsia="ro-RO"/>
              </w:rPr>
              <w:t>2</w:t>
            </w:r>
            <w:r w:rsidRPr="00827721">
              <w:rPr>
                <w:rFonts w:eastAsia="Times New Roman"/>
                <w:szCs w:val="28"/>
                <w:lang w:eastAsia="ro-RO"/>
              </w:rPr>
              <w:t>O-N ha</w:t>
            </w:r>
            <w:r w:rsidRPr="00827721">
              <w:rPr>
                <w:rFonts w:eastAsia="Times New Roman"/>
                <w:szCs w:val="28"/>
                <w:vertAlign w:val="sub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 calculate conform modelului S&amp;B. Rata de aplicare a azotului este stabilită la 0, toți ceilalți parametri fiind menținuți la același nivel;</w:t>
            </w:r>
          </w:p>
        </w:tc>
      </w:tr>
      <w:tr w:rsidR="00687CC4" w:rsidRPr="00827721" w14:paraId="0F752DC0" w14:textId="77777777" w:rsidTr="00687CC4">
        <w:tc>
          <w:tcPr>
            <w:tcW w:w="0" w:type="auto"/>
            <w:shd w:val="clear" w:color="auto" w:fill="FFFFFF"/>
          </w:tcPr>
          <w:p w14:paraId="0EF2D2B3" w14:textId="0354D1B1" w:rsidR="00687CC4" w:rsidRPr="00827721" w:rsidRDefault="00687CC4" w:rsidP="00687CC4">
            <w:pPr>
              <w:spacing w:before="120" w:line="240" w:lineRule="auto"/>
              <w:ind w:firstLine="0"/>
              <w:rPr>
                <w:rFonts w:eastAsia="Times New Roman"/>
                <w:szCs w:val="28"/>
                <w:lang w:eastAsia="ro-RO"/>
              </w:rPr>
            </w:pPr>
            <w:proofErr w:type="spellStart"/>
            <w:r w:rsidRPr="00827721">
              <w:rPr>
                <w:rFonts w:eastAsia="Times New Roman"/>
                <w:szCs w:val="28"/>
                <w:lang w:eastAsia="ro-RO"/>
              </w:rPr>
              <w:t>N</w:t>
            </w:r>
            <w:r w:rsidRPr="00827721">
              <w:rPr>
                <w:rFonts w:eastAsia="Times New Roman"/>
                <w:szCs w:val="28"/>
                <w:vertAlign w:val="subscript"/>
                <w:lang w:eastAsia="ro-RO"/>
              </w:rPr>
              <w:t>appl,ij</w:t>
            </w:r>
            <w:proofErr w:type="spellEnd"/>
          </w:p>
        </w:tc>
        <w:tc>
          <w:tcPr>
            <w:tcW w:w="0" w:type="auto"/>
            <w:shd w:val="clear" w:color="auto" w:fill="FFFFFF"/>
          </w:tcPr>
          <w:p w14:paraId="1489C3C5" w14:textId="67FD1AF0"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w:t>
            </w:r>
          </w:p>
        </w:tc>
        <w:tc>
          <w:tcPr>
            <w:tcW w:w="0" w:type="auto"/>
            <w:shd w:val="clear" w:color="auto" w:fill="FFFFFF"/>
          </w:tcPr>
          <w:p w14:paraId="04280C86" w14:textId="73FF4666" w:rsidR="00687CC4" w:rsidRPr="00827721" w:rsidRDefault="00687CC4" w:rsidP="00687CC4">
            <w:pPr>
              <w:spacing w:before="120" w:line="240" w:lineRule="auto"/>
              <w:ind w:firstLine="0"/>
              <w:rPr>
                <w:rFonts w:eastAsia="Times New Roman"/>
                <w:szCs w:val="28"/>
                <w:lang w:eastAsia="ro-RO"/>
              </w:rPr>
            </w:pPr>
            <w:r w:rsidRPr="00827721">
              <w:rPr>
                <w:rFonts w:eastAsia="Times New Roman"/>
                <w:szCs w:val="28"/>
                <w:lang w:eastAsia="ro-RO"/>
              </w:rPr>
              <w:t>aportul de N provenit de la îngrășămintele minerale și de la gunoiul de grajd (în kg N ha</w:t>
            </w:r>
            <w:r w:rsidRPr="00827721">
              <w:rPr>
                <w:rFonts w:eastAsia="Times New Roman"/>
                <w:szCs w:val="28"/>
                <w:vertAlign w:val="superscript"/>
                <w:lang w:eastAsia="ro-RO"/>
              </w:rPr>
              <w:t>-1</w:t>
            </w:r>
            <w:r w:rsidRPr="00827721">
              <w:rPr>
                <w:rFonts w:eastAsia="Times New Roman"/>
                <w:szCs w:val="28"/>
                <w:lang w:eastAsia="ro-RO"/>
              </w:rPr>
              <w:t> a</w:t>
            </w:r>
            <w:r w:rsidRPr="00827721">
              <w:rPr>
                <w:rFonts w:eastAsia="Times New Roman"/>
                <w:szCs w:val="28"/>
                <w:vertAlign w:val="superscript"/>
                <w:lang w:eastAsia="ro-RO"/>
              </w:rPr>
              <w:t>-1</w:t>
            </w:r>
            <w:r w:rsidRPr="00827721">
              <w:rPr>
                <w:rFonts w:eastAsia="Times New Roman"/>
                <w:szCs w:val="28"/>
                <w:lang w:eastAsia="ro-RO"/>
              </w:rPr>
              <w:t>) pentru cultura i în locul j.</w:t>
            </w:r>
          </w:p>
        </w:tc>
      </w:tr>
    </w:tbl>
    <w:p w14:paraId="77A29B43" w14:textId="77777777" w:rsidR="00BB53A8" w:rsidRPr="00827721" w:rsidRDefault="00BB53A8" w:rsidP="00687CC4">
      <w:pPr>
        <w:pStyle w:val="Sectiune"/>
        <w:rPr>
          <w:rFonts w:eastAsia="Times New Roman"/>
          <w:lang w:eastAsia="ro-RO"/>
        </w:rPr>
      </w:pPr>
      <w:r w:rsidRPr="00827721">
        <w:t>Tabelul</w:t>
      </w:r>
      <w:r w:rsidRPr="00827721">
        <w:rPr>
          <w:rFonts w:eastAsia="Times New Roman"/>
          <w:lang w:eastAsia="ro-RO"/>
        </w:rPr>
        <w:t xml:space="preserve"> 1</w:t>
      </w:r>
    </w:p>
    <w:p w14:paraId="342B4516" w14:textId="797D957D" w:rsidR="00BB53A8" w:rsidRPr="00827721" w:rsidRDefault="00BB53A8" w:rsidP="00047CBE">
      <w:pPr>
        <w:pStyle w:val="Sectiune"/>
        <w:rPr>
          <w:rFonts w:eastAsia="Times New Roman"/>
          <w:lang w:eastAsia="ro-RO"/>
        </w:rPr>
      </w:pPr>
      <w:r w:rsidRPr="00827721">
        <w:rPr>
          <w:rFonts w:eastAsia="Times New Roman"/>
          <w:lang w:eastAsia="ro-RO"/>
        </w:rPr>
        <w:t>Parametrii specifici culturilor pentru calcularea aportului de N provenit din reziduurile de culturi agricole</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683"/>
        <w:gridCol w:w="666"/>
        <w:gridCol w:w="766"/>
        <w:gridCol w:w="666"/>
        <w:gridCol w:w="585"/>
        <w:gridCol w:w="608"/>
        <w:gridCol w:w="604"/>
        <w:gridCol w:w="666"/>
        <w:gridCol w:w="466"/>
        <w:gridCol w:w="566"/>
        <w:gridCol w:w="1167"/>
        <w:gridCol w:w="585"/>
      </w:tblGrid>
      <w:tr w:rsidR="00851155" w:rsidRPr="00827721" w14:paraId="676EF7C6" w14:textId="77777777" w:rsidTr="003879BA">
        <w:trPr>
          <w:cantSplit/>
          <w:trHeight w:val="1134"/>
          <w:jc w:val="center"/>
        </w:trPr>
        <w:tc>
          <w:tcPr>
            <w:tcW w:w="1187" w:type="dxa"/>
            <w:vAlign w:val="center"/>
            <w:hideMark/>
          </w:tcPr>
          <w:p w14:paraId="33C37BF5"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Recoltă</w:t>
            </w:r>
          </w:p>
        </w:tc>
        <w:tc>
          <w:tcPr>
            <w:tcW w:w="1785" w:type="dxa"/>
            <w:vAlign w:val="center"/>
            <w:hideMark/>
          </w:tcPr>
          <w:p w14:paraId="6D773C65"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Metoda de calcul</w:t>
            </w:r>
          </w:p>
        </w:tc>
        <w:tc>
          <w:tcPr>
            <w:tcW w:w="536" w:type="dxa"/>
            <w:vAlign w:val="center"/>
            <w:hideMark/>
          </w:tcPr>
          <w:p w14:paraId="1254D918" w14:textId="3496E021" w:rsidR="00851155" w:rsidRPr="00827721" w:rsidRDefault="007A3720"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DRY</w:t>
            </w:r>
          </w:p>
        </w:tc>
        <w:tc>
          <w:tcPr>
            <w:tcW w:w="766" w:type="dxa"/>
            <w:vAlign w:val="center"/>
            <w:hideMark/>
          </w:tcPr>
          <w:p w14:paraId="5C191E7F"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LHV</w:t>
            </w:r>
          </w:p>
        </w:tc>
        <w:tc>
          <w:tcPr>
            <w:tcW w:w="666" w:type="dxa"/>
            <w:vAlign w:val="center"/>
            <w:hideMark/>
          </w:tcPr>
          <w:p w14:paraId="4AB3D17E"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N</w:t>
            </w:r>
            <w:r w:rsidRPr="00827721">
              <w:rPr>
                <w:rFonts w:eastAsia="Times New Roman"/>
                <w:b/>
                <w:bCs/>
                <w:sz w:val="20"/>
                <w:szCs w:val="20"/>
                <w:vertAlign w:val="subscript"/>
                <w:lang w:eastAsia="ro-RO"/>
              </w:rPr>
              <w:t>AG</w:t>
            </w:r>
          </w:p>
        </w:tc>
        <w:tc>
          <w:tcPr>
            <w:tcW w:w="588" w:type="dxa"/>
            <w:textDirection w:val="btLr"/>
            <w:vAlign w:val="center"/>
            <w:hideMark/>
          </w:tcPr>
          <w:p w14:paraId="6F78A311" w14:textId="530A230A" w:rsidR="00851155" w:rsidRPr="00827721" w:rsidRDefault="000A6F07" w:rsidP="00732352">
            <w:pPr>
              <w:spacing w:line="240" w:lineRule="auto"/>
              <w:ind w:left="113" w:right="113" w:firstLine="0"/>
              <w:jc w:val="left"/>
              <w:rPr>
                <w:rFonts w:eastAsia="Times New Roman"/>
                <w:b/>
                <w:bCs/>
                <w:sz w:val="20"/>
                <w:szCs w:val="20"/>
                <w:lang w:eastAsia="ro-RO"/>
              </w:rPr>
            </w:pPr>
            <w:r w:rsidRPr="00827721">
              <w:rPr>
                <w:rFonts w:eastAsia="Times New Roman"/>
                <w:b/>
                <w:bCs/>
                <w:sz w:val="20"/>
                <w:szCs w:val="20"/>
                <w:lang w:eastAsia="ro-RO"/>
              </w:rPr>
              <w:t>Panta</w:t>
            </w:r>
          </w:p>
        </w:tc>
        <w:tc>
          <w:tcPr>
            <w:tcW w:w="615" w:type="dxa"/>
            <w:textDirection w:val="btLr"/>
            <w:vAlign w:val="center"/>
            <w:hideMark/>
          </w:tcPr>
          <w:p w14:paraId="0214AA48" w14:textId="77777777" w:rsidR="00851155" w:rsidRPr="00827721" w:rsidRDefault="00851155" w:rsidP="00732352">
            <w:pPr>
              <w:spacing w:line="240" w:lineRule="auto"/>
              <w:ind w:left="113" w:right="113" w:firstLine="0"/>
              <w:jc w:val="left"/>
              <w:rPr>
                <w:rFonts w:eastAsia="Times New Roman"/>
                <w:b/>
                <w:bCs/>
                <w:sz w:val="20"/>
                <w:szCs w:val="20"/>
                <w:lang w:eastAsia="ro-RO"/>
              </w:rPr>
            </w:pPr>
            <w:proofErr w:type="spellStart"/>
            <w:r w:rsidRPr="00827721">
              <w:rPr>
                <w:rFonts w:eastAsia="Times New Roman"/>
                <w:b/>
                <w:bCs/>
                <w:sz w:val="20"/>
                <w:szCs w:val="20"/>
                <w:lang w:eastAsia="ro-RO"/>
              </w:rPr>
              <w:t>Intercept</w:t>
            </w:r>
            <w:proofErr w:type="spellEnd"/>
          </w:p>
        </w:tc>
        <w:tc>
          <w:tcPr>
            <w:tcW w:w="610" w:type="dxa"/>
            <w:textDirection w:val="btLr"/>
            <w:vAlign w:val="center"/>
            <w:hideMark/>
          </w:tcPr>
          <w:p w14:paraId="6DD53D3B" w14:textId="77777777" w:rsidR="00851155" w:rsidRPr="00827721" w:rsidRDefault="00851155" w:rsidP="00732352">
            <w:pPr>
              <w:spacing w:line="240" w:lineRule="auto"/>
              <w:ind w:left="113" w:right="113" w:firstLine="0"/>
              <w:jc w:val="left"/>
              <w:rPr>
                <w:rFonts w:eastAsia="Times New Roman"/>
                <w:b/>
                <w:bCs/>
                <w:sz w:val="20"/>
                <w:szCs w:val="20"/>
                <w:lang w:eastAsia="ro-RO"/>
              </w:rPr>
            </w:pPr>
            <w:r w:rsidRPr="00827721">
              <w:rPr>
                <w:rFonts w:eastAsia="Times New Roman"/>
                <w:b/>
                <w:bCs/>
                <w:sz w:val="20"/>
                <w:szCs w:val="20"/>
                <w:lang w:eastAsia="ro-RO"/>
              </w:rPr>
              <w:t>R</w:t>
            </w:r>
            <w:r w:rsidRPr="00827721">
              <w:rPr>
                <w:rFonts w:eastAsia="Times New Roman"/>
                <w:b/>
                <w:bCs/>
                <w:sz w:val="20"/>
                <w:szCs w:val="20"/>
                <w:vertAlign w:val="subscript"/>
                <w:lang w:eastAsia="ro-RO"/>
              </w:rPr>
              <w:t>BG_BIO</w:t>
            </w:r>
          </w:p>
        </w:tc>
        <w:tc>
          <w:tcPr>
            <w:tcW w:w="666" w:type="dxa"/>
            <w:vAlign w:val="center"/>
            <w:hideMark/>
          </w:tcPr>
          <w:p w14:paraId="289AFFAA"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N</w:t>
            </w:r>
            <w:r w:rsidRPr="00827721">
              <w:rPr>
                <w:rFonts w:eastAsia="Times New Roman"/>
                <w:b/>
                <w:bCs/>
                <w:sz w:val="20"/>
                <w:szCs w:val="20"/>
                <w:vertAlign w:val="subscript"/>
                <w:lang w:eastAsia="ro-RO"/>
              </w:rPr>
              <w:t>BG</w:t>
            </w:r>
          </w:p>
        </w:tc>
        <w:tc>
          <w:tcPr>
            <w:tcW w:w="466" w:type="dxa"/>
            <w:vAlign w:val="center"/>
            <w:hideMark/>
          </w:tcPr>
          <w:p w14:paraId="5D4EF7A5"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Cf</w:t>
            </w:r>
          </w:p>
        </w:tc>
        <w:tc>
          <w:tcPr>
            <w:tcW w:w="566" w:type="dxa"/>
            <w:vAlign w:val="center"/>
            <w:hideMark/>
          </w:tcPr>
          <w:p w14:paraId="397F5B72" w14:textId="77777777" w:rsidR="00851155" w:rsidRPr="00827721" w:rsidRDefault="00851155" w:rsidP="00732352">
            <w:pPr>
              <w:spacing w:line="240" w:lineRule="auto"/>
              <w:ind w:firstLine="0"/>
              <w:jc w:val="left"/>
              <w:rPr>
                <w:rFonts w:eastAsia="Times New Roman"/>
                <w:b/>
                <w:bCs/>
                <w:sz w:val="20"/>
                <w:szCs w:val="20"/>
                <w:lang w:eastAsia="ro-RO"/>
              </w:rPr>
            </w:pPr>
            <w:r w:rsidRPr="00827721">
              <w:rPr>
                <w:rFonts w:eastAsia="Times New Roman"/>
                <w:b/>
                <w:bCs/>
                <w:sz w:val="20"/>
                <w:szCs w:val="20"/>
                <w:lang w:eastAsia="ro-RO"/>
              </w:rPr>
              <w:t>R</w:t>
            </w:r>
            <w:r w:rsidRPr="00827721">
              <w:rPr>
                <w:rFonts w:eastAsia="Times New Roman"/>
                <w:b/>
                <w:bCs/>
                <w:sz w:val="20"/>
                <w:szCs w:val="20"/>
                <w:vertAlign w:val="subscript"/>
                <w:lang w:eastAsia="ro-RO"/>
              </w:rPr>
              <w:t>AG</w:t>
            </w:r>
          </w:p>
        </w:tc>
        <w:tc>
          <w:tcPr>
            <w:tcW w:w="1168" w:type="dxa"/>
            <w:vAlign w:val="center"/>
            <w:hideMark/>
          </w:tcPr>
          <w:p w14:paraId="65E3EA78" w14:textId="244A0A14" w:rsidR="00851155" w:rsidRPr="00827721" w:rsidRDefault="009F40FE" w:rsidP="00732352">
            <w:pPr>
              <w:spacing w:line="240" w:lineRule="auto"/>
              <w:ind w:firstLine="0"/>
              <w:jc w:val="left"/>
              <w:rPr>
                <w:rFonts w:eastAsia="Times New Roman"/>
                <w:b/>
                <w:bCs/>
                <w:sz w:val="20"/>
                <w:szCs w:val="20"/>
                <w:lang w:eastAsia="ro-RO"/>
              </w:rPr>
            </w:pPr>
            <w:proofErr w:type="spellStart"/>
            <w:r w:rsidRPr="00827721">
              <w:rPr>
                <w:rFonts w:eastAsia="Times New Roman"/>
                <w:b/>
                <w:bCs/>
                <w:sz w:val="20"/>
                <w:szCs w:val="20"/>
                <w:lang w:eastAsia="ro-RO"/>
              </w:rPr>
              <w:t>C</w:t>
            </w:r>
            <w:r w:rsidR="00851155" w:rsidRPr="00827721">
              <w:rPr>
                <w:rFonts w:eastAsia="Times New Roman"/>
                <w:b/>
                <w:bCs/>
                <w:sz w:val="20"/>
                <w:szCs w:val="20"/>
                <w:lang w:eastAsia="ro-RO"/>
              </w:rPr>
              <w:t>ant</w:t>
            </w:r>
            <w:r w:rsidRPr="00827721">
              <w:rPr>
                <w:rFonts w:eastAsia="Times New Roman"/>
                <w:b/>
                <w:bCs/>
                <w:sz w:val="20"/>
                <w:szCs w:val="20"/>
                <w:lang w:eastAsia="ro-RO"/>
              </w:rPr>
              <w:t>.</w:t>
            </w:r>
            <w:r w:rsidR="00851155" w:rsidRPr="00827721">
              <w:rPr>
                <w:rFonts w:eastAsia="Times New Roman"/>
                <w:b/>
                <w:bCs/>
                <w:sz w:val="20"/>
                <w:szCs w:val="20"/>
                <w:lang w:eastAsia="ro-RO"/>
              </w:rPr>
              <w:t>fixă</w:t>
            </w:r>
            <w:proofErr w:type="spellEnd"/>
            <w:r w:rsidR="00851155" w:rsidRPr="00827721">
              <w:rPr>
                <w:rFonts w:eastAsia="Times New Roman"/>
                <w:b/>
                <w:bCs/>
                <w:sz w:val="20"/>
                <w:szCs w:val="20"/>
                <w:lang w:eastAsia="ro-RO"/>
              </w:rPr>
              <w:t xml:space="preserve"> de N în reziduurile vegetale (kg N ha</w:t>
            </w:r>
            <w:r w:rsidR="00851155" w:rsidRPr="00827721">
              <w:rPr>
                <w:rFonts w:eastAsia="Times New Roman"/>
                <w:b/>
                <w:bCs/>
                <w:sz w:val="20"/>
                <w:szCs w:val="20"/>
                <w:vertAlign w:val="superscript"/>
                <w:lang w:eastAsia="ro-RO"/>
              </w:rPr>
              <w:t>-1</w:t>
            </w:r>
            <w:r w:rsidR="00851155" w:rsidRPr="00827721">
              <w:rPr>
                <w:rFonts w:eastAsia="Times New Roman"/>
                <w:b/>
                <w:bCs/>
                <w:sz w:val="20"/>
                <w:szCs w:val="20"/>
                <w:lang w:eastAsia="ro-RO"/>
              </w:rPr>
              <w:t>)</w:t>
            </w:r>
          </w:p>
        </w:tc>
        <w:tc>
          <w:tcPr>
            <w:tcW w:w="588" w:type="dxa"/>
            <w:textDirection w:val="btLr"/>
            <w:vAlign w:val="center"/>
            <w:hideMark/>
          </w:tcPr>
          <w:p w14:paraId="73A6F76D" w14:textId="77777777" w:rsidR="00851155" w:rsidRPr="00827721" w:rsidRDefault="00851155" w:rsidP="00732352">
            <w:pPr>
              <w:spacing w:line="240" w:lineRule="auto"/>
              <w:ind w:left="113" w:right="113" w:firstLine="0"/>
              <w:jc w:val="left"/>
              <w:rPr>
                <w:rFonts w:eastAsia="Times New Roman"/>
                <w:b/>
                <w:bCs/>
                <w:sz w:val="20"/>
                <w:szCs w:val="20"/>
                <w:lang w:eastAsia="ro-RO"/>
              </w:rPr>
            </w:pPr>
            <w:r w:rsidRPr="00827721">
              <w:rPr>
                <w:rFonts w:eastAsia="Times New Roman"/>
                <w:b/>
                <w:bCs/>
                <w:sz w:val="20"/>
                <w:szCs w:val="20"/>
                <w:lang w:eastAsia="ro-RO"/>
              </w:rPr>
              <w:t>Surse de date</w:t>
            </w:r>
          </w:p>
        </w:tc>
      </w:tr>
      <w:tr w:rsidR="00851155" w:rsidRPr="00827721" w14:paraId="214D1972" w14:textId="77777777" w:rsidTr="00B05388">
        <w:trPr>
          <w:trHeight w:val="300"/>
          <w:jc w:val="center"/>
        </w:trPr>
        <w:tc>
          <w:tcPr>
            <w:tcW w:w="1187" w:type="dxa"/>
            <w:vAlign w:val="center"/>
            <w:hideMark/>
          </w:tcPr>
          <w:p w14:paraId="2724456B" w14:textId="77777777" w:rsidR="00851155" w:rsidRPr="00827721" w:rsidRDefault="00851155" w:rsidP="005B4E0F">
            <w:pPr>
              <w:spacing w:line="240" w:lineRule="auto"/>
              <w:ind w:firstLine="0"/>
              <w:jc w:val="left"/>
              <w:rPr>
                <w:rFonts w:eastAsia="Times New Roman"/>
                <w:sz w:val="20"/>
                <w:szCs w:val="20"/>
                <w:lang w:eastAsia="ro-RO"/>
              </w:rPr>
            </w:pPr>
            <w:r w:rsidRPr="00827721">
              <w:rPr>
                <w:rFonts w:eastAsia="Times New Roman"/>
                <w:sz w:val="20"/>
                <w:szCs w:val="20"/>
                <w:lang w:eastAsia="ro-RO"/>
              </w:rPr>
              <w:t>Orz</w:t>
            </w:r>
          </w:p>
        </w:tc>
        <w:tc>
          <w:tcPr>
            <w:tcW w:w="1785" w:type="dxa"/>
            <w:vAlign w:val="center"/>
            <w:hideMark/>
          </w:tcPr>
          <w:p w14:paraId="3587CF39" w14:textId="311483F3" w:rsidR="00851155" w:rsidRPr="00827721" w:rsidRDefault="00851155" w:rsidP="005B4E0F">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36257DC6" w14:textId="7777777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0.865</w:t>
            </w:r>
          </w:p>
        </w:tc>
        <w:tc>
          <w:tcPr>
            <w:tcW w:w="766" w:type="dxa"/>
            <w:vAlign w:val="center"/>
            <w:hideMark/>
          </w:tcPr>
          <w:p w14:paraId="5756D405" w14:textId="7777777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17</w:t>
            </w:r>
          </w:p>
        </w:tc>
        <w:tc>
          <w:tcPr>
            <w:tcW w:w="666" w:type="dxa"/>
            <w:vAlign w:val="center"/>
            <w:hideMark/>
          </w:tcPr>
          <w:p w14:paraId="39109B69" w14:textId="3D8300A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D028B1" w:rsidRPr="00827721">
              <w:rPr>
                <w:rFonts w:eastAsia="Times New Roman"/>
                <w:sz w:val="20"/>
                <w:szCs w:val="20"/>
                <w:lang w:eastAsia="ro-RO"/>
              </w:rPr>
              <w:t>0</w:t>
            </w:r>
            <w:r w:rsidR="00732352" w:rsidRPr="00827721">
              <w:rPr>
                <w:rFonts w:eastAsia="Times New Roman"/>
                <w:sz w:val="20"/>
                <w:szCs w:val="20"/>
                <w:lang w:eastAsia="ro-RO"/>
              </w:rPr>
              <w:t>7</w:t>
            </w:r>
          </w:p>
        </w:tc>
        <w:tc>
          <w:tcPr>
            <w:tcW w:w="588" w:type="dxa"/>
            <w:vAlign w:val="center"/>
            <w:hideMark/>
          </w:tcPr>
          <w:p w14:paraId="4D26CB95" w14:textId="7777777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0.98</w:t>
            </w:r>
          </w:p>
        </w:tc>
        <w:tc>
          <w:tcPr>
            <w:tcW w:w="615" w:type="dxa"/>
            <w:vAlign w:val="center"/>
            <w:hideMark/>
          </w:tcPr>
          <w:p w14:paraId="645CF50F" w14:textId="7777777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0.59</w:t>
            </w:r>
          </w:p>
        </w:tc>
        <w:tc>
          <w:tcPr>
            <w:tcW w:w="610" w:type="dxa"/>
            <w:vAlign w:val="center"/>
            <w:hideMark/>
          </w:tcPr>
          <w:p w14:paraId="5D3229CC" w14:textId="7777777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0.22</w:t>
            </w:r>
          </w:p>
        </w:tc>
        <w:tc>
          <w:tcPr>
            <w:tcW w:w="666" w:type="dxa"/>
            <w:vAlign w:val="center"/>
            <w:hideMark/>
          </w:tcPr>
          <w:p w14:paraId="687A5FC8" w14:textId="2C3A8368"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0.01</w:t>
            </w:r>
            <w:r w:rsidR="00732352" w:rsidRPr="00827721">
              <w:rPr>
                <w:rFonts w:eastAsia="Times New Roman"/>
                <w:sz w:val="20"/>
                <w:szCs w:val="20"/>
                <w:lang w:eastAsia="ro-RO"/>
              </w:rPr>
              <w:t>4</w:t>
            </w:r>
          </w:p>
        </w:tc>
        <w:tc>
          <w:tcPr>
            <w:tcW w:w="466" w:type="dxa"/>
            <w:vAlign w:val="center"/>
            <w:hideMark/>
          </w:tcPr>
          <w:p w14:paraId="39B97258" w14:textId="73029876" w:rsidR="00851155" w:rsidRPr="00827721" w:rsidRDefault="00962A2B"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1A646905" w14:textId="77777777" w:rsidR="00851155" w:rsidRPr="00827721" w:rsidRDefault="00851155" w:rsidP="00B05388">
            <w:pPr>
              <w:spacing w:line="240" w:lineRule="auto"/>
              <w:ind w:firstLine="0"/>
              <w:jc w:val="center"/>
              <w:rPr>
                <w:rFonts w:eastAsia="Times New Roman"/>
                <w:sz w:val="20"/>
                <w:szCs w:val="20"/>
                <w:lang w:eastAsia="ro-RO"/>
              </w:rPr>
            </w:pPr>
          </w:p>
        </w:tc>
        <w:tc>
          <w:tcPr>
            <w:tcW w:w="1168" w:type="dxa"/>
            <w:vAlign w:val="center"/>
            <w:hideMark/>
          </w:tcPr>
          <w:p w14:paraId="191DB07F" w14:textId="77777777" w:rsidR="00851155" w:rsidRPr="00827721" w:rsidRDefault="00851155" w:rsidP="00B05388">
            <w:pPr>
              <w:spacing w:line="240" w:lineRule="auto"/>
              <w:ind w:firstLine="0"/>
              <w:jc w:val="center"/>
              <w:rPr>
                <w:rFonts w:eastAsia="Times New Roman"/>
                <w:sz w:val="20"/>
                <w:szCs w:val="20"/>
                <w:lang w:eastAsia="ro-RO"/>
              </w:rPr>
            </w:pPr>
          </w:p>
        </w:tc>
        <w:tc>
          <w:tcPr>
            <w:tcW w:w="588" w:type="dxa"/>
            <w:vAlign w:val="center"/>
            <w:hideMark/>
          </w:tcPr>
          <w:p w14:paraId="2308BD26" w14:textId="77777777" w:rsidR="00851155" w:rsidRPr="00827721" w:rsidRDefault="00851155"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1.2</w:t>
            </w:r>
          </w:p>
        </w:tc>
      </w:tr>
      <w:tr w:rsidR="007C7F99" w:rsidRPr="00827721" w14:paraId="548CCF54" w14:textId="77777777" w:rsidTr="00B05388">
        <w:trPr>
          <w:trHeight w:val="300"/>
          <w:jc w:val="center"/>
        </w:trPr>
        <w:tc>
          <w:tcPr>
            <w:tcW w:w="1187" w:type="dxa"/>
            <w:vAlign w:val="center"/>
            <w:hideMark/>
          </w:tcPr>
          <w:p w14:paraId="25D5FE8F"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Manioc</w:t>
            </w:r>
          </w:p>
        </w:tc>
        <w:tc>
          <w:tcPr>
            <w:tcW w:w="1785" w:type="dxa"/>
            <w:vAlign w:val="center"/>
            <w:hideMark/>
          </w:tcPr>
          <w:p w14:paraId="1D938D1E" w14:textId="3793178E"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40997138"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0.302</w:t>
            </w:r>
          </w:p>
        </w:tc>
        <w:tc>
          <w:tcPr>
            <w:tcW w:w="766" w:type="dxa"/>
            <w:vAlign w:val="center"/>
            <w:hideMark/>
          </w:tcPr>
          <w:p w14:paraId="5999497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16.15</w:t>
            </w:r>
          </w:p>
        </w:tc>
        <w:tc>
          <w:tcPr>
            <w:tcW w:w="666" w:type="dxa"/>
            <w:vAlign w:val="center"/>
            <w:hideMark/>
          </w:tcPr>
          <w:p w14:paraId="68A3FEB8" w14:textId="229BD57A"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CC6DE6" w:rsidRPr="00827721">
              <w:rPr>
                <w:rFonts w:eastAsia="Times New Roman"/>
                <w:sz w:val="20"/>
                <w:szCs w:val="20"/>
                <w:lang w:eastAsia="ro-RO"/>
              </w:rPr>
              <w:t>19</w:t>
            </w:r>
          </w:p>
        </w:tc>
        <w:tc>
          <w:tcPr>
            <w:tcW w:w="588" w:type="dxa"/>
            <w:vAlign w:val="center"/>
            <w:hideMark/>
          </w:tcPr>
          <w:p w14:paraId="766FC44A"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0.1</w:t>
            </w:r>
          </w:p>
        </w:tc>
        <w:tc>
          <w:tcPr>
            <w:tcW w:w="615" w:type="dxa"/>
            <w:vAlign w:val="center"/>
            <w:hideMark/>
          </w:tcPr>
          <w:p w14:paraId="38CA36DB"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1.06</w:t>
            </w:r>
          </w:p>
        </w:tc>
        <w:tc>
          <w:tcPr>
            <w:tcW w:w="610" w:type="dxa"/>
            <w:vAlign w:val="center"/>
            <w:hideMark/>
          </w:tcPr>
          <w:p w14:paraId="40A73FA8"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w:t>
            </w:r>
          </w:p>
        </w:tc>
        <w:tc>
          <w:tcPr>
            <w:tcW w:w="666" w:type="dxa"/>
            <w:vAlign w:val="center"/>
            <w:hideMark/>
          </w:tcPr>
          <w:p w14:paraId="6B41F089" w14:textId="08196FEB"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0.01</w:t>
            </w:r>
            <w:r w:rsidR="00C40821" w:rsidRPr="00827721">
              <w:rPr>
                <w:rFonts w:eastAsia="Times New Roman"/>
                <w:sz w:val="20"/>
                <w:szCs w:val="20"/>
                <w:lang w:eastAsia="ro-RO"/>
              </w:rPr>
              <w:t>4</w:t>
            </w:r>
          </w:p>
        </w:tc>
        <w:tc>
          <w:tcPr>
            <w:tcW w:w="466" w:type="dxa"/>
            <w:vAlign w:val="center"/>
            <w:hideMark/>
          </w:tcPr>
          <w:p w14:paraId="5BB5B62C" w14:textId="70AAFBAC"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651AA04E"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4984C6DF"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05CE407E"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1.2</w:t>
            </w:r>
          </w:p>
        </w:tc>
      </w:tr>
      <w:tr w:rsidR="007C7F99" w:rsidRPr="00827721" w14:paraId="16D0F635" w14:textId="77777777" w:rsidTr="00B05388">
        <w:trPr>
          <w:trHeight w:val="300"/>
          <w:jc w:val="center"/>
        </w:trPr>
        <w:tc>
          <w:tcPr>
            <w:tcW w:w="1187" w:type="dxa"/>
            <w:vAlign w:val="center"/>
            <w:hideMark/>
          </w:tcPr>
          <w:p w14:paraId="38FAB424"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Nucile de cocos</w:t>
            </w:r>
          </w:p>
        </w:tc>
        <w:tc>
          <w:tcPr>
            <w:tcW w:w="1785" w:type="dxa"/>
            <w:vAlign w:val="center"/>
            <w:hideMark/>
          </w:tcPr>
          <w:p w14:paraId="04DD8EC4"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N fix din reziduuri agricole</w:t>
            </w:r>
          </w:p>
        </w:tc>
        <w:tc>
          <w:tcPr>
            <w:tcW w:w="536" w:type="dxa"/>
            <w:vAlign w:val="center"/>
            <w:hideMark/>
          </w:tcPr>
          <w:p w14:paraId="42BAA5D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0.94</w:t>
            </w:r>
          </w:p>
        </w:tc>
        <w:tc>
          <w:tcPr>
            <w:tcW w:w="766" w:type="dxa"/>
            <w:vAlign w:val="center"/>
            <w:hideMark/>
          </w:tcPr>
          <w:p w14:paraId="0D78B1CD"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32.07</w:t>
            </w:r>
          </w:p>
        </w:tc>
        <w:tc>
          <w:tcPr>
            <w:tcW w:w="666" w:type="dxa"/>
            <w:vAlign w:val="center"/>
            <w:hideMark/>
          </w:tcPr>
          <w:p w14:paraId="6A49BBA5"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29B08F4C" w14:textId="77777777" w:rsidR="007C7F99" w:rsidRPr="00827721" w:rsidRDefault="007C7F99" w:rsidP="00B05388">
            <w:pPr>
              <w:spacing w:line="240" w:lineRule="auto"/>
              <w:ind w:firstLine="0"/>
              <w:jc w:val="center"/>
              <w:rPr>
                <w:rFonts w:eastAsia="Times New Roman"/>
                <w:sz w:val="20"/>
                <w:szCs w:val="20"/>
                <w:lang w:eastAsia="ro-RO"/>
              </w:rPr>
            </w:pPr>
          </w:p>
        </w:tc>
        <w:tc>
          <w:tcPr>
            <w:tcW w:w="615" w:type="dxa"/>
            <w:vAlign w:val="center"/>
            <w:hideMark/>
          </w:tcPr>
          <w:p w14:paraId="75760EBA" w14:textId="77777777" w:rsidR="007C7F99" w:rsidRPr="00827721" w:rsidRDefault="007C7F99" w:rsidP="00B05388">
            <w:pPr>
              <w:spacing w:line="240" w:lineRule="auto"/>
              <w:ind w:firstLine="0"/>
              <w:jc w:val="center"/>
              <w:rPr>
                <w:rFonts w:eastAsia="Times New Roman"/>
                <w:sz w:val="20"/>
                <w:szCs w:val="20"/>
                <w:lang w:eastAsia="ro-RO"/>
              </w:rPr>
            </w:pPr>
          </w:p>
        </w:tc>
        <w:tc>
          <w:tcPr>
            <w:tcW w:w="610" w:type="dxa"/>
            <w:vAlign w:val="center"/>
            <w:hideMark/>
          </w:tcPr>
          <w:p w14:paraId="4D1FF7A5" w14:textId="77777777" w:rsidR="007C7F99" w:rsidRPr="00827721" w:rsidRDefault="007C7F99" w:rsidP="00B05388">
            <w:pPr>
              <w:spacing w:line="240" w:lineRule="auto"/>
              <w:ind w:firstLine="0"/>
              <w:jc w:val="center"/>
              <w:rPr>
                <w:rFonts w:eastAsia="Times New Roman"/>
                <w:sz w:val="20"/>
                <w:szCs w:val="20"/>
                <w:lang w:eastAsia="ro-RO"/>
              </w:rPr>
            </w:pPr>
          </w:p>
        </w:tc>
        <w:tc>
          <w:tcPr>
            <w:tcW w:w="666" w:type="dxa"/>
            <w:vAlign w:val="center"/>
            <w:hideMark/>
          </w:tcPr>
          <w:p w14:paraId="5E6C5B5E" w14:textId="77777777" w:rsidR="007C7F99" w:rsidRPr="00827721" w:rsidRDefault="007C7F99" w:rsidP="00B05388">
            <w:pPr>
              <w:spacing w:line="240" w:lineRule="auto"/>
              <w:ind w:firstLine="0"/>
              <w:jc w:val="center"/>
              <w:rPr>
                <w:rFonts w:eastAsia="Times New Roman"/>
                <w:sz w:val="20"/>
                <w:szCs w:val="20"/>
                <w:lang w:eastAsia="ro-RO"/>
              </w:rPr>
            </w:pPr>
          </w:p>
        </w:tc>
        <w:tc>
          <w:tcPr>
            <w:tcW w:w="466" w:type="dxa"/>
            <w:vAlign w:val="center"/>
            <w:hideMark/>
          </w:tcPr>
          <w:p w14:paraId="7DFA0A99" w14:textId="52E73A2D" w:rsidR="007C7F99" w:rsidRPr="00827721" w:rsidRDefault="007C7F99" w:rsidP="00B05388">
            <w:pPr>
              <w:spacing w:line="240" w:lineRule="auto"/>
              <w:ind w:firstLine="0"/>
              <w:jc w:val="center"/>
              <w:rPr>
                <w:rFonts w:eastAsia="Times New Roman"/>
                <w:sz w:val="20"/>
                <w:szCs w:val="20"/>
                <w:lang w:eastAsia="ro-RO"/>
              </w:rPr>
            </w:pPr>
          </w:p>
        </w:tc>
        <w:tc>
          <w:tcPr>
            <w:tcW w:w="566" w:type="dxa"/>
            <w:vAlign w:val="center"/>
            <w:hideMark/>
          </w:tcPr>
          <w:p w14:paraId="7C758D88"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44C3A7A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44</w:t>
            </w:r>
          </w:p>
        </w:tc>
        <w:tc>
          <w:tcPr>
            <w:tcW w:w="588" w:type="dxa"/>
            <w:vAlign w:val="center"/>
            <w:hideMark/>
          </w:tcPr>
          <w:p w14:paraId="21034DEB"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1.3</w:t>
            </w:r>
          </w:p>
        </w:tc>
      </w:tr>
      <w:tr w:rsidR="007C7F99" w:rsidRPr="00827721" w14:paraId="6C9606E6" w14:textId="77777777" w:rsidTr="00B05388">
        <w:trPr>
          <w:trHeight w:val="600"/>
          <w:jc w:val="center"/>
        </w:trPr>
        <w:tc>
          <w:tcPr>
            <w:tcW w:w="1187" w:type="dxa"/>
            <w:vAlign w:val="center"/>
            <w:hideMark/>
          </w:tcPr>
          <w:p w14:paraId="69820DD1"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Bumbac</w:t>
            </w:r>
          </w:p>
        </w:tc>
        <w:tc>
          <w:tcPr>
            <w:tcW w:w="1785" w:type="dxa"/>
            <w:vAlign w:val="center"/>
            <w:hideMark/>
          </w:tcPr>
          <w:p w14:paraId="3D58FE77"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Nu există informații privind reziduurile vegetale.</w:t>
            </w:r>
          </w:p>
        </w:tc>
        <w:tc>
          <w:tcPr>
            <w:tcW w:w="536" w:type="dxa"/>
            <w:vAlign w:val="center"/>
            <w:hideMark/>
          </w:tcPr>
          <w:p w14:paraId="1A26F88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0.91</w:t>
            </w:r>
          </w:p>
        </w:tc>
        <w:tc>
          <w:tcPr>
            <w:tcW w:w="766" w:type="dxa"/>
            <w:vAlign w:val="center"/>
            <w:hideMark/>
          </w:tcPr>
          <w:p w14:paraId="6418BF43"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22.64</w:t>
            </w:r>
          </w:p>
        </w:tc>
        <w:tc>
          <w:tcPr>
            <w:tcW w:w="666" w:type="dxa"/>
            <w:vAlign w:val="center"/>
            <w:hideMark/>
          </w:tcPr>
          <w:p w14:paraId="246E48FB"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35F27E48" w14:textId="77777777" w:rsidR="007C7F99" w:rsidRPr="00827721" w:rsidRDefault="007C7F99" w:rsidP="00B05388">
            <w:pPr>
              <w:spacing w:line="240" w:lineRule="auto"/>
              <w:ind w:firstLine="0"/>
              <w:jc w:val="center"/>
              <w:rPr>
                <w:rFonts w:eastAsia="Times New Roman"/>
                <w:sz w:val="20"/>
                <w:szCs w:val="20"/>
                <w:lang w:eastAsia="ro-RO"/>
              </w:rPr>
            </w:pPr>
          </w:p>
        </w:tc>
        <w:tc>
          <w:tcPr>
            <w:tcW w:w="615" w:type="dxa"/>
            <w:vAlign w:val="center"/>
            <w:hideMark/>
          </w:tcPr>
          <w:p w14:paraId="32E3535E" w14:textId="77777777" w:rsidR="007C7F99" w:rsidRPr="00827721" w:rsidRDefault="007C7F99" w:rsidP="00B05388">
            <w:pPr>
              <w:spacing w:line="240" w:lineRule="auto"/>
              <w:ind w:firstLine="0"/>
              <w:jc w:val="center"/>
              <w:rPr>
                <w:rFonts w:eastAsia="Times New Roman"/>
                <w:sz w:val="20"/>
                <w:szCs w:val="20"/>
                <w:lang w:eastAsia="ro-RO"/>
              </w:rPr>
            </w:pPr>
          </w:p>
        </w:tc>
        <w:tc>
          <w:tcPr>
            <w:tcW w:w="610" w:type="dxa"/>
            <w:vAlign w:val="center"/>
            <w:hideMark/>
          </w:tcPr>
          <w:p w14:paraId="5602145D" w14:textId="77777777" w:rsidR="007C7F99" w:rsidRPr="00827721" w:rsidRDefault="007C7F99" w:rsidP="00B05388">
            <w:pPr>
              <w:spacing w:line="240" w:lineRule="auto"/>
              <w:ind w:firstLine="0"/>
              <w:jc w:val="center"/>
              <w:rPr>
                <w:rFonts w:eastAsia="Times New Roman"/>
                <w:sz w:val="20"/>
                <w:szCs w:val="20"/>
                <w:lang w:eastAsia="ro-RO"/>
              </w:rPr>
            </w:pPr>
          </w:p>
        </w:tc>
        <w:tc>
          <w:tcPr>
            <w:tcW w:w="666" w:type="dxa"/>
            <w:vAlign w:val="center"/>
            <w:hideMark/>
          </w:tcPr>
          <w:p w14:paraId="28D41E1C" w14:textId="77777777" w:rsidR="007C7F99" w:rsidRPr="00827721" w:rsidRDefault="007C7F99" w:rsidP="00B05388">
            <w:pPr>
              <w:spacing w:line="240" w:lineRule="auto"/>
              <w:ind w:firstLine="0"/>
              <w:jc w:val="center"/>
              <w:rPr>
                <w:rFonts w:eastAsia="Times New Roman"/>
                <w:sz w:val="20"/>
                <w:szCs w:val="20"/>
                <w:lang w:eastAsia="ro-RO"/>
              </w:rPr>
            </w:pPr>
          </w:p>
        </w:tc>
        <w:tc>
          <w:tcPr>
            <w:tcW w:w="466" w:type="dxa"/>
            <w:vAlign w:val="center"/>
            <w:hideMark/>
          </w:tcPr>
          <w:p w14:paraId="6C93E858" w14:textId="0BAFA5D8" w:rsidR="007C7F99" w:rsidRPr="00827721" w:rsidRDefault="007C7F99" w:rsidP="00B05388">
            <w:pPr>
              <w:spacing w:line="240" w:lineRule="auto"/>
              <w:ind w:firstLine="0"/>
              <w:jc w:val="center"/>
              <w:rPr>
                <w:rFonts w:eastAsia="Times New Roman"/>
                <w:sz w:val="20"/>
                <w:szCs w:val="20"/>
                <w:lang w:eastAsia="ro-RO"/>
              </w:rPr>
            </w:pPr>
          </w:p>
        </w:tc>
        <w:tc>
          <w:tcPr>
            <w:tcW w:w="566" w:type="dxa"/>
            <w:vAlign w:val="center"/>
            <w:hideMark/>
          </w:tcPr>
          <w:p w14:paraId="01455F73"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5D6B6C68"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7D2AC35F" w14:textId="77777777" w:rsidR="007C7F99" w:rsidRPr="00827721" w:rsidRDefault="007C7F99" w:rsidP="00B05388">
            <w:pPr>
              <w:spacing w:line="240" w:lineRule="auto"/>
              <w:ind w:firstLine="0"/>
              <w:jc w:val="center"/>
              <w:rPr>
                <w:rFonts w:eastAsia="Times New Roman"/>
                <w:sz w:val="20"/>
                <w:szCs w:val="20"/>
                <w:lang w:eastAsia="ro-RO"/>
              </w:rPr>
            </w:pPr>
          </w:p>
        </w:tc>
      </w:tr>
      <w:tr w:rsidR="007C7F99" w:rsidRPr="00827721" w14:paraId="6BEE5573" w14:textId="77777777" w:rsidTr="00B05388">
        <w:trPr>
          <w:trHeight w:val="300"/>
          <w:jc w:val="center"/>
        </w:trPr>
        <w:tc>
          <w:tcPr>
            <w:tcW w:w="1187" w:type="dxa"/>
            <w:vAlign w:val="center"/>
            <w:hideMark/>
          </w:tcPr>
          <w:p w14:paraId="52939B44"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Porumb</w:t>
            </w:r>
          </w:p>
        </w:tc>
        <w:tc>
          <w:tcPr>
            <w:tcW w:w="1785" w:type="dxa"/>
            <w:vAlign w:val="center"/>
            <w:hideMark/>
          </w:tcPr>
          <w:p w14:paraId="03B86755" w14:textId="67045FC1"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5460E35F"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0.86</w:t>
            </w:r>
          </w:p>
        </w:tc>
        <w:tc>
          <w:tcPr>
            <w:tcW w:w="766" w:type="dxa"/>
            <w:vAlign w:val="center"/>
            <w:hideMark/>
          </w:tcPr>
          <w:p w14:paraId="23FF95E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17.3</w:t>
            </w:r>
          </w:p>
        </w:tc>
        <w:tc>
          <w:tcPr>
            <w:tcW w:w="666" w:type="dxa"/>
            <w:vAlign w:val="center"/>
            <w:hideMark/>
          </w:tcPr>
          <w:p w14:paraId="1F2638A0" w14:textId="178AD590"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13616C" w:rsidRPr="00827721">
              <w:rPr>
                <w:rFonts w:eastAsia="Times New Roman"/>
                <w:sz w:val="20"/>
                <w:szCs w:val="20"/>
                <w:lang w:eastAsia="ro-RO"/>
              </w:rPr>
              <w:t>06</w:t>
            </w:r>
          </w:p>
        </w:tc>
        <w:tc>
          <w:tcPr>
            <w:tcW w:w="588" w:type="dxa"/>
            <w:vAlign w:val="center"/>
            <w:hideMark/>
          </w:tcPr>
          <w:p w14:paraId="18572214"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1.03</w:t>
            </w:r>
          </w:p>
        </w:tc>
        <w:tc>
          <w:tcPr>
            <w:tcW w:w="615" w:type="dxa"/>
            <w:vAlign w:val="center"/>
            <w:hideMark/>
          </w:tcPr>
          <w:p w14:paraId="61C30579"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0.61</w:t>
            </w:r>
          </w:p>
        </w:tc>
        <w:tc>
          <w:tcPr>
            <w:tcW w:w="610" w:type="dxa"/>
            <w:vAlign w:val="center"/>
            <w:hideMark/>
          </w:tcPr>
          <w:p w14:paraId="11B5D33E"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0.22</w:t>
            </w:r>
          </w:p>
        </w:tc>
        <w:tc>
          <w:tcPr>
            <w:tcW w:w="666" w:type="dxa"/>
            <w:vAlign w:val="center"/>
            <w:hideMark/>
          </w:tcPr>
          <w:p w14:paraId="0775B4AA" w14:textId="32FEDF40"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13616C" w:rsidRPr="00827721">
              <w:rPr>
                <w:rFonts w:eastAsia="Times New Roman"/>
                <w:sz w:val="20"/>
                <w:szCs w:val="20"/>
                <w:lang w:eastAsia="ro-RO"/>
              </w:rPr>
              <w:t>07</w:t>
            </w:r>
          </w:p>
        </w:tc>
        <w:tc>
          <w:tcPr>
            <w:tcW w:w="466" w:type="dxa"/>
            <w:vAlign w:val="center"/>
            <w:hideMark/>
          </w:tcPr>
          <w:p w14:paraId="49A087A4" w14:textId="1D6BB79C"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2E808D06"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14AEEEFB"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1612D7D2" w14:textId="557D596D"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1.2</w:t>
            </w:r>
          </w:p>
        </w:tc>
      </w:tr>
      <w:tr w:rsidR="007C7F99" w:rsidRPr="00827721" w14:paraId="7BEF5508" w14:textId="77777777" w:rsidTr="00B05388">
        <w:trPr>
          <w:trHeight w:val="300"/>
          <w:jc w:val="center"/>
        </w:trPr>
        <w:tc>
          <w:tcPr>
            <w:tcW w:w="1187" w:type="dxa"/>
            <w:vAlign w:val="center"/>
            <w:hideMark/>
          </w:tcPr>
          <w:p w14:paraId="31510587"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Fructul palmierului de ulei</w:t>
            </w:r>
          </w:p>
        </w:tc>
        <w:tc>
          <w:tcPr>
            <w:tcW w:w="1785" w:type="dxa"/>
            <w:vAlign w:val="center"/>
            <w:hideMark/>
          </w:tcPr>
          <w:p w14:paraId="0C4DE37D"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N fix din reziduuri agricole</w:t>
            </w:r>
          </w:p>
        </w:tc>
        <w:tc>
          <w:tcPr>
            <w:tcW w:w="536" w:type="dxa"/>
            <w:vAlign w:val="center"/>
            <w:hideMark/>
          </w:tcPr>
          <w:p w14:paraId="231CE4EA"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0.66</w:t>
            </w:r>
          </w:p>
        </w:tc>
        <w:tc>
          <w:tcPr>
            <w:tcW w:w="766" w:type="dxa"/>
            <w:vAlign w:val="center"/>
            <w:hideMark/>
          </w:tcPr>
          <w:p w14:paraId="2686A8D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24</w:t>
            </w:r>
          </w:p>
        </w:tc>
        <w:tc>
          <w:tcPr>
            <w:tcW w:w="666" w:type="dxa"/>
            <w:vAlign w:val="center"/>
            <w:hideMark/>
          </w:tcPr>
          <w:p w14:paraId="17074287"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0C8FFE67" w14:textId="77777777" w:rsidR="007C7F99" w:rsidRPr="00827721" w:rsidRDefault="007C7F99" w:rsidP="00B05388">
            <w:pPr>
              <w:spacing w:line="240" w:lineRule="auto"/>
              <w:ind w:firstLine="0"/>
              <w:jc w:val="center"/>
              <w:rPr>
                <w:rFonts w:eastAsia="Times New Roman"/>
                <w:sz w:val="20"/>
                <w:szCs w:val="20"/>
                <w:lang w:eastAsia="ro-RO"/>
              </w:rPr>
            </w:pPr>
          </w:p>
        </w:tc>
        <w:tc>
          <w:tcPr>
            <w:tcW w:w="615" w:type="dxa"/>
            <w:vAlign w:val="center"/>
            <w:hideMark/>
          </w:tcPr>
          <w:p w14:paraId="0B1F623B" w14:textId="77777777" w:rsidR="007C7F99" w:rsidRPr="00827721" w:rsidRDefault="007C7F99" w:rsidP="00B05388">
            <w:pPr>
              <w:spacing w:line="240" w:lineRule="auto"/>
              <w:ind w:firstLine="0"/>
              <w:jc w:val="center"/>
              <w:rPr>
                <w:rFonts w:eastAsia="Times New Roman"/>
                <w:sz w:val="20"/>
                <w:szCs w:val="20"/>
                <w:lang w:eastAsia="ro-RO"/>
              </w:rPr>
            </w:pPr>
          </w:p>
        </w:tc>
        <w:tc>
          <w:tcPr>
            <w:tcW w:w="610" w:type="dxa"/>
            <w:vAlign w:val="center"/>
            <w:hideMark/>
          </w:tcPr>
          <w:p w14:paraId="4E08165F" w14:textId="77777777" w:rsidR="007C7F99" w:rsidRPr="00827721" w:rsidRDefault="007C7F99" w:rsidP="00B05388">
            <w:pPr>
              <w:spacing w:line="240" w:lineRule="auto"/>
              <w:ind w:firstLine="0"/>
              <w:jc w:val="center"/>
              <w:rPr>
                <w:rFonts w:eastAsia="Times New Roman"/>
                <w:sz w:val="20"/>
                <w:szCs w:val="20"/>
                <w:lang w:eastAsia="ro-RO"/>
              </w:rPr>
            </w:pPr>
          </w:p>
        </w:tc>
        <w:tc>
          <w:tcPr>
            <w:tcW w:w="666" w:type="dxa"/>
            <w:vAlign w:val="center"/>
            <w:hideMark/>
          </w:tcPr>
          <w:p w14:paraId="274F2968" w14:textId="77777777" w:rsidR="007C7F99" w:rsidRPr="00827721" w:rsidRDefault="007C7F99" w:rsidP="00B05388">
            <w:pPr>
              <w:spacing w:line="240" w:lineRule="auto"/>
              <w:ind w:firstLine="0"/>
              <w:jc w:val="center"/>
              <w:rPr>
                <w:rFonts w:eastAsia="Times New Roman"/>
                <w:sz w:val="20"/>
                <w:szCs w:val="20"/>
                <w:lang w:eastAsia="ro-RO"/>
              </w:rPr>
            </w:pPr>
          </w:p>
        </w:tc>
        <w:tc>
          <w:tcPr>
            <w:tcW w:w="466" w:type="dxa"/>
            <w:vAlign w:val="center"/>
            <w:hideMark/>
          </w:tcPr>
          <w:p w14:paraId="22F44E07" w14:textId="6F90D512" w:rsidR="007C7F99" w:rsidRPr="00827721" w:rsidRDefault="007C7F99" w:rsidP="00B05388">
            <w:pPr>
              <w:spacing w:line="240" w:lineRule="auto"/>
              <w:ind w:firstLine="0"/>
              <w:jc w:val="center"/>
              <w:rPr>
                <w:rFonts w:eastAsia="Times New Roman"/>
                <w:sz w:val="20"/>
                <w:szCs w:val="20"/>
                <w:lang w:eastAsia="ro-RO"/>
              </w:rPr>
            </w:pPr>
          </w:p>
        </w:tc>
        <w:tc>
          <w:tcPr>
            <w:tcW w:w="566" w:type="dxa"/>
            <w:vAlign w:val="center"/>
            <w:hideMark/>
          </w:tcPr>
          <w:p w14:paraId="116234D1"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7F90FA5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159</w:t>
            </w:r>
          </w:p>
        </w:tc>
        <w:tc>
          <w:tcPr>
            <w:tcW w:w="588" w:type="dxa"/>
            <w:vAlign w:val="center"/>
            <w:hideMark/>
          </w:tcPr>
          <w:p w14:paraId="77E088DC"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1.4</w:t>
            </w:r>
          </w:p>
        </w:tc>
      </w:tr>
      <w:tr w:rsidR="007C7F99" w:rsidRPr="00827721" w14:paraId="32B75174" w14:textId="77777777" w:rsidTr="00B05388">
        <w:trPr>
          <w:trHeight w:val="300"/>
          <w:jc w:val="center"/>
        </w:trPr>
        <w:tc>
          <w:tcPr>
            <w:tcW w:w="1187" w:type="dxa"/>
            <w:vAlign w:val="center"/>
            <w:hideMark/>
          </w:tcPr>
          <w:p w14:paraId="279E1084"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Rapiță</w:t>
            </w:r>
          </w:p>
        </w:tc>
        <w:tc>
          <w:tcPr>
            <w:tcW w:w="1785" w:type="dxa"/>
            <w:vAlign w:val="center"/>
            <w:hideMark/>
          </w:tcPr>
          <w:p w14:paraId="75EC4E20" w14:textId="2F970BFB"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057E07FB"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0.91</w:t>
            </w:r>
          </w:p>
        </w:tc>
        <w:tc>
          <w:tcPr>
            <w:tcW w:w="766" w:type="dxa"/>
            <w:vAlign w:val="center"/>
            <w:hideMark/>
          </w:tcPr>
          <w:p w14:paraId="4F04E074" w14:textId="34C51CAB"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26.9</w:t>
            </w:r>
            <w:r w:rsidR="000E2D5C" w:rsidRPr="00827721">
              <w:rPr>
                <w:rFonts w:eastAsia="Times New Roman"/>
                <w:sz w:val="20"/>
                <w:szCs w:val="20"/>
                <w:lang w:eastAsia="ro-RO"/>
              </w:rPr>
              <w:t>76</w:t>
            </w:r>
          </w:p>
        </w:tc>
        <w:tc>
          <w:tcPr>
            <w:tcW w:w="666" w:type="dxa"/>
            <w:vAlign w:val="center"/>
            <w:hideMark/>
          </w:tcPr>
          <w:p w14:paraId="0923ABCB" w14:textId="08E9A6CA"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E2D5C" w:rsidRPr="00827721">
              <w:rPr>
                <w:rFonts w:eastAsia="Times New Roman"/>
                <w:sz w:val="20"/>
                <w:szCs w:val="20"/>
                <w:lang w:eastAsia="ro-RO"/>
              </w:rPr>
              <w:t>0</w:t>
            </w:r>
            <w:r w:rsidRPr="00827721">
              <w:rPr>
                <w:rFonts w:eastAsia="Times New Roman"/>
                <w:sz w:val="20"/>
                <w:szCs w:val="20"/>
                <w:lang w:eastAsia="ro-RO"/>
              </w:rPr>
              <w:t>1</w:t>
            </w:r>
          </w:p>
        </w:tc>
        <w:tc>
          <w:tcPr>
            <w:tcW w:w="588" w:type="dxa"/>
            <w:vAlign w:val="center"/>
            <w:hideMark/>
          </w:tcPr>
          <w:p w14:paraId="3882429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1.5</w:t>
            </w:r>
          </w:p>
        </w:tc>
        <w:tc>
          <w:tcPr>
            <w:tcW w:w="615" w:type="dxa"/>
            <w:vAlign w:val="center"/>
            <w:hideMark/>
          </w:tcPr>
          <w:p w14:paraId="78409AE0"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c>
          <w:tcPr>
            <w:tcW w:w="610" w:type="dxa"/>
            <w:vAlign w:val="center"/>
            <w:hideMark/>
          </w:tcPr>
          <w:p w14:paraId="61827A49"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0.19</w:t>
            </w:r>
          </w:p>
        </w:tc>
        <w:tc>
          <w:tcPr>
            <w:tcW w:w="666" w:type="dxa"/>
            <w:vAlign w:val="center"/>
            <w:hideMark/>
          </w:tcPr>
          <w:p w14:paraId="659A268C" w14:textId="026F1BA4"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E2D5C" w:rsidRPr="00827721">
              <w:rPr>
                <w:rFonts w:eastAsia="Times New Roman"/>
                <w:sz w:val="20"/>
                <w:szCs w:val="20"/>
                <w:lang w:eastAsia="ro-RO"/>
              </w:rPr>
              <w:t>17</w:t>
            </w:r>
          </w:p>
        </w:tc>
        <w:tc>
          <w:tcPr>
            <w:tcW w:w="466" w:type="dxa"/>
            <w:vAlign w:val="center"/>
            <w:hideMark/>
          </w:tcPr>
          <w:p w14:paraId="65C5B581" w14:textId="0DA24DAB"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6CD0FE3C"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28B644FA"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7380E3FD"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1.5</w:t>
            </w:r>
          </w:p>
        </w:tc>
      </w:tr>
      <w:tr w:rsidR="007C7F99" w:rsidRPr="00827721" w14:paraId="0F65929D" w14:textId="77777777" w:rsidTr="00B05388">
        <w:trPr>
          <w:trHeight w:val="300"/>
          <w:jc w:val="center"/>
        </w:trPr>
        <w:tc>
          <w:tcPr>
            <w:tcW w:w="1187" w:type="dxa"/>
            <w:vAlign w:val="center"/>
            <w:hideMark/>
          </w:tcPr>
          <w:p w14:paraId="3DBCA263"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Secară</w:t>
            </w:r>
          </w:p>
        </w:tc>
        <w:tc>
          <w:tcPr>
            <w:tcW w:w="1785" w:type="dxa"/>
            <w:vAlign w:val="center"/>
            <w:hideMark/>
          </w:tcPr>
          <w:p w14:paraId="08AE823D" w14:textId="0B3A4A1A"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29C7229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0.86</w:t>
            </w:r>
          </w:p>
        </w:tc>
        <w:tc>
          <w:tcPr>
            <w:tcW w:w="766" w:type="dxa"/>
            <w:vAlign w:val="center"/>
            <w:hideMark/>
          </w:tcPr>
          <w:p w14:paraId="57860EA8"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17.1</w:t>
            </w:r>
          </w:p>
        </w:tc>
        <w:tc>
          <w:tcPr>
            <w:tcW w:w="666" w:type="dxa"/>
            <w:vAlign w:val="center"/>
            <w:hideMark/>
          </w:tcPr>
          <w:p w14:paraId="4CED3825" w14:textId="64623C68"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F97F7A" w:rsidRPr="00827721">
              <w:rPr>
                <w:rFonts w:eastAsia="Times New Roman"/>
                <w:sz w:val="20"/>
                <w:szCs w:val="20"/>
                <w:lang w:eastAsia="ro-RO"/>
              </w:rPr>
              <w:t>05</w:t>
            </w:r>
          </w:p>
        </w:tc>
        <w:tc>
          <w:tcPr>
            <w:tcW w:w="588" w:type="dxa"/>
            <w:vAlign w:val="center"/>
            <w:hideMark/>
          </w:tcPr>
          <w:p w14:paraId="438FB99C"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1.09</w:t>
            </w:r>
          </w:p>
        </w:tc>
        <w:tc>
          <w:tcPr>
            <w:tcW w:w="615" w:type="dxa"/>
            <w:vAlign w:val="center"/>
            <w:hideMark/>
          </w:tcPr>
          <w:p w14:paraId="7BD06B29"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0.88</w:t>
            </w:r>
          </w:p>
        </w:tc>
        <w:tc>
          <w:tcPr>
            <w:tcW w:w="610" w:type="dxa"/>
            <w:vAlign w:val="center"/>
            <w:hideMark/>
          </w:tcPr>
          <w:p w14:paraId="05AC0DC4"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0.22</w:t>
            </w:r>
          </w:p>
        </w:tc>
        <w:tc>
          <w:tcPr>
            <w:tcW w:w="666" w:type="dxa"/>
            <w:vAlign w:val="center"/>
            <w:hideMark/>
          </w:tcPr>
          <w:p w14:paraId="3498D412" w14:textId="27B44E81"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0.01</w:t>
            </w:r>
            <w:r w:rsidR="00F97F7A" w:rsidRPr="00827721">
              <w:rPr>
                <w:rFonts w:eastAsia="Times New Roman"/>
                <w:sz w:val="20"/>
                <w:szCs w:val="20"/>
                <w:lang w:eastAsia="ro-RO"/>
              </w:rPr>
              <w:t>1</w:t>
            </w:r>
          </w:p>
        </w:tc>
        <w:tc>
          <w:tcPr>
            <w:tcW w:w="466" w:type="dxa"/>
            <w:vAlign w:val="center"/>
            <w:hideMark/>
          </w:tcPr>
          <w:p w14:paraId="660C9565" w14:textId="2305571E"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0BCC4240"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36163CB6"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0E23D31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1.6</w:t>
            </w:r>
          </w:p>
        </w:tc>
      </w:tr>
      <w:tr w:rsidR="007C7F99" w:rsidRPr="00827721" w14:paraId="44E396A6" w14:textId="77777777" w:rsidTr="00B05388">
        <w:trPr>
          <w:trHeight w:val="300"/>
          <w:jc w:val="center"/>
        </w:trPr>
        <w:tc>
          <w:tcPr>
            <w:tcW w:w="1187" w:type="dxa"/>
            <w:vAlign w:val="center"/>
            <w:hideMark/>
          </w:tcPr>
          <w:p w14:paraId="46B65D89"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Semințe de șofrănel</w:t>
            </w:r>
          </w:p>
        </w:tc>
        <w:tc>
          <w:tcPr>
            <w:tcW w:w="1785" w:type="dxa"/>
            <w:vAlign w:val="center"/>
            <w:hideMark/>
          </w:tcPr>
          <w:p w14:paraId="5D2F3C11"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N fix din reziduuri agricole</w:t>
            </w:r>
          </w:p>
        </w:tc>
        <w:tc>
          <w:tcPr>
            <w:tcW w:w="536" w:type="dxa"/>
            <w:vAlign w:val="center"/>
            <w:hideMark/>
          </w:tcPr>
          <w:p w14:paraId="7820363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0.91</w:t>
            </w:r>
          </w:p>
        </w:tc>
        <w:tc>
          <w:tcPr>
            <w:tcW w:w="766" w:type="dxa"/>
            <w:vAlign w:val="center"/>
            <w:hideMark/>
          </w:tcPr>
          <w:p w14:paraId="06CC8DE3"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25.9</w:t>
            </w:r>
          </w:p>
        </w:tc>
        <w:tc>
          <w:tcPr>
            <w:tcW w:w="666" w:type="dxa"/>
            <w:vAlign w:val="center"/>
            <w:hideMark/>
          </w:tcPr>
          <w:p w14:paraId="706BF00A"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77E4A0C5" w14:textId="77777777" w:rsidR="007C7F99" w:rsidRPr="00827721" w:rsidRDefault="007C7F99" w:rsidP="00B05388">
            <w:pPr>
              <w:spacing w:line="240" w:lineRule="auto"/>
              <w:ind w:firstLine="0"/>
              <w:jc w:val="center"/>
              <w:rPr>
                <w:rFonts w:eastAsia="Times New Roman"/>
                <w:sz w:val="20"/>
                <w:szCs w:val="20"/>
                <w:lang w:eastAsia="ro-RO"/>
              </w:rPr>
            </w:pPr>
          </w:p>
        </w:tc>
        <w:tc>
          <w:tcPr>
            <w:tcW w:w="615" w:type="dxa"/>
            <w:vAlign w:val="center"/>
            <w:hideMark/>
          </w:tcPr>
          <w:p w14:paraId="18F8B090" w14:textId="77777777" w:rsidR="007C7F99" w:rsidRPr="00827721" w:rsidRDefault="007C7F99" w:rsidP="00B05388">
            <w:pPr>
              <w:spacing w:line="240" w:lineRule="auto"/>
              <w:ind w:firstLine="0"/>
              <w:jc w:val="center"/>
              <w:rPr>
                <w:rFonts w:eastAsia="Times New Roman"/>
                <w:sz w:val="20"/>
                <w:szCs w:val="20"/>
                <w:lang w:eastAsia="ro-RO"/>
              </w:rPr>
            </w:pPr>
          </w:p>
        </w:tc>
        <w:tc>
          <w:tcPr>
            <w:tcW w:w="610" w:type="dxa"/>
            <w:vAlign w:val="center"/>
            <w:hideMark/>
          </w:tcPr>
          <w:p w14:paraId="179A35B1" w14:textId="77777777" w:rsidR="007C7F99" w:rsidRPr="00827721" w:rsidRDefault="007C7F99" w:rsidP="00B05388">
            <w:pPr>
              <w:spacing w:line="240" w:lineRule="auto"/>
              <w:ind w:firstLine="0"/>
              <w:jc w:val="center"/>
              <w:rPr>
                <w:rFonts w:eastAsia="Times New Roman"/>
                <w:sz w:val="20"/>
                <w:szCs w:val="20"/>
                <w:lang w:eastAsia="ro-RO"/>
              </w:rPr>
            </w:pPr>
          </w:p>
        </w:tc>
        <w:tc>
          <w:tcPr>
            <w:tcW w:w="666" w:type="dxa"/>
            <w:vAlign w:val="center"/>
            <w:hideMark/>
          </w:tcPr>
          <w:p w14:paraId="120A95AE" w14:textId="77777777" w:rsidR="007C7F99" w:rsidRPr="00827721" w:rsidRDefault="007C7F99" w:rsidP="00B05388">
            <w:pPr>
              <w:spacing w:line="240" w:lineRule="auto"/>
              <w:ind w:firstLine="0"/>
              <w:jc w:val="center"/>
              <w:rPr>
                <w:rFonts w:eastAsia="Times New Roman"/>
                <w:sz w:val="20"/>
                <w:szCs w:val="20"/>
                <w:lang w:eastAsia="ro-RO"/>
              </w:rPr>
            </w:pPr>
          </w:p>
        </w:tc>
        <w:tc>
          <w:tcPr>
            <w:tcW w:w="466" w:type="dxa"/>
            <w:vAlign w:val="center"/>
          </w:tcPr>
          <w:p w14:paraId="3B1CE78A" w14:textId="3EAFE70C" w:rsidR="007C7F99" w:rsidRPr="00827721" w:rsidRDefault="007C7F99" w:rsidP="00B05388">
            <w:pPr>
              <w:spacing w:line="240" w:lineRule="auto"/>
              <w:ind w:firstLine="0"/>
              <w:jc w:val="center"/>
              <w:rPr>
                <w:rFonts w:eastAsia="Times New Roman"/>
                <w:sz w:val="20"/>
                <w:szCs w:val="20"/>
                <w:lang w:eastAsia="ro-RO"/>
              </w:rPr>
            </w:pPr>
          </w:p>
        </w:tc>
        <w:tc>
          <w:tcPr>
            <w:tcW w:w="566" w:type="dxa"/>
            <w:vAlign w:val="center"/>
            <w:hideMark/>
          </w:tcPr>
          <w:p w14:paraId="5EEB5CDE"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06569249"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4236A1A2" w14:textId="77777777" w:rsidR="007C7F99" w:rsidRPr="00827721" w:rsidRDefault="007C7F99" w:rsidP="00B05388">
            <w:pPr>
              <w:spacing w:line="240" w:lineRule="auto"/>
              <w:ind w:firstLine="0"/>
              <w:jc w:val="center"/>
              <w:rPr>
                <w:rFonts w:eastAsia="Times New Roman"/>
                <w:sz w:val="20"/>
                <w:szCs w:val="20"/>
                <w:lang w:eastAsia="ro-RO"/>
              </w:rPr>
            </w:pPr>
          </w:p>
        </w:tc>
      </w:tr>
      <w:tr w:rsidR="007C7F99" w:rsidRPr="00827721" w14:paraId="5BD2797B" w14:textId="77777777" w:rsidTr="00B05388">
        <w:trPr>
          <w:trHeight w:val="300"/>
          <w:jc w:val="center"/>
        </w:trPr>
        <w:tc>
          <w:tcPr>
            <w:tcW w:w="1187" w:type="dxa"/>
            <w:vAlign w:val="center"/>
            <w:hideMark/>
          </w:tcPr>
          <w:p w14:paraId="6A172D21"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Sorg (cereală)</w:t>
            </w:r>
          </w:p>
        </w:tc>
        <w:tc>
          <w:tcPr>
            <w:tcW w:w="1785" w:type="dxa"/>
            <w:vAlign w:val="center"/>
            <w:hideMark/>
          </w:tcPr>
          <w:p w14:paraId="162B2821" w14:textId="7866A7CC"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10AF2500"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0.89</w:t>
            </w:r>
          </w:p>
        </w:tc>
        <w:tc>
          <w:tcPr>
            <w:tcW w:w="766" w:type="dxa"/>
            <w:vAlign w:val="center"/>
            <w:hideMark/>
          </w:tcPr>
          <w:p w14:paraId="2A2B2E85" w14:textId="4F2BD20A"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w:t>
            </w:r>
            <w:r w:rsidR="0007581A" w:rsidRPr="00827721">
              <w:rPr>
                <w:rFonts w:eastAsia="Times New Roman"/>
                <w:sz w:val="20"/>
                <w:szCs w:val="20"/>
                <w:lang w:eastAsia="ro-RO"/>
              </w:rPr>
              <w:t>7</w:t>
            </w:r>
            <w:r w:rsidRPr="00827721">
              <w:rPr>
                <w:rFonts w:eastAsia="Times New Roman"/>
                <w:sz w:val="20"/>
                <w:szCs w:val="20"/>
                <w:lang w:eastAsia="ro-RO"/>
              </w:rPr>
              <w:t>.3</w:t>
            </w:r>
          </w:p>
        </w:tc>
        <w:tc>
          <w:tcPr>
            <w:tcW w:w="666" w:type="dxa"/>
            <w:vAlign w:val="center"/>
            <w:hideMark/>
          </w:tcPr>
          <w:p w14:paraId="55A45CA9" w14:textId="17F7387B"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7581A" w:rsidRPr="00827721">
              <w:rPr>
                <w:rFonts w:eastAsia="Times New Roman"/>
                <w:sz w:val="20"/>
                <w:szCs w:val="20"/>
                <w:lang w:eastAsia="ro-RO"/>
              </w:rPr>
              <w:t>07</w:t>
            </w:r>
          </w:p>
        </w:tc>
        <w:tc>
          <w:tcPr>
            <w:tcW w:w="588" w:type="dxa"/>
            <w:vAlign w:val="center"/>
            <w:hideMark/>
          </w:tcPr>
          <w:p w14:paraId="1D83B004"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0.88</w:t>
            </w:r>
          </w:p>
        </w:tc>
        <w:tc>
          <w:tcPr>
            <w:tcW w:w="615" w:type="dxa"/>
            <w:vAlign w:val="center"/>
            <w:hideMark/>
          </w:tcPr>
          <w:p w14:paraId="60043D27"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1.33</w:t>
            </w:r>
          </w:p>
        </w:tc>
        <w:tc>
          <w:tcPr>
            <w:tcW w:w="610" w:type="dxa"/>
            <w:vAlign w:val="center"/>
            <w:hideMark/>
          </w:tcPr>
          <w:p w14:paraId="1DAAE7BF"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0.22</w:t>
            </w:r>
          </w:p>
        </w:tc>
        <w:tc>
          <w:tcPr>
            <w:tcW w:w="666" w:type="dxa"/>
            <w:vAlign w:val="center"/>
            <w:hideMark/>
          </w:tcPr>
          <w:p w14:paraId="4089576A" w14:textId="5775E5A9"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657B81" w:rsidRPr="00827721">
              <w:rPr>
                <w:rFonts w:eastAsia="Times New Roman"/>
                <w:sz w:val="20"/>
                <w:szCs w:val="20"/>
                <w:lang w:eastAsia="ro-RO"/>
              </w:rPr>
              <w:t>06</w:t>
            </w:r>
          </w:p>
        </w:tc>
        <w:tc>
          <w:tcPr>
            <w:tcW w:w="466" w:type="dxa"/>
            <w:vAlign w:val="center"/>
            <w:hideMark/>
          </w:tcPr>
          <w:p w14:paraId="6FEB4CDB" w14:textId="47C9526A"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30F0551C"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0EFDEE37"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3EA85BB1"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1.7</w:t>
            </w:r>
          </w:p>
        </w:tc>
      </w:tr>
      <w:tr w:rsidR="007C7F99" w:rsidRPr="00827721" w14:paraId="564BDBA9" w14:textId="77777777" w:rsidTr="00B05388">
        <w:trPr>
          <w:trHeight w:val="300"/>
          <w:jc w:val="center"/>
        </w:trPr>
        <w:tc>
          <w:tcPr>
            <w:tcW w:w="1187" w:type="dxa"/>
            <w:vAlign w:val="center"/>
            <w:hideMark/>
          </w:tcPr>
          <w:p w14:paraId="348B37E7"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lastRenderedPageBreak/>
              <w:t>Soia</w:t>
            </w:r>
          </w:p>
        </w:tc>
        <w:tc>
          <w:tcPr>
            <w:tcW w:w="1785" w:type="dxa"/>
            <w:vAlign w:val="center"/>
            <w:hideMark/>
          </w:tcPr>
          <w:p w14:paraId="5BEC790D" w14:textId="5ADF0A6E"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19ECC34A"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0.87</w:t>
            </w:r>
          </w:p>
        </w:tc>
        <w:tc>
          <w:tcPr>
            <w:tcW w:w="766" w:type="dxa"/>
            <w:vAlign w:val="center"/>
            <w:hideMark/>
          </w:tcPr>
          <w:p w14:paraId="2B0CA003"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23</w:t>
            </w:r>
          </w:p>
        </w:tc>
        <w:tc>
          <w:tcPr>
            <w:tcW w:w="666" w:type="dxa"/>
            <w:vAlign w:val="center"/>
            <w:hideMark/>
          </w:tcPr>
          <w:p w14:paraId="1E635A6D" w14:textId="4C8D6EEE"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DB0B5E" w:rsidRPr="00827721">
              <w:rPr>
                <w:rFonts w:eastAsia="Times New Roman"/>
                <w:sz w:val="20"/>
                <w:szCs w:val="20"/>
                <w:lang w:eastAsia="ro-RO"/>
              </w:rPr>
              <w:t>0</w:t>
            </w:r>
            <w:r w:rsidR="00CF38EB" w:rsidRPr="00827721">
              <w:rPr>
                <w:rFonts w:eastAsia="Times New Roman"/>
                <w:sz w:val="20"/>
                <w:szCs w:val="20"/>
                <w:lang w:eastAsia="ro-RO"/>
              </w:rPr>
              <w:t>8</w:t>
            </w:r>
          </w:p>
        </w:tc>
        <w:tc>
          <w:tcPr>
            <w:tcW w:w="588" w:type="dxa"/>
            <w:vAlign w:val="center"/>
            <w:hideMark/>
          </w:tcPr>
          <w:p w14:paraId="6490B813"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0.93</w:t>
            </w:r>
          </w:p>
        </w:tc>
        <w:tc>
          <w:tcPr>
            <w:tcW w:w="615" w:type="dxa"/>
            <w:vAlign w:val="center"/>
            <w:hideMark/>
          </w:tcPr>
          <w:p w14:paraId="1EF29EC0"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1.35</w:t>
            </w:r>
          </w:p>
        </w:tc>
        <w:tc>
          <w:tcPr>
            <w:tcW w:w="610" w:type="dxa"/>
            <w:vAlign w:val="center"/>
            <w:hideMark/>
          </w:tcPr>
          <w:p w14:paraId="5CC0EA2A"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0.19</w:t>
            </w:r>
          </w:p>
        </w:tc>
        <w:tc>
          <w:tcPr>
            <w:tcW w:w="666" w:type="dxa"/>
            <w:vAlign w:val="center"/>
            <w:hideMark/>
          </w:tcPr>
          <w:p w14:paraId="6FE432DC" w14:textId="717F039C"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CF38EB" w:rsidRPr="00827721">
              <w:rPr>
                <w:rFonts w:eastAsia="Times New Roman"/>
                <w:sz w:val="20"/>
                <w:szCs w:val="20"/>
                <w:lang w:eastAsia="ro-RO"/>
              </w:rPr>
              <w:t>87</w:t>
            </w:r>
          </w:p>
        </w:tc>
        <w:tc>
          <w:tcPr>
            <w:tcW w:w="466" w:type="dxa"/>
            <w:vAlign w:val="center"/>
            <w:hideMark/>
          </w:tcPr>
          <w:p w14:paraId="20800774" w14:textId="67A5D821"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6AAAA569"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2F9896CB"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0BDDC7EF"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1.8</w:t>
            </w:r>
          </w:p>
        </w:tc>
      </w:tr>
      <w:tr w:rsidR="007C7F99" w:rsidRPr="00827721" w14:paraId="326872A0" w14:textId="77777777" w:rsidTr="00B05388">
        <w:trPr>
          <w:trHeight w:val="300"/>
          <w:jc w:val="center"/>
        </w:trPr>
        <w:tc>
          <w:tcPr>
            <w:tcW w:w="1187" w:type="dxa"/>
            <w:vAlign w:val="center"/>
            <w:hideMark/>
          </w:tcPr>
          <w:p w14:paraId="3736D94E"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Sfeclă de zahăr</w:t>
            </w:r>
          </w:p>
        </w:tc>
        <w:tc>
          <w:tcPr>
            <w:tcW w:w="1785" w:type="dxa"/>
            <w:vAlign w:val="center"/>
            <w:hideMark/>
          </w:tcPr>
          <w:p w14:paraId="4E3B694A" w14:textId="4C9E3ADB"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11.6</w:t>
            </w:r>
          </w:p>
        </w:tc>
        <w:tc>
          <w:tcPr>
            <w:tcW w:w="536" w:type="dxa"/>
            <w:vAlign w:val="center"/>
            <w:hideMark/>
          </w:tcPr>
          <w:p w14:paraId="5843218F"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0.25</w:t>
            </w:r>
          </w:p>
        </w:tc>
        <w:tc>
          <w:tcPr>
            <w:tcW w:w="766" w:type="dxa"/>
            <w:vAlign w:val="center"/>
            <w:hideMark/>
          </w:tcPr>
          <w:p w14:paraId="226B5773"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16.3</w:t>
            </w:r>
          </w:p>
        </w:tc>
        <w:tc>
          <w:tcPr>
            <w:tcW w:w="666" w:type="dxa"/>
            <w:vAlign w:val="center"/>
            <w:hideMark/>
          </w:tcPr>
          <w:p w14:paraId="0B068ADB" w14:textId="1AB68D93"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w:t>
            </w:r>
            <w:r w:rsidR="00C43791" w:rsidRPr="00827721">
              <w:rPr>
                <w:rFonts w:eastAsia="Times New Roman"/>
                <w:sz w:val="20"/>
                <w:szCs w:val="20"/>
                <w:lang w:eastAsia="ro-RO"/>
              </w:rPr>
              <w:t>.004</w:t>
            </w:r>
          </w:p>
        </w:tc>
        <w:tc>
          <w:tcPr>
            <w:tcW w:w="588" w:type="dxa"/>
            <w:vAlign w:val="center"/>
            <w:hideMark/>
          </w:tcPr>
          <w:p w14:paraId="1509B041" w14:textId="77777777" w:rsidR="007C7F99" w:rsidRPr="00827721" w:rsidRDefault="007C7F99" w:rsidP="00B05388">
            <w:pPr>
              <w:spacing w:line="240" w:lineRule="auto"/>
              <w:ind w:firstLine="0"/>
              <w:jc w:val="center"/>
              <w:rPr>
                <w:rFonts w:eastAsia="Times New Roman"/>
                <w:sz w:val="20"/>
                <w:szCs w:val="20"/>
                <w:lang w:eastAsia="ro-RO"/>
              </w:rPr>
            </w:pPr>
          </w:p>
        </w:tc>
        <w:tc>
          <w:tcPr>
            <w:tcW w:w="615" w:type="dxa"/>
            <w:vAlign w:val="center"/>
            <w:hideMark/>
          </w:tcPr>
          <w:p w14:paraId="2FBB6609" w14:textId="77777777" w:rsidR="007C7F99" w:rsidRPr="00827721" w:rsidRDefault="007C7F99" w:rsidP="00B05388">
            <w:pPr>
              <w:spacing w:line="240" w:lineRule="auto"/>
              <w:ind w:firstLine="0"/>
              <w:jc w:val="center"/>
              <w:rPr>
                <w:rFonts w:eastAsia="Times New Roman"/>
                <w:sz w:val="20"/>
                <w:szCs w:val="20"/>
                <w:lang w:eastAsia="ro-RO"/>
              </w:rPr>
            </w:pPr>
          </w:p>
        </w:tc>
        <w:tc>
          <w:tcPr>
            <w:tcW w:w="610" w:type="dxa"/>
            <w:vAlign w:val="center"/>
            <w:hideMark/>
          </w:tcPr>
          <w:p w14:paraId="4346387E" w14:textId="77777777" w:rsidR="007C7F99" w:rsidRPr="00827721" w:rsidRDefault="007C7F99" w:rsidP="00B05388">
            <w:pPr>
              <w:spacing w:line="240" w:lineRule="auto"/>
              <w:ind w:firstLine="0"/>
              <w:jc w:val="center"/>
              <w:rPr>
                <w:rFonts w:eastAsia="Times New Roman"/>
                <w:sz w:val="20"/>
                <w:szCs w:val="20"/>
                <w:lang w:eastAsia="ro-RO"/>
              </w:rPr>
            </w:pPr>
          </w:p>
        </w:tc>
        <w:tc>
          <w:tcPr>
            <w:tcW w:w="666" w:type="dxa"/>
            <w:vAlign w:val="center"/>
            <w:hideMark/>
          </w:tcPr>
          <w:p w14:paraId="77F20FB7" w14:textId="77777777" w:rsidR="007C7F99" w:rsidRPr="00827721" w:rsidRDefault="007C7F99" w:rsidP="00B05388">
            <w:pPr>
              <w:spacing w:line="240" w:lineRule="auto"/>
              <w:ind w:firstLine="0"/>
              <w:jc w:val="center"/>
              <w:rPr>
                <w:rFonts w:eastAsia="Times New Roman"/>
                <w:sz w:val="20"/>
                <w:szCs w:val="20"/>
                <w:lang w:eastAsia="ro-RO"/>
              </w:rPr>
            </w:pPr>
          </w:p>
        </w:tc>
        <w:tc>
          <w:tcPr>
            <w:tcW w:w="466" w:type="dxa"/>
            <w:vAlign w:val="center"/>
            <w:hideMark/>
          </w:tcPr>
          <w:p w14:paraId="1C51C66F" w14:textId="0F73C22E"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083659FC"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0.5</w:t>
            </w:r>
          </w:p>
        </w:tc>
        <w:tc>
          <w:tcPr>
            <w:tcW w:w="1168" w:type="dxa"/>
            <w:vAlign w:val="center"/>
            <w:hideMark/>
          </w:tcPr>
          <w:p w14:paraId="2826BADE"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70DB9177"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1.9</w:t>
            </w:r>
          </w:p>
        </w:tc>
      </w:tr>
      <w:tr w:rsidR="007C7F99" w:rsidRPr="00827721" w14:paraId="2234FA71" w14:textId="77777777" w:rsidTr="00B05388">
        <w:trPr>
          <w:trHeight w:val="300"/>
          <w:jc w:val="center"/>
        </w:trPr>
        <w:tc>
          <w:tcPr>
            <w:tcW w:w="1187" w:type="dxa"/>
            <w:vAlign w:val="center"/>
            <w:hideMark/>
          </w:tcPr>
          <w:p w14:paraId="6C022948"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Trestie de zahăr</w:t>
            </w:r>
          </w:p>
        </w:tc>
        <w:tc>
          <w:tcPr>
            <w:tcW w:w="1785" w:type="dxa"/>
            <w:vAlign w:val="center"/>
            <w:hideMark/>
          </w:tcPr>
          <w:p w14:paraId="29F6A219" w14:textId="0056ACEA"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11.6</w:t>
            </w:r>
          </w:p>
        </w:tc>
        <w:tc>
          <w:tcPr>
            <w:tcW w:w="536" w:type="dxa"/>
            <w:vAlign w:val="center"/>
            <w:hideMark/>
          </w:tcPr>
          <w:p w14:paraId="75B5652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0.275</w:t>
            </w:r>
          </w:p>
        </w:tc>
        <w:tc>
          <w:tcPr>
            <w:tcW w:w="766" w:type="dxa"/>
            <w:vAlign w:val="center"/>
            <w:hideMark/>
          </w:tcPr>
          <w:p w14:paraId="4AF5B134"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19.6</w:t>
            </w:r>
          </w:p>
        </w:tc>
        <w:tc>
          <w:tcPr>
            <w:tcW w:w="666" w:type="dxa"/>
            <w:vAlign w:val="center"/>
            <w:hideMark/>
          </w:tcPr>
          <w:p w14:paraId="4E9BE870" w14:textId="3FAC8BD8"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w:t>
            </w:r>
            <w:r w:rsidR="00C43791" w:rsidRPr="00827721">
              <w:rPr>
                <w:rFonts w:eastAsia="Times New Roman"/>
                <w:sz w:val="20"/>
                <w:szCs w:val="20"/>
                <w:lang w:eastAsia="ro-RO"/>
              </w:rPr>
              <w:t>.004</w:t>
            </w:r>
          </w:p>
        </w:tc>
        <w:tc>
          <w:tcPr>
            <w:tcW w:w="588" w:type="dxa"/>
            <w:vAlign w:val="center"/>
            <w:hideMark/>
          </w:tcPr>
          <w:p w14:paraId="4E30F4A4" w14:textId="77777777" w:rsidR="007C7F99" w:rsidRPr="00827721" w:rsidRDefault="007C7F99" w:rsidP="00B05388">
            <w:pPr>
              <w:spacing w:line="240" w:lineRule="auto"/>
              <w:ind w:firstLine="0"/>
              <w:jc w:val="center"/>
              <w:rPr>
                <w:rFonts w:eastAsia="Times New Roman"/>
                <w:sz w:val="20"/>
                <w:szCs w:val="20"/>
                <w:lang w:eastAsia="ro-RO"/>
              </w:rPr>
            </w:pPr>
          </w:p>
        </w:tc>
        <w:tc>
          <w:tcPr>
            <w:tcW w:w="615" w:type="dxa"/>
            <w:vAlign w:val="center"/>
            <w:hideMark/>
          </w:tcPr>
          <w:p w14:paraId="47261D41" w14:textId="77777777" w:rsidR="007C7F99" w:rsidRPr="00827721" w:rsidRDefault="007C7F99" w:rsidP="00B05388">
            <w:pPr>
              <w:spacing w:line="240" w:lineRule="auto"/>
              <w:ind w:firstLine="0"/>
              <w:jc w:val="center"/>
              <w:rPr>
                <w:rFonts w:eastAsia="Times New Roman"/>
                <w:sz w:val="20"/>
                <w:szCs w:val="20"/>
                <w:lang w:eastAsia="ro-RO"/>
              </w:rPr>
            </w:pPr>
          </w:p>
        </w:tc>
        <w:tc>
          <w:tcPr>
            <w:tcW w:w="610" w:type="dxa"/>
            <w:vAlign w:val="center"/>
            <w:hideMark/>
          </w:tcPr>
          <w:p w14:paraId="1C3D331D" w14:textId="77777777" w:rsidR="007C7F99" w:rsidRPr="00827721" w:rsidRDefault="007C7F99" w:rsidP="00B05388">
            <w:pPr>
              <w:spacing w:line="240" w:lineRule="auto"/>
              <w:ind w:firstLine="0"/>
              <w:jc w:val="center"/>
              <w:rPr>
                <w:rFonts w:eastAsia="Times New Roman"/>
                <w:sz w:val="20"/>
                <w:szCs w:val="20"/>
                <w:lang w:eastAsia="ro-RO"/>
              </w:rPr>
            </w:pPr>
          </w:p>
        </w:tc>
        <w:tc>
          <w:tcPr>
            <w:tcW w:w="666" w:type="dxa"/>
            <w:vAlign w:val="center"/>
            <w:hideMark/>
          </w:tcPr>
          <w:p w14:paraId="72DE939C" w14:textId="77777777" w:rsidR="007C7F99" w:rsidRPr="00827721" w:rsidRDefault="007C7F99" w:rsidP="00B05388">
            <w:pPr>
              <w:spacing w:line="240" w:lineRule="auto"/>
              <w:ind w:firstLine="0"/>
              <w:jc w:val="center"/>
              <w:rPr>
                <w:rFonts w:eastAsia="Times New Roman"/>
                <w:sz w:val="20"/>
                <w:szCs w:val="20"/>
                <w:lang w:eastAsia="ro-RO"/>
              </w:rPr>
            </w:pPr>
          </w:p>
        </w:tc>
        <w:tc>
          <w:tcPr>
            <w:tcW w:w="466" w:type="dxa"/>
            <w:vAlign w:val="center"/>
            <w:hideMark/>
          </w:tcPr>
          <w:p w14:paraId="5FD1AABA" w14:textId="0128750F"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098F8082" w14:textId="597DAB18"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0.4</w:t>
            </w:r>
            <w:r w:rsidR="00C43791" w:rsidRPr="00827721">
              <w:rPr>
                <w:rFonts w:eastAsia="Times New Roman"/>
                <w:sz w:val="20"/>
                <w:szCs w:val="20"/>
                <w:lang w:eastAsia="ro-RO"/>
              </w:rPr>
              <w:t>3</w:t>
            </w:r>
          </w:p>
        </w:tc>
        <w:tc>
          <w:tcPr>
            <w:tcW w:w="1168" w:type="dxa"/>
            <w:vAlign w:val="center"/>
            <w:hideMark/>
          </w:tcPr>
          <w:p w14:paraId="6141B405"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30A417E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1.10</w:t>
            </w:r>
          </w:p>
        </w:tc>
      </w:tr>
      <w:tr w:rsidR="007C7F99" w:rsidRPr="00827721" w14:paraId="28B9B024" w14:textId="77777777" w:rsidTr="00B05388">
        <w:trPr>
          <w:trHeight w:val="300"/>
          <w:jc w:val="center"/>
        </w:trPr>
        <w:tc>
          <w:tcPr>
            <w:tcW w:w="1187" w:type="dxa"/>
            <w:vAlign w:val="center"/>
            <w:hideMark/>
          </w:tcPr>
          <w:p w14:paraId="65788383"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Semințe de floarea-soarelui</w:t>
            </w:r>
          </w:p>
        </w:tc>
        <w:tc>
          <w:tcPr>
            <w:tcW w:w="1785" w:type="dxa"/>
            <w:vAlign w:val="center"/>
            <w:hideMark/>
          </w:tcPr>
          <w:p w14:paraId="5B5A16D9" w14:textId="25674012"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2A2B7001"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0.9</w:t>
            </w:r>
          </w:p>
        </w:tc>
        <w:tc>
          <w:tcPr>
            <w:tcW w:w="766" w:type="dxa"/>
            <w:vAlign w:val="center"/>
            <w:hideMark/>
          </w:tcPr>
          <w:p w14:paraId="5F74A2CA"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26.4</w:t>
            </w:r>
          </w:p>
        </w:tc>
        <w:tc>
          <w:tcPr>
            <w:tcW w:w="666" w:type="dxa"/>
            <w:vAlign w:val="center"/>
            <w:hideMark/>
          </w:tcPr>
          <w:p w14:paraId="189603B7" w14:textId="7D5D771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C43791" w:rsidRPr="00827721">
              <w:rPr>
                <w:rFonts w:eastAsia="Times New Roman"/>
                <w:sz w:val="20"/>
                <w:szCs w:val="20"/>
                <w:lang w:eastAsia="ro-RO"/>
              </w:rPr>
              <w:t>07</w:t>
            </w:r>
          </w:p>
        </w:tc>
        <w:tc>
          <w:tcPr>
            <w:tcW w:w="588" w:type="dxa"/>
            <w:vAlign w:val="center"/>
            <w:hideMark/>
          </w:tcPr>
          <w:p w14:paraId="4E193F46" w14:textId="14622A5E"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2</w:t>
            </w:r>
            <w:r w:rsidR="007C6F28" w:rsidRPr="00827721">
              <w:rPr>
                <w:rFonts w:eastAsia="Times New Roman"/>
                <w:sz w:val="20"/>
                <w:szCs w:val="20"/>
                <w:lang w:eastAsia="ro-RO"/>
              </w:rPr>
              <w:t>.</w:t>
            </w:r>
            <w:r w:rsidRPr="00827721">
              <w:rPr>
                <w:rFonts w:eastAsia="Times New Roman"/>
                <w:sz w:val="20"/>
                <w:szCs w:val="20"/>
                <w:lang w:eastAsia="ro-RO"/>
              </w:rPr>
              <w:t>1</w:t>
            </w:r>
          </w:p>
        </w:tc>
        <w:tc>
          <w:tcPr>
            <w:tcW w:w="615" w:type="dxa"/>
            <w:vAlign w:val="center"/>
            <w:hideMark/>
          </w:tcPr>
          <w:p w14:paraId="399D385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c>
          <w:tcPr>
            <w:tcW w:w="610" w:type="dxa"/>
            <w:vAlign w:val="center"/>
            <w:hideMark/>
          </w:tcPr>
          <w:p w14:paraId="5F867E19"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0.22</w:t>
            </w:r>
          </w:p>
        </w:tc>
        <w:tc>
          <w:tcPr>
            <w:tcW w:w="666" w:type="dxa"/>
            <w:vAlign w:val="center"/>
            <w:hideMark/>
          </w:tcPr>
          <w:p w14:paraId="45A07CE4" w14:textId="5D1EACEF"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7C6F28" w:rsidRPr="00827721">
              <w:rPr>
                <w:rFonts w:eastAsia="Times New Roman"/>
                <w:sz w:val="20"/>
                <w:szCs w:val="20"/>
                <w:lang w:eastAsia="ro-RO"/>
              </w:rPr>
              <w:t>07</w:t>
            </w:r>
          </w:p>
        </w:tc>
        <w:tc>
          <w:tcPr>
            <w:tcW w:w="466" w:type="dxa"/>
            <w:vAlign w:val="center"/>
            <w:hideMark/>
          </w:tcPr>
          <w:p w14:paraId="38E421AD" w14:textId="3AF3EE28"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22ECC470"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7038C750"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4D4344F8"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1.11</w:t>
            </w:r>
          </w:p>
        </w:tc>
      </w:tr>
      <w:tr w:rsidR="007C7F99" w:rsidRPr="00827721" w14:paraId="1C97658E" w14:textId="77777777" w:rsidTr="00B05388">
        <w:trPr>
          <w:trHeight w:val="300"/>
          <w:jc w:val="center"/>
        </w:trPr>
        <w:tc>
          <w:tcPr>
            <w:tcW w:w="1187" w:type="dxa"/>
            <w:vAlign w:val="center"/>
            <w:hideMark/>
          </w:tcPr>
          <w:p w14:paraId="76A72AF1"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Triticale</w:t>
            </w:r>
          </w:p>
        </w:tc>
        <w:tc>
          <w:tcPr>
            <w:tcW w:w="1785" w:type="dxa"/>
            <w:vAlign w:val="center"/>
            <w:hideMark/>
          </w:tcPr>
          <w:p w14:paraId="062765E7" w14:textId="13812581"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307CF64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0.86</w:t>
            </w:r>
          </w:p>
        </w:tc>
        <w:tc>
          <w:tcPr>
            <w:tcW w:w="766" w:type="dxa"/>
            <w:vAlign w:val="center"/>
            <w:hideMark/>
          </w:tcPr>
          <w:p w14:paraId="45000350"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16.9</w:t>
            </w:r>
          </w:p>
        </w:tc>
        <w:tc>
          <w:tcPr>
            <w:tcW w:w="666" w:type="dxa"/>
            <w:vAlign w:val="center"/>
            <w:hideMark/>
          </w:tcPr>
          <w:p w14:paraId="2C8BFCE4" w14:textId="530853E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53CD6" w:rsidRPr="00827721">
              <w:rPr>
                <w:rFonts w:eastAsia="Times New Roman"/>
                <w:sz w:val="20"/>
                <w:szCs w:val="20"/>
                <w:lang w:eastAsia="ro-RO"/>
              </w:rPr>
              <w:t>06</w:t>
            </w:r>
          </w:p>
        </w:tc>
        <w:tc>
          <w:tcPr>
            <w:tcW w:w="588" w:type="dxa"/>
            <w:vAlign w:val="center"/>
            <w:hideMark/>
          </w:tcPr>
          <w:p w14:paraId="11716EBA"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1.09</w:t>
            </w:r>
          </w:p>
        </w:tc>
        <w:tc>
          <w:tcPr>
            <w:tcW w:w="615" w:type="dxa"/>
            <w:vAlign w:val="center"/>
            <w:hideMark/>
          </w:tcPr>
          <w:p w14:paraId="47B19C61"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0.88</w:t>
            </w:r>
          </w:p>
        </w:tc>
        <w:tc>
          <w:tcPr>
            <w:tcW w:w="610" w:type="dxa"/>
            <w:vAlign w:val="center"/>
            <w:hideMark/>
          </w:tcPr>
          <w:p w14:paraId="03C901AB"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0.22</w:t>
            </w:r>
          </w:p>
        </w:tc>
        <w:tc>
          <w:tcPr>
            <w:tcW w:w="666" w:type="dxa"/>
            <w:vAlign w:val="center"/>
            <w:hideMark/>
          </w:tcPr>
          <w:p w14:paraId="5151BB16" w14:textId="28A137F3"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53CD6" w:rsidRPr="00827721">
              <w:rPr>
                <w:rFonts w:eastAsia="Times New Roman"/>
                <w:sz w:val="20"/>
                <w:szCs w:val="20"/>
                <w:lang w:eastAsia="ro-RO"/>
              </w:rPr>
              <w:t>09</w:t>
            </w:r>
          </w:p>
        </w:tc>
        <w:tc>
          <w:tcPr>
            <w:tcW w:w="466" w:type="dxa"/>
            <w:vAlign w:val="center"/>
            <w:hideMark/>
          </w:tcPr>
          <w:p w14:paraId="47831D26" w14:textId="301B4A41"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w:t>
            </w:r>
          </w:p>
        </w:tc>
        <w:tc>
          <w:tcPr>
            <w:tcW w:w="566" w:type="dxa"/>
            <w:vAlign w:val="center"/>
            <w:hideMark/>
          </w:tcPr>
          <w:p w14:paraId="0C0212B3"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469412FA"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39A8D245"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1.2</w:t>
            </w:r>
          </w:p>
        </w:tc>
      </w:tr>
      <w:tr w:rsidR="007C7F99" w:rsidRPr="00827721" w14:paraId="7616A146" w14:textId="77777777" w:rsidTr="00B05388">
        <w:trPr>
          <w:trHeight w:val="300"/>
          <w:jc w:val="center"/>
        </w:trPr>
        <w:tc>
          <w:tcPr>
            <w:tcW w:w="1187" w:type="dxa"/>
            <w:vAlign w:val="center"/>
            <w:hideMark/>
          </w:tcPr>
          <w:p w14:paraId="771FACCF" w14:textId="77777777"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Grâu</w:t>
            </w:r>
          </w:p>
        </w:tc>
        <w:tc>
          <w:tcPr>
            <w:tcW w:w="1785" w:type="dxa"/>
            <w:vAlign w:val="center"/>
            <w:hideMark/>
          </w:tcPr>
          <w:p w14:paraId="15357232" w14:textId="7B0E2B7D" w:rsidR="007C7F99" w:rsidRPr="00827721" w:rsidRDefault="007C7F99" w:rsidP="007C7F99">
            <w:pPr>
              <w:spacing w:line="240" w:lineRule="auto"/>
              <w:ind w:firstLine="0"/>
              <w:jc w:val="left"/>
              <w:rPr>
                <w:rFonts w:eastAsia="Times New Roman"/>
                <w:sz w:val="20"/>
                <w:szCs w:val="20"/>
                <w:lang w:eastAsia="ro-RO"/>
              </w:rPr>
            </w:pPr>
            <w:r w:rsidRPr="00827721">
              <w:rPr>
                <w:rFonts w:eastAsia="Times New Roman"/>
                <w:sz w:val="20"/>
                <w:szCs w:val="20"/>
                <w:lang w:eastAsia="ro-RO"/>
              </w:rPr>
              <w:t xml:space="preserve">IPCC (2006) Vol.4 </w:t>
            </w:r>
            <w:r w:rsidR="00C020F9" w:rsidRPr="00827721">
              <w:rPr>
                <w:rFonts w:eastAsia="Times New Roman"/>
                <w:sz w:val="20"/>
                <w:szCs w:val="20"/>
                <w:lang w:eastAsia="ro-RO"/>
              </w:rPr>
              <w:t>Cap.</w:t>
            </w:r>
            <w:r w:rsidRPr="00827721">
              <w:rPr>
                <w:rFonts w:eastAsia="Times New Roman"/>
                <w:sz w:val="20"/>
                <w:szCs w:val="20"/>
                <w:lang w:eastAsia="ro-RO"/>
              </w:rPr>
              <w:t xml:space="preserve">11 </w:t>
            </w:r>
            <w:r w:rsidR="00C020F9" w:rsidRPr="00827721">
              <w:rPr>
                <w:rFonts w:eastAsia="Times New Roman"/>
                <w:sz w:val="20"/>
                <w:szCs w:val="20"/>
                <w:lang w:eastAsia="ro-RO"/>
              </w:rPr>
              <w:t>Sec.</w:t>
            </w:r>
            <w:r w:rsidRPr="00827721">
              <w:rPr>
                <w:rFonts w:eastAsia="Times New Roman"/>
                <w:sz w:val="20"/>
                <w:szCs w:val="20"/>
                <w:lang w:eastAsia="ro-RO"/>
              </w:rPr>
              <w:t>11.7a</w:t>
            </w:r>
          </w:p>
        </w:tc>
        <w:tc>
          <w:tcPr>
            <w:tcW w:w="536" w:type="dxa"/>
            <w:vAlign w:val="center"/>
            <w:hideMark/>
          </w:tcPr>
          <w:p w14:paraId="3E6A9858"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0.84</w:t>
            </w:r>
          </w:p>
        </w:tc>
        <w:tc>
          <w:tcPr>
            <w:tcW w:w="766" w:type="dxa"/>
            <w:vAlign w:val="center"/>
            <w:hideMark/>
          </w:tcPr>
          <w:p w14:paraId="1A6339F1"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17</w:t>
            </w:r>
          </w:p>
        </w:tc>
        <w:tc>
          <w:tcPr>
            <w:tcW w:w="666" w:type="dxa"/>
            <w:vAlign w:val="center"/>
            <w:hideMark/>
          </w:tcPr>
          <w:p w14:paraId="6BB2A173" w14:textId="6AE6178D"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53CD6" w:rsidRPr="00827721">
              <w:rPr>
                <w:rFonts w:eastAsia="Times New Roman"/>
                <w:sz w:val="20"/>
                <w:szCs w:val="20"/>
                <w:lang w:eastAsia="ro-RO"/>
              </w:rPr>
              <w:t>06</w:t>
            </w:r>
          </w:p>
        </w:tc>
        <w:tc>
          <w:tcPr>
            <w:tcW w:w="588" w:type="dxa"/>
            <w:vAlign w:val="center"/>
            <w:hideMark/>
          </w:tcPr>
          <w:p w14:paraId="3EE89CE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1.51</w:t>
            </w:r>
          </w:p>
        </w:tc>
        <w:tc>
          <w:tcPr>
            <w:tcW w:w="615" w:type="dxa"/>
            <w:vAlign w:val="center"/>
            <w:hideMark/>
          </w:tcPr>
          <w:p w14:paraId="7CD75759"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0.52</w:t>
            </w:r>
          </w:p>
        </w:tc>
        <w:tc>
          <w:tcPr>
            <w:tcW w:w="610" w:type="dxa"/>
            <w:vAlign w:val="center"/>
            <w:hideMark/>
          </w:tcPr>
          <w:p w14:paraId="6C3EFBF2"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0.24</w:t>
            </w:r>
          </w:p>
        </w:tc>
        <w:tc>
          <w:tcPr>
            <w:tcW w:w="666" w:type="dxa"/>
            <w:vAlign w:val="center"/>
            <w:hideMark/>
          </w:tcPr>
          <w:p w14:paraId="4754749D" w14:textId="5371C904"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0.0</w:t>
            </w:r>
            <w:r w:rsidR="00053CD6" w:rsidRPr="00827721">
              <w:rPr>
                <w:rFonts w:eastAsia="Times New Roman"/>
                <w:sz w:val="20"/>
                <w:szCs w:val="20"/>
                <w:lang w:eastAsia="ro-RO"/>
              </w:rPr>
              <w:t>09</w:t>
            </w:r>
          </w:p>
        </w:tc>
        <w:tc>
          <w:tcPr>
            <w:tcW w:w="466" w:type="dxa"/>
            <w:vAlign w:val="center"/>
            <w:hideMark/>
          </w:tcPr>
          <w:p w14:paraId="0E0A9510" w14:textId="6D6388E9"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0.</w:t>
            </w:r>
            <w:r w:rsidR="00053CD6" w:rsidRPr="00827721">
              <w:rPr>
                <w:rFonts w:eastAsia="Times New Roman"/>
                <w:sz w:val="20"/>
                <w:szCs w:val="20"/>
                <w:lang w:eastAsia="ro-RO"/>
              </w:rPr>
              <w:t>9</w:t>
            </w:r>
          </w:p>
        </w:tc>
        <w:tc>
          <w:tcPr>
            <w:tcW w:w="566" w:type="dxa"/>
            <w:vAlign w:val="center"/>
            <w:hideMark/>
          </w:tcPr>
          <w:p w14:paraId="47053B1D" w14:textId="77777777" w:rsidR="007C7F99" w:rsidRPr="00827721" w:rsidRDefault="007C7F99" w:rsidP="00B05388">
            <w:pPr>
              <w:spacing w:line="240" w:lineRule="auto"/>
              <w:ind w:firstLine="0"/>
              <w:jc w:val="center"/>
              <w:rPr>
                <w:rFonts w:eastAsia="Times New Roman"/>
                <w:sz w:val="20"/>
                <w:szCs w:val="20"/>
                <w:lang w:eastAsia="ro-RO"/>
              </w:rPr>
            </w:pPr>
          </w:p>
        </w:tc>
        <w:tc>
          <w:tcPr>
            <w:tcW w:w="1168" w:type="dxa"/>
            <w:vAlign w:val="center"/>
            <w:hideMark/>
          </w:tcPr>
          <w:p w14:paraId="2EB99922" w14:textId="77777777" w:rsidR="007C7F99" w:rsidRPr="00827721" w:rsidRDefault="007C7F99" w:rsidP="00B05388">
            <w:pPr>
              <w:spacing w:line="240" w:lineRule="auto"/>
              <w:ind w:firstLine="0"/>
              <w:jc w:val="center"/>
              <w:rPr>
                <w:rFonts w:eastAsia="Times New Roman"/>
                <w:sz w:val="20"/>
                <w:szCs w:val="20"/>
                <w:lang w:eastAsia="ro-RO"/>
              </w:rPr>
            </w:pPr>
          </w:p>
        </w:tc>
        <w:tc>
          <w:tcPr>
            <w:tcW w:w="588" w:type="dxa"/>
            <w:vAlign w:val="center"/>
            <w:hideMark/>
          </w:tcPr>
          <w:p w14:paraId="21347FC6" w14:textId="77777777" w:rsidR="007C7F99" w:rsidRPr="00827721" w:rsidRDefault="007C7F99" w:rsidP="00B05388">
            <w:pPr>
              <w:spacing w:line="240" w:lineRule="auto"/>
              <w:ind w:firstLine="0"/>
              <w:jc w:val="center"/>
              <w:rPr>
                <w:rFonts w:eastAsia="Times New Roman"/>
                <w:sz w:val="20"/>
                <w:szCs w:val="20"/>
                <w:lang w:eastAsia="ro-RO"/>
              </w:rPr>
            </w:pPr>
            <w:r w:rsidRPr="00827721">
              <w:rPr>
                <w:rFonts w:eastAsia="Times New Roman"/>
                <w:sz w:val="20"/>
                <w:szCs w:val="20"/>
                <w:lang w:eastAsia="ro-RO"/>
              </w:rPr>
              <w:t>1.2</w:t>
            </w:r>
          </w:p>
        </w:tc>
      </w:tr>
    </w:tbl>
    <w:p w14:paraId="57354AC1" w14:textId="665291AF" w:rsidR="005C1961" w:rsidRPr="00827721" w:rsidRDefault="005C1961" w:rsidP="00C056D2">
      <w:pPr>
        <w:rPr>
          <w:i/>
          <w:iCs/>
        </w:rPr>
      </w:pPr>
      <w:r w:rsidRPr="00827721">
        <w:rPr>
          <w:rStyle w:val="cf01"/>
          <w:rFonts w:ascii="Times New Roman" w:hAnsi="Times New Roman" w:cs="Times New Roman"/>
          <w:i/>
          <w:iCs/>
          <w:sz w:val="20"/>
          <w:szCs w:val="20"/>
        </w:rPr>
        <w:t>Sursa datelor: Raportul JRC „</w:t>
      </w:r>
      <w:proofErr w:type="spellStart"/>
      <w:r w:rsidRPr="00827721">
        <w:rPr>
          <w:rStyle w:val="cf01"/>
          <w:rFonts w:ascii="Times New Roman" w:hAnsi="Times New Roman" w:cs="Times New Roman"/>
          <w:i/>
          <w:iCs/>
          <w:sz w:val="20"/>
          <w:szCs w:val="20"/>
        </w:rPr>
        <w:t>Definition</w:t>
      </w:r>
      <w:proofErr w:type="spellEnd"/>
      <w:r w:rsidRPr="00827721">
        <w:rPr>
          <w:rStyle w:val="cf01"/>
          <w:rFonts w:ascii="Times New Roman" w:hAnsi="Times New Roman" w:cs="Times New Roman"/>
          <w:i/>
          <w:iCs/>
          <w:sz w:val="20"/>
          <w:szCs w:val="20"/>
        </w:rPr>
        <w:t xml:space="preserve"> of input data </w:t>
      </w:r>
      <w:proofErr w:type="spellStart"/>
      <w:r w:rsidRPr="00827721">
        <w:rPr>
          <w:rStyle w:val="cf01"/>
          <w:rFonts w:ascii="Times New Roman" w:hAnsi="Times New Roman" w:cs="Times New Roman"/>
          <w:i/>
          <w:iCs/>
          <w:sz w:val="20"/>
          <w:szCs w:val="20"/>
        </w:rPr>
        <w:t>to</w:t>
      </w:r>
      <w:proofErr w:type="spellEnd"/>
      <w:r w:rsidRPr="00827721">
        <w:rPr>
          <w:rStyle w:val="cf01"/>
          <w:rFonts w:ascii="Times New Roman" w:hAnsi="Times New Roman" w:cs="Times New Roman"/>
          <w:i/>
          <w:iCs/>
          <w:sz w:val="20"/>
          <w:szCs w:val="20"/>
        </w:rPr>
        <w:t xml:space="preserve"> </w:t>
      </w:r>
      <w:proofErr w:type="spellStart"/>
      <w:r w:rsidRPr="00827721">
        <w:rPr>
          <w:rStyle w:val="cf01"/>
          <w:rFonts w:ascii="Times New Roman" w:hAnsi="Times New Roman" w:cs="Times New Roman"/>
          <w:i/>
          <w:iCs/>
          <w:sz w:val="20"/>
          <w:szCs w:val="20"/>
        </w:rPr>
        <w:t>assess</w:t>
      </w:r>
      <w:proofErr w:type="spellEnd"/>
      <w:r w:rsidRPr="00827721">
        <w:rPr>
          <w:rStyle w:val="cf01"/>
          <w:rFonts w:ascii="Times New Roman" w:hAnsi="Times New Roman" w:cs="Times New Roman"/>
          <w:i/>
          <w:iCs/>
          <w:sz w:val="20"/>
          <w:szCs w:val="20"/>
        </w:rPr>
        <w:t xml:space="preserve"> GHG </w:t>
      </w:r>
      <w:proofErr w:type="spellStart"/>
      <w:r w:rsidRPr="00827721">
        <w:rPr>
          <w:rStyle w:val="cf01"/>
          <w:rFonts w:ascii="Times New Roman" w:hAnsi="Times New Roman" w:cs="Times New Roman"/>
          <w:i/>
          <w:iCs/>
          <w:sz w:val="20"/>
          <w:szCs w:val="20"/>
        </w:rPr>
        <w:t>default</w:t>
      </w:r>
      <w:proofErr w:type="spellEnd"/>
      <w:r w:rsidRPr="00827721">
        <w:rPr>
          <w:rStyle w:val="cf01"/>
          <w:rFonts w:ascii="Times New Roman" w:hAnsi="Times New Roman" w:cs="Times New Roman"/>
          <w:i/>
          <w:iCs/>
          <w:sz w:val="20"/>
          <w:szCs w:val="20"/>
        </w:rPr>
        <w:t xml:space="preserve"> </w:t>
      </w:r>
      <w:proofErr w:type="spellStart"/>
      <w:r w:rsidRPr="00827721">
        <w:rPr>
          <w:rStyle w:val="cf01"/>
          <w:rFonts w:ascii="Times New Roman" w:hAnsi="Times New Roman" w:cs="Times New Roman"/>
          <w:i/>
          <w:iCs/>
          <w:sz w:val="20"/>
          <w:szCs w:val="20"/>
        </w:rPr>
        <w:t>emissions</w:t>
      </w:r>
      <w:proofErr w:type="spellEnd"/>
      <w:r w:rsidRPr="00827721">
        <w:rPr>
          <w:rStyle w:val="cf01"/>
          <w:rFonts w:ascii="Times New Roman" w:hAnsi="Times New Roman" w:cs="Times New Roman"/>
          <w:i/>
          <w:iCs/>
          <w:sz w:val="20"/>
          <w:szCs w:val="20"/>
        </w:rPr>
        <w:t xml:space="preserve"> </w:t>
      </w:r>
      <w:proofErr w:type="spellStart"/>
      <w:r w:rsidRPr="00827721">
        <w:rPr>
          <w:rStyle w:val="cf01"/>
          <w:rFonts w:ascii="Times New Roman" w:hAnsi="Times New Roman" w:cs="Times New Roman"/>
          <w:i/>
          <w:iCs/>
          <w:sz w:val="20"/>
          <w:szCs w:val="20"/>
        </w:rPr>
        <w:t>from</w:t>
      </w:r>
      <w:proofErr w:type="spellEnd"/>
      <w:r w:rsidRPr="00827721">
        <w:rPr>
          <w:rStyle w:val="cf01"/>
          <w:rFonts w:ascii="Times New Roman" w:hAnsi="Times New Roman" w:cs="Times New Roman"/>
          <w:i/>
          <w:iCs/>
          <w:sz w:val="20"/>
          <w:szCs w:val="20"/>
        </w:rPr>
        <w:t xml:space="preserve"> </w:t>
      </w:r>
      <w:proofErr w:type="spellStart"/>
      <w:r w:rsidRPr="00827721">
        <w:rPr>
          <w:rStyle w:val="cf01"/>
          <w:rFonts w:ascii="Times New Roman" w:hAnsi="Times New Roman" w:cs="Times New Roman"/>
          <w:i/>
          <w:iCs/>
          <w:sz w:val="20"/>
          <w:szCs w:val="20"/>
        </w:rPr>
        <w:t>biofuels</w:t>
      </w:r>
      <w:proofErr w:type="spellEnd"/>
      <w:r w:rsidRPr="00827721">
        <w:rPr>
          <w:rStyle w:val="cf01"/>
          <w:rFonts w:ascii="Times New Roman" w:hAnsi="Times New Roman" w:cs="Times New Roman"/>
          <w:i/>
          <w:iCs/>
          <w:sz w:val="20"/>
          <w:szCs w:val="20"/>
        </w:rPr>
        <w:t xml:space="preserve"> in EU </w:t>
      </w:r>
      <w:proofErr w:type="spellStart"/>
      <w:r w:rsidRPr="00827721">
        <w:rPr>
          <w:rStyle w:val="cf01"/>
          <w:rFonts w:ascii="Times New Roman" w:hAnsi="Times New Roman" w:cs="Times New Roman"/>
          <w:i/>
          <w:iCs/>
          <w:sz w:val="20"/>
          <w:szCs w:val="20"/>
        </w:rPr>
        <w:t>legislation</w:t>
      </w:r>
      <w:proofErr w:type="spellEnd"/>
      <w:r w:rsidRPr="00827721">
        <w:rPr>
          <w:rStyle w:val="cf01"/>
          <w:rFonts w:ascii="Times New Roman" w:hAnsi="Times New Roman" w:cs="Times New Roman"/>
          <w:i/>
          <w:iCs/>
          <w:sz w:val="20"/>
          <w:szCs w:val="20"/>
        </w:rPr>
        <w:t xml:space="preserve">” (Definiția datelor de intrare pentru evaluarea emisiilor implicite de GES provenite de la </w:t>
      </w:r>
      <w:r w:rsidR="008A23DF" w:rsidRPr="00827721">
        <w:rPr>
          <w:rStyle w:val="cf01"/>
          <w:rFonts w:ascii="Times New Roman" w:hAnsi="Times New Roman" w:cs="Times New Roman"/>
          <w:i/>
          <w:iCs/>
          <w:sz w:val="20"/>
          <w:szCs w:val="20"/>
        </w:rPr>
        <w:t>biocarburanți</w:t>
      </w:r>
      <w:r w:rsidRPr="00827721">
        <w:rPr>
          <w:rStyle w:val="cf01"/>
          <w:rFonts w:ascii="Times New Roman" w:hAnsi="Times New Roman" w:cs="Times New Roman"/>
          <w:i/>
          <w:iCs/>
          <w:sz w:val="20"/>
          <w:szCs w:val="20"/>
        </w:rPr>
        <w:t xml:space="preserve"> în legislația UE), JRC 2019 (EUR 28349 EN). </w:t>
      </w:r>
      <w:hyperlink r:id="rId24" w:history="1">
        <w:r w:rsidRPr="00827721">
          <w:rPr>
            <w:rStyle w:val="cf01"/>
            <w:rFonts w:ascii="Times New Roman" w:hAnsi="Times New Roman" w:cs="Times New Roman"/>
            <w:i/>
            <w:iCs/>
            <w:sz w:val="20"/>
            <w:szCs w:val="20"/>
            <w:u w:val="single"/>
          </w:rPr>
          <w:t>https://op.europa.eu/ro/publication-detail/-/publication/7d6dd4ba-720a-11e9-9f05-01aa75ed71a1</w:t>
        </w:r>
      </w:hyperlink>
      <w:r w:rsidR="003B3141" w:rsidRPr="00827721">
        <w:rPr>
          <w:i/>
          <w:iCs/>
        </w:rPr>
        <w:t>.</w:t>
      </w:r>
    </w:p>
    <w:p w14:paraId="399D4D9A" w14:textId="1A7A5FB2" w:rsidR="00BB53A8" w:rsidRPr="00827721" w:rsidRDefault="00BB53A8" w:rsidP="00DE3705">
      <w:pPr>
        <w:pStyle w:val="Sectiune"/>
        <w:rPr>
          <w:rFonts w:eastAsia="Times New Roman"/>
          <w:lang w:eastAsia="ro-RO"/>
        </w:rPr>
      </w:pPr>
      <w:r w:rsidRPr="00827721">
        <w:rPr>
          <w:rFonts w:eastAsia="Times New Roman"/>
          <w:lang w:eastAsia="ro-RO"/>
        </w:rPr>
        <w:t>Tabelul 2</w:t>
      </w:r>
    </w:p>
    <w:p w14:paraId="62B6DFE4" w14:textId="77777777" w:rsidR="00BB53A8" w:rsidRPr="00827721" w:rsidRDefault="00BB53A8" w:rsidP="00DE3705">
      <w:pPr>
        <w:pStyle w:val="Sectiune"/>
        <w:rPr>
          <w:rFonts w:eastAsia="Times New Roman"/>
          <w:lang w:eastAsia="ro-RO"/>
        </w:rPr>
      </w:pPr>
      <w:r w:rsidRPr="00827721">
        <w:rPr>
          <w:rFonts w:eastAsia="Times New Roman"/>
          <w:lang w:eastAsia="ro-RO"/>
        </w:rPr>
        <w:t>Valorile constante și valorile efectului emisiilor de N</w:t>
      </w:r>
      <w:r w:rsidRPr="00827721">
        <w:rPr>
          <w:rFonts w:eastAsia="Times New Roman"/>
          <w:vertAlign w:val="subscript"/>
          <w:lang w:eastAsia="ro-RO"/>
        </w:rPr>
        <w:t>2</w:t>
      </w:r>
      <w:r w:rsidRPr="00827721">
        <w:rPr>
          <w:rFonts w:eastAsia="Times New Roman"/>
          <w:lang w:eastAsia="ro-RO"/>
        </w:rPr>
        <w:t>O provenite de pe terenurile agricole, calculate conform modelului S&amp;B</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4"/>
        <w:gridCol w:w="2268"/>
      </w:tblGrid>
      <w:tr w:rsidR="000F53DA" w:rsidRPr="00827721" w14:paraId="389154F4" w14:textId="77777777" w:rsidTr="000F53DA">
        <w:trPr>
          <w:trHeight w:val="300"/>
          <w:jc w:val="center"/>
        </w:trPr>
        <w:tc>
          <w:tcPr>
            <w:tcW w:w="1980" w:type="dxa"/>
            <w:noWrap/>
            <w:vAlign w:val="center"/>
            <w:hideMark/>
          </w:tcPr>
          <w:p w14:paraId="5D85B55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Valoare constantă</w:t>
            </w:r>
          </w:p>
        </w:tc>
        <w:tc>
          <w:tcPr>
            <w:tcW w:w="1984" w:type="dxa"/>
            <w:noWrap/>
            <w:vAlign w:val="center"/>
            <w:hideMark/>
          </w:tcPr>
          <w:p w14:paraId="6D8B7052"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-1.516</w:t>
            </w:r>
          </w:p>
        </w:tc>
        <w:tc>
          <w:tcPr>
            <w:tcW w:w="2268" w:type="dxa"/>
            <w:noWrap/>
            <w:vAlign w:val="center"/>
            <w:hideMark/>
          </w:tcPr>
          <w:p w14:paraId="1960FB31" w14:textId="77777777" w:rsidR="000F53DA" w:rsidRPr="00827721" w:rsidRDefault="000F53DA" w:rsidP="000F53DA">
            <w:pPr>
              <w:spacing w:line="240" w:lineRule="auto"/>
              <w:ind w:firstLine="0"/>
              <w:jc w:val="center"/>
              <w:rPr>
                <w:rFonts w:eastAsia="Times New Roman"/>
                <w:sz w:val="20"/>
                <w:szCs w:val="20"/>
                <w:lang w:eastAsia="ro-RO"/>
              </w:rPr>
            </w:pPr>
          </w:p>
        </w:tc>
      </w:tr>
      <w:tr w:rsidR="000F53DA" w:rsidRPr="00827721" w14:paraId="0962F307" w14:textId="77777777" w:rsidTr="000F53DA">
        <w:trPr>
          <w:trHeight w:val="300"/>
          <w:jc w:val="center"/>
        </w:trPr>
        <w:tc>
          <w:tcPr>
            <w:tcW w:w="1980" w:type="dxa"/>
            <w:noWrap/>
            <w:vAlign w:val="center"/>
            <w:hideMark/>
          </w:tcPr>
          <w:p w14:paraId="3A74D96D" w14:textId="77777777" w:rsidR="000F53DA" w:rsidRPr="00827721" w:rsidRDefault="000F53DA" w:rsidP="000F53DA">
            <w:pPr>
              <w:spacing w:line="240" w:lineRule="auto"/>
              <w:ind w:firstLine="0"/>
              <w:jc w:val="center"/>
              <w:rPr>
                <w:rFonts w:eastAsia="Times New Roman"/>
                <w:b/>
                <w:bCs/>
                <w:sz w:val="20"/>
                <w:szCs w:val="20"/>
                <w:lang w:eastAsia="ro-RO"/>
              </w:rPr>
            </w:pPr>
            <w:r w:rsidRPr="00827721">
              <w:rPr>
                <w:rFonts w:eastAsia="Times New Roman"/>
                <w:b/>
                <w:bCs/>
                <w:sz w:val="20"/>
                <w:szCs w:val="20"/>
                <w:lang w:eastAsia="ro-RO"/>
              </w:rPr>
              <w:t>Parametru</w:t>
            </w:r>
          </w:p>
        </w:tc>
        <w:tc>
          <w:tcPr>
            <w:tcW w:w="1984" w:type="dxa"/>
            <w:noWrap/>
            <w:vAlign w:val="center"/>
            <w:hideMark/>
          </w:tcPr>
          <w:p w14:paraId="2FC5FAB3" w14:textId="77777777" w:rsidR="000F53DA" w:rsidRPr="00827721" w:rsidRDefault="000F53DA" w:rsidP="000F53DA">
            <w:pPr>
              <w:spacing w:line="240" w:lineRule="auto"/>
              <w:ind w:firstLine="0"/>
              <w:jc w:val="center"/>
              <w:rPr>
                <w:rFonts w:eastAsia="Times New Roman"/>
                <w:b/>
                <w:bCs/>
                <w:sz w:val="20"/>
                <w:szCs w:val="20"/>
                <w:lang w:eastAsia="ro-RO"/>
              </w:rPr>
            </w:pPr>
            <w:r w:rsidRPr="00827721">
              <w:rPr>
                <w:rFonts w:eastAsia="Times New Roman"/>
                <w:b/>
                <w:bCs/>
                <w:sz w:val="20"/>
                <w:szCs w:val="20"/>
                <w:lang w:eastAsia="ro-RO"/>
              </w:rPr>
              <w:t>Clasă / Unitate</w:t>
            </w:r>
          </w:p>
        </w:tc>
        <w:tc>
          <w:tcPr>
            <w:tcW w:w="2268" w:type="dxa"/>
            <w:noWrap/>
            <w:vAlign w:val="center"/>
            <w:hideMark/>
          </w:tcPr>
          <w:p w14:paraId="592F5F2C" w14:textId="6C78035F" w:rsidR="000F53DA" w:rsidRPr="00827721" w:rsidRDefault="000F53DA" w:rsidP="000F53DA">
            <w:pPr>
              <w:spacing w:line="240" w:lineRule="auto"/>
              <w:ind w:firstLine="0"/>
              <w:jc w:val="center"/>
              <w:rPr>
                <w:rFonts w:eastAsia="Times New Roman"/>
                <w:b/>
                <w:bCs/>
                <w:sz w:val="20"/>
                <w:szCs w:val="20"/>
                <w:lang w:eastAsia="ro-RO"/>
              </w:rPr>
            </w:pPr>
            <w:r w:rsidRPr="00827721">
              <w:rPr>
                <w:rFonts w:eastAsia="Times New Roman"/>
                <w:b/>
                <w:bCs/>
                <w:sz w:val="20"/>
                <w:szCs w:val="20"/>
                <w:lang w:eastAsia="ro-RO"/>
              </w:rPr>
              <w:t>Valoarea efectului (</w:t>
            </w:r>
            <w:r w:rsidR="003879BA" w:rsidRPr="00827721">
              <w:rPr>
                <w:rFonts w:eastAsia="Times New Roman"/>
                <w:b/>
                <w:bCs/>
                <w:sz w:val="20"/>
                <w:szCs w:val="20"/>
                <w:lang w:eastAsia="ro-RO"/>
              </w:rPr>
              <w:t>ev</w:t>
            </w:r>
            <w:r w:rsidRPr="00827721">
              <w:rPr>
                <w:rFonts w:eastAsia="Times New Roman"/>
                <w:b/>
                <w:bCs/>
                <w:sz w:val="20"/>
                <w:szCs w:val="20"/>
                <w:lang w:eastAsia="ro-RO"/>
              </w:rPr>
              <w:t>)</w:t>
            </w:r>
          </w:p>
        </w:tc>
      </w:tr>
      <w:tr w:rsidR="000F53DA" w:rsidRPr="00827721" w14:paraId="476AE31A" w14:textId="77777777" w:rsidTr="00B05388">
        <w:trPr>
          <w:trHeight w:val="693"/>
          <w:jc w:val="center"/>
        </w:trPr>
        <w:tc>
          <w:tcPr>
            <w:tcW w:w="1980" w:type="dxa"/>
            <w:vAlign w:val="center"/>
            <w:hideMark/>
          </w:tcPr>
          <w:p w14:paraId="3412176E"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Aportul de îngrășăminte</w:t>
            </w:r>
          </w:p>
        </w:tc>
        <w:tc>
          <w:tcPr>
            <w:tcW w:w="1984" w:type="dxa"/>
            <w:vAlign w:val="center"/>
            <w:hideMark/>
          </w:tcPr>
          <w:p w14:paraId="3519A02B" w14:textId="77777777" w:rsidR="000F53DA" w:rsidRPr="00827721" w:rsidRDefault="000F53DA" w:rsidP="000F53DA">
            <w:pPr>
              <w:spacing w:line="240" w:lineRule="auto"/>
              <w:ind w:firstLine="0"/>
              <w:jc w:val="center"/>
              <w:rPr>
                <w:rFonts w:eastAsia="Times New Roman"/>
                <w:sz w:val="20"/>
                <w:szCs w:val="20"/>
                <w:lang w:eastAsia="ro-RO"/>
              </w:rPr>
            </w:pPr>
          </w:p>
        </w:tc>
        <w:tc>
          <w:tcPr>
            <w:tcW w:w="2268" w:type="dxa"/>
            <w:vAlign w:val="center"/>
            <w:hideMark/>
          </w:tcPr>
          <w:p w14:paraId="332256DB"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0.0038 * N rata de aplicare (kg N ha-1 a-1)</w:t>
            </w:r>
          </w:p>
        </w:tc>
      </w:tr>
      <w:tr w:rsidR="000F53DA" w:rsidRPr="00827721" w14:paraId="357E39FA" w14:textId="77777777" w:rsidTr="00B05388">
        <w:trPr>
          <w:trHeight w:val="551"/>
          <w:jc w:val="center"/>
        </w:trPr>
        <w:tc>
          <w:tcPr>
            <w:tcW w:w="1980" w:type="dxa"/>
            <w:vAlign w:val="center"/>
            <w:hideMark/>
          </w:tcPr>
          <w:p w14:paraId="6A974A96"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Conținutul de carbon organic din sol</w:t>
            </w:r>
          </w:p>
        </w:tc>
        <w:tc>
          <w:tcPr>
            <w:tcW w:w="1984" w:type="dxa"/>
            <w:vAlign w:val="center"/>
            <w:hideMark/>
          </w:tcPr>
          <w:p w14:paraId="49155D25"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&lt;1 %</w:t>
            </w:r>
          </w:p>
        </w:tc>
        <w:tc>
          <w:tcPr>
            <w:tcW w:w="2268" w:type="dxa"/>
            <w:vAlign w:val="center"/>
            <w:hideMark/>
          </w:tcPr>
          <w:p w14:paraId="53A3298F"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r>
      <w:tr w:rsidR="000F53DA" w:rsidRPr="00827721" w14:paraId="0D30368F" w14:textId="77777777" w:rsidTr="00B05388">
        <w:trPr>
          <w:trHeight w:val="300"/>
          <w:jc w:val="center"/>
        </w:trPr>
        <w:tc>
          <w:tcPr>
            <w:tcW w:w="1980" w:type="dxa"/>
            <w:vAlign w:val="center"/>
            <w:hideMark/>
          </w:tcPr>
          <w:p w14:paraId="4682FC4B"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2A15A63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1–3 %</w:t>
            </w:r>
          </w:p>
        </w:tc>
        <w:tc>
          <w:tcPr>
            <w:tcW w:w="2268" w:type="dxa"/>
            <w:vAlign w:val="center"/>
            <w:hideMark/>
          </w:tcPr>
          <w:p w14:paraId="1B970F3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0.0526</w:t>
            </w:r>
          </w:p>
        </w:tc>
      </w:tr>
      <w:tr w:rsidR="000F53DA" w:rsidRPr="00827721" w14:paraId="50475BE1" w14:textId="77777777" w:rsidTr="00B05388">
        <w:trPr>
          <w:trHeight w:val="300"/>
          <w:jc w:val="center"/>
        </w:trPr>
        <w:tc>
          <w:tcPr>
            <w:tcW w:w="1980" w:type="dxa"/>
            <w:vAlign w:val="center"/>
            <w:hideMark/>
          </w:tcPr>
          <w:p w14:paraId="0DA9C38D"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44BFA328"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&gt;3 %</w:t>
            </w:r>
          </w:p>
        </w:tc>
        <w:tc>
          <w:tcPr>
            <w:tcW w:w="2268" w:type="dxa"/>
            <w:vAlign w:val="center"/>
            <w:hideMark/>
          </w:tcPr>
          <w:p w14:paraId="06E31272"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0.6334</w:t>
            </w:r>
          </w:p>
        </w:tc>
      </w:tr>
      <w:tr w:rsidR="000F53DA" w:rsidRPr="00827721" w14:paraId="26CDAB1F" w14:textId="77777777" w:rsidTr="00B05388">
        <w:trPr>
          <w:trHeight w:val="300"/>
          <w:jc w:val="center"/>
        </w:trPr>
        <w:tc>
          <w:tcPr>
            <w:tcW w:w="1980" w:type="dxa"/>
            <w:vAlign w:val="center"/>
            <w:hideMark/>
          </w:tcPr>
          <w:p w14:paraId="5C9CB6FB"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pH</w:t>
            </w:r>
          </w:p>
        </w:tc>
        <w:tc>
          <w:tcPr>
            <w:tcW w:w="1984" w:type="dxa"/>
            <w:vAlign w:val="center"/>
            <w:hideMark/>
          </w:tcPr>
          <w:p w14:paraId="032498C6"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&lt;5.5</w:t>
            </w:r>
          </w:p>
        </w:tc>
        <w:tc>
          <w:tcPr>
            <w:tcW w:w="2268" w:type="dxa"/>
            <w:vAlign w:val="center"/>
            <w:hideMark/>
          </w:tcPr>
          <w:p w14:paraId="2E059263"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r>
      <w:tr w:rsidR="000F53DA" w:rsidRPr="00827721" w14:paraId="662A2BE0" w14:textId="77777777" w:rsidTr="00B05388">
        <w:trPr>
          <w:trHeight w:val="300"/>
          <w:jc w:val="center"/>
        </w:trPr>
        <w:tc>
          <w:tcPr>
            <w:tcW w:w="1980" w:type="dxa"/>
            <w:vAlign w:val="center"/>
            <w:hideMark/>
          </w:tcPr>
          <w:p w14:paraId="3B2A95DC"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6BC3EB57"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5.5–7.3</w:t>
            </w:r>
          </w:p>
        </w:tc>
        <w:tc>
          <w:tcPr>
            <w:tcW w:w="2268" w:type="dxa"/>
            <w:vAlign w:val="center"/>
            <w:hideMark/>
          </w:tcPr>
          <w:p w14:paraId="56286150"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-0.0693</w:t>
            </w:r>
          </w:p>
        </w:tc>
      </w:tr>
      <w:tr w:rsidR="000F53DA" w:rsidRPr="00827721" w14:paraId="5820953C" w14:textId="77777777" w:rsidTr="00B05388">
        <w:trPr>
          <w:trHeight w:val="300"/>
          <w:jc w:val="center"/>
        </w:trPr>
        <w:tc>
          <w:tcPr>
            <w:tcW w:w="1980" w:type="dxa"/>
            <w:vAlign w:val="center"/>
            <w:hideMark/>
          </w:tcPr>
          <w:p w14:paraId="7AE22D34"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51ED1542"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&gt;7.3</w:t>
            </w:r>
          </w:p>
        </w:tc>
        <w:tc>
          <w:tcPr>
            <w:tcW w:w="2268" w:type="dxa"/>
            <w:vAlign w:val="center"/>
            <w:hideMark/>
          </w:tcPr>
          <w:p w14:paraId="0F555813"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-0.4836</w:t>
            </w:r>
          </w:p>
        </w:tc>
      </w:tr>
      <w:tr w:rsidR="000F53DA" w:rsidRPr="00827721" w14:paraId="502672A7" w14:textId="77777777" w:rsidTr="00B05388">
        <w:trPr>
          <w:trHeight w:val="292"/>
          <w:jc w:val="center"/>
        </w:trPr>
        <w:tc>
          <w:tcPr>
            <w:tcW w:w="1980" w:type="dxa"/>
            <w:vAlign w:val="center"/>
            <w:hideMark/>
          </w:tcPr>
          <w:p w14:paraId="750A11CF"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Textura solului</w:t>
            </w:r>
          </w:p>
        </w:tc>
        <w:tc>
          <w:tcPr>
            <w:tcW w:w="1984" w:type="dxa"/>
            <w:vAlign w:val="center"/>
            <w:hideMark/>
          </w:tcPr>
          <w:p w14:paraId="1E5A2B70"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Grosier</w:t>
            </w:r>
          </w:p>
        </w:tc>
        <w:tc>
          <w:tcPr>
            <w:tcW w:w="2268" w:type="dxa"/>
            <w:vAlign w:val="center"/>
            <w:hideMark/>
          </w:tcPr>
          <w:p w14:paraId="04411745"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r>
      <w:tr w:rsidR="000F53DA" w:rsidRPr="00827721" w14:paraId="095B5BD5" w14:textId="77777777" w:rsidTr="00B05388">
        <w:trPr>
          <w:trHeight w:val="300"/>
          <w:jc w:val="center"/>
        </w:trPr>
        <w:tc>
          <w:tcPr>
            <w:tcW w:w="1980" w:type="dxa"/>
            <w:vAlign w:val="center"/>
            <w:hideMark/>
          </w:tcPr>
          <w:p w14:paraId="6E096089"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78C948E0"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Mediu</w:t>
            </w:r>
          </w:p>
        </w:tc>
        <w:tc>
          <w:tcPr>
            <w:tcW w:w="2268" w:type="dxa"/>
            <w:vAlign w:val="center"/>
            <w:hideMark/>
          </w:tcPr>
          <w:p w14:paraId="5CFDA2C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-0.1528</w:t>
            </w:r>
          </w:p>
        </w:tc>
      </w:tr>
      <w:tr w:rsidR="000F53DA" w:rsidRPr="00827721" w14:paraId="0C52D6D6" w14:textId="77777777" w:rsidTr="00B05388">
        <w:trPr>
          <w:trHeight w:val="300"/>
          <w:jc w:val="center"/>
        </w:trPr>
        <w:tc>
          <w:tcPr>
            <w:tcW w:w="1980" w:type="dxa"/>
            <w:vAlign w:val="center"/>
            <w:hideMark/>
          </w:tcPr>
          <w:p w14:paraId="10DEA730"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48C0A7BD"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Fin</w:t>
            </w:r>
          </w:p>
        </w:tc>
        <w:tc>
          <w:tcPr>
            <w:tcW w:w="2268" w:type="dxa"/>
            <w:vAlign w:val="center"/>
            <w:hideMark/>
          </w:tcPr>
          <w:p w14:paraId="21EFEC8E"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0.4312</w:t>
            </w:r>
          </w:p>
        </w:tc>
      </w:tr>
      <w:tr w:rsidR="000F53DA" w:rsidRPr="00827721" w14:paraId="5BE7E737" w14:textId="77777777" w:rsidTr="00B05388">
        <w:trPr>
          <w:trHeight w:val="300"/>
          <w:jc w:val="center"/>
        </w:trPr>
        <w:tc>
          <w:tcPr>
            <w:tcW w:w="1980" w:type="dxa"/>
            <w:vAlign w:val="center"/>
            <w:hideMark/>
          </w:tcPr>
          <w:p w14:paraId="61087BA6"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Climatul</w:t>
            </w:r>
          </w:p>
        </w:tc>
        <w:tc>
          <w:tcPr>
            <w:tcW w:w="1984" w:type="dxa"/>
            <w:vAlign w:val="center"/>
            <w:hideMark/>
          </w:tcPr>
          <w:p w14:paraId="1D7C7A14"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Subtropical</w:t>
            </w:r>
          </w:p>
        </w:tc>
        <w:tc>
          <w:tcPr>
            <w:tcW w:w="2268" w:type="dxa"/>
            <w:vAlign w:val="center"/>
            <w:hideMark/>
          </w:tcPr>
          <w:p w14:paraId="4B6424E3"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0.6117</w:t>
            </w:r>
          </w:p>
        </w:tc>
      </w:tr>
      <w:tr w:rsidR="000F53DA" w:rsidRPr="00827721" w14:paraId="66F1FFC4" w14:textId="77777777" w:rsidTr="00B05388">
        <w:trPr>
          <w:trHeight w:val="316"/>
          <w:jc w:val="center"/>
        </w:trPr>
        <w:tc>
          <w:tcPr>
            <w:tcW w:w="1980" w:type="dxa"/>
            <w:vAlign w:val="center"/>
            <w:hideMark/>
          </w:tcPr>
          <w:p w14:paraId="6A9DFF25"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4A522A4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Temperat continental</w:t>
            </w:r>
          </w:p>
        </w:tc>
        <w:tc>
          <w:tcPr>
            <w:tcW w:w="2268" w:type="dxa"/>
            <w:vAlign w:val="center"/>
            <w:hideMark/>
          </w:tcPr>
          <w:p w14:paraId="4D2D891D"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r>
      <w:tr w:rsidR="000F53DA" w:rsidRPr="00827721" w14:paraId="08C7FD5A" w14:textId="77777777" w:rsidTr="00B05388">
        <w:trPr>
          <w:trHeight w:val="300"/>
          <w:jc w:val="center"/>
        </w:trPr>
        <w:tc>
          <w:tcPr>
            <w:tcW w:w="1980" w:type="dxa"/>
            <w:vAlign w:val="center"/>
            <w:hideMark/>
          </w:tcPr>
          <w:p w14:paraId="6CEDE10F"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7CDFFB00"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Temperat oceanic</w:t>
            </w:r>
          </w:p>
        </w:tc>
        <w:tc>
          <w:tcPr>
            <w:tcW w:w="2268" w:type="dxa"/>
            <w:vAlign w:val="center"/>
            <w:hideMark/>
          </w:tcPr>
          <w:p w14:paraId="37AD2743"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0.0226</w:t>
            </w:r>
          </w:p>
        </w:tc>
      </w:tr>
      <w:tr w:rsidR="000F53DA" w:rsidRPr="00827721" w14:paraId="6CFEDB4D" w14:textId="77777777" w:rsidTr="00B05388">
        <w:trPr>
          <w:trHeight w:val="300"/>
          <w:jc w:val="center"/>
        </w:trPr>
        <w:tc>
          <w:tcPr>
            <w:tcW w:w="1980" w:type="dxa"/>
            <w:vAlign w:val="center"/>
            <w:hideMark/>
          </w:tcPr>
          <w:p w14:paraId="7B4F0829"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21F8FC04"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Tropical</w:t>
            </w:r>
          </w:p>
        </w:tc>
        <w:tc>
          <w:tcPr>
            <w:tcW w:w="2268" w:type="dxa"/>
            <w:vAlign w:val="center"/>
            <w:hideMark/>
          </w:tcPr>
          <w:p w14:paraId="67E8E750"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-0.3022</w:t>
            </w:r>
          </w:p>
        </w:tc>
      </w:tr>
      <w:tr w:rsidR="000F53DA" w:rsidRPr="00827721" w14:paraId="29F82945" w14:textId="77777777" w:rsidTr="00B05388">
        <w:trPr>
          <w:trHeight w:val="300"/>
          <w:jc w:val="center"/>
        </w:trPr>
        <w:tc>
          <w:tcPr>
            <w:tcW w:w="1980" w:type="dxa"/>
            <w:vAlign w:val="center"/>
            <w:hideMark/>
          </w:tcPr>
          <w:p w14:paraId="083000C1"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Vegetație</w:t>
            </w:r>
          </w:p>
        </w:tc>
        <w:tc>
          <w:tcPr>
            <w:tcW w:w="1984" w:type="dxa"/>
            <w:vAlign w:val="center"/>
            <w:hideMark/>
          </w:tcPr>
          <w:p w14:paraId="34998F41"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Cereale</w:t>
            </w:r>
          </w:p>
        </w:tc>
        <w:tc>
          <w:tcPr>
            <w:tcW w:w="2268" w:type="dxa"/>
            <w:vAlign w:val="center"/>
            <w:hideMark/>
          </w:tcPr>
          <w:p w14:paraId="021991B9"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w:t>
            </w:r>
          </w:p>
        </w:tc>
      </w:tr>
      <w:tr w:rsidR="000F53DA" w:rsidRPr="00827721" w14:paraId="4CB6A8C1" w14:textId="77777777" w:rsidTr="00B05388">
        <w:trPr>
          <w:trHeight w:val="300"/>
          <w:jc w:val="center"/>
        </w:trPr>
        <w:tc>
          <w:tcPr>
            <w:tcW w:w="1980" w:type="dxa"/>
            <w:vAlign w:val="center"/>
            <w:hideMark/>
          </w:tcPr>
          <w:p w14:paraId="3054055A"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225E0A8A"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Iarbă</w:t>
            </w:r>
          </w:p>
        </w:tc>
        <w:tc>
          <w:tcPr>
            <w:tcW w:w="2268" w:type="dxa"/>
            <w:vAlign w:val="center"/>
            <w:hideMark/>
          </w:tcPr>
          <w:p w14:paraId="0CC7167E"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-0.3502</w:t>
            </w:r>
          </w:p>
        </w:tc>
      </w:tr>
      <w:tr w:rsidR="000F53DA" w:rsidRPr="00827721" w14:paraId="2CF2B8DA" w14:textId="77777777" w:rsidTr="00B05388">
        <w:trPr>
          <w:trHeight w:val="300"/>
          <w:jc w:val="center"/>
        </w:trPr>
        <w:tc>
          <w:tcPr>
            <w:tcW w:w="1980" w:type="dxa"/>
            <w:vAlign w:val="center"/>
            <w:hideMark/>
          </w:tcPr>
          <w:p w14:paraId="1674CACF"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199520BF"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Legume</w:t>
            </w:r>
          </w:p>
        </w:tc>
        <w:tc>
          <w:tcPr>
            <w:tcW w:w="2268" w:type="dxa"/>
            <w:vAlign w:val="center"/>
            <w:hideMark/>
          </w:tcPr>
          <w:p w14:paraId="0916060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0.3783</w:t>
            </w:r>
          </w:p>
        </w:tc>
      </w:tr>
      <w:tr w:rsidR="000F53DA" w:rsidRPr="00827721" w14:paraId="7A80FFB9" w14:textId="77777777" w:rsidTr="00B05388">
        <w:trPr>
          <w:trHeight w:val="300"/>
          <w:jc w:val="center"/>
        </w:trPr>
        <w:tc>
          <w:tcPr>
            <w:tcW w:w="1980" w:type="dxa"/>
            <w:vAlign w:val="center"/>
            <w:hideMark/>
          </w:tcPr>
          <w:p w14:paraId="76AA4966"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7DCED5D2"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Niciuna</w:t>
            </w:r>
          </w:p>
        </w:tc>
        <w:tc>
          <w:tcPr>
            <w:tcW w:w="2268" w:type="dxa"/>
            <w:vAlign w:val="center"/>
            <w:hideMark/>
          </w:tcPr>
          <w:p w14:paraId="02EDDE97"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0.5870</w:t>
            </w:r>
          </w:p>
        </w:tc>
      </w:tr>
      <w:tr w:rsidR="000F53DA" w:rsidRPr="00827721" w14:paraId="7F6CD9FB" w14:textId="77777777" w:rsidTr="00B05388">
        <w:trPr>
          <w:trHeight w:val="300"/>
          <w:jc w:val="center"/>
        </w:trPr>
        <w:tc>
          <w:tcPr>
            <w:tcW w:w="1980" w:type="dxa"/>
            <w:vAlign w:val="center"/>
            <w:hideMark/>
          </w:tcPr>
          <w:p w14:paraId="41DF573E"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3022B9D2"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Altele</w:t>
            </w:r>
          </w:p>
        </w:tc>
        <w:tc>
          <w:tcPr>
            <w:tcW w:w="2268" w:type="dxa"/>
            <w:vAlign w:val="center"/>
            <w:hideMark/>
          </w:tcPr>
          <w:p w14:paraId="3F3F6E07"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0.4420</w:t>
            </w:r>
          </w:p>
        </w:tc>
      </w:tr>
      <w:tr w:rsidR="000F53DA" w:rsidRPr="00827721" w14:paraId="6A9190AD" w14:textId="77777777" w:rsidTr="00B05388">
        <w:trPr>
          <w:trHeight w:val="300"/>
          <w:jc w:val="center"/>
        </w:trPr>
        <w:tc>
          <w:tcPr>
            <w:tcW w:w="1980" w:type="dxa"/>
            <w:vAlign w:val="center"/>
            <w:hideMark/>
          </w:tcPr>
          <w:p w14:paraId="0DF3716A" w14:textId="77777777" w:rsidR="000F53DA" w:rsidRPr="00827721" w:rsidRDefault="000F53DA" w:rsidP="00B05388">
            <w:pPr>
              <w:spacing w:line="240" w:lineRule="auto"/>
              <w:ind w:firstLine="0"/>
              <w:jc w:val="left"/>
              <w:rPr>
                <w:rFonts w:eastAsia="Times New Roman"/>
                <w:sz w:val="20"/>
                <w:szCs w:val="20"/>
                <w:lang w:eastAsia="ro-RO"/>
              </w:rPr>
            </w:pPr>
          </w:p>
        </w:tc>
        <w:tc>
          <w:tcPr>
            <w:tcW w:w="1984" w:type="dxa"/>
            <w:vAlign w:val="center"/>
            <w:hideMark/>
          </w:tcPr>
          <w:p w14:paraId="4F52B378"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Orez de mlaștină</w:t>
            </w:r>
          </w:p>
        </w:tc>
        <w:tc>
          <w:tcPr>
            <w:tcW w:w="2268" w:type="dxa"/>
            <w:vAlign w:val="center"/>
            <w:hideMark/>
          </w:tcPr>
          <w:p w14:paraId="32BBD2C5"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-0.8850</w:t>
            </w:r>
          </w:p>
        </w:tc>
      </w:tr>
      <w:tr w:rsidR="000F53DA" w:rsidRPr="00827721" w14:paraId="5215B4B5" w14:textId="77777777" w:rsidTr="00B05388">
        <w:trPr>
          <w:trHeight w:val="300"/>
          <w:jc w:val="center"/>
        </w:trPr>
        <w:tc>
          <w:tcPr>
            <w:tcW w:w="1980" w:type="dxa"/>
            <w:noWrap/>
            <w:vAlign w:val="center"/>
            <w:hideMark/>
          </w:tcPr>
          <w:p w14:paraId="6D683721" w14:textId="77777777" w:rsidR="000F53DA" w:rsidRPr="00827721" w:rsidRDefault="000F53DA" w:rsidP="00B05388">
            <w:pPr>
              <w:spacing w:line="240" w:lineRule="auto"/>
              <w:ind w:firstLine="0"/>
              <w:jc w:val="left"/>
              <w:rPr>
                <w:rFonts w:eastAsia="Times New Roman"/>
                <w:sz w:val="20"/>
                <w:szCs w:val="20"/>
                <w:lang w:eastAsia="ro-RO"/>
              </w:rPr>
            </w:pPr>
            <w:r w:rsidRPr="00827721">
              <w:rPr>
                <w:rFonts w:eastAsia="Times New Roman"/>
                <w:sz w:val="20"/>
                <w:szCs w:val="20"/>
                <w:lang w:eastAsia="ro-RO"/>
              </w:rPr>
              <w:t>Durata experimentului</w:t>
            </w:r>
          </w:p>
        </w:tc>
        <w:tc>
          <w:tcPr>
            <w:tcW w:w="1984" w:type="dxa"/>
            <w:vAlign w:val="center"/>
            <w:hideMark/>
          </w:tcPr>
          <w:p w14:paraId="5217D79C"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1 an</w:t>
            </w:r>
          </w:p>
        </w:tc>
        <w:tc>
          <w:tcPr>
            <w:tcW w:w="2268" w:type="dxa"/>
            <w:vAlign w:val="center"/>
            <w:hideMark/>
          </w:tcPr>
          <w:p w14:paraId="77B767CA" w14:textId="77777777" w:rsidR="000F53DA" w:rsidRPr="00827721" w:rsidRDefault="000F53DA" w:rsidP="000F53DA">
            <w:pPr>
              <w:spacing w:line="240" w:lineRule="auto"/>
              <w:ind w:firstLine="0"/>
              <w:jc w:val="center"/>
              <w:rPr>
                <w:rFonts w:eastAsia="Times New Roman"/>
                <w:sz w:val="20"/>
                <w:szCs w:val="20"/>
                <w:lang w:eastAsia="ro-RO"/>
              </w:rPr>
            </w:pPr>
            <w:r w:rsidRPr="00827721">
              <w:rPr>
                <w:rFonts w:eastAsia="Times New Roman"/>
                <w:sz w:val="20"/>
                <w:szCs w:val="20"/>
                <w:lang w:eastAsia="ro-RO"/>
              </w:rPr>
              <w:t>1.991</w:t>
            </w:r>
          </w:p>
        </w:tc>
      </w:tr>
    </w:tbl>
    <w:p w14:paraId="4D0EA61F" w14:textId="6D68A835" w:rsidR="00427B77" w:rsidRPr="00827721" w:rsidRDefault="00A16FC4" w:rsidP="00427B77">
      <w:pPr>
        <w:pStyle w:val="Capitol"/>
        <w:rPr>
          <w:rFonts w:eastAsia="Times New Roman"/>
          <w:lang w:eastAsia="ro-RO"/>
        </w:rPr>
      </w:pPr>
      <w:r w:rsidRPr="00827721">
        <w:rPr>
          <w:rFonts w:eastAsia="Times New Roman"/>
          <w:caps w:val="0"/>
          <w:lang w:eastAsia="ro-RO"/>
        </w:rPr>
        <w:t>Capitolul</w:t>
      </w:r>
      <w:r w:rsidRPr="00827721">
        <w:rPr>
          <w:rFonts w:eastAsia="Times New Roman"/>
          <w:lang w:eastAsia="ro-RO"/>
        </w:rPr>
        <w:t xml:space="preserve"> III</w:t>
      </w:r>
    </w:p>
    <w:p w14:paraId="5B7B17BF" w14:textId="17EBD31C" w:rsidR="00BB53A8" w:rsidRPr="00827721" w:rsidRDefault="00BB53A8" w:rsidP="00427B77">
      <w:pPr>
        <w:pStyle w:val="Capitol"/>
        <w:rPr>
          <w:rFonts w:eastAsia="Times New Roman"/>
          <w:lang w:eastAsia="ro-RO"/>
        </w:rPr>
      </w:pPr>
      <w:r w:rsidRPr="00827721">
        <w:rPr>
          <w:rFonts w:eastAsia="Times New Roman"/>
          <w:lang w:eastAsia="ro-RO"/>
        </w:rPr>
        <w:t>EMISII PROVENITE DIN COLECTAREA, USCAREA ȘI DEPOZITAREA DE MATERII PRIME</w:t>
      </w:r>
    </w:p>
    <w:p w14:paraId="1C4AF2E0" w14:textId="77777777" w:rsidR="00BB53A8" w:rsidRPr="00827721" w:rsidRDefault="00BB53A8" w:rsidP="00C70987">
      <w:pPr>
        <w:pStyle w:val="Anexapct1"/>
        <w:rPr>
          <w:rFonts w:eastAsia="Times New Roman"/>
          <w:lang w:eastAsia="ro-RO"/>
        </w:rPr>
      </w:pPr>
      <w:r w:rsidRPr="00827721">
        <w:rPr>
          <w:rFonts w:eastAsia="Times New Roman"/>
          <w:lang w:eastAsia="ro-RO"/>
        </w:rPr>
        <w:t>Emisiile provenite din colectarea, uscarea și depozitarea de materii prime includ toate emisiile aferente utilizării combustibililor pentru colectarea, uscarea și depozitarea de materii prime.</w:t>
      </w:r>
    </w:p>
    <w:p w14:paraId="025431DA" w14:textId="39F51F71" w:rsidR="00BB53A8" w:rsidRPr="00827721" w:rsidRDefault="00BB53A8" w:rsidP="00A3714B">
      <w:pPr>
        <w:pStyle w:val="Anexapct1"/>
        <w:rPr>
          <w:rFonts w:eastAsia="Times New Roman"/>
          <w:lang w:eastAsia="ro-RO"/>
        </w:rPr>
      </w:pPr>
      <w:r w:rsidRPr="00827721">
        <w:rPr>
          <w:rFonts w:eastAsia="Times New Roman"/>
          <w:lang w:eastAsia="ro-RO"/>
        </w:rPr>
        <w:t>Emisii provenite din colectare</w:t>
      </w:r>
      <w:r w:rsidR="00A3714B" w:rsidRPr="00827721">
        <w:rPr>
          <w:rFonts w:eastAsia="Times New Roman"/>
          <w:lang w:eastAsia="ro-RO"/>
        </w:rPr>
        <w:t>:</w:t>
      </w:r>
    </w:p>
    <w:p w14:paraId="73092DB1" w14:textId="69A75B22" w:rsidR="00BB53A8" w:rsidRPr="00827721" w:rsidRDefault="00BB53A8" w:rsidP="00A3714B">
      <w:pPr>
        <w:pStyle w:val="Anexapct11"/>
        <w:rPr>
          <w:rFonts w:eastAsia="Times New Roman"/>
          <w:lang w:eastAsia="ro-RO"/>
        </w:rPr>
      </w:pPr>
      <w:r w:rsidRPr="00827721">
        <w:rPr>
          <w:rFonts w:eastAsia="Times New Roman"/>
          <w:lang w:eastAsia="ro-RO"/>
        </w:rPr>
        <w:t xml:space="preserve">Emisiile provenite din colectarea de materii prime includ toate emisiile rezultate din colectarea de materii prime și din transportul acestora până la locul de depozitare. Emisiile se calculează utilizând factori de emisie adecvați pentru tipul de combustibil utilizat (motorină, benzină, păcură grea, </w:t>
      </w:r>
      <w:r w:rsidR="008A23DF" w:rsidRPr="00827721">
        <w:rPr>
          <w:rFonts w:eastAsia="Times New Roman"/>
          <w:lang w:eastAsia="ro-RO"/>
        </w:rPr>
        <w:t>biocarburanți</w:t>
      </w:r>
      <w:r w:rsidRPr="00827721">
        <w:rPr>
          <w:rFonts w:eastAsia="Times New Roman"/>
          <w:lang w:eastAsia="ro-RO"/>
        </w:rPr>
        <w:t xml:space="preserve"> sau alte tipuri de combustibil).</w:t>
      </w:r>
    </w:p>
    <w:p w14:paraId="422AD3AB" w14:textId="7F7AA2DE" w:rsidR="00BB53A8" w:rsidRPr="00827721" w:rsidRDefault="00BB53A8" w:rsidP="00A3714B">
      <w:pPr>
        <w:pStyle w:val="Anexapct1"/>
        <w:rPr>
          <w:rFonts w:eastAsia="Times New Roman"/>
          <w:lang w:eastAsia="ro-RO"/>
        </w:rPr>
      </w:pPr>
      <w:r w:rsidRPr="00827721">
        <w:rPr>
          <w:rFonts w:eastAsia="Times New Roman"/>
          <w:lang w:eastAsia="ro-RO"/>
        </w:rPr>
        <w:t>Uscarea biomasei</w:t>
      </w:r>
      <w:r w:rsidR="00A3714B" w:rsidRPr="00827721">
        <w:rPr>
          <w:rFonts w:eastAsia="Times New Roman"/>
          <w:lang w:eastAsia="ro-RO"/>
        </w:rPr>
        <w:t>:</w:t>
      </w:r>
    </w:p>
    <w:p w14:paraId="000714FA" w14:textId="77777777" w:rsidR="00BB53A8" w:rsidRPr="00827721" w:rsidRDefault="00BB53A8" w:rsidP="00A3714B">
      <w:pPr>
        <w:pStyle w:val="Anexapct11"/>
        <w:rPr>
          <w:rFonts w:eastAsia="Times New Roman"/>
          <w:lang w:eastAsia="ro-RO"/>
        </w:rPr>
      </w:pPr>
      <w:r w:rsidRPr="00827721">
        <w:rPr>
          <w:rFonts w:eastAsia="Times New Roman"/>
          <w:lang w:eastAsia="ro-RO"/>
        </w:rPr>
        <w:t>Emisiile provenite din cultivare includ emisiile provenite din uscarea înainte de depozitare, precum și din depozitarea și manipularea materiilor prime de biomasă. Datele privind consumul de energie pentru uscare înainte de depozitare includ date reale privind procesul de uscare utilizat pentru a respecta cerințele de depozitare, în funcție de tipul de biomasă, dimensiunea particulelor, conținutul de umiditate, condițiile meteorologice etc. Se utilizează factori de emisie corespunzători, inclusiv emisiile din amonte, pentru a contabiliza emisiile rezultate din utilizarea combustibililor pentru producerea căldurii sau a energiei electrice utilizate pentru uscare. Emisiile pentru uscare includ numai emisiile pentru procesul de uscare necesar pentru a asigura depozitarea adecvată a materiilor prime și nu includ uscarea materialelor în timpul prelucrării.</w:t>
      </w:r>
    </w:p>
    <w:p w14:paraId="4C64E0C9" w14:textId="43D6C50C" w:rsidR="00A3714B" w:rsidRPr="00827721" w:rsidRDefault="00A3714B" w:rsidP="00A3714B">
      <w:pPr>
        <w:pStyle w:val="Capitol"/>
      </w:pPr>
      <w:r w:rsidRPr="00827721">
        <w:t>Capitolul IV</w:t>
      </w:r>
    </w:p>
    <w:p w14:paraId="2ABC63BC" w14:textId="25DA8D21" w:rsidR="00BB53A8" w:rsidRPr="00827721" w:rsidRDefault="00BB53A8" w:rsidP="00A3714B">
      <w:pPr>
        <w:pStyle w:val="Capitol"/>
      </w:pPr>
      <w:r w:rsidRPr="00827721">
        <w:t>CONTABILIZAREA EMISIILOR PENTRU ENERGIA ELECTRICĂ UTILIZATĂ ÎN CADRUL OPERAȚIUNILOR AGRICOLE</w:t>
      </w:r>
    </w:p>
    <w:p w14:paraId="459F39F3" w14:textId="0F99A770" w:rsidR="00A7577F" w:rsidRPr="00827721" w:rsidRDefault="00BB53A8" w:rsidP="00B47001">
      <w:pPr>
        <w:pStyle w:val="Anexapct1"/>
        <w:rPr>
          <w:rFonts w:eastAsia="Times New Roman"/>
          <w:lang w:eastAsia="ro-RO"/>
        </w:rPr>
      </w:pPr>
      <w:r w:rsidRPr="00827721">
        <w:rPr>
          <w:rFonts w:eastAsia="Times New Roman"/>
          <w:lang w:eastAsia="ro-RO"/>
        </w:rPr>
        <w:t xml:space="preserve">Atunci când se calculează consumul de energie electrică care nu este produsă în instalația de producție a combustibilului, se consideră că intensitatea emisiilor de GES care caracterizează producerea și distribuția energiei electrice respective este egală cu intensitatea medie a emisiilor la producerea și distribuția de energie electrică </w:t>
      </w:r>
      <w:r w:rsidRPr="00827721">
        <w:rPr>
          <w:rFonts w:eastAsia="Times New Roman"/>
          <w:lang w:eastAsia="ro-RO"/>
        </w:rPr>
        <w:lastRenderedPageBreak/>
        <w:t xml:space="preserve">într-o regiune definită, </w:t>
      </w:r>
      <w:r w:rsidR="00BB151A" w:rsidRPr="00827721">
        <w:rPr>
          <w:rFonts w:eastAsia="Times New Roman"/>
          <w:lang w:eastAsia="ro-RO"/>
        </w:rPr>
        <w:t>respectiv</w:t>
      </w:r>
      <w:r w:rsidRPr="00827721">
        <w:rPr>
          <w:rFonts w:eastAsia="Times New Roman"/>
          <w:lang w:eastAsia="ro-RO"/>
        </w:rPr>
        <w:t xml:space="preserve"> o regiune NUTS2 sau la nivel național. În cazul în care se utilizează coeficienți de emisii provenite din producția de energie electrică de la nivel național, se utilizează valorile specificate în anexa </w:t>
      </w:r>
      <w:r w:rsidR="007C4C91" w:rsidRPr="00827721">
        <w:rPr>
          <w:rFonts w:eastAsia="Times New Roman"/>
          <w:lang w:eastAsia="ro-RO"/>
        </w:rPr>
        <w:t>nr. 9</w:t>
      </w:r>
      <w:r w:rsidRPr="00827721">
        <w:rPr>
          <w:rFonts w:eastAsia="Times New Roman"/>
          <w:lang w:eastAsia="ro-RO"/>
        </w:rPr>
        <w:t>. Prin derogare de la această regulă, producătorii pot utiliza o valoare medie pentru a calcula energia electrică produsă de o instalație individuală de producere a energiei electrice, în cazul în care instalația nu este conectată la rețeaua electrică și în cazul în care sunt disponibile suficiente informații pentru a obține un factor de emisie.</w:t>
      </w:r>
      <w:r w:rsidR="00A7577F" w:rsidRPr="00827721">
        <w:rPr>
          <w:rFonts w:eastAsia="Times New Roman"/>
          <w:lang w:eastAsia="ro-RO"/>
        </w:rPr>
        <w:br w:type="page"/>
      </w:r>
    </w:p>
    <w:p w14:paraId="1107046E" w14:textId="5E097B16" w:rsidR="00A7577F" w:rsidRPr="00827721" w:rsidRDefault="00A7577F" w:rsidP="00A7577F">
      <w:pPr>
        <w:jc w:val="right"/>
      </w:pPr>
      <w:r w:rsidRPr="00827721">
        <w:lastRenderedPageBreak/>
        <w:t>Anexa nr. 8</w:t>
      </w:r>
    </w:p>
    <w:p w14:paraId="531C265E" w14:textId="2B0B96C5" w:rsidR="00A7577F" w:rsidRPr="00827721" w:rsidRDefault="00A7577F"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075A5750" w14:textId="77777777" w:rsidR="00A7577F" w:rsidRPr="00827721" w:rsidRDefault="00A7577F" w:rsidP="00EE4DD9">
      <w:pPr>
        <w:pStyle w:val="Capitol"/>
        <w:rPr>
          <w:rFonts w:eastAsia="Arial Unicode MS"/>
          <w:lang w:eastAsia="ro-RO"/>
        </w:rPr>
      </w:pPr>
      <w:r w:rsidRPr="00827721">
        <w:rPr>
          <w:rFonts w:eastAsia="Arial Unicode MS"/>
          <w:lang w:eastAsia="ro-RO"/>
        </w:rPr>
        <w:t>CERINȚE MINIME PRIVIND PROCESUL ȘI METODA DE CERTIFICARE A BIOMASEI CARE PREZINTĂ RISCURI REDUSE DIN PERSPECTIVA SCHIMBĂRII INDIRECTE A DESTINAȚIEI TERENURILOR (ILUC)</w:t>
      </w:r>
    </w:p>
    <w:p w14:paraId="4329B915" w14:textId="190E9FE5" w:rsidR="001922B9" w:rsidRPr="00827721" w:rsidRDefault="00B5339B" w:rsidP="00B5339B">
      <w:pPr>
        <w:pStyle w:val="Sectiune"/>
        <w:rPr>
          <w:rFonts w:eastAsia="Arial Unicode MS"/>
          <w:lang w:eastAsia="ro-RO"/>
        </w:rPr>
      </w:pPr>
      <w:r w:rsidRPr="00827721">
        <w:rPr>
          <w:rFonts w:eastAsia="Arial Unicode MS"/>
          <w:lang w:eastAsia="ro-RO"/>
        </w:rPr>
        <w:t>Partea</w:t>
      </w:r>
      <w:r w:rsidR="001D0C55" w:rsidRPr="00827721">
        <w:rPr>
          <w:rFonts w:eastAsia="Arial Unicode MS"/>
          <w:lang w:eastAsia="ro-RO"/>
        </w:rPr>
        <w:t xml:space="preserve"> A</w:t>
      </w:r>
    </w:p>
    <w:p w14:paraId="2FD45AD3" w14:textId="61FBB800" w:rsidR="00A7577F" w:rsidRPr="00827721" w:rsidRDefault="00A7577F" w:rsidP="00B5339B">
      <w:pPr>
        <w:pStyle w:val="Sectiune"/>
        <w:rPr>
          <w:rFonts w:eastAsia="Arial Unicode MS"/>
          <w:lang w:eastAsia="ro-RO"/>
        </w:rPr>
      </w:pPr>
      <w:r w:rsidRPr="00827721">
        <w:rPr>
          <w:rFonts w:eastAsia="Arial Unicode MS"/>
          <w:lang w:eastAsia="ro-RO"/>
        </w:rPr>
        <w:t>Procesul de certificare a riscului redus de ILUC</w:t>
      </w:r>
    </w:p>
    <w:p w14:paraId="03ED795B" w14:textId="451A7DCB" w:rsidR="00A53843" w:rsidRPr="00827721" w:rsidRDefault="00A53843" w:rsidP="00981B4F">
      <w:pPr>
        <w:pStyle w:val="Capitol"/>
        <w:spacing w:before="0"/>
        <w:rPr>
          <w:rFonts w:eastAsia="Arial Unicode MS"/>
          <w:lang w:eastAsia="ro-RO"/>
        </w:rPr>
      </w:pPr>
      <w:r w:rsidRPr="00827721">
        <w:rPr>
          <w:rFonts w:eastAsia="Arial Unicode MS"/>
          <w:caps w:val="0"/>
          <w:lang w:eastAsia="ro-RO"/>
        </w:rPr>
        <w:t>Capitolul</w:t>
      </w:r>
      <w:r w:rsidRPr="00827721">
        <w:rPr>
          <w:rFonts w:eastAsia="Arial Unicode MS"/>
          <w:lang w:eastAsia="ro-RO"/>
        </w:rPr>
        <w:t xml:space="preserve"> I</w:t>
      </w:r>
    </w:p>
    <w:p w14:paraId="0959AD46" w14:textId="7F97116E" w:rsidR="00A53843" w:rsidRPr="00827721" w:rsidRDefault="00A53843" w:rsidP="00A53843">
      <w:pPr>
        <w:pStyle w:val="Capitol"/>
        <w:rPr>
          <w:rFonts w:eastAsia="Arial Unicode MS"/>
          <w:lang w:eastAsia="ro-RO"/>
        </w:rPr>
      </w:pPr>
      <w:r w:rsidRPr="00827721">
        <w:rPr>
          <w:rFonts w:eastAsia="Arial Unicode MS"/>
          <w:lang w:eastAsia="ro-RO"/>
        </w:rPr>
        <w:t>Dispoziții generale</w:t>
      </w:r>
    </w:p>
    <w:p w14:paraId="00AD246D" w14:textId="14B9387A" w:rsidR="00A7577F" w:rsidRPr="00827721" w:rsidRDefault="00A7577F" w:rsidP="00001364">
      <w:pPr>
        <w:pStyle w:val="Anexapct1"/>
        <w:numPr>
          <w:ilvl w:val="0"/>
          <w:numId w:val="64"/>
        </w:numPr>
        <w:rPr>
          <w:rFonts w:eastAsia="Arial Unicode MS"/>
          <w:lang w:eastAsia="ro-RO"/>
        </w:rPr>
      </w:pPr>
      <w:r w:rsidRPr="00827721">
        <w:rPr>
          <w:rFonts w:eastAsia="Arial Unicode MS"/>
          <w:lang w:eastAsia="ro-RO"/>
        </w:rPr>
        <w:t xml:space="preserve">Pentru a începe procesul de certificare, un operator economic trebuie să depună o cerere la un organism de certificare recunoscut de </w:t>
      </w:r>
      <w:r w:rsidR="005818DE" w:rsidRPr="00827721">
        <w:rPr>
          <w:rFonts w:eastAsia="Arial Unicode MS"/>
          <w:lang w:eastAsia="ro-RO"/>
        </w:rPr>
        <w:t>o schemă voluntară</w:t>
      </w:r>
      <w:r w:rsidRPr="00827721">
        <w:rPr>
          <w:rFonts w:eastAsia="Arial Unicode MS"/>
          <w:lang w:eastAsia="ro-RO"/>
        </w:rPr>
        <w:t xml:space="preserve"> de certificare a biomasei care prezintă riscuri reduse din perspectiva schimbării indirecte a destinației terenurilor. Solicitantul poate fi o exploatație agricolă, un prim punct de colectare sau un administrator de grup care acționează în numele unui grup de fermieri.</w:t>
      </w:r>
    </w:p>
    <w:p w14:paraId="0D5B1FED" w14:textId="77777777" w:rsidR="00A7577F" w:rsidRPr="00827721" w:rsidRDefault="00A7577F" w:rsidP="009F648D">
      <w:pPr>
        <w:pStyle w:val="Anexapct1"/>
        <w:rPr>
          <w:rFonts w:eastAsia="Arial Unicode MS"/>
          <w:lang w:eastAsia="ro-RO"/>
        </w:rPr>
      </w:pPr>
      <w:r w:rsidRPr="00827721">
        <w:rPr>
          <w:rFonts w:eastAsia="Arial Unicode MS"/>
          <w:lang w:eastAsia="ro-RO"/>
        </w:rPr>
        <w:t>Cererea de certificare a riscului redus de ILUC trebuie să conțină cel puțin următoarele informații:</w:t>
      </w:r>
    </w:p>
    <w:p w14:paraId="05762B24" w14:textId="6FA18439" w:rsidR="00A7577F" w:rsidRPr="00827721" w:rsidRDefault="00A7577F" w:rsidP="009F648D">
      <w:pPr>
        <w:pStyle w:val="Anexapct11"/>
        <w:rPr>
          <w:rFonts w:eastAsia="Arial Unicode MS"/>
          <w:lang w:eastAsia="ro-RO"/>
        </w:rPr>
      </w:pPr>
      <w:r w:rsidRPr="00827721">
        <w:rPr>
          <w:rFonts w:eastAsia="Arial Unicode MS"/>
          <w:lang w:eastAsia="ro-RO"/>
        </w:rPr>
        <w:t>numele și datele de contact ale solicitantului sau solicitanților, inclusiv, dacă este cazul, ale membrilor unui grup pentru certificarea grupului</w:t>
      </w:r>
      <w:r w:rsidR="00A8793B" w:rsidRPr="00827721">
        <w:rPr>
          <w:rFonts w:eastAsia="Arial Unicode MS"/>
          <w:lang w:eastAsia="ro-RO"/>
        </w:rPr>
        <w:t>. În cazul în care se solicită certificarea unui grup, cererea trebuie să includă numele și datele de contact ale administratorului grupului, precum și denumirea, datele de contact și locurile în care sunt amplasate exploatațiile/plantațiile care fac parte din grup;</w:t>
      </w:r>
    </w:p>
    <w:p w14:paraId="3F667641" w14:textId="77777777" w:rsidR="00A7577F" w:rsidRPr="00827721" w:rsidRDefault="00A7577F" w:rsidP="009F648D">
      <w:pPr>
        <w:pStyle w:val="Anexapct11"/>
        <w:rPr>
          <w:rFonts w:eastAsia="Arial Unicode MS"/>
          <w:lang w:eastAsia="ro-RO"/>
        </w:rPr>
      </w:pPr>
      <w:r w:rsidRPr="00827721">
        <w:rPr>
          <w:rFonts w:eastAsia="Arial Unicode MS"/>
          <w:lang w:eastAsia="ro-RO"/>
        </w:rPr>
        <w:t xml:space="preserve">o descriere a măsurilor de </w:t>
      </w:r>
      <w:proofErr w:type="spellStart"/>
      <w:r w:rsidRPr="00827721">
        <w:rPr>
          <w:rFonts w:eastAsia="Arial Unicode MS"/>
          <w:lang w:eastAsia="ro-RO"/>
        </w:rPr>
        <w:t>adiționalitate</w:t>
      </w:r>
      <w:proofErr w:type="spellEnd"/>
      <w:r w:rsidRPr="00827721">
        <w:rPr>
          <w:rFonts w:eastAsia="Arial Unicode MS"/>
          <w:lang w:eastAsia="ro-RO"/>
        </w:rPr>
        <w:t xml:space="preserve"> avute în vedere care prezintă riscuri reduse din perspectiva schimbării indirecte a destinației terenurilor, inclusiv:</w:t>
      </w:r>
    </w:p>
    <w:p w14:paraId="43AF706A" w14:textId="77777777" w:rsidR="00A7577F" w:rsidRPr="00827721" w:rsidRDefault="00A7577F" w:rsidP="009F648D">
      <w:pPr>
        <w:pStyle w:val="Anexapct111"/>
        <w:rPr>
          <w:rFonts w:eastAsia="Arial Unicode MS"/>
          <w:lang w:eastAsia="ro-RO"/>
        </w:rPr>
      </w:pPr>
      <w:r w:rsidRPr="00827721">
        <w:rPr>
          <w:rFonts w:eastAsia="Arial Unicode MS"/>
          <w:lang w:eastAsia="ro-RO"/>
        </w:rPr>
        <w:t xml:space="preserve">detalii privind parcela delimitată pe care va fi pusă în aplicare măsura de </w:t>
      </w:r>
      <w:proofErr w:type="spellStart"/>
      <w:r w:rsidRPr="00827721">
        <w:rPr>
          <w:rFonts w:eastAsia="Arial Unicode MS"/>
          <w:lang w:eastAsia="ro-RO"/>
        </w:rPr>
        <w:t>adiționalitate</w:t>
      </w:r>
      <w:proofErr w:type="spellEnd"/>
      <w:r w:rsidRPr="00827721">
        <w:rPr>
          <w:rFonts w:eastAsia="Arial Unicode MS"/>
          <w:lang w:eastAsia="ro-RO"/>
        </w:rPr>
        <w:t>, inclusiv destinația curentă a terenului, practicile curente de gestionare, datele curente privind randamentul parcelei și, dacă este cazul, o declarație din care să reiasă dacă terenul este neutilizat, abandonat sau grav degradat;</w:t>
      </w:r>
    </w:p>
    <w:p w14:paraId="74CFCDC2" w14:textId="77777777" w:rsidR="00A7577F" w:rsidRPr="00827721" w:rsidRDefault="00A7577F" w:rsidP="009F648D">
      <w:pPr>
        <w:pStyle w:val="Anexapct111"/>
        <w:rPr>
          <w:rFonts w:eastAsia="Arial Unicode MS"/>
          <w:lang w:eastAsia="ro-RO"/>
        </w:rPr>
      </w:pPr>
      <w:r w:rsidRPr="00827721">
        <w:rPr>
          <w:rFonts w:eastAsia="Arial Unicode MS"/>
          <w:lang w:eastAsia="ro-RO"/>
        </w:rPr>
        <w:t xml:space="preserve">descrierea măsurilor de </w:t>
      </w:r>
      <w:proofErr w:type="spellStart"/>
      <w:r w:rsidRPr="00827721">
        <w:rPr>
          <w:rFonts w:eastAsia="Arial Unicode MS"/>
          <w:lang w:eastAsia="ro-RO"/>
        </w:rPr>
        <w:t>adiționalitate</w:t>
      </w:r>
      <w:proofErr w:type="spellEnd"/>
      <w:r w:rsidRPr="00827721">
        <w:rPr>
          <w:rFonts w:eastAsia="Arial Unicode MS"/>
          <w:lang w:eastAsia="ro-RO"/>
        </w:rPr>
        <w:t xml:space="preserve"> și o estimare a volumului de biomasă suplimentară care va fi produsă în urma aplicării măsurilor respective (prin creșterea randamentului sau a producției pe terenuri neutilizate, abandonate sau grav degradate);</w:t>
      </w:r>
    </w:p>
    <w:p w14:paraId="49CDC44A" w14:textId="02B74D37" w:rsidR="00A7577F" w:rsidRPr="00827721" w:rsidRDefault="00A7577F" w:rsidP="00617BBC">
      <w:pPr>
        <w:pStyle w:val="Anexapct11"/>
        <w:rPr>
          <w:rFonts w:eastAsia="Arial Unicode MS"/>
          <w:lang w:eastAsia="ro-RO"/>
        </w:rPr>
      </w:pPr>
      <w:r w:rsidRPr="00827721">
        <w:rPr>
          <w:rFonts w:eastAsia="Arial Unicode MS"/>
          <w:lang w:eastAsia="ro-RO"/>
        </w:rPr>
        <w:lastRenderedPageBreak/>
        <w:t xml:space="preserve">informații privind orice certificare acordată de </w:t>
      </w:r>
      <w:r w:rsidR="005818DE" w:rsidRPr="00827721">
        <w:rPr>
          <w:rFonts w:eastAsia="Arial Unicode MS"/>
          <w:lang w:eastAsia="ro-RO"/>
        </w:rPr>
        <w:t>o schemă voluntară</w:t>
      </w:r>
      <w:r w:rsidRPr="00827721">
        <w:rPr>
          <w:rFonts w:eastAsia="Arial Unicode MS"/>
          <w:lang w:eastAsia="ro-RO"/>
        </w:rPr>
        <w:t xml:space="preserve"> </w:t>
      </w:r>
      <w:r w:rsidR="0015209E" w:rsidRPr="00827721">
        <w:rPr>
          <w:rFonts w:eastAsia="Arial Unicode MS"/>
          <w:lang w:eastAsia="ro-RO"/>
        </w:rPr>
        <w:t>existent</w:t>
      </w:r>
      <w:r w:rsidR="005818DE" w:rsidRPr="00827721">
        <w:rPr>
          <w:rFonts w:eastAsia="Arial Unicode MS"/>
          <w:lang w:eastAsia="ro-RO"/>
        </w:rPr>
        <w:t>ă</w:t>
      </w:r>
      <w:r w:rsidR="0015209E" w:rsidRPr="00827721">
        <w:rPr>
          <w:rFonts w:eastAsia="Arial Unicode MS"/>
          <w:lang w:eastAsia="ro-RO"/>
        </w:rPr>
        <w:t xml:space="preserve"> </w:t>
      </w:r>
      <w:r w:rsidRPr="00827721">
        <w:rPr>
          <w:rFonts w:eastAsia="Arial Unicode MS"/>
          <w:lang w:eastAsia="ro-RO"/>
        </w:rPr>
        <w:t>recunoscut</w:t>
      </w:r>
      <w:r w:rsidR="00D141B5" w:rsidRPr="00827721">
        <w:rPr>
          <w:rFonts w:eastAsia="Arial Unicode MS"/>
          <w:lang w:eastAsia="ro-RO"/>
        </w:rPr>
        <w:t>ă</w:t>
      </w:r>
      <w:r w:rsidRPr="00827721">
        <w:rPr>
          <w:rFonts w:eastAsia="Arial Unicode MS"/>
          <w:lang w:eastAsia="ro-RO"/>
        </w:rPr>
        <w:t xml:space="preserve"> de </w:t>
      </w:r>
      <w:r w:rsidR="000404F6" w:rsidRPr="00827721">
        <w:rPr>
          <w:rFonts w:eastAsia="Arial Unicode MS"/>
          <w:lang w:eastAsia="ro-RO"/>
        </w:rPr>
        <w:t xml:space="preserve">Guvern </w:t>
      </w:r>
      <w:r w:rsidRPr="00827721">
        <w:rPr>
          <w:rFonts w:eastAsia="Arial Unicode MS"/>
          <w:lang w:eastAsia="ro-RO"/>
        </w:rPr>
        <w:t xml:space="preserve">(denumirea </w:t>
      </w:r>
      <w:r w:rsidR="00382F5C" w:rsidRPr="00827721">
        <w:rPr>
          <w:rFonts w:eastAsia="Arial Unicode MS"/>
          <w:lang w:eastAsia="ro-RO"/>
        </w:rPr>
        <w:t>schemei voluntare</w:t>
      </w:r>
      <w:r w:rsidRPr="00827721">
        <w:rPr>
          <w:rFonts w:eastAsia="Arial Unicode MS"/>
          <w:lang w:eastAsia="ro-RO"/>
        </w:rPr>
        <w:t>, numărul certificatului, statutul și perioada de valabilitate).</w:t>
      </w:r>
    </w:p>
    <w:p w14:paraId="75F025B1" w14:textId="4D19D926" w:rsidR="00A7577F" w:rsidRPr="00827721" w:rsidRDefault="00A7577F" w:rsidP="00617BBC">
      <w:pPr>
        <w:pStyle w:val="Anexapct1"/>
        <w:rPr>
          <w:rFonts w:eastAsia="Arial Unicode MS"/>
          <w:lang w:eastAsia="ro-RO"/>
        </w:rPr>
      </w:pPr>
      <w:r w:rsidRPr="00827721">
        <w:rPr>
          <w:rFonts w:eastAsia="Arial Unicode MS"/>
          <w:lang w:eastAsia="ro-RO"/>
        </w:rPr>
        <w:t xml:space="preserve">În cazul în care cererea este depusă după punerea în aplicare a măsurilor de </w:t>
      </w:r>
      <w:proofErr w:type="spellStart"/>
      <w:r w:rsidRPr="00827721">
        <w:rPr>
          <w:rFonts w:eastAsia="Arial Unicode MS"/>
          <w:lang w:eastAsia="ro-RO"/>
        </w:rPr>
        <w:t>adiționalitate</w:t>
      </w:r>
      <w:proofErr w:type="spellEnd"/>
      <w:r w:rsidRPr="00827721">
        <w:rPr>
          <w:rFonts w:eastAsia="Arial Unicode MS"/>
          <w:lang w:eastAsia="ro-RO"/>
        </w:rPr>
        <w:t xml:space="preserve">, numai biomasa suplimentară produsă după data certificării riscului redus de ILUC </w:t>
      </w:r>
      <w:r w:rsidR="001D17C3" w:rsidRPr="00827721">
        <w:rPr>
          <w:rFonts w:eastAsia="Arial Unicode MS"/>
          <w:lang w:eastAsia="ro-RO"/>
        </w:rPr>
        <w:t>se declară</w:t>
      </w:r>
      <w:r w:rsidRPr="00827721">
        <w:rPr>
          <w:rFonts w:eastAsia="Arial Unicode MS"/>
          <w:lang w:eastAsia="ro-RO"/>
        </w:rPr>
        <w:t xml:space="preserve"> ca prezentând un risc redus de ILUC.</w:t>
      </w:r>
    </w:p>
    <w:p w14:paraId="6AAEFCD5" w14:textId="2C7AFA42" w:rsidR="00A566FF" w:rsidRPr="00827721" w:rsidRDefault="00A566FF" w:rsidP="00A566FF">
      <w:pPr>
        <w:pStyle w:val="Capitol"/>
      </w:pPr>
      <w:r w:rsidRPr="00827721">
        <w:rPr>
          <w:caps w:val="0"/>
        </w:rPr>
        <w:t>Capitolul</w:t>
      </w:r>
      <w:r w:rsidRPr="00827721">
        <w:t xml:space="preserve"> II</w:t>
      </w:r>
    </w:p>
    <w:p w14:paraId="18E2FD33" w14:textId="52ED0A3F" w:rsidR="00A7577F" w:rsidRPr="00827721" w:rsidRDefault="00A7577F" w:rsidP="00A566FF">
      <w:pPr>
        <w:pStyle w:val="Capitol"/>
      </w:pPr>
      <w:r w:rsidRPr="00827721">
        <w:t>Conținutul planului de gestionare</w:t>
      </w:r>
    </w:p>
    <w:p w14:paraId="571857C8" w14:textId="77777777" w:rsidR="00A7577F" w:rsidRPr="00827721" w:rsidRDefault="00A7577F" w:rsidP="00A566FF">
      <w:pPr>
        <w:pStyle w:val="Anexapct1"/>
        <w:rPr>
          <w:rFonts w:eastAsia="Arial Unicode MS"/>
          <w:lang w:eastAsia="ro-RO"/>
        </w:rPr>
      </w:pPr>
      <w:r w:rsidRPr="00827721">
        <w:rPr>
          <w:rFonts w:eastAsia="Arial Unicode MS"/>
          <w:lang w:eastAsia="ro-RO"/>
        </w:rPr>
        <w:t>După acceptarea cererii de certificare a riscului redus de ILUC, operatorul economic elaborează un plan de gestionare pe care îl prezintă organismului de certificare. Planul de gestionare se bazează pe informațiile din cererea de certificare și include:</w:t>
      </w:r>
    </w:p>
    <w:p w14:paraId="183A126C" w14:textId="77777777" w:rsidR="00A7577F" w:rsidRPr="00827721" w:rsidRDefault="00A7577F" w:rsidP="00A566FF">
      <w:pPr>
        <w:pStyle w:val="Anexapct11"/>
        <w:rPr>
          <w:rFonts w:eastAsia="Arial Unicode MS"/>
          <w:lang w:eastAsia="ro-RO"/>
        </w:rPr>
      </w:pPr>
      <w:r w:rsidRPr="00827721">
        <w:rPr>
          <w:rFonts w:eastAsia="Arial Unicode MS"/>
          <w:lang w:eastAsia="ro-RO"/>
        </w:rPr>
        <w:t>o definiție a parcelei de teren delimitate;</w:t>
      </w:r>
    </w:p>
    <w:p w14:paraId="14E887B1" w14:textId="77777777" w:rsidR="00A7577F" w:rsidRPr="00827721" w:rsidRDefault="00A7577F" w:rsidP="00A566FF">
      <w:pPr>
        <w:pStyle w:val="Anexapct11"/>
        <w:rPr>
          <w:rFonts w:eastAsia="Arial Unicode MS"/>
          <w:lang w:eastAsia="ro-RO"/>
        </w:rPr>
      </w:pPr>
      <w:r w:rsidRPr="00827721">
        <w:rPr>
          <w:rFonts w:eastAsia="Arial Unicode MS"/>
          <w:lang w:eastAsia="ro-RO"/>
        </w:rPr>
        <w:t xml:space="preserve">o descriere a măsurilor de </w:t>
      </w:r>
      <w:proofErr w:type="spellStart"/>
      <w:r w:rsidRPr="00827721">
        <w:rPr>
          <w:rFonts w:eastAsia="Arial Unicode MS"/>
          <w:lang w:eastAsia="ro-RO"/>
        </w:rPr>
        <w:t>adiționalitate</w:t>
      </w:r>
      <w:proofErr w:type="spellEnd"/>
      <w:r w:rsidRPr="00827721">
        <w:rPr>
          <w:rFonts w:eastAsia="Arial Unicode MS"/>
          <w:lang w:eastAsia="ro-RO"/>
        </w:rPr>
        <w:t>;</w:t>
      </w:r>
    </w:p>
    <w:p w14:paraId="1C2B604D" w14:textId="621F1B8F" w:rsidR="00A7577F" w:rsidRPr="00827721" w:rsidRDefault="00A7577F" w:rsidP="00A566FF">
      <w:pPr>
        <w:pStyle w:val="Anexapct11"/>
        <w:rPr>
          <w:rFonts w:eastAsia="Arial Unicode MS"/>
          <w:lang w:eastAsia="ro-RO"/>
        </w:rPr>
      </w:pPr>
      <w:r w:rsidRPr="00827721">
        <w:rPr>
          <w:rFonts w:eastAsia="Arial Unicode MS"/>
          <w:lang w:eastAsia="ro-RO"/>
        </w:rPr>
        <w:t xml:space="preserve">verificarea durabilității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în raport cu cerințele prevăzute în </w:t>
      </w:r>
      <w:r w:rsidR="00BF20FF" w:rsidRPr="00347C70">
        <w:rPr>
          <w:iCs/>
        </w:rPr>
        <w:t>HG 53/2025</w:t>
      </w:r>
      <w:r w:rsidR="00357247">
        <w:rPr>
          <w:iCs/>
        </w:rPr>
        <w:t xml:space="preserve"> </w:t>
      </w:r>
      <w:r w:rsidRPr="00827721">
        <w:rPr>
          <w:rFonts w:eastAsia="Arial Unicode MS"/>
          <w:lang w:eastAsia="ro-RO"/>
        </w:rPr>
        <w:t>;</w:t>
      </w:r>
    </w:p>
    <w:p w14:paraId="51CE6098" w14:textId="77777777" w:rsidR="00A7577F" w:rsidRPr="00827721" w:rsidRDefault="00A7577F" w:rsidP="00A566FF">
      <w:pPr>
        <w:pStyle w:val="Anexapct11"/>
        <w:rPr>
          <w:rFonts w:eastAsia="Arial Unicode MS"/>
          <w:lang w:eastAsia="ro-RO"/>
        </w:rPr>
      </w:pPr>
      <w:r w:rsidRPr="00827721">
        <w:rPr>
          <w:rFonts w:eastAsia="Arial Unicode MS"/>
          <w:lang w:eastAsia="ro-RO"/>
        </w:rPr>
        <w:t xml:space="preserve">dacă este cazul, demonstrarea evaluării </w:t>
      </w:r>
      <w:proofErr w:type="spellStart"/>
      <w:r w:rsidRPr="00827721">
        <w:rPr>
          <w:rFonts w:eastAsia="Arial Unicode MS"/>
          <w:lang w:eastAsia="ro-RO"/>
        </w:rPr>
        <w:t>adiționalității</w:t>
      </w:r>
      <w:proofErr w:type="spellEnd"/>
      <w:r w:rsidRPr="00827721">
        <w:rPr>
          <w:rFonts w:eastAsia="Arial Unicode MS"/>
          <w:lang w:eastAsia="ro-RO"/>
        </w:rPr>
        <w:t xml:space="preserve"> (testul atractivității financiare sau testul privind obstacolele nefinanciare);</w:t>
      </w:r>
    </w:p>
    <w:p w14:paraId="77DB991C" w14:textId="77777777" w:rsidR="00A7577F" w:rsidRPr="00827721" w:rsidRDefault="00A7577F" w:rsidP="00A566FF">
      <w:pPr>
        <w:pStyle w:val="Anexapct11"/>
        <w:rPr>
          <w:rFonts w:eastAsia="Arial Unicode MS"/>
          <w:lang w:eastAsia="ro-RO"/>
        </w:rPr>
      </w:pPr>
      <w:r w:rsidRPr="00827721">
        <w:rPr>
          <w:rFonts w:eastAsia="Arial Unicode MS"/>
          <w:lang w:eastAsia="ro-RO"/>
        </w:rPr>
        <w:t>determinarea randamentului dinamic de referință, inclusiv:</w:t>
      </w:r>
    </w:p>
    <w:p w14:paraId="60D8B79A" w14:textId="77777777" w:rsidR="00A7577F" w:rsidRPr="00827721" w:rsidRDefault="00A7577F" w:rsidP="00A566FF">
      <w:pPr>
        <w:pStyle w:val="Anexapct111"/>
        <w:rPr>
          <w:rFonts w:eastAsia="Arial Unicode MS"/>
          <w:lang w:eastAsia="ro-RO"/>
        </w:rPr>
      </w:pPr>
      <w:r w:rsidRPr="00827721">
        <w:rPr>
          <w:rFonts w:eastAsia="Arial Unicode MS"/>
          <w:lang w:eastAsia="ro-RO"/>
        </w:rPr>
        <w:t>pentru măsurile de creștere a randamentului: date istorice privind randamentul culturilor pentru o perioadă de cel puțin trei ani, cu privire la parcela de teren delimitată;</w:t>
      </w:r>
    </w:p>
    <w:p w14:paraId="6196F6F0" w14:textId="7FE3086A" w:rsidR="00A7577F" w:rsidRPr="00827721" w:rsidRDefault="00A7577F" w:rsidP="00A566FF">
      <w:pPr>
        <w:pStyle w:val="Anexapct111"/>
        <w:rPr>
          <w:rFonts w:eastAsia="Arial Unicode MS"/>
          <w:lang w:eastAsia="ro-RO"/>
        </w:rPr>
      </w:pPr>
      <w:r w:rsidRPr="00827721">
        <w:rPr>
          <w:rFonts w:eastAsia="Arial Unicode MS"/>
          <w:lang w:eastAsia="ro-RO"/>
        </w:rPr>
        <w:t>pentru cultivarea pe terenuri neutilizate, abandonate sau grav degradate: dovada statutului terenului (randamentul de referință pentru cultivarea pe terenuri neutilizate, abandonate sau grav degradate este considerată zero)</w:t>
      </w:r>
      <w:r w:rsidR="00A566FF" w:rsidRPr="00827721">
        <w:rPr>
          <w:rFonts w:eastAsia="Arial Unicode MS"/>
          <w:lang w:eastAsia="ro-RO"/>
        </w:rPr>
        <w:t>;</w:t>
      </w:r>
    </w:p>
    <w:p w14:paraId="57AFF451" w14:textId="77777777" w:rsidR="00A7577F" w:rsidRPr="00827721" w:rsidRDefault="00A7577F" w:rsidP="00A566FF">
      <w:pPr>
        <w:pStyle w:val="Anexapct11"/>
        <w:rPr>
          <w:rFonts w:eastAsia="Arial Unicode MS"/>
          <w:lang w:eastAsia="ro-RO"/>
        </w:rPr>
      </w:pPr>
      <w:r w:rsidRPr="00827721">
        <w:rPr>
          <w:rFonts w:eastAsia="Arial Unicode MS"/>
          <w:lang w:eastAsia="ro-RO"/>
        </w:rPr>
        <w:t>estimarea randamentului anual al biomasei suplimentare, cu referire la randamentul dinamic de referință pentru parcela delimitată.</w:t>
      </w:r>
    </w:p>
    <w:p w14:paraId="143CB726" w14:textId="77777777" w:rsidR="00A7577F" w:rsidRPr="00827721" w:rsidRDefault="00A7577F" w:rsidP="00A566FF">
      <w:pPr>
        <w:pStyle w:val="Anexapct1"/>
        <w:rPr>
          <w:rFonts w:eastAsia="Arial Unicode MS"/>
          <w:lang w:eastAsia="ro-RO"/>
        </w:rPr>
      </w:pPr>
      <w:r w:rsidRPr="00827721">
        <w:rPr>
          <w:rFonts w:eastAsia="Arial Unicode MS"/>
          <w:lang w:eastAsia="ro-RO"/>
        </w:rPr>
        <w:t xml:space="preserve">Planul de gestionare trebuie să permită o comparație între gradul de utilizare a parcelei delimitate înainte și după punerea în aplicare a măsurii de </w:t>
      </w:r>
      <w:proofErr w:type="spellStart"/>
      <w:r w:rsidRPr="00827721">
        <w:rPr>
          <w:rFonts w:eastAsia="Arial Unicode MS"/>
          <w:lang w:eastAsia="ro-RO"/>
        </w:rPr>
        <w:t>adiționalitate</w:t>
      </w:r>
      <w:proofErr w:type="spellEnd"/>
      <w:r w:rsidRPr="00827721">
        <w:rPr>
          <w:rFonts w:eastAsia="Arial Unicode MS"/>
          <w:lang w:eastAsia="ro-RO"/>
        </w:rPr>
        <w:t>.</w:t>
      </w:r>
    </w:p>
    <w:p w14:paraId="44EE7BA6" w14:textId="2E5BCF2D" w:rsidR="00A566FF" w:rsidRPr="00827721" w:rsidRDefault="00A566FF" w:rsidP="00A566FF">
      <w:pPr>
        <w:pStyle w:val="Capitol"/>
      </w:pPr>
      <w:r w:rsidRPr="00827721">
        <w:t>C</w:t>
      </w:r>
      <w:r w:rsidRPr="00827721">
        <w:rPr>
          <w:caps w:val="0"/>
        </w:rPr>
        <w:t>apitolul</w:t>
      </w:r>
      <w:r w:rsidRPr="00827721">
        <w:t xml:space="preserve"> III</w:t>
      </w:r>
    </w:p>
    <w:p w14:paraId="784AD99C" w14:textId="1F1D5FBC" w:rsidR="00A7577F" w:rsidRPr="00827721" w:rsidRDefault="00A7577F" w:rsidP="00A566FF">
      <w:pPr>
        <w:pStyle w:val="Capitol"/>
      </w:pPr>
      <w:r w:rsidRPr="00827721">
        <w:t>Lista neexhaustivă a măsurilor de adiționalitate</w:t>
      </w:r>
    </w:p>
    <w:p w14:paraId="44AEDAD5" w14:textId="77777777" w:rsidR="00A7577F" w:rsidRPr="00827721" w:rsidRDefault="00A7577F" w:rsidP="00435D9E">
      <w:pPr>
        <w:pStyle w:val="Sectiune"/>
        <w:rPr>
          <w:rFonts w:eastAsia="Arial Unicode MS"/>
          <w:lang w:eastAsia="ro-RO"/>
        </w:rPr>
      </w:pPr>
      <w:r w:rsidRPr="00827721">
        <w:rPr>
          <w:rFonts w:eastAsia="Arial Unicode MS"/>
          <w:lang w:eastAsia="ro-RO"/>
        </w:rPr>
        <w:t>Tabelul 1</w:t>
      </w:r>
    </w:p>
    <w:p w14:paraId="030DEB88" w14:textId="77777777" w:rsidR="00A7577F" w:rsidRPr="00827721" w:rsidRDefault="00A7577F" w:rsidP="00435D9E">
      <w:pPr>
        <w:pStyle w:val="Sectiune"/>
        <w:rPr>
          <w:rFonts w:eastAsia="Arial Unicode MS"/>
          <w:lang w:eastAsia="ro-RO"/>
        </w:rPr>
      </w:pPr>
      <w:r w:rsidRPr="00827721">
        <w:rPr>
          <w:rFonts w:eastAsia="Arial Unicode MS"/>
          <w:lang w:eastAsia="ro-RO"/>
        </w:rPr>
        <w:t xml:space="preserve">Lista neexhaustivă a măsurilor de </w:t>
      </w:r>
      <w:proofErr w:type="spellStart"/>
      <w:r w:rsidRPr="00827721">
        <w:rPr>
          <w:rFonts w:eastAsia="Arial Unicode MS"/>
          <w:lang w:eastAsia="ro-RO"/>
        </w:rPr>
        <w:t>adiționalitate</w:t>
      </w:r>
      <w:proofErr w:type="spellEnd"/>
      <w:r w:rsidRPr="00827721">
        <w:rPr>
          <w:rFonts w:eastAsia="Arial Unicode MS"/>
          <w:lang w:eastAsia="ro-RO"/>
        </w:rPr>
        <w:t xml:space="preserve"> pentru creșterea randamentului</w:t>
      </w:r>
    </w:p>
    <w:tbl>
      <w:tblPr>
        <w:tblW w:w="923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93"/>
        <w:gridCol w:w="2806"/>
        <w:gridCol w:w="4729"/>
        <w:gridCol w:w="8"/>
      </w:tblGrid>
      <w:tr w:rsidR="00A7577F" w:rsidRPr="00827721" w14:paraId="79A1E626" w14:textId="77777777" w:rsidTr="00435D9E">
        <w:trPr>
          <w:gridAfter w:val="1"/>
          <w:wAfter w:w="8" w:type="dxa"/>
          <w:jc w:val="center"/>
        </w:trPr>
        <w:tc>
          <w:tcPr>
            <w:tcW w:w="1693" w:type="dxa"/>
            <w:tcBorders>
              <w:top w:val="outset" w:sz="6" w:space="0" w:color="auto"/>
              <w:left w:val="outset" w:sz="6" w:space="0" w:color="auto"/>
              <w:bottom w:val="outset" w:sz="6" w:space="0" w:color="auto"/>
              <w:right w:val="outset" w:sz="6" w:space="0" w:color="auto"/>
            </w:tcBorders>
            <w:vAlign w:val="center"/>
            <w:hideMark/>
          </w:tcPr>
          <w:p w14:paraId="48118531" w14:textId="77777777" w:rsidR="00A7577F" w:rsidRPr="00827721" w:rsidRDefault="00A7577F" w:rsidP="00435D9E">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lastRenderedPageBreak/>
              <w:t xml:space="preserve">Categoria de </w:t>
            </w:r>
            <w:proofErr w:type="spellStart"/>
            <w:r w:rsidRPr="00827721">
              <w:rPr>
                <w:rFonts w:eastAsia="Times New Roman"/>
                <w:b/>
                <w:bCs/>
                <w:sz w:val="20"/>
                <w:szCs w:val="20"/>
                <w:lang w:eastAsia="ro-RO"/>
              </w:rPr>
              <w:t>adiționalitate</w:t>
            </w:r>
            <w:proofErr w:type="spellEnd"/>
          </w:p>
        </w:tc>
        <w:tc>
          <w:tcPr>
            <w:tcW w:w="2806" w:type="dxa"/>
            <w:tcBorders>
              <w:top w:val="outset" w:sz="6" w:space="0" w:color="auto"/>
              <w:left w:val="outset" w:sz="6" w:space="0" w:color="auto"/>
              <w:bottom w:val="outset" w:sz="6" w:space="0" w:color="auto"/>
              <w:right w:val="outset" w:sz="6" w:space="0" w:color="auto"/>
            </w:tcBorders>
            <w:vAlign w:val="center"/>
            <w:hideMark/>
          </w:tcPr>
          <w:p w14:paraId="632F78E6" w14:textId="77777777" w:rsidR="00A7577F" w:rsidRPr="00827721" w:rsidRDefault="00A7577F" w:rsidP="00435D9E">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 xml:space="preserve">Măsură de </w:t>
            </w:r>
            <w:proofErr w:type="spellStart"/>
            <w:r w:rsidRPr="00827721">
              <w:rPr>
                <w:rFonts w:eastAsia="Times New Roman"/>
                <w:b/>
                <w:bCs/>
                <w:sz w:val="20"/>
                <w:szCs w:val="20"/>
                <w:lang w:eastAsia="ro-RO"/>
              </w:rPr>
              <w:t>adiționalitate</w:t>
            </w:r>
            <w:proofErr w:type="spellEnd"/>
          </w:p>
        </w:tc>
        <w:tc>
          <w:tcPr>
            <w:tcW w:w="4729" w:type="dxa"/>
            <w:tcBorders>
              <w:top w:val="outset" w:sz="6" w:space="0" w:color="auto"/>
              <w:left w:val="outset" w:sz="6" w:space="0" w:color="auto"/>
              <w:bottom w:val="outset" w:sz="6" w:space="0" w:color="auto"/>
              <w:right w:val="outset" w:sz="6" w:space="0" w:color="auto"/>
            </w:tcBorders>
            <w:vAlign w:val="center"/>
            <w:hideMark/>
          </w:tcPr>
          <w:p w14:paraId="2F3E0711" w14:textId="77777777" w:rsidR="00A7577F" w:rsidRPr="00827721" w:rsidRDefault="00A7577F" w:rsidP="00435D9E">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Exemplu</w:t>
            </w:r>
          </w:p>
        </w:tc>
      </w:tr>
      <w:tr w:rsidR="00A7577F" w:rsidRPr="00827721" w14:paraId="452F1C5A" w14:textId="77777777" w:rsidTr="00EA214B">
        <w:trPr>
          <w:gridAfter w:val="1"/>
          <w:wAfter w:w="8" w:type="dxa"/>
          <w:jc w:val="center"/>
        </w:trPr>
        <w:tc>
          <w:tcPr>
            <w:tcW w:w="1693" w:type="dxa"/>
            <w:tcBorders>
              <w:top w:val="outset" w:sz="6" w:space="0" w:color="auto"/>
              <w:left w:val="outset" w:sz="6" w:space="0" w:color="auto"/>
              <w:bottom w:val="outset" w:sz="6" w:space="0" w:color="auto"/>
              <w:right w:val="outset" w:sz="6" w:space="0" w:color="auto"/>
            </w:tcBorders>
            <w:vAlign w:val="center"/>
            <w:hideMark/>
          </w:tcPr>
          <w:p w14:paraId="53072AE0"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Mecanizare</w:t>
            </w:r>
          </w:p>
        </w:tc>
        <w:tc>
          <w:tcPr>
            <w:tcW w:w="2806" w:type="dxa"/>
            <w:tcBorders>
              <w:top w:val="outset" w:sz="6" w:space="0" w:color="auto"/>
              <w:left w:val="outset" w:sz="6" w:space="0" w:color="auto"/>
              <w:bottom w:val="outset" w:sz="6" w:space="0" w:color="auto"/>
              <w:right w:val="outset" w:sz="6" w:space="0" w:color="auto"/>
            </w:tcBorders>
            <w:vAlign w:val="center"/>
            <w:hideMark/>
          </w:tcPr>
          <w:p w14:paraId="5504C2F1"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Mașini</w:t>
            </w:r>
          </w:p>
        </w:tc>
        <w:tc>
          <w:tcPr>
            <w:tcW w:w="4729" w:type="dxa"/>
            <w:tcBorders>
              <w:top w:val="outset" w:sz="6" w:space="0" w:color="auto"/>
              <w:left w:val="outset" w:sz="6" w:space="0" w:color="auto"/>
              <w:bottom w:val="outset" w:sz="6" w:space="0" w:color="auto"/>
              <w:right w:val="outset" w:sz="6" w:space="0" w:color="auto"/>
            </w:tcBorders>
            <w:vAlign w:val="center"/>
            <w:hideMark/>
          </w:tcPr>
          <w:p w14:paraId="32B78326" w14:textId="36078DFF"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 xml:space="preserve">Utilizarea de mașini care reduc/completează aportul existent de forță de muncă pentru a stimula producția sau a reduce pierderile. Acestea </w:t>
            </w:r>
            <w:r w:rsidR="008459A5" w:rsidRPr="00827721">
              <w:rPr>
                <w:rFonts w:eastAsia="Times New Roman"/>
                <w:sz w:val="20"/>
                <w:szCs w:val="20"/>
                <w:lang w:eastAsia="ro-RO"/>
              </w:rPr>
              <w:t>poate</w:t>
            </w:r>
            <w:r w:rsidRPr="00827721">
              <w:rPr>
                <w:rFonts w:eastAsia="Times New Roman"/>
                <w:sz w:val="20"/>
                <w:szCs w:val="20"/>
                <w:lang w:eastAsia="ro-RO"/>
              </w:rPr>
              <w:t xml:space="preserve"> include mașini pentru semănat, pentru agricultură de precizie, pentru recoltare sau pentru reducerea pierderilor după recoltare.</w:t>
            </w:r>
          </w:p>
        </w:tc>
      </w:tr>
      <w:tr w:rsidR="00A7577F" w:rsidRPr="00827721" w14:paraId="05194F6A" w14:textId="77777777" w:rsidTr="00EA214B">
        <w:trPr>
          <w:gridAfter w:val="1"/>
          <w:wAfter w:w="8" w:type="dxa"/>
          <w:jc w:val="center"/>
        </w:trPr>
        <w:tc>
          <w:tcPr>
            <w:tcW w:w="1693" w:type="dxa"/>
            <w:tcBorders>
              <w:top w:val="outset" w:sz="6" w:space="0" w:color="auto"/>
              <w:left w:val="outset" w:sz="6" w:space="0" w:color="auto"/>
              <w:bottom w:val="outset" w:sz="6" w:space="0" w:color="auto"/>
              <w:right w:val="outset" w:sz="6" w:space="0" w:color="auto"/>
            </w:tcBorders>
            <w:vAlign w:val="center"/>
            <w:hideMark/>
          </w:tcPr>
          <w:p w14:paraId="3B5F707A"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Culturi multiple</w:t>
            </w:r>
          </w:p>
        </w:tc>
        <w:tc>
          <w:tcPr>
            <w:tcW w:w="2806" w:type="dxa"/>
            <w:tcBorders>
              <w:top w:val="outset" w:sz="6" w:space="0" w:color="auto"/>
              <w:left w:val="outset" w:sz="6" w:space="0" w:color="auto"/>
              <w:bottom w:val="outset" w:sz="6" w:space="0" w:color="auto"/>
              <w:right w:val="outset" w:sz="6" w:space="0" w:color="auto"/>
            </w:tcBorders>
            <w:vAlign w:val="center"/>
            <w:hideMark/>
          </w:tcPr>
          <w:p w14:paraId="576AD29C"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Culturi secvențiale</w:t>
            </w:r>
          </w:p>
        </w:tc>
        <w:tc>
          <w:tcPr>
            <w:tcW w:w="4729" w:type="dxa"/>
            <w:tcBorders>
              <w:top w:val="outset" w:sz="6" w:space="0" w:color="auto"/>
              <w:left w:val="outset" w:sz="6" w:space="0" w:color="auto"/>
              <w:bottom w:val="outset" w:sz="6" w:space="0" w:color="auto"/>
              <w:right w:val="outset" w:sz="6" w:space="0" w:color="auto"/>
            </w:tcBorders>
            <w:vAlign w:val="center"/>
            <w:hideMark/>
          </w:tcPr>
          <w:p w14:paraId="381E7FCB" w14:textId="77777777"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Introducerea celei de-a doua culturi pe același teren în același an.</w:t>
            </w:r>
          </w:p>
        </w:tc>
      </w:tr>
      <w:tr w:rsidR="00A7577F" w:rsidRPr="00827721" w14:paraId="3DCC5F2D" w14:textId="77777777" w:rsidTr="00EA214B">
        <w:trPr>
          <w:gridAfter w:val="1"/>
          <w:wAfter w:w="8" w:type="dxa"/>
          <w:jc w:val="center"/>
        </w:trPr>
        <w:tc>
          <w:tcPr>
            <w:tcW w:w="1693" w:type="dxa"/>
            <w:vMerge w:val="restart"/>
            <w:tcBorders>
              <w:top w:val="outset" w:sz="6" w:space="0" w:color="auto"/>
              <w:left w:val="outset" w:sz="6" w:space="0" w:color="auto"/>
              <w:bottom w:val="outset" w:sz="6" w:space="0" w:color="auto"/>
              <w:right w:val="outset" w:sz="6" w:space="0" w:color="auto"/>
            </w:tcBorders>
            <w:vAlign w:val="center"/>
            <w:hideMark/>
          </w:tcPr>
          <w:p w14:paraId="37083F9E"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Gestionare</w:t>
            </w:r>
          </w:p>
        </w:tc>
        <w:tc>
          <w:tcPr>
            <w:tcW w:w="2806" w:type="dxa"/>
            <w:tcBorders>
              <w:top w:val="outset" w:sz="6" w:space="0" w:color="auto"/>
              <w:left w:val="outset" w:sz="6" w:space="0" w:color="auto"/>
              <w:bottom w:val="outset" w:sz="6" w:space="0" w:color="auto"/>
              <w:right w:val="outset" w:sz="6" w:space="0" w:color="auto"/>
            </w:tcBorders>
            <w:vAlign w:val="center"/>
            <w:hideMark/>
          </w:tcPr>
          <w:p w14:paraId="527D6D62"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Gestionarea solurilor</w:t>
            </w:r>
          </w:p>
        </w:tc>
        <w:tc>
          <w:tcPr>
            <w:tcW w:w="4729" w:type="dxa"/>
            <w:tcBorders>
              <w:top w:val="outset" w:sz="6" w:space="0" w:color="auto"/>
              <w:left w:val="outset" w:sz="6" w:space="0" w:color="auto"/>
              <w:bottom w:val="outset" w:sz="6" w:space="0" w:color="auto"/>
              <w:right w:val="outset" w:sz="6" w:space="0" w:color="auto"/>
            </w:tcBorders>
            <w:vAlign w:val="center"/>
            <w:hideMark/>
          </w:tcPr>
          <w:p w14:paraId="30DA3267" w14:textId="77777777" w:rsidR="00A7577F" w:rsidRPr="00827721" w:rsidRDefault="00A7577F" w:rsidP="003A1AC9">
            <w:pPr>
              <w:spacing w:before="60" w:after="60" w:line="312" w:lineRule="atLeast"/>
              <w:ind w:firstLine="0"/>
              <w:rPr>
                <w:rFonts w:eastAsia="Times New Roman"/>
                <w:sz w:val="20"/>
                <w:szCs w:val="20"/>
                <w:lang w:eastAsia="ro-RO"/>
              </w:rPr>
            </w:pPr>
            <w:proofErr w:type="spellStart"/>
            <w:r w:rsidRPr="00827721">
              <w:rPr>
                <w:rFonts w:eastAsia="Times New Roman"/>
                <w:sz w:val="20"/>
                <w:szCs w:val="20"/>
                <w:lang w:eastAsia="ro-RO"/>
              </w:rPr>
              <w:t>Mulcire</w:t>
            </w:r>
            <w:proofErr w:type="spellEnd"/>
            <w:r w:rsidRPr="00827721">
              <w:rPr>
                <w:rFonts w:eastAsia="Times New Roman"/>
                <w:sz w:val="20"/>
                <w:szCs w:val="20"/>
                <w:lang w:eastAsia="ro-RO"/>
              </w:rPr>
              <w:t xml:space="preserve"> în loc de arat, arat de conservare.</w:t>
            </w:r>
          </w:p>
        </w:tc>
      </w:tr>
      <w:tr w:rsidR="00A7577F" w:rsidRPr="00827721" w14:paraId="1F7C7EB1" w14:textId="77777777" w:rsidTr="00EA214B">
        <w:trPr>
          <w:gridAfter w:val="1"/>
          <w:wAfter w:w="8" w:type="dxa"/>
          <w:jc w:val="center"/>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646C1F4E" w14:textId="77777777" w:rsidR="00A7577F" w:rsidRPr="00827721" w:rsidRDefault="00A7577F" w:rsidP="00EA214B">
            <w:pPr>
              <w:spacing w:line="240" w:lineRule="auto"/>
              <w:ind w:firstLine="0"/>
              <w:jc w:val="left"/>
              <w:rPr>
                <w:rFonts w:eastAsia="Times New Roman"/>
                <w:sz w:val="20"/>
                <w:szCs w:val="20"/>
                <w:lang w:eastAsia="ro-RO"/>
              </w:rPr>
            </w:pPr>
          </w:p>
        </w:tc>
        <w:tc>
          <w:tcPr>
            <w:tcW w:w="2806" w:type="dxa"/>
            <w:tcBorders>
              <w:top w:val="outset" w:sz="6" w:space="0" w:color="auto"/>
              <w:left w:val="outset" w:sz="6" w:space="0" w:color="auto"/>
              <w:bottom w:val="outset" w:sz="6" w:space="0" w:color="auto"/>
              <w:right w:val="outset" w:sz="6" w:space="0" w:color="auto"/>
            </w:tcBorders>
            <w:vAlign w:val="center"/>
            <w:hideMark/>
          </w:tcPr>
          <w:p w14:paraId="22F9EB00"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Fertilizare</w:t>
            </w:r>
          </w:p>
        </w:tc>
        <w:tc>
          <w:tcPr>
            <w:tcW w:w="4729" w:type="dxa"/>
            <w:tcBorders>
              <w:top w:val="outset" w:sz="6" w:space="0" w:color="auto"/>
              <w:left w:val="outset" w:sz="6" w:space="0" w:color="auto"/>
              <w:bottom w:val="outset" w:sz="6" w:space="0" w:color="auto"/>
              <w:right w:val="outset" w:sz="6" w:space="0" w:color="auto"/>
            </w:tcBorders>
            <w:vAlign w:val="center"/>
            <w:hideMark/>
          </w:tcPr>
          <w:p w14:paraId="68B9158C" w14:textId="77777777"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Optimizarea regimului de fertilizare, utilizarea agriculturii de precizie.</w:t>
            </w:r>
          </w:p>
        </w:tc>
      </w:tr>
      <w:tr w:rsidR="00A7577F" w:rsidRPr="00827721" w14:paraId="5B905F1D" w14:textId="77777777" w:rsidTr="00EA214B">
        <w:trPr>
          <w:gridAfter w:val="1"/>
          <w:wAfter w:w="8" w:type="dxa"/>
          <w:jc w:val="center"/>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0615162F" w14:textId="77777777" w:rsidR="00A7577F" w:rsidRPr="00827721" w:rsidRDefault="00A7577F" w:rsidP="00EA214B">
            <w:pPr>
              <w:spacing w:line="240" w:lineRule="auto"/>
              <w:ind w:firstLine="0"/>
              <w:jc w:val="left"/>
              <w:rPr>
                <w:rFonts w:eastAsia="Times New Roman"/>
                <w:sz w:val="20"/>
                <w:szCs w:val="20"/>
                <w:lang w:eastAsia="ro-RO"/>
              </w:rPr>
            </w:pPr>
          </w:p>
        </w:tc>
        <w:tc>
          <w:tcPr>
            <w:tcW w:w="2806" w:type="dxa"/>
            <w:tcBorders>
              <w:top w:val="outset" w:sz="6" w:space="0" w:color="auto"/>
              <w:left w:val="outset" w:sz="6" w:space="0" w:color="auto"/>
              <w:bottom w:val="outset" w:sz="6" w:space="0" w:color="auto"/>
              <w:right w:val="outset" w:sz="6" w:space="0" w:color="auto"/>
            </w:tcBorders>
            <w:vAlign w:val="center"/>
            <w:hideMark/>
          </w:tcPr>
          <w:p w14:paraId="7200C04B"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Protecția culturilor</w:t>
            </w:r>
          </w:p>
        </w:tc>
        <w:tc>
          <w:tcPr>
            <w:tcW w:w="4729" w:type="dxa"/>
            <w:tcBorders>
              <w:top w:val="outset" w:sz="6" w:space="0" w:color="auto"/>
              <w:left w:val="outset" w:sz="6" w:space="0" w:color="auto"/>
              <w:bottom w:val="outset" w:sz="6" w:space="0" w:color="auto"/>
              <w:right w:val="outset" w:sz="6" w:space="0" w:color="auto"/>
            </w:tcBorders>
            <w:vAlign w:val="center"/>
            <w:hideMark/>
          </w:tcPr>
          <w:p w14:paraId="21DDF86E" w14:textId="77777777"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Modificări în ceea ce combaterea buruienilor și a dăunătorilor și controlul bolilor.</w:t>
            </w:r>
          </w:p>
        </w:tc>
      </w:tr>
      <w:tr w:rsidR="00A7577F" w:rsidRPr="00827721" w14:paraId="426689BD" w14:textId="77777777" w:rsidTr="00EA214B">
        <w:trPr>
          <w:gridAfter w:val="1"/>
          <w:wAfter w:w="8" w:type="dxa"/>
          <w:jc w:val="center"/>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4C9DBC7E" w14:textId="77777777" w:rsidR="00A7577F" w:rsidRPr="00827721" w:rsidRDefault="00A7577F" w:rsidP="00EA214B">
            <w:pPr>
              <w:spacing w:line="240" w:lineRule="auto"/>
              <w:ind w:firstLine="0"/>
              <w:jc w:val="left"/>
              <w:rPr>
                <w:rFonts w:eastAsia="Times New Roman"/>
                <w:sz w:val="20"/>
                <w:szCs w:val="20"/>
                <w:lang w:eastAsia="ro-RO"/>
              </w:rPr>
            </w:pPr>
          </w:p>
        </w:tc>
        <w:tc>
          <w:tcPr>
            <w:tcW w:w="2806" w:type="dxa"/>
            <w:tcBorders>
              <w:top w:val="outset" w:sz="6" w:space="0" w:color="auto"/>
              <w:left w:val="outset" w:sz="6" w:space="0" w:color="auto"/>
              <w:bottom w:val="outset" w:sz="6" w:space="0" w:color="auto"/>
              <w:right w:val="outset" w:sz="6" w:space="0" w:color="auto"/>
            </w:tcBorders>
            <w:vAlign w:val="center"/>
            <w:hideMark/>
          </w:tcPr>
          <w:p w14:paraId="5A550942"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Polenizare</w:t>
            </w:r>
          </w:p>
        </w:tc>
        <w:tc>
          <w:tcPr>
            <w:tcW w:w="4729" w:type="dxa"/>
            <w:tcBorders>
              <w:top w:val="outset" w:sz="6" w:space="0" w:color="auto"/>
              <w:left w:val="outset" w:sz="6" w:space="0" w:color="auto"/>
              <w:bottom w:val="outset" w:sz="6" w:space="0" w:color="auto"/>
              <w:right w:val="outset" w:sz="6" w:space="0" w:color="auto"/>
            </w:tcBorders>
            <w:vAlign w:val="center"/>
            <w:hideMark/>
          </w:tcPr>
          <w:p w14:paraId="0B5120DE" w14:textId="77777777"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Îmbunătățirea practicilor de polenizare.</w:t>
            </w:r>
          </w:p>
        </w:tc>
      </w:tr>
      <w:tr w:rsidR="00A7577F" w:rsidRPr="00827721" w14:paraId="38ACB9D9" w14:textId="77777777" w:rsidTr="00EA214B">
        <w:trPr>
          <w:gridAfter w:val="1"/>
          <w:wAfter w:w="8" w:type="dxa"/>
          <w:jc w:val="center"/>
        </w:trPr>
        <w:tc>
          <w:tcPr>
            <w:tcW w:w="1693" w:type="dxa"/>
            <w:vMerge/>
            <w:tcBorders>
              <w:top w:val="outset" w:sz="6" w:space="0" w:color="auto"/>
              <w:left w:val="outset" w:sz="6" w:space="0" w:color="auto"/>
              <w:bottom w:val="outset" w:sz="6" w:space="0" w:color="auto"/>
              <w:right w:val="outset" w:sz="6" w:space="0" w:color="auto"/>
            </w:tcBorders>
            <w:vAlign w:val="center"/>
            <w:hideMark/>
          </w:tcPr>
          <w:p w14:paraId="72BEEE20" w14:textId="77777777" w:rsidR="00A7577F" w:rsidRPr="00827721" w:rsidRDefault="00A7577F" w:rsidP="00EA214B">
            <w:pPr>
              <w:spacing w:line="240" w:lineRule="auto"/>
              <w:ind w:firstLine="0"/>
              <w:jc w:val="left"/>
              <w:rPr>
                <w:rFonts w:eastAsia="Times New Roman"/>
                <w:sz w:val="20"/>
                <w:szCs w:val="20"/>
                <w:lang w:eastAsia="ro-RO"/>
              </w:rPr>
            </w:pPr>
          </w:p>
        </w:tc>
        <w:tc>
          <w:tcPr>
            <w:tcW w:w="2806" w:type="dxa"/>
            <w:tcBorders>
              <w:top w:val="outset" w:sz="6" w:space="0" w:color="auto"/>
              <w:left w:val="outset" w:sz="6" w:space="0" w:color="auto"/>
              <w:bottom w:val="outset" w:sz="6" w:space="0" w:color="auto"/>
              <w:right w:val="outset" w:sz="6" w:space="0" w:color="auto"/>
            </w:tcBorders>
            <w:vAlign w:val="center"/>
            <w:hideMark/>
          </w:tcPr>
          <w:p w14:paraId="21C232FE"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Altele</w:t>
            </w:r>
          </w:p>
        </w:tc>
        <w:tc>
          <w:tcPr>
            <w:tcW w:w="4729" w:type="dxa"/>
            <w:tcBorders>
              <w:top w:val="outset" w:sz="6" w:space="0" w:color="auto"/>
              <w:left w:val="outset" w:sz="6" w:space="0" w:color="auto"/>
              <w:bottom w:val="outset" w:sz="6" w:space="0" w:color="auto"/>
              <w:right w:val="outset" w:sz="6" w:space="0" w:color="auto"/>
            </w:tcBorders>
            <w:vAlign w:val="center"/>
            <w:hideMark/>
          </w:tcPr>
          <w:p w14:paraId="322B0D5F" w14:textId="77777777"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Lasă loc de inovare, combinații de măsuri și evoluții neprevăzute.</w:t>
            </w:r>
          </w:p>
        </w:tc>
      </w:tr>
      <w:tr w:rsidR="00A7577F" w:rsidRPr="00827721" w14:paraId="06C55A47" w14:textId="77777777" w:rsidTr="00EA214B">
        <w:trPr>
          <w:gridAfter w:val="1"/>
          <w:wAfter w:w="8" w:type="dxa"/>
          <w:jc w:val="center"/>
        </w:trPr>
        <w:tc>
          <w:tcPr>
            <w:tcW w:w="1693" w:type="dxa"/>
            <w:tcBorders>
              <w:top w:val="outset" w:sz="6" w:space="0" w:color="auto"/>
              <w:left w:val="outset" w:sz="6" w:space="0" w:color="auto"/>
              <w:bottom w:val="outset" w:sz="6" w:space="0" w:color="auto"/>
              <w:right w:val="outset" w:sz="6" w:space="0" w:color="auto"/>
            </w:tcBorders>
            <w:vAlign w:val="center"/>
            <w:hideMark/>
          </w:tcPr>
          <w:p w14:paraId="5562867C" w14:textId="0B6473E5"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Replantare (pentru culturile perene)</w:t>
            </w:r>
            <w:r w:rsidR="00AB3013" w:rsidRPr="00827721">
              <w:rPr>
                <w:rFonts w:eastAsia="Times New Roman"/>
                <w:sz w:val="20"/>
                <w:szCs w:val="20"/>
                <w:vertAlign w:val="superscript"/>
                <w:lang w:eastAsia="ro-RO"/>
              </w:rPr>
              <w:t>(1)</w:t>
            </w:r>
            <w:r w:rsidR="00E77E06" w:rsidRPr="00827721">
              <w:rPr>
                <w:rFonts w:eastAsia="Times New Roman"/>
                <w:sz w:val="20"/>
                <w:szCs w:val="20"/>
                <w:lang w:eastAsia="ro-RO"/>
              </w:rPr>
              <w:t xml:space="preserve"> </w:t>
            </w:r>
          </w:p>
        </w:tc>
        <w:tc>
          <w:tcPr>
            <w:tcW w:w="2806" w:type="dxa"/>
            <w:tcBorders>
              <w:top w:val="outset" w:sz="6" w:space="0" w:color="auto"/>
              <w:left w:val="outset" w:sz="6" w:space="0" w:color="auto"/>
              <w:bottom w:val="outset" w:sz="6" w:space="0" w:color="auto"/>
              <w:right w:val="outset" w:sz="6" w:space="0" w:color="auto"/>
            </w:tcBorders>
            <w:vAlign w:val="center"/>
            <w:hideMark/>
          </w:tcPr>
          <w:p w14:paraId="3FCE15EB" w14:textId="77777777" w:rsidR="00A7577F" w:rsidRPr="00827721" w:rsidRDefault="00A7577F" w:rsidP="00EA214B">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Alegerea soiurilor de culturi</w:t>
            </w:r>
          </w:p>
        </w:tc>
        <w:tc>
          <w:tcPr>
            <w:tcW w:w="4729" w:type="dxa"/>
            <w:tcBorders>
              <w:top w:val="outset" w:sz="6" w:space="0" w:color="auto"/>
              <w:left w:val="outset" w:sz="6" w:space="0" w:color="auto"/>
              <w:bottom w:val="outset" w:sz="6" w:space="0" w:color="auto"/>
              <w:right w:val="outset" w:sz="6" w:space="0" w:color="auto"/>
            </w:tcBorders>
            <w:vAlign w:val="center"/>
            <w:hideMark/>
          </w:tcPr>
          <w:p w14:paraId="602BAE2A" w14:textId="77777777" w:rsidR="00A7577F" w:rsidRPr="00827721" w:rsidRDefault="00A7577F" w:rsidP="003A1AC9">
            <w:pPr>
              <w:spacing w:before="60" w:after="60" w:line="312" w:lineRule="atLeast"/>
              <w:ind w:firstLine="0"/>
              <w:rPr>
                <w:rFonts w:eastAsia="Times New Roman"/>
                <w:sz w:val="20"/>
                <w:szCs w:val="20"/>
                <w:lang w:eastAsia="ro-RO"/>
              </w:rPr>
            </w:pPr>
            <w:r w:rsidRPr="00827721">
              <w:rPr>
                <w:rFonts w:eastAsia="Times New Roman"/>
                <w:sz w:val="20"/>
                <w:szCs w:val="20"/>
                <w:lang w:eastAsia="ro-RO"/>
              </w:rPr>
              <w:t xml:space="preserve">Soiuri cu un randament mai mare, o mai bună adaptare la condițiile </w:t>
            </w:r>
            <w:proofErr w:type="spellStart"/>
            <w:r w:rsidRPr="00827721">
              <w:rPr>
                <w:rFonts w:eastAsia="Times New Roman"/>
                <w:sz w:val="20"/>
                <w:szCs w:val="20"/>
                <w:lang w:eastAsia="ro-RO"/>
              </w:rPr>
              <w:t>ecofiziologice</w:t>
            </w:r>
            <w:proofErr w:type="spellEnd"/>
            <w:r w:rsidRPr="00827721">
              <w:rPr>
                <w:rFonts w:eastAsia="Times New Roman"/>
                <w:sz w:val="20"/>
                <w:szCs w:val="20"/>
                <w:lang w:eastAsia="ro-RO"/>
              </w:rPr>
              <w:t xml:space="preserve"> sau climatice.</w:t>
            </w:r>
          </w:p>
        </w:tc>
      </w:tr>
      <w:tr w:rsidR="00A7577F" w:rsidRPr="00827721" w14:paraId="448718DC" w14:textId="77777777" w:rsidTr="00110B97">
        <w:trPr>
          <w:jc w:val="center"/>
        </w:trPr>
        <w:tc>
          <w:tcPr>
            <w:tcW w:w="9236" w:type="dxa"/>
            <w:gridSpan w:val="4"/>
            <w:tcBorders>
              <w:top w:val="nil"/>
              <w:left w:val="nil"/>
              <w:bottom w:val="nil"/>
              <w:right w:val="nil"/>
            </w:tcBorders>
            <w:vAlign w:val="center"/>
            <w:hideMark/>
          </w:tcPr>
          <w:p w14:paraId="12AAFBB5" w14:textId="5D2815D6" w:rsidR="00A7577F" w:rsidRPr="00827721" w:rsidRDefault="00AB3013" w:rsidP="003A1AC9">
            <w:pPr>
              <w:spacing w:line="312" w:lineRule="atLeast"/>
              <w:ind w:firstLine="0"/>
              <w:rPr>
                <w:rFonts w:eastAsia="Times New Roman"/>
                <w:sz w:val="20"/>
                <w:szCs w:val="20"/>
                <w:lang w:eastAsia="ro-RO"/>
              </w:rPr>
            </w:pPr>
            <w:r w:rsidRPr="00827721">
              <w:rPr>
                <w:rFonts w:eastAsia="Times New Roman"/>
                <w:sz w:val="20"/>
                <w:szCs w:val="20"/>
                <w:vertAlign w:val="superscript"/>
                <w:lang w:eastAsia="ro-RO"/>
              </w:rPr>
              <w:t>(</w:t>
            </w:r>
            <w:r w:rsidR="00C46345" w:rsidRPr="00827721">
              <w:rPr>
                <w:rFonts w:eastAsia="Times New Roman"/>
                <w:sz w:val="20"/>
                <w:szCs w:val="20"/>
                <w:vertAlign w:val="superscript"/>
                <w:lang w:eastAsia="ro-RO"/>
              </w:rPr>
              <w:t>1</w:t>
            </w:r>
            <w:r w:rsidRPr="00827721">
              <w:rPr>
                <w:rFonts w:eastAsia="Times New Roman"/>
                <w:sz w:val="20"/>
                <w:szCs w:val="20"/>
                <w:vertAlign w:val="superscript"/>
                <w:lang w:eastAsia="ro-RO"/>
              </w:rPr>
              <w:t>)</w:t>
            </w:r>
            <w:r w:rsidR="00C46345" w:rsidRPr="00827721">
              <w:rPr>
                <w:rFonts w:eastAsia="Times New Roman"/>
                <w:sz w:val="20"/>
                <w:szCs w:val="20"/>
                <w:vertAlign w:val="superscript"/>
                <w:lang w:eastAsia="ro-RO"/>
              </w:rPr>
              <w:t xml:space="preserve"> </w:t>
            </w:r>
            <w:r w:rsidR="00A7577F" w:rsidRPr="00827721">
              <w:rPr>
                <w:rFonts w:eastAsia="Times New Roman"/>
                <w:i/>
                <w:iCs/>
                <w:sz w:val="20"/>
                <w:szCs w:val="20"/>
                <w:lang w:eastAsia="ro-RO"/>
              </w:rPr>
              <w:t xml:space="preserve">Replantarea la sfârșitul duratei de viață a culturii este întotdeauna necesară pentru o cultură perenă. Pentru ca replantarea să fie considerată o măsură de </w:t>
            </w:r>
            <w:proofErr w:type="spellStart"/>
            <w:r w:rsidR="00A7577F" w:rsidRPr="00827721">
              <w:rPr>
                <w:rFonts w:eastAsia="Times New Roman"/>
                <w:i/>
                <w:iCs/>
                <w:sz w:val="20"/>
                <w:szCs w:val="20"/>
                <w:lang w:eastAsia="ro-RO"/>
              </w:rPr>
              <w:t>adiționalitate</w:t>
            </w:r>
            <w:proofErr w:type="spellEnd"/>
            <w:r w:rsidR="00A7577F" w:rsidRPr="00827721">
              <w:rPr>
                <w:rFonts w:eastAsia="Times New Roman"/>
                <w:i/>
                <w:iCs/>
                <w:sz w:val="20"/>
                <w:szCs w:val="20"/>
                <w:lang w:eastAsia="ro-RO"/>
              </w:rPr>
              <w:t>, operatorul economic trebuie să demonstreze că replantarea depășește statu-quo-ul.</w:t>
            </w:r>
          </w:p>
        </w:tc>
      </w:tr>
    </w:tbl>
    <w:p w14:paraId="0DD17C0D" w14:textId="5ADF516B" w:rsidR="00A7577F" w:rsidRPr="00827721" w:rsidRDefault="00A7577F" w:rsidP="00B52E3B">
      <w:pPr>
        <w:pStyle w:val="Anexapct1"/>
        <w:rPr>
          <w:rFonts w:eastAsia="Arial Unicode MS"/>
          <w:lang w:eastAsia="ro-RO"/>
        </w:rPr>
      </w:pPr>
      <w:r w:rsidRPr="00827721">
        <w:rPr>
          <w:rFonts w:eastAsia="Arial Unicode MS"/>
          <w:lang w:eastAsia="ro-RO"/>
        </w:rPr>
        <w:t xml:space="preserve">Măsurile de </w:t>
      </w:r>
      <w:proofErr w:type="spellStart"/>
      <w:r w:rsidRPr="00827721">
        <w:rPr>
          <w:rFonts w:eastAsia="Arial Unicode MS"/>
          <w:lang w:eastAsia="ro-RO"/>
        </w:rPr>
        <w:t>adiționalitate</w:t>
      </w:r>
      <w:proofErr w:type="spellEnd"/>
      <w:r w:rsidRPr="00827721">
        <w:rPr>
          <w:rFonts w:eastAsia="Arial Unicode MS"/>
          <w:lang w:eastAsia="ro-RO"/>
        </w:rPr>
        <w:t xml:space="preserve"> sunt măsuri care depășesc practicile agricole comune. Tabelul 1</w:t>
      </w:r>
      <w:r w:rsidR="00833EE7" w:rsidRPr="00827721">
        <w:rPr>
          <w:rFonts w:eastAsia="Arial Unicode MS"/>
          <w:lang w:eastAsia="ro-RO"/>
        </w:rPr>
        <w:t xml:space="preserve"> </w:t>
      </w:r>
      <w:r w:rsidRPr="00827721">
        <w:rPr>
          <w:rFonts w:eastAsia="Arial Unicode MS"/>
          <w:lang w:eastAsia="ro-RO"/>
        </w:rPr>
        <w:t xml:space="preserve">conține o listă neexhaustivă a tipurilor de măsuri de </w:t>
      </w:r>
      <w:proofErr w:type="spellStart"/>
      <w:r w:rsidRPr="00827721">
        <w:rPr>
          <w:rFonts w:eastAsia="Arial Unicode MS"/>
          <w:lang w:eastAsia="ro-RO"/>
        </w:rPr>
        <w:t>adiționalitate</w:t>
      </w:r>
      <w:proofErr w:type="spellEnd"/>
      <w:r w:rsidRPr="00827721">
        <w:rPr>
          <w:rFonts w:eastAsia="Arial Unicode MS"/>
          <w:lang w:eastAsia="ro-RO"/>
        </w:rPr>
        <w:t xml:space="preserve"> pentru creșterea randamentului</w:t>
      </w:r>
      <w:r w:rsidR="00667AC4" w:rsidRPr="00827721">
        <w:rPr>
          <w:rFonts w:eastAsia="Arial Unicode MS"/>
          <w:lang w:eastAsia="ro-RO"/>
        </w:rPr>
        <w:t>,</w:t>
      </w:r>
      <w:r w:rsidRPr="00827721">
        <w:rPr>
          <w:rFonts w:eastAsia="Arial Unicode MS"/>
          <w:lang w:eastAsia="ro-RO"/>
        </w:rPr>
        <w:t xml:space="preserve"> </w:t>
      </w:r>
      <w:r w:rsidR="00667AC4" w:rsidRPr="00827721">
        <w:rPr>
          <w:rFonts w:eastAsia="Arial Unicode MS"/>
          <w:lang w:eastAsia="ro-RO"/>
        </w:rPr>
        <w:t>aplicabile de către</w:t>
      </w:r>
      <w:r w:rsidRPr="00827721">
        <w:rPr>
          <w:rFonts w:eastAsia="Arial Unicode MS"/>
          <w:lang w:eastAsia="ro-RO"/>
        </w:rPr>
        <w:t xml:space="preserve"> operatorii economici. Măsurile sau combinațiile de măsuri stimulează producția fără a compromite durabilitatea. Măsura de </w:t>
      </w:r>
      <w:proofErr w:type="spellStart"/>
      <w:r w:rsidRPr="00827721">
        <w:rPr>
          <w:rFonts w:eastAsia="Arial Unicode MS"/>
          <w:lang w:eastAsia="ro-RO"/>
        </w:rPr>
        <w:t>adiționalitate</w:t>
      </w:r>
      <w:proofErr w:type="spellEnd"/>
      <w:r w:rsidRPr="00827721">
        <w:rPr>
          <w:rFonts w:eastAsia="Arial Unicode MS"/>
          <w:lang w:eastAsia="ro-RO"/>
        </w:rPr>
        <w:t xml:space="preserve"> nu trebuie să compromită potențialul viitor de creștere prin crearea unui compromis între câștigurile de producție pe termen scurt și deteriorarea pe termen mediu/lung a calității solului, a apei și a aerului și a populațiilor de polenizatori. Măsurile de </w:t>
      </w:r>
      <w:proofErr w:type="spellStart"/>
      <w:r w:rsidRPr="00827721">
        <w:rPr>
          <w:rFonts w:eastAsia="Arial Unicode MS"/>
          <w:lang w:eastAsia="ro-RO"/>
        </w:rPr>
        <w:t>adiționalitate</w:t>
      </w:r>
      <w:proofErr w:type="spellEnd"/>
      <w:r w:rsidRPr="00827721">
        <w:rPr>
          <w:rFonts w:eastAsia="Arial Unicode MS"/>
          <w:lang w:eastAsia="ro-RO"/>
        </w:rPr>
        <w:t xml:space="preserve"> nu trebuie să conducă la omogenizarea peisajului agricol prin îndepărtarea elementelor de peisaj și a habitatelor, cum ar fi arborii solitari, gardurile vii, arbuștii, marginile terenurilor sau porțiunile acoperite de flori.</w:t>
      </w:r>
    </w:p>
    <w:p w14:paraId="3890C72E" w14:textId="5D4C4708" w:rsidR="00A7577F" w:rsidRPr="00827721" w:rsidRDefault="00A7577F" w:rsidP="00B52E3B">
      <w:pPr>
        <w:pStyle w:val="Anexapct1"/>
        <w:rPr>
          <w:rFonts w:eastAsia="Arial Unicode MS"/>
          <w:lang w:eastAsia="ro-RO"/>
        </w:rPr>
      </w:pPr>
      <w:r w:rsidRPr="00827721">
        <w:rPr>
          <w:rFonts w:eastAsia="Arial Unicode MS"/>
          <w:lang w:eastAsia="ro-RO"/>
        </w:rPr>
        <w:t xml:space="preserve">Numai producția suplimentară peste randamentul dinamic de referință </w:t>
      </w:r>
      <w:r w:rsidR="00340E00" w:rsidRPr="00827721">
        <w:rPr>
          <w:rFonts w:eastAsia="Arial Unicode MS"/>
          <w:lang w:eastAsia="ro-RO"/>
        </w:rPr>
        <w:t>se declară</w:t>
      </w:r>
      <w:r w:rsidRPr="00827721">
        <w:rPr>
          <w:rFonts w:eastAsia="Arial Unicode MS"/>
          <w:lang w:eastAsia="ro-RO"/>
        </w:rPr>
        <w:t xml:space="preserve"> ca prezentând un risc redus de ILUC. </w:t>
      </w:r>
      <w:r w:rsidR="00765557" w:rsidRPr="00827721">
        <w:rPr>
          <w:rFonts w:eastAsia="Arial Unicode MS"/>
          <w:lang w:eastAsia="ro-RO"/>
        </w:rPr>
        <w:t>O</w:t>
      </w:r>
      <w:r w:rsidRPr="00827721">
        <w:rPr>
          <w:rFonts w:eastAsia="Arial Unicode MS"/>
          <w:lang w:eastAsia="ro-RO"/>
        </w:rPr>
        <w:t xml:space="preserve"> măsură de </w:t>
      </w:r>
      <w:proofErr w:type="spellStart"/>
      <w:r w:rsidRPr="00827721">
        <w:rPr>
          <w:rFonts w:eastAsia="Arial Unicode MS"/>
          <w:lang w:eastAsia="ro-RO"/>
        </w:rPr>
        <w:t>adiționalitate</w:t>
      </w:r>
      <w:proofErr w:type="spellEnd"/>
      <w:r w:rsidRPr="00827721">
        <w:rPr>
          <w:rFonts w:eastAsia="Arial Unicode MS"/>
          <w:lang w:eastAsia="ro-RO"/>
        </w:rPr>
        <w:t xml:space="preserve"> </w:t>
      </w:r>
      <w:r w:rsidR="00340E00" w:rsidRPr="00827721">
        <w:rPr>
          <w:rFonts w:eastAsia="Arial Unicode MS"/>
          <w:lang w:eastAsia="ro-RO"/>
        </w:rPr>
        <w:t>se</w:t>
      </w:r>
      <w:r w:rsidRPr="00827721">
        <w:rPr>
          <w:rFonts w:eastAsia="Arial Unicode MS"/>
          <w:lang w:eastAsia="ro-RO"/>
        </w:rPr>
        <w:t xml:space="preserve"> certific</w:t>
      </w:r>
      <w:r w:rsidR="00340E00" w:rsidRPr="00827721">
        <w:rPr>
          <w:rFonts w:eastAsia="Arial Unicode MS"/>
          <w:lang w:eastAsia="ro-RO"/>
        </w:rPr>
        <w:t>ă</w:t>
      </w:r>
      <w:r w:rsidRPr="00827721">
        <w:rPr>
          <w:rFonts w:eastAsia="Arial Unicode MS"/>
          <w:lang w:eastAsia="ro-RO"/>
        </w:rPr>
        <w:t xml:space="preserve"> </w:t>
      </w:r>
      <w:r w:rsidRPr="00827721">
        <w:rPr>
          <w:rFonts w:eastAsia="Arial Unicode MS"/>
          <w:lang w:eastAsia="ro-RO"/>
        </w:rPr>
        <w:lastRenderedPageBreak/>
        <w:t xml:space="preserve">numai dacă vizează obținerea unei producții suplimentare ca urmare a îmbunătățirii practicilor agricole. Dacă se aplică o măsură care vizează doar îmbunătățirea durabilității parcelei, fără a îmbunătăți productivitatea, aceasta nu este considerată o măsură de </w:t>
      </w:r>
      <w:proofErr w:type="spellStart"/>
      <w:r w:rsidRPr="00827721">
        <w:rPr>
          <w:rFonts w:eastAsia="Arial Unicode MS"/>
          <w:lang w:eastAsia="ro-RO"/>
        </w:rPr>
        <w:t>adiționalitate</w:t>
      </w:r>
      <w:proofErr w:type="spellEnd"/>
      <w:r w:rsidRPr="00827721">
        <w:rPr>
          <w:rFonts w:eastAsia="Arial Unicode MS"/>
          <w:lang w:eastAsia="ro-RO"/>
        </w:rPr>
        <w:t xml:space="preserve">. Acest lucru nu este valabil în cazul cultivării pe terenuri neutilizate, abandonate sau grav degradate, caz în care cultivarea în sine reprezintă măsura de </w:t>
      </w:r>
      <w:proofErr w:type="spellStart"/>
      <w:r w:rsidRPr="00827721">
        <w:rPr>
          <w:rFonts w:eastAsia="Arial Unicode MS"/>
          <w:lang w:eastAsia="ro-RO"/>
        </w:rPr>
        <w:t>adiționalitate</w:t>
      </w:r>
      <w:proofErr w:type="spellEnd"/>
      <w:r w:rsidRPr="00827721">
        <w:rPr>
          <w:rFonts w:eastAsia="Arial Unicode MS"/>
          <w:lang w:eastAsia="ro-RO"/>
        </w:rPr>
        <w:t>.</w:t>
      </w:r>
    </w:p>
    <w:p w14:paraId="2535FBFD" w14:textId="524DE588" w:rsidR="00A7577F" w:rsidRPr="00827721" w:rsidRDefault="00A7577F" w:rsidP="00B52E3B">
      <w:pPr>
        <w:pStyle w:val="Anexapct1"/>
        <w:rPr>
          <w:rFonts w:eastAsia="Arial Unicode MS"/>
          <w:lang w:eastAsia="ro-RO"/>
        </w:rPr>
      </w:pPr>
      <w:r w:rsidRPr="00827721">
        <w:rPr>
          <w:rFonts w:eastAsia="Arial Unicode MS"/>
          <w:lang w:eastAsia="ro-RO"/>
        </w:rPr>
        <w:t>Operatorul economic trebui</w:t>
      </w:r>
      <w:r w:rsidR="0051283C" w:rsidRPr="00827721">
        <w:rPr>
          <w:rFonts w:eastAsia="Arial Unicode MS"/>
          <w:lang w:eastAsia="ro-RO"/>
        </w:rPr>
        <w:t>e</w:t>
      </w:r>
      <w:r w:rsidRPr="00827721">
        <w:rPr>
          <w:rFonts w:eastAsia="Arial Unicode MS"/>
          <w:lang w:eastAsia="ro-RO"/>
        </w:rPr>
        <w:t xml:space="preserve"> să demonstreze că planul de gestionare stabilește așteptări rezonabile cu privire la creșterea randamentului, făcând referire, de exemplu, la literatura de specialitate, la experiența dobândită în urma studiilor efectuate pe teren, la informațiile furnizate de întreprinderile agronomice, la dezvoltatorii de semințe/îngrășăminte sau la calcule simple. Pentru certificarea proiectului sunt necesare dovezi satisfăcătoare care să susțină creșterea preconizată a randamentului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aplicate.</w:t>
      </w:r>
    </w:p>
    <w:p w14:paraId="2310EF4E" w14:textId="26AA1687" w:rsidR="00A7577F" w:rsidRPr="00827721" w:rsidRDefault="00A7577F" w:rsidP="00B52E3B">
      <w:pPr>
        <w:pStyle w:val="Anexapct1"/>
        <w:rPr>
          <w:rFonts w:eastAsia="Arial Unicode MS"/>
          <w:lang w:eastAsia="ro-RO"/>
        </w:rPr>
      </w:pPr>
      <w:r w:rsidRPr="00827721">
        <w:rPr>
          <w:rFonts w:eastAsia="Arial Unicode MS"/>
          <w:lang w:eastAsia="ro-RO"/>
        </w:rPr>
        <w:t xml:space="preserve">În cazul îmbunătățirilor agricole, practicile agricole aplicate, mașinile și mijloacele utilizate înainte și după aplicarea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sunt documentate în detaliu în cadrul planului de gestionare. Acest lucru permite o comparație pentru (</w:t>
      </w:r>
      <w:r w:rsidR="00823713" w:rsidRPr="00827721">
        <w:rPr>
          <w:rFonts w:eastAsia="Arial Unicode MS"/>
          <w:lang w:eastAsia="ro-RO"/>
        </w:rPr>
        <w:t>i</w:t>
      </w:r>
      <w:r w:rsidRPr="00827721">
        <w:rPr>
          <w:rFonts w:eastAsia="Arial Unicode MS"/>
          <w:lang w:eastAsia="ro-RO"/>
        </w:rPr>
        <w:t xml:space="preserve">) a stabili dacă a fost pusă în aplicare o măsură de </w:t>
      </w:r>
      <w:proofErr w:type="spellStart"/>
      <w:r w:rsidRPr="00827721">
        <w:rPr>
          <w:rFonts w:eastAsia="Arial Unicode MS"/>
          <w:lang w:eastAsia="ro-RO"/>
        </w:rPr>
        <w:t>adiționalitate</w:t>
      </w:r>
      <w:proofErr w:type="spellEnd"/>
      <w:r w:rsidRPr="00827721">
        <w:rPr>
          <w:rFonts w:eastAsia="Arial Unicode MS"/>
          <w:lang w:eastAsia="ro-RO"/>
        </w:rPr>
        <w:t>; (</w:t>
      </w:r>
      <w:r w:rsidR="00823713" w:rsidRPr="00827721">
        <w:rPr>
          <w:rFonts w:eastAsia="Arial Unicode MS"/>
          <w:lang w:eastAsia="ro-RO"/>
        </w:rPr>
        <w:t>ii</w:t>
      </w:r>
      <w:r w:rsidRPr="00827721">
        <w:rPr>
          <w:rFonts w:eastAsia="Arial Unicode MS"/>
          <w:lang w:eastAsia="ro-RO"/>
        </w:rPr>
        <w:t xml:space="preserve">) a evalua dacă măsura de </w:t>
      </w:r>
      <w:proofErr w:type="spellStart"/>
      <w:r w:rsidRPr="00827721">
        <w:rPr>
          <w:rFonts w:eastAsia="Arial Unicode MS"/>
          <w:lang w:eastAsia="ro-RO"/>
        </w:rPr>
        <w:t>adiționalitate</w:t>
      </w:r>
      <w:proofErr w:type="spellEnd"/>
      <w:r w:rsidRPr="00827721">
        <w:rPr>
          <w:rFonts w:eastAsia="Arial Unicode MS"/>
          <w:lang w:eastAsia="ro-RO"/>
        </w:rPr>
        <w:t xml:space="preserve"> respectivă </w:t>
      </w:r>
      <w:r w:rsidR="006D3D27" w:rsidRPr="00827721">
        <w:rPr>
          <w:rFonts w:eastAsia="Arial Unicode MS"/>
          <w:lang w:eastAsia="ro-RO"/>
        </w:rPr>
        <w:t>se</w:t>
      </w:r>
      <w:r w:rsidRPr="00827721">
        <w:rPr>
          <w:rFonts w:eastAsia="Arial Unicode MS"/>
          <w:lang w:eastAsia="ro-RO"/>
        </w:rPr>
        <w:t xml:space="preserve"> consider</w:t>
      </w:r>
      <w:r w:rsidR="006D3D27" w:rsidRPr="00827721">
        <w:rPr>
          <w:rFonts w:eastAsia="Arial Unicode MS"/>
          <w:lang w:eastAsia="ro-RO"/>
        </w:rPr>
        <w:t>ă</w:t>
      </w:r>
      <w:r w:rsidRPr="00827721">
        <w:rPr>
          <w:rFonts w:eastAsia="Arial Unicode MS"/>
          <w:lang w:eastAsia="ro-RO"/>
        </w:rPr>
        <w:t xml:space="preserve"> ca fiind suplimentară în comparație cu o evoluție a statu-quo-ului.</w:t>
      </w:r>
    </w:p>
    <w:p w14:paraId="56D8F56C" w14:textId="76535F39" w:rsidR="00981B4F" w:rsidRPr="00827721" w:rsidRDefault="00981B4F" w:rsidP="00981B4F">
      <w:pPr>
        <w:pStyle w:val="Sectiune"/>
        <w:rPr>
          <w:rFonts w:eastAsia="Arial Unicode MS"/>
          <w:lang w:eastAsia="ro-RO"/>
        </w:rPr>
      </w:pPr>
      <w:r w:rsidRPr="00827721">
        <w:rPr>
          <w:rFonts w:eastAsia="Arial Unicode MS"/>
          <w:lang w:eastAsia="ro-RO"/>
        </w:rPr>
        <w:t>Partea B</w:t>
      </w:r>
    </w:p>
    <w:p w14:paraId="5C4C055A" w14:textId="601DC3E0" w:rsidR="00981B4F" w:rsidRPr="00827721" w:rsidRDefault="00981B4F" w:rsidP="00981B4F">
      <w:pPr>
        <w:pStyle w:val="Sectiune"/>
        <w:rPr>
          <w:rFonts w:eastAsia="Arial Unicode MS"/>
          <w:lang w:eastAsia="ro-RO"/>
        </w:rPr>
      </w:pPr>
      <w:r w:rsidRPr="00827721">
        <w:rPr>
          <w:rFonts w:eastAsia="Arial Unicode MS"/>
          <w:lang w:eastAsia="ro-RO"/>
        </w:rPr>
        <w:t xml:space="preserve">Evaluarea </w:t>
      </w:r>
      <w:proofErr w:type="spellStart"/>
      <w:r w:rsidRPr="00827721">
        <w:rPr>
          <w:rFonts w:eastAsia="Arial Unicode MS"/>
          <w:lang w:eastAsia="ro-RO"/>
        </w:rPr>
        <w:t>adiționalității</w:t>
      </w:r>
      <w:proofErr w:type="spellEnd"/>
      <w:r w:rsidRPr="00827721">
        <w:rPr>
          <w:rFonts w:eastAsia="Arial Unicode MS"/>
          <w:lang w:eastAsia="ro-RO"/>
        </w:rPr>
        <w:t>: teste de atractivitate financiară sau de analiză a obstacolelor</w:t>
      </w:r>
    </w:p>
    <w:p w14:paraId="6B7634B8" w14:textId="77777777" w:rsidR="00981B4F" w:rsidRPr="00827721" w:rsidRDefault="00981B4F" w:rsidP="00981B4F">
      <w:pPr>
        <w:pStyle w:val="Capitol"/>
        <w:spacing w:before="0"/>
        <w:rPr>
          <w:rFonts w:eastAsia="Arial Unicode MS"/>
          <w:lang w:eastAsia="ro-RO"/>
        </w:rPr>
      </w:pPr>
      <w:r w:rsidRPr="00827721">
        <w:rPr>
          <w:rFonts w:eastAsia="Arial Unicode MS"/>
          <w:caps w:val="0"/>
          <w:lang w:eastAsia="ro-RO"/>
        </w:rPr>
        <w:t>Capitolul</w:t>
      </w:r>
      <w:r w:rsidRPr="00827721">
        <w:rPr>
          <w:rFonts w:eastAsia="Arial Unicode MS"/>
          <w:lang w:eastAsia="ro-RO"/>
        </w:rPr>
        <w:t xml:space="preserve"> I</w:t>
      </w:r>
    </w:p>
    <w:p w14:paraId="6DF3DEA7" w14:textId="14853129" w:rsidR="00A7577F" w:rsidRPr="00827721" w:rsidRDefault="00A7577F" w:rsidP="007A41EE">
      <w:pPr>
        <w:pStyle w:val="Capitol"/>
        <w:rPr>
          <w:rFonts w:eastAsia="Arial Unicode MS"/>
          <w:lang w:eastAsia="ro-RO"/>
        </w:rPr>
      </w:pPr>
      <w:r w:rsidRPr="00827721">
        <w:rPr>
          <w:rFonts w:eastAsia="Arial Unicode MS"/>
          <w:lang w:eastAsia="ro-RO"/>
        </w:rPr>
        <w:t>Testul de atractivitate financiară</w:t>
      </w:r>
    </w:p>
    <w:p w14:paraId="3FB19006" w14:textId="77777777" w:rsidR="00A7577F" w:rsidRPr="00827721" w:rsidRDefault="00A7577F" w:rsidP="007A41EE">
      <w:pPr>
        <w:pStyle w:val="Anexapct1"/>
        <w:rPr>
          <w:rFonts w:eastAsia="Arial Unicode MS"/>
          <w:lang w:eastAsia="ro-RO"/>
        </w:rPr>
      </w:pPr>
      <w:r w:rsidRPr="00827721">
        <w:rPr>
          <w:rFonts w:eastAsia="Arial Unicode MS"/>
          <w:lang w:eastAsia="ro-RO"/>
        </w:rPr>
        <w:t xml:space="preserve">Testul de atractivitate financiară trebuie să demonstreze că investiția necesară pentru măsura de </w:t>
      </w:r>
      <w:proofErr w:type="spellStart"/>
      <w:r w:rsidRPr="00827721">
        <w:rPr>
          <w:rFonts w:eastAsia="Arial Unicode MS"/>
          <w:lang w:eastAsia="ro-RO"/>
        </w:rPr>
        <w:t>adiționalitate</w:t>
      </w:r>
      <w:proofErr w:type="spellEnd"/>
      <w:r w:rsidRPr="00827721">
        <w:rPr>
          <w:rFonts w:eastAsia="Arial Unicode MS"/>
          <w:lang w:eastAsia="ro-RO"/>
        </w:rPr>
        <w:t xml:space="preserve"> devine atractivă din punct de vedere financiar numai dacă producția suplimentară rezultată este certificată ca prezentând riscuri reduse din perspectiva schimbării indirecte a destinației terenurilor. Analiza constă într-o analiză financiară simplă a investiției preconizate pentru măsura de </w:t>
      </w:r>
      <w:proofErr w:type="spellStart"/>
      <w:r w:rsidRPr="00827721">
        <w:rPr>
          <w:rFonts w:eastAsia="Arial Unicode MS"/>
          <w:lang w:eastAsia="ro-RO"/>
        </w:rPr>
        <w:t>adiționalitate</w:t>
      </w:r>
      <w:proofErr w:type="spellEnd"/>
      <w:r w:rsidRPr="00827721">
        <w:rPr>
          <w:rFonts w:eastAsia="Arial Unicode MS"/>
          <w:lang w:eastAsia="ro-RO"/>
        </w:rPr>
        <w:t xml:space="preserve"> care prezintă riscuri reduse din perspectiva schimbării indirecte a destinației terenurilor.</w:t>
      </w:r>
    </w:p>
    <w:p w14:paraId="19EF0AA0" w14:textId="77777777" w:rsidR="00A7577F" w:rsidRPr="00827721" w:rsidRDefault="00A7577F" w:rsidP="007A41EE">
      <w:pPr>
        <w:pStyle w:val="Anexapct1"/>
        <w:rPr>
          <w:rFonts w:eastAsia="Arial Unicode MS"/>
          <w:lang w:eastAsia="ro-RO"/>
        </w:rPr>
      </w:pPr>
      <w:r w:rsidRPr="00827721">
        <w:rPr>
          <w:rFonts w:eastAsia="Arial Unicode MS"/>
          <w:lang w:eastAsia="ro-RO"/>
        </w:rPr>
        <w:t xml:space="preserve">Testul include numai acele costuri și randamente care sunt direct legate de investiția aferentă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Prin urmare, costurile normale de exploatare ale întregii exploatații nu sunt incluse în analiză. Costurile și veniturile incluse în test sunt legate de pregătirea, punerea în aplicare, menținerea și retragerea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care nu ar fi fost altfel suportate.</w:t>
      </w:r>
    </w:p>
    <w:p w14:paraId="02776ACE" w14:textId="74B2D246" w:rsidR="00A7577F" w:rsidRPr="00827721" w:rsidRDefault="00A7577F" w:rsidP="007A41EE">
      <w:pPr>
        <w:pStyle w:val="Anexapct1"/>
        <w:rPr>
          <w:rFonts w:eastAsia="Arial Unicode MS"/>
          <w:lang w:eastAsia="ro-RO"/>
        </w:rPr>
      </w:pPr>
      <w:r w:rsidRPr="00827721">
        <w:rPr>
          <w:rFonts w:eastAsia="Arial Unicode MS"/>
          <w:lang w:eastAsia="ro-RO"/>
        </w:rPr>
        <w:lastRenderedPageBreak/>
        <w:t xml:space="preserve">Atractivitatea financiară rezultă dintr-o argumentare economică în care valoarea actualizată netă </w:t>
      </w:r>
      <w:r w:rsidR="00823713" w:rsidRPr="00827721">
        <w:rPr>
          <w:rFonts w:eastAsia="Arial Unicode MS"/>
          <w:lang w:eastAsia="ro-RO"/>
        </w:rPr>
        <w:t xml:space="preserve">(în continuare - </w:t>
      </w:r>
      <w:r w:rsidRPr="00827721">
        <w:rPr>
          <w:rFonts w:eastAsia="Arial Unicode MS"/>
          <w:i/>
          <w:iCs/>
          <w:lang w:eastAsia="ro-RO"/>
        </w:rPr>
        <w:t>VAN</w:t>
      </w:r>
      <w:r w:rsidRPr="00827721">
        <w:rPr>
          <w:rFonts w:eastAsia="Arial Unicode MS"/>
          <w:lang w:eastAsia="ro-RO"/>
        </w:rPr>
        <w:t xml:space="preserve">) a investiției este pozitivă, ceea ce </w:t>
      </w:r>
      <w:r w:rsidR="00180BFD" w:rsidRPr="00827721">
        <w:rPr>
          <w:rFonts w:eastAsia="Arial Unicode MS"/>
          <w:lang w:eastAsia="ro-RO"/>
        </w:rPr>
        <w:t xml:space="preserve">indică faptul </w:t>
      </w:r>
      <w:r w:rsidRPr="00827721">
        <w:rPr>
          <w:rFonts w:eastAsia="Arial Unicode MS"/>
          <w:lang w:eastAsia="ro-RO"/>
        </w:rPr>
        <w:t xml:space="preserve">că investiția poate fi realizată de operatorul economic. Prin urmare, numai măsurile pentru care analiza argumentelor economice este negativă (fără includerea unei prime) trebuie să treacă testul de </w:t>
      </w:r>
      <w:proofErr w:type="spellStart"/>
      <w:r w:rsidRPr="00827721">
        <w:rPr>
          <w:rFonts w:eastAsia="Arial Unicode MS"/>
          <w:lang w:eastAsia="ro-RO"/>
        </w:rPr>
        <w:t>adiționalitate</w:t>
      </w:r>
      <w:proofErr w:type="spellEnd"/>
      <w:r w:rsidRPr="00827721">
        <w:rPr>
          <w:rFonts w:eastAsia="Arial Unicode MS"/>
          <w:lang w:eastAsia="ro-RO"/>
        </w:rPr>
        <w:t xml:space="preserve"> financiară și să devină eligibile pentru a fi certificate ca prezentând riscuri reduse din perspectiva schimbării indirecte a destinației terenurilor. Rezultatele peste zero (o VAN pozitivă) pot fi eligibile numai dacă trec testul privind obstacolele nefinanciare.</w:t>
      </w:r>
    </w:p>
    <w:p w14:paraId="3A4909AC" w14:textId="77777777" w:rsidR="00A7577F" w:rsidRPr="00827721" w:rsidRDefault="00A7577F" w:rsidP="002D029E">
      <w:pPr>
        <w:pStyle w:val="Anexapct1"/>
        <w:rPr>
          <w:rFonts w:eastAsia="Arial Unicode MS"/>
          <w:lang w:eastAsia="ro-RO"/>
        </w:rPr>
      </w:pPr>
      <w:r w:rsidRPr="00827721">
        <w:rPr>
          <w:rFonts w:eastAsia="Arial Unicode MS"/>
          <w:lang w:eastAsia="ro-RO"/>
        </w:rPr>
        <w:t>Formula de calcul al VAN a unei investiții:</w:t>
      </w:r>
    </w:p>
    <w:p w14:paraId="1F04E51A" w14:textId="77777777" w:rsidR="00A7577F" w:rsidRPr="00827721" w:rsidRDefault="00A7577F" w:rsidP="002D029E">
      <w:pPr>
        <w:shd w:val="clear" w:color="auto" w:fill="FFFFFF"/>
        <w:spacing w:before="120" w:line="312" w:lineRule="atLeast"/>
        <w:ind w:firstLine="0"/>
        <w:jc w:val="center"/>
        <w:rPr>
          <w:rFonts w:ascii="Arial Unicode MS" w:eastAsia="Arial Unicode MS" w:hAnsi="Arial Unicode MS" w:cs="Arial Unicode MS"/>
          <w:sz w:val="21"/>
          <w:szCs w:val="21"/>
          <w:lang w:eastAsia="ro-RO"/>
        </w:rPr>
      </w:pPr>
      <w:r w:rsidRPr="00827721">
        <w:rPr>
          <w:rFonts w:ascii="Arial Unicode MS" w:eastAsia="Arial Unicode MS" w:hAnsi="Arial Unicode MS" w:cs="Arial Unicode MS"/>
          <w:noProof/>
          <w:sz w:val="21"/>
          <w:szCs w:val="21"/>
          <w:lang w:eastAsia="ro-RO"/>
        </w:rPr>
        <w:drawing>
          <wp:inline distT="0" distB="0" distL="0" distR="0" wp14:anchorId="77812B1B" wp14:editId="2A1124E3">
            <wp:extent cx="1536700" cy="444500"/>
            <wp:effectExtent l="0" t="0" r="6350" b="0"/>
            <wp:docPr id="23"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6700" cy="444500"/>
                    </a:xfrm>
                    <a:prstGeom prst="rect">
                      <a:avLst/>
                    </a:prstGeom>
                    <a:noFill/>
                    <a:ln>
                      <a:noFill/>
                    </a:ln>
                  </pic:spPr>
                </pic:pic>
              </a:graphicData>
            </a:graphic>
          </wp:inline>
        </w:drawing>
      </w:r>
    </w:p>
    <w:p w14:paraId="19D5EA38" w14:textId="77777777" w:rsidR="00A7577F" w:rsidRPr="00827721" w:rsidRDefault="00A7577F" w:rsidP="002D029E">
      <w:pPr>
        <w:rPr>
          <w:rFonts w:eastAsia="Arial Unicode MS"/>
          <w:lang w:eastAsia="ro-RO"/>
        </w:rPr>
      </w:pPr>
      <w:r w:rsidRPr="00827721">
        <w:rPr>
          <w:rFonts w:eastAsia="Arial Unicode MS"/>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263"/>
        <w:gridCol w:w="305"/>
        <w:gridCol w:w="8893"/>
      </w:tblGrid>
      <w:tr w:rsidR="00A7577F" w:rsidRPr="00827721" w14:paraId="3866B468" w14:textId="77777777" w:rsidTr="00022F00">
        <w:tc>
          <w:tcPr>
            <w:tcW w:w="139" w:type="pct"/>
            <w:shd w:val="clear" w:color="auto" w:fill="FFFFFF"/>
            <w:hideMark/>
          </w:tcPr>
          <w:p w14:paraId="3E871CAB" w14:textId="77777777" w:rsidR="00A7577F" w:rsidRPr="00827721" w:rsidRDefault="00A7577F" w:rsidP="00A7577F">
            <w:pPr>
              <w:spacing w:before="120" w:line="312" w:lineRule="atLeast"/>
              <w:ind w:firstLine="0"/>
              <w:rPr>
                <w:rFonts w:eastAsia="Arial Unicode MS"/>
                <w:szCs w:val="28"/>
                <w:lang w:eastAsia="ro-RO"/>
              </w:rPr>
            </w:pPr>
            <w:r w:rsidRPr="00827721">
              <w:rPr>
                <w:rFonts w:eastAsia="Arial Unicode MS"/>
                <w:szCs w:val="28"/>
                <w:lang w:eastAsia="ro-RO"/>
              </w:rPr>
              <w:t>P</w:t>
            </w:r>
          </w:p>
        </w:tc>
        <w:tc>
          <w:tcPr>
            <w:tcW w:w="161" w:type="pct"/>
            <w:shd w:val="clear" w:color="auto" w:fill="FFFFFF"/>
            <w:hideMark/>
          </w:tcPr>
          <w:p w14:paraId="60639A0B" w14:textId="77777777" w:rsidR="00A7577F" w:rsidRPr="00827721" w:rsidRDefault="00A7577F" w:rsidP="00A7577F">
            <w:pPr>
              <w:spacing w:before="120" w:line="312" w:lineRule="atLeast"/>
              <w:ind w:firstLine="0"/>
              <w:rPr>
                <w:rFonts w:eastAsia="Arial Unicode MS"/>
                <w:szCs w:val="28"/>
                <w:lang w:eastAsia="ro-RO"/>
              </w:rPr>
            </w:pPr>
            <w:r w:rsidRPr="00827721">
              <w:rPr>
                <w:rFonts w:eastAsia="Arial Unicode MS"/>
                <w:szCs w:val="28"/>
                <w:lang w:eastAsia="ro-RO"/>
              </w:rPr>
              <w:t>=</w:t>
            </w:r>
          </w:p>
        </w:tc>
        <w:tc>
          <w:tcPr>
            <w:tcW w:w="4700" w:type="pct"/>
            <w:shd w:val="clear" w:color="auto" w:fill="FFFFFF"/>
            <w:hideMark/>
          </w:tcPr>
          <w:p w14:paraId="6819949A" w14:textId="64313523" w:rsidR="00A7577F" w:rsidRPr="00827721" w:rsidRDefault="00A7577F" w:rsidP="00A7577F">
            <w:pPr>
              <w:spacing w:before="120" w:line="312" w:lineRule="atLeast"/>
              <w:ind w:firstLine="0"/>
              <w:rPr>
                <w:rFonts w:eastAsia="Arial Unicode MS"/>
                <w:szCs w:val="28"/>
                <w:lang w:eastAsia="ro-RO"/>
              </w:rPr>
            </w:pPr>
            <w:r w:rsidRPr="00827721">
              <w:rPr>
                <w:rFonts w:eastAsia="Arial Unicode MS"/>
                <w:szCs w:val="28"/>
                <w:lang w:eastAsia="ro-RO"/>
              </w:rPr>
              <w:t>venitul preconizat a fi obținut din biomasa suplimentară (volumul estimat de biomasă suplimentară × prețul de vânzare al materiilor prime fără primă pentru riscuri reduse de ILUC)</w:t>
            </w:r>
            <w:r w:rsidR="00D10E57" w:rsidRPr="00827721">
              <w:rPr>
                <w:rFonts w:eastAsia="Arial Unicode MS"/>
                <w:szCs w:val="28"/>
                <w:lang w:eastAsia="ro-RO"/>
              </w:rPr>
              <w:t>;</w:t>
            </w:r>
          </w:p>
        </w:tc>
      </w:tr>
      <w:tr w:rsidR="00022F00" w:rsidRPr="00827721" w14:paraId="3389DEF1" w14:textId="77777777" w:rsidTr="00022F00">
        <w:tc>
          <w:tcPr>
            <w:tcW w:w="139" w:type="pct"/>
            <w:shd w:val="clear" w:color="auto" w:fill="FFFFFF"/>
          </w:tcPr>
          <w:p w14:paraId="7E56F2E5" w14:textId="30FB138A"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L</w:t>
            </w:r>
          </w:p>
        </w:tc>
        <w:tc>
          <w:tcPr>
            <w:tcW w:w="161" w:type="pct"/>
            <w:shd w:val="clear" w:color="auto" w:fill="FFFFFF"/>
          </w:tcPr>
          <w:p w14:paraId="68B128F6" w14:textId="2B296FB9"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w:t>
            </w:r>
          </w:p>
        </w:tc>
        <w:tc>
          <w:tcPr>
            <w:tcW w:w="4700" w:type="pct"/>
            <w:shd w:val="clear" w:color="auto" w:fill="FFFFFF"/>
          </w:tcPr>
          <w:p w14:paraId="6F7D4340" w14:textId="4ED07F18"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 xml:space="preserve">costul măsurii de </w:t>
            </w:r>
            <w:proofErr w:type="spellStart"/>
            <w:r w:rsidRPr="00827721">
              <w:rPr>
                <w:rFonts w:eastAsia="Arial Unicode MS"/>
                <w:szCs w:val="28"/>
                <w:lang w:eastAsia="ro-RO"/>
              </w:rPr>
              <w:t>adiționalitate</w:t>
            </w:r>
            <w:proofErr w:type="spellEnd"/>
            <w:r w:rsidRPr="00827721">
              <w:rPr>
                <w:rFonts w:eastAsia="Arial Unicode MS"/>
                <w:szCs w:val="28"/>
                <w:lang w:eastAsia="ro-RO"/>
              </w:rPr>
              <w:t xml:space="preserve"> (CAPEX și OPEX)</w:t>
            </w:r>
            <w:r w:rsidR="00D10E57" w:rsidRPr="00827721">
              <w:rPr>
                <w:rFonts w:eastAsia="Arial Unicode MS"/>
                <w:szCs w:val="28"/>
                <w:lang w:eastAsia="ro-RO"/>
              </w:rPr>
              <w:t>;</w:t>
            </w:r>
          </w:p>
        </w:tc>
      </w:tr>
      <w:tr w:rsidR="00022F00" w:rsidRPr="00827721" w14:paraId="4129B5D7" w14:textId="77777777" w:rsidTr="00022F00">
        <w:tc>
          <w:tcPr>
            <w:tcW w:w="139" w:type="pct"/>
            <w:shd w:val="clear" w:color="auto" w:fill="FFFFFF"/>
          </w:tcPr>
          <w:p w14:paraId="3F528205" w14:textId="2815AED2"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i</w:t>
            </w:r>
          </w:p>
        </w:tc>
        <w:tc>
          <w:tcPr>
            <w:tcW w:w="161" w:type="pct"/>
            <w:shd w:val="clear" w:color="auto" w:fill="FFFFFF"/>
          </w:tcPr>
          <w:p w14:paraId="5B52CCC3" w14:textId="62E07193"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w:t>
            </w:r>
          </w:p>
        </w:tc>
        <w:tc>
          <w:tcPr>
            <w:tcW w:w="4700" w:type="pct"/>
            <w:shd w:val="clear" w:color="auto" w:fill="FFFFFF"/>
          </w:tcPr>
          <w:p w14:paraId="1286319B" w14:textId="2FA88D78"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rata de actualizare</w:t>
            </w:r>
            <w:r w:rsidR="00D10E57" w:rsidRPr="00827721">
              <w:rPr>
                <w:rFonts w:eastAsia="Arial Unicode MS"/>
                <w:szCs w:val="28"/>
                <w:lang w:eastAsia="ro-RO"/>
              </w:rPr>
              <w:t>;</w:t>
            </w:r>
          </w:p>
        </w:tc>
      </w:tr>
      <w:tr w:rsidR="00022F00" w:rsidRPr="00827721" w14:paraId="5519A935" w14:textId="77777777" w:rsidTr="00022F00">
        <w:tc>
          <w:tcPr>
            <w:tcW w:w="139" w:type="pct"/>
            <w:shd w:val="clear" w:color="auto" w:fill="FFFFFF"/>
          </w:tcPr>
          <w:p w14:paraId="7DB8054F" w14:textId="1F0DA717"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t</w:t>
            </w:r>
          </w:p>
        </w:tc>
        <w:tc>
          <w:tcPr>
            <w:tcW w:w="161" w:type="pct"/>
            <w:shd w:val="clear" w:color="auto" w:fill="FFFFFF"/>
          </w:tcPr>
          <w:p w14:paraId="17B0A728" w14:textId="69CFE044"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w:t>
            </w:r>
          </w:p>
        </w:tc>
        <w:tc>
          <w:tcPr>
            <w:tcW w:w="4700" w:type="pct"/>
            <w:shd w:val="clear" w:color="auto" w:fill="FFFFFF"/>
          </w:tcPr>
          <w:p w14:paraId="6F095BF5" w14:textId="7047EE96" w:rsidR="00022F00" w:rsidRPr="00827721" w:rsidRDefault="00022F00" w:rsidP="00022F00">
            <w:pPr>
              <w:spacing w:before="120" w:line="312" w:lineRule="atLeast"/>
              <w:ind w:firstLine="0"/>
              <w:rPr>
                <w:rFonts w:eastAsia="Arial Unicode MS"/>
                <w:szCs w:val="28"/>
                <w:lang w:eastAsia="ro-RO"/>
              </w:rPr>
            </w:pPr>
            <w:r w:rsidRPr="00827721">
              <w:rPr>
                <w:rFonts w:eastAsia="Arial Unicode MS"/>
                <w:szCs w:val="28"/>
                <w:lang w:eastAsia="ro-RO"/>
              </w:rPr>
              <w:t>intervalul de timp</w:t>
            </w:r>
            <w:r w:rsidR="00D10E57" w:rsidRPr="00827721">
              <w:rPr>
                <w:rFonts w:eastAsia="Arial Unicode MS"/>
                <w:szCs w:val="28"/>
                <w:lang w:eastAsia="ro-RO"/>
              </w:rPr>
              <w:t>.</w:t>
            </w:r>
          </w:p>
        </w:tc>
      </w:tr>
    </w:tbl>
    <w:p w14:paraId="7B985CCA" w14:textId="77777777" w:rsidR="00A7577F" w:rsidRPr="00827721" w:rsidRDefault="00A7577F" w:rsidP="00D10E57">
      <w:pPr>
        <w:pStyle w:val="Anexapct1"/>
        <w:rPr>
          <w:rFonts w:eastAsia="Arial Unicode MS"/>
          <w:lang w:eastAsia="ro-RO"/>
        </w:rPr>
      </w:pPr>
      <w:r w:rsidRPr="00827721">
        <w:t>Parametrii</w:t>
      </w:r>
      <w:r w:rsidRPr="00827721">
        <w:rPr>
          <w:rFonts w:eastAsia="Arial Unicode MS"/>
          <w:lang w:eastAsia="ro-RO"/>
        </w:rPr>
        <w:t xml:space="preserve"> utilizați în calculul VAN trebuie să fie în conformitate cu datele incluse în planul de gestionare.</w:t>
      </w:r>
    </w:p>
    <w:p w14:paraId="1F2CA78C" w14:textId="77777777" w:rsidR="00A7577F" w:rsidRPr="00827721" w:rsidRDefault="00A7577F" w:rsidP="00D10E57">
      <w:pPr>
        <w:pStyle w:val="Anexapct1"/>
        <w:rPr>
          <w:rFonts w:eastAsia="Arial Unicode MS"/>
          <w:lang w:eastAsia="ro-RO"/>
        </w:rPr>
      </w:pPr>
      <w:r w:rsidRPr="00827721">
        <w:rPr>
          <w:rFonts w:eastAsia="Arial Unicode MS"/>
          <w:lang w:eastAsia="ro-RO"/>
        </w:rPr>
        <w:t>În calculul VAN se includ următorii parametri:</w:t>
      </w:r>
    </w:p>
    <w:p w14:paraId="03192C2C" w14:textId="77777777" w:rsidR="00A7577F" w:rsidRPr="00827721" w:rsidRDefault="00A7577F" w:rsidP="00222505">
      <w:pPr>
        <w:pStyle w:val="Anexapct11"/>
        <w:rPr>
          <w:rFonts w:eastAsia="Arial Unicode MS"/>
          <w:lang w:eastAsia="ro-RO"/>
        </w:rPr>
      </w:pPr>
      <w:r w:rsidRPr="00827721">
        <w:rPr>
          <w:rFonts w:eastAsia="Arial Unicode MS"/>
          <w:lang w:eastAsia="ro-RO"/>
        </w:rPr>
        <w:t>volumul estimat de biomasă suplimentară;</w:t>
      </w:r>
    </w:p>
    <w:p w14:paraId="282038EC" w14:textId="77777777" w:rsidR="00A7577F" w:rsidRPr="00827721" w:rsidRDefault="00A7577F" w:rsidP="00222505">
      <w:pPr>
        <w:pStyle w:val="Anexapct11"/>
        <w:rPr>
          <w:rFonts w:eastAsia="Arial Unicode MS"/>
          <w:lang w:eastAsia="ro-RO"/>
        </w:rPr>
      </w:pPr>
      <w:r w:rsidRPr="00827721">
        <w:rPr>
          <w:rFonts w:eastAsia="Arial Unicode MS"/>
          <w:lang w:eastAsia="ro-RO"/>
        </w:rPr>
        <w:t>prețul de vânzare al materiilor prime [monedă/tonă]:</w:t>
      </w:r>
    </w:p>
    <w:p w14:paraId="31674646" w14:textId="77777777" w:rsidR="00A7577F" w:rsidRPr="00827721" w:rsidRDefault="00A7577F" w:rsidP="00222505">
      <w:pPr>
        <w:pStyle w:val="Anexapct111"/>
        <w:rPr>
          <w:rFonts w:eastAsia="Arial Unicode MS"/>
          <w:lang w:eastAsia="ro-RO"/>
        </w:rPr>
      </w:pPr>
      <w:r w:rsidRPr="00827721">
        <w:rPr>
          <w:rFonts w:eastAsia="Arial Unicode MS"/>
          <w:lang w:eastAsia="ro-RO"/>
        </w:rPr>
        <w:t>prețul de vânzare al materiilor prime poate fi un singur număr extrapolat pe durata de viață a investiției în producția suplimentară;</w:t>
      </w:r>
    </w:p>
    <w:p w14:paraId="2862E63A" w14:textId="77777777" w:rsidR="00A7577F" w:rsidRPr="00827721" w:rsidRDefault="00A7577F" w:rsidP="00222505">
      <w:pPr>
        <w:pStyle w:val="Anexapct111"/>
        <w:rPr>
          <w:rFonts w:eastAsia="Arial Unicode MS"/>
          <w:lang w:eastAsia="ro-RO"/>
        </w:rPr>
      </w:pPr>
      <w:r w:rsidRPr="00827721">
        <w:rPr>
          <w:rFonts w:eastAsia="Arial Unicode MS"/>
          <w:lang w:eastAsia="ro-RO"/>
        </w:rPr>
        <w:t>acest număr unic se poate baza pe o medie a valorilor istorice reale ale vânzărilor de materii prime realizate de operatorul economic. Valoarea medie se bazează pe datele pentru aceeași perioadă de trei ani ca și datele istorice privind randamentul utilizate pentru a stabili randamentul dinamic de referință;</w:t>
      </w:r>
    </w:p>
    <w:p w14:paraId="779D3831" w14:textId="653D8D2D" w:rsidR="00A7577F" w:rsidRPr="00827721" w:rsidRDefault="00A7577F" w:rsidP="00222505">
      <w:pPr>
        <w:pStyle w:val="Anexapct111"/>
        <w:rPr>
          <w:rFonts w:eastAsia="Arial Unicode MS"/>
          <w:lang w:eastAsia="ro-RO"/>
        </w:rPr>
      </w:pPr>
      <w:r w:rsidRPr="00827721">
        <w:rPr>
          <w:rFonts w:eastAsia="Arial Unicode MS"/>
          <w:lang w:eastAsia="ro-RO"/>
        </w:rPr>
        <w:t>în cazul introducerii unei culturi noi pentru care operatorul economic nu dispune de date reale privind prețurile, această valoare se poate baza pe datele privind prețurile furnizate de</w:t>
      </w:r>
      <w:r w:rsidR="00350726" w:rsidRPr="00827721">
        <w:rPr>
          <w:rFonts w:eastAsia="Arial Unicode MS"/>
          <w:lang w:eastAsia="ro-RO"/>
        </w:rPr>
        <w:t xml:space="preserve"> baza de date statistică corporativă a Organizației pentru Alimentație și Agricultură</w:t>
      </w:r>
      <w:r w:rsidRPr="00827721">
        <w:rPr>
          <w:rFonts w:eastAsia="Arial Unicode MS"/>
          <w:lang w:eastAsia="ro-RO"/>
        </w:rPr>
        <w:t xml:space="preserve"> </w:t>
      </w:r>
      <w:r w:rsidR="00350726" w:rsidRPr="00827721">
        <w:rPr>
          <w:rFonts w:eastAsia="Arial Unicode MS"/>
          <w:lang w:eastAsia="ro-RO"/>
        </w:rPr>
        <w:t xml:space="preserve">(în continuare – </w:t>
      </w:r>
      <w:r w:rsidRPr="00827721">
        <w:rPr>
          <w:rFonts w:eastAsia="Arial Unicode MS"/>
          <w:i/>
          <w:iCs/>
          <w:lang w:eastAsia="ro-RO"/>
        </w:rPr>
        <w:t>FAOSTAT</w:t>
      </w:r>
      <w:r w:rsidR="00350726" w:rsidRPr="00827721">
        <w:rPr>
          <w:rFonts w:eastAsia="Arial Unicode MS"/>
          <w:lang w:eastAsia="ro-RO"/>
        </w:rPr>
        <w:t>)</w:t>
      </w:r>
      <w:r w:rsidRPr="00827721">
        <w:rPr>
          <w:rFonts w:eastAsia="Arial Unicode MS"/>
          <w:lang w:eastAsia="ro-RO"/>
        </w:rPr>
        <w:t>;</w:t>
      </w:r>
    </w:p>
    <w:p w14:paraId="3C805A25" w14:textId="60673135" w:rsidR="00A7577F" w:rsidRPr="00827721" w:rsidRDefault="00A7577F" w:rsidP="00A433F4">
      <w:pPr>
        <w:pStyle w:val="Anexapct11"/>
        <w:rPr>
          <w:rFonts w:eastAsia="Arial Unicode MS"/>
          <w:lang w:eastAsia="ro-RO"/>
        </w:rPr>
      </w:pPr>
      <w:r w:rsidRPr="00827721">
        <w:rPr>
          <w:rFonts w:eastAsia="Arial Unicode MS"/>
          <w:lang w:eastAsia="ro-RO"/>
        </w:rPr>
        <w:t>rata de actualizare care trebuie utilizată: 3,5 % pentru țările cu venituri ridicate</w:t>
      </w:r>
      <w:r w:rsidR="00481BB7" w:rsidRPr="00827721">
        <w:rPr>
          <w:rFonts w:eastAsia="Arial Unicode MS"/>
          <w:lang w:eastAsia="ro-RO"/>
        </w:rPr>
        <w:t xml:space="preserve"> (</w:t>
      </w:r>
      <w:r w:rsidR="00581EF7" w:rsidRPr="00827721">
        <w:rPr>
          <w:rFonts w:eastAsia="Arial Unicode MS"/>
          <w:lang w:eastAsia="ro-RO"/>
        </w:rPr>
        <w:t xml:space="preserve">țările membre </w:t>
      </w:r>
      <w:r w:rsidR="00166E4A" w:rsidRPr="00827721">
        <w:rPr>
          <w:rFonts w:eastAsia="Arial Unicode MS"/>
          <w:lang w:eastAsia="ro-RO"/>
        </w:rPr>
        <w:t>a</w:t>
      </w:r>
      <w:r w:rsidR="00375448" w:rsidRPr="00827721">
        <w:rPr>
          <w:rFonts w:eastAsia="Arial Unicode MS"/>
          <w:lang w:eastAsia="ro-RO"/>
        </w:rPr>
        <w:t>le</w:t>
      </w:r>
      <w:r w:rsidR="00166E4A" w:rsidRPr="00827721">
        <w:rPr>
          <w:rFonts w:eastAsia="Arial Unicode MS"/>
          <w:lang w:eastAsia="ro-RO"/>
        </w:rPr>
        <w:t xml:space="preserve"> </w:t>
      </w:r>
      <w:r w:rsidR="00581EF7" w:rsidRPr="00827721">
        <w:rPr>
          <w:rFonts w:eastAsia="Arial Unicode MS"/>
          <w:lang w:eastAsia="ro-RO"/>
        </w:rPr>
        <w:t>Organizați</w:t>
      </w:r>
      <w:r w:rsidR="00166E4A" w:rsidRPr="00827721">
        <w:rPr>
          <w:rFonts w:eastAsia="Arial Unicode MS"/>
          <w:lang w:eastAsia="ro-RO"/>
        </w:rPr>
        <w:t>ei</w:t>
      </w:r>
      <w:r w:rsidR="00581EF7" w:rsidRPr="00827721">
        <w:rPr>
          <w:rFonts w:eastAsia="Arial Unicode MS"/>
          <w:lang w:eastAsia="ro-RO"/>
        </w:rPr>
        <w:t xml:space="preserve"> pentru Cooperare și Dezvoltare Economică</w:t>
      </w:r>
      <w:r w:rsidR="00481BB7" w:rsidRPr="00827721">
        <w:rPr>
          <w:rFonts w:eastAsia="Arial Unicode MS"/>
          <w:lang w:eastAsia="ro-RO"/>
        </w:rPr>
        <w:t>)</w:t>
      </w:r>
      <w:r w:rsidR="00166E4A" w:rsidRPr="00827721">
        <w:rPr>
          <w:rFonts w:eastAsia="Arial Unicode MS"/>
          <w:lang w:eastAsia="ro-RO"/>
        </w:rPr>
        <w:t xml:space="preserve"> </w:t>
      </w:r>
      <w:r w:rsidRPr="00827721">
        <w:rPr>
          <w:rFonts w:eastAsia="Arial Unicode MS"/>
          <w:lang w:eastAsia="ro-RO"/>
        </w:rPr>
        <w:t>și 5,5 % pentru toate celelalte țări;</w:t>
      </w:r>
    </w:p>
    <w:p w14:paraId="1281B36A" w14:textId="77777777" w:rsidR="00A7577F" w:rsidRPr="00827721" w:rsidRDefault="00A7577F" w:rsidP="00A433F4">
      <w:pPr>
        <w:pStyle w:val="Anexapct11"/>
        <w:rPr>
          <w:rFonts w:eastAsia="Arial Unicode MS"/>
          <w:lang w:eastAsia="ro-RO"/>
        </w:rPr>
      </w:pPr>
      <w:r w:rsidRPr="00827721">
        <w:rPr>
          <w:rFonts w:eastAsia="Arial Unicode MS"/>
          <w:lang w:eastAsia="ro-RO"/>
        </w:rPr>
        <w:lastRenderedPageBreak/>
        <w:t>durata de viață a investiției:</w:t>
      </w:r>
    </w:p>
    <w:p w14:paraId="071FB333" w14:textId="77777777" w:rsidR="00A7577F" w:rsidRPr="00827721" w:rsidRDefault="00A7577F" w:rsidP="00A433F4">
      <w:pPr>
        <w:pStyle w:val="Anexapct111"/>
        <w:rPr>
          <w:rFonts w:eastAsia="Arial Unicode MS"/>
          <w:lang w:eastAsia="ro-RO"/>
        </w:rPr>
      </w:pPr>
      <w:r w:rsidRPr="00827721">
        <w:rPr>
          <w:rFonts w:eastAsia="Arial Unicode MS"/>
          <w:lang w:eastAsia="ro-RO"/>
        </w:rPr>
        <w:t>se utilizează o durată de viață de până la zece ani în conformitate cu durata de viață a certificării riscului redus de ILUC (valabilitatea de referință);</w:t>
      </w:r>
    </w:p>
    <w:p w14:paraId="0215A057" w14:textId="77777777" w:rsidR="00A7577F" w:rsidRPr="00827721" w:rsidRDefault="00A7577F" w:rsidP="00A433F4">
      <w:pPr>
        <w:pStyle w:val="Anexapct111"/>
        <w:rPr>
          <w:rFonts w:eastAsia="Arial Unicode MS"/>
          <w:lang w:eastAsia="ro-RO"/>
        </w:rPr>
      </w:pPr>
      <w:r w:rsidRPr="00827721">
        <w:rPr>
          <w:rFonts w:eastAsia="Arial Unicode MS"/>
          <w:lang w:eastAsia="ro-RO"/>
        </w:rPr>
        <w:t>în unele cazuri, durata maximă de viață a investiției poate fi stabilită la 25 de ani pe baza duratei de viață tipice a culturilor perene (și anume, palmier de ulei, în cazul replantării de palmieri de ulei);</w:t>
      </w:r>
    </w:p>
    <w:p w14:paraId="41D4064F" w14:textId="77777777" w:rsidR="00A7577F" w:rsidRPr="00827721" w:rsidRDefault="00A7577F" w:rsidP="00A433F4">
      <w:pPr>
        <w:pStyle w:val="Anexapct11"/>
        <w:rPr>
          <w:rFonts w:eastAsia="Arial Unicode MS"/>
          <w:lang w:eastAsia="ro-RO"/>
        </w:rPr>
      </w:pPr>
      <w:r w:rsidRPr="00827721">
        <w:rPr>
          <w:rFonts w:eastAsia="Arial Unicode MS"/>
          <w:lang w:eastAsia="ro-RO"/>
        </w:rPr>
        <w:t xml:space="preserve">costul investiției aferente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[CAPEX + OPEX].</w:t>
      </w:r>
    </w:p>
    <w:p w14:paraId="03BC00C5" w14:textId="46390E1A" w:rsidR="002F5291" w:rsidRPr="00827721" w:rsidRDefault="002F5291" w:rsidP="002F5291">
      <w:pPr>
        <w:pStyle w:val="Capitol"/>
        <w:rPr>
          <w:rFonts w:eastAsia="Arial Unicode MS"/>
          <w:lang w:eastAsia="ro-RO"/>
        </w:rPr>
      </w:pPr>
      <w:r w:rsidRPr="00827721">
        <w:rPr>
          <w:rFonts w:eastAsia="Arial Unicode MS"/>
          <w:caps w:val="0"/>
          <w:lang w:eastAsia="ro-RO"/>
        </w:rPr>
        <w:t>Capitolul</w:t>
      </w:r>
      <w:r w:rsidRPr="00827721">
        <w:rPr>
          <w:rFonts w:eastAsia="Arial Unicode MS"/>
          <w:lang w:eastAsia="ro-RO"/>
        </w:rPr>
        <w:t xml:space="preserve"> II</w:t>
      </w:r>
    </w:p>
    <w:p w14:paraId="7E02DE63" w14:textId="49D822CD" w:rsidR="00A7577F" w:rsidRPr="00827721" w:rsidRDefault="00A7577F" w:rsidP="002F5291">
      <w:pPr>
        <w:pStyle w:val="Capitol"/>
        <w:rPr>
          <w:rFonts w:eastAsia="Arial Unicode MS"/>
          <w:lang w:eastAsia="ro-RO"/>
        </w:rPr>
      </w:pPr>
      <w:r w:rsidRPr="00827721">
        <w:rPr>
          <w:rFonts w:eastAsia="Arial Unicode MS"/>
          <w:lang w:eastAsia="ro-RO"/>
        </w:rPr>
        <w:t>Testul privind obstacolele nefinanciare</w:t>
      </w:r>
    </w:p>
    <w:p w14:paraId="4F1A6610" w14:textId="76F2A263" w:rsidR="00A7577F" w:rsidRPr="00827721" w:rsidRDefault="00A7577F" w:rsidP="002F5291">
      <w:pPr>
        <w:pStyle w:val="Anexapct1"/>
        <w:rPr>
          <w:rFonts w:eastAsia="Arial Unicode MS"/>
          <w:lang w:eastAsia="ro-RO"/>
        </w:rPr>
      </w:pPr>
      <w:r w:rsidRPr="00827721">
        <w:rPr>
          <w:rFonts w:eastAsia="Arial Unicode MS"/>
          <w:lang w:eastAsia="ro-RO"/>
        </w:rPr>
        <w:t xml:space="preserve">Analiza obstacolelor nefinanciare acoperă numai obstacolele din cadrul proiectelor nefinanciare care împiedică punerea în aplicare a măsurilor de </w:t>
      </w:r>
      <w:proofErr w:type="spellStart"/>
      <w:r w:rsidRPr="00827721">
        <w:rPr>
          <w:rFonts w:eastAsia="Arial Unicode MS"/>
          <w:lang w:eastAsia="ro-RO"/>
        </w:rPr>
        <w:t>adiționalitate</w:t>
      </w:r>
      <w:proofErr w:type="spellEnd"/>
      <w:r w:rsidRPr="00827721">
        <w:rPr>
          <w:rFonts w:eastAsia="Arial Unicode MS"/>
          <w:lang w:eastAsia="ro-RO"/>
        </w:rPr>
        <w:t xml:space="preserve"> în cazul în care nu există o certificare a riscului redus de ILUC. Orice obstacol al cărui cost </w:t>
      </w:r>
      <w:r w:rsidR="004720C8" w:rsidRPr="00827721">
        <w:rPr>
          <w:rFonts w:eastAsia="Arial Unicode MS"/>
          <w:lang w:eastAsia="ro-RO"/>
        </w:rPr>
        <w:t>se</w:t>
      </w:r>
      <w:r w:rsidRPr="00827721">
        <w:rPr>
          <w:rFonts w:eastAsia="Arial Unicode MS"/>
          <w:lang w:eastAsia="ro-RO"/>
        </w:rPr>
        <w:t xml:space="preserve"> estim</w:t>
      </w:r>
      <w:r w:rsidR="004720C8" w:rsidRPr="00827721">
        <w:rPr>
          <w:rFonts w:eastAsia="Arial Unicode MS"/>
          <w:lang w:eastAsia="ro-RO"/>
        </w:rPr>
        <w:t>ează</w:t>
      </w:r>
      <w:r w:rsidRPr="00827721">
        <w:rPr>
          <w:rFonts w:eastAsia="Arial Unicode MS"/>
          <w:lang w:eastAsia="ro-RO"/>
        </w:rPr>
        <w:t xml:space="preserve"> este inclus mai degrabă în analiza atractivității financiare decât în analiza obstacolelor nefinanciare.</w:t>
      </w:r>
    </w:p>
    <w:p w14:paraId="42CA5572" w14:textId="108C2037" w:rsidR="00A7577F" w:rsidRPr="00827721" w:rsidRDefault="00A7577F" w:rsidP="002F5291">
      <w:pPr>
        <w:pStyle w:val="Anexapct1"/>
        <w:rPr>
          <w:rFonts w:eastAsia="Arial Unicode MS"/>
          <w:lang w:eastAsia="ro-RO"/>
        </w:rPr>
      </w:pPr>
      <w:r w:rsidRPr="00827721">
        <w:rPr>
          <w:rFonts w:eastAsia="Arial Unicode MS"/>
          <w:lang w:eastAsia="ro-RO"/>
        </w:rPr>
        <w:t xml:space="preserve">Operatorul economic care planifică măsura de </w:t>
      </w:r>
      <w:proofErr w:type="spellStart"/>
      <w:r w:rsidRPr="00827721">
        <w:rPr>
          <w:rFonts w:eastAsia="Arial Unicode MS"/>
          <w:lang w:eastAsia="ro-RO"/>
        </w:rPr>
        <w:t>adiționalitate</w:t>
      </w:r>
      <w:proofErr w:type="spellEnd"/>
      <w:r w:rsidRPr="00827721">
        <w:rPr>
          <w:rFonts w:eastAsia="Arial Unicode MS"/>
          <w:lang w:eastAsia="ro-RO"/>
        </w:rPr>
        <w:t xml:space="preserve"> este responsabil de justificarea existenței unor obstacole nefinanciare. Justificarea constă într-o descriere clară și verificabilă a situației care împiedică adoptarea măsurii de </w:t>
      </w:r>
      <w:proofErr w:type="spellStart"/>
      <w:r w:rsidRPr="00827721">
        <w:rPr>
          <w:rFonts w:eastAsia="Arial Unicode MS"/>
          <w:lang w:eastAsia="ro-RO"/>
        </w:rPr>
        <w:t>adiționalitate</w:t>
      </w:r>
      <w:proofErr w:type="spellEnd"/>
      <w:r w:rsidRPr="00827721">
        <w:rPr>
          <w:rFonts w:eastAsia="Arial Unicode MS"/>
          <w:lang w:eastAsia="ro-RO"/>
        </w:rPr>
        <w:t>. Operatorul economic furnizează toate dovezile verificabile necesare care sprijin</w:t>
      </w:r>
      <w:r w:rsidR="00755CB9" w:rsidRPr="00827721">
        <w:rPr>
          <w:rFonts w:eastAsia="Arial Unicode MS"/>
          <w:lang w:eastAsia="ro-RO"/>
        </w:rPr>
        <w:t>ă</w:t>
      </w:r>
      <w:r w:rsidRPr="00827721">
        <w:rPr>
          <w:rFonts w:eastAsia="Arial Unicode MS"/>
          <w:lang w:eastAsia="ro-RO"/>
        </w:rPr>
        <w:t xml:space="preserve"> declarația și care demonstre</w:t>
      </w:r>
      <w:r w:rsidR="00755CB9" w:rsidRPr="00827721">
        <w:rPr>
          <w:rFonts w:eastAsia="Arial Unicode MS"/>
          <w:lang w:eastAsia="ro-RO"/>
        </w:rPr>
        <w:t>a</w:t>
      </w:r>
      <w:r w:rsidRPr="00827721">
        <w:rPr>
          <w:rFonts w:eastAsia="Arial Unicode MS"/>
          <w:lang w:eastAsia="ro-RO"/>
        </w:rPr>
        <w:t>z</w:t>
      </w:r>
      <w:r w:rsidR="00755CB9" w:rsidRPr="00827721">
        <w:rPr>
          <w:rFonts w:eastAsia="Arial Unicode MS"/>
          <w:lang w:eastAsia="ro-RO"/>
        </w:rPr>
        <w:t>ă</w:t>
      </w:r>
      <w:r w:rsidRPr="00827721">
        <w:rPr>
          <w:rFonts w:eastAsia="Arial Unicode MS"/>
          <w:lang w:eastAsia="ro-RO"/>
        </w:rPr>
        <w:t xml:space="preserve"> modul în care certificarea riscului redus de ILUC asigur</w:t>
      </w:r>
      <w:r w:rsidR="00E9246C" w:rsidRPr="00827721">
        <w:rPr>
          <w:rFonts w:eastAsia="Arial Unicode MS"/>
          <w:lang w:eastAsia="ro-RO"/>
        </w:rPr>
        <w:t>ă</w:t>
      </w:r>
      <w:r w:rsidRPr="00827721">
        <w:rPr>
          <w:rFonts w:eastAsia="Arial Unicode MS"/>
          <w:lang w:eastAsia="ro-RO"/>
        </w:rPr>
        <w:t xml:space="preserve"> depășirea obstacolului nefinanciar.</w:t>
      </w:r>
    </w:p>
    <w:p w14:paraId="673CC3E3" w14:textId="77777777" w:rsidR="00A7577F" w:rsidRPr="00827721" w:rsidRDefault="00A7577F" w:rsidP="002F5291">
      <w:pPr>
        <w:pStyle w:val="Anexapct1"/>
        <w:rPr>
          <w:rFonts w:eastAsia="Arial Unicode MS"/>
          <w:lang w:eastAsia="ro-RO"/>
        </w:rPr>
      </w:pPr>
      <w:r w:rsidRPr="00827721">
        <w:rPr>
          <w:rFonts w:eastAsia="Arial Unicode MS"/>
          <w:lang w:eastAsia="ro-RO"/>
        </w:rPr>
        <w:t>Valabilitatea declarației operatorului este evaluată și validată în urma auditului de referință înainte de emiterea unui certificat pentru riscul redus de ILUC.</w:t>
      </w:r>
    </w:p>
    <w:p w14:paraId="32643D24" w14:textId="70C1BE16" w:rsidR="002F5291" w:rsidRPr="00827721" w:rsidRDefault="002F5291" w:rsidP="002F5291">
      <w:pPr>
        <w:pStyle w:val="Sectiune"/>
      </w:pPr>
      <w:r w:rsidRPr="00827721">
        <w:t xml:space="preserve">Partea </w:t>
      </w:r>
      <w:r w:rsidR="0038332E" w:rsidRPr="00827721">
        <w:t>C</w:t>
      </w:r>
    </w:p>
    <w:p w14:paraId="2133D4A0" w14:textId="3D8D24B0" w:rsidR="00A7577F" w:rsidRPr="00827721" w:rsidRDefault="00A7577F" w:rsidP="002F5291">
      <w:pPr>
        <w:pStyle w:val="Sectiune"/>
      </w:pPr>
      <w:r w:rsidRPr="00827721">
        <w:t>Stabilirea randamentului dinamic de referință și calcularea volumului real de biomasă care prezintă riscuri reduse din perspectiva schimbării indirecte a destinației terenurilor</w:t>
      </w:r>
    </w:p>
    <w:p w14:paraId="09367ABD" w14:textId="49A46DE6" w:rsidR="002F5291" w:rsidRPr="00827721" w:rsidRDefault="002F5291" w:rsidP="002F5291">
      <w:pPr>
        <w:pStyle w:val="Capitol"/>
        <w:spacing w:before="0"/>
        <w:rPr>
          <w:rFonts w:eastAsia="Arial Unicode MS"/>
          <w:lang w:eastAsia="ro-RO"/>
        </w:rPr>
      </w:pPr>
      <w:r w:rsidRPr="00827721">
        <w:rPr>
          <w:rFonts w:eastAsia="Arial Unicode MS"/>
          <w:caps w:val="0"/>
          <w:lang w:eastAsia="ro-RO"/>
        </w:rPr>
        <w:t>Capitolul</w:t>
      </w:r>
      <w:r w:rsidRPr="00827721">
        <w:rPr>
          <w:rFonts w:eastAsia="Arial Unicode MS"/>
          <w:lang w:eastAsia="ro-RO"/>
        </w:rPr>
        <w:t xml:space="preserve"> I</w:t>
      </w:r>
    </w:p>
    <w:p w14:paraId="4DC7E8B0" w14:textId="22748850" w:rsidR="002F5291" w:rsidRPr="00827721" w:rsidRDefault="002F5291" w:rsidP="002F5291">
      <w:pPr>
        <w:pStyle w:val="Capitol"/>
      </w:pPr>
      <w:r w:rsidRPr="00827721">
        <w:rPr>
          <w:rFonts w:eastAsia="Arial Unicode MS"/>
          <w:lang w:eastAsia="ro-RO"/>
        </w:rPr>
        <w:t>Dispoziții generale</w:t>
      </w:r>
    </w:p>
    <w:p w14:paraId="5C70CCF3" w14:textId="77777777" w:rsidR="00A7577F" w:rsidRPr="00827721" w:rsidRDefault="00A7577F" w:rsidP="002F5291">
      <w:pPr>
        <w:pStyle w:val="Anexapct1"/>
        <w:rPr>
          <w:rFonts w:eastAsia="Arial Unicode MS"/>
          <w:lang w:eastAsia="ro-RO"/>
        </w:rPr>
      </w:pPr>
      <w:r w:rsidRPr="00827721">
        <w:rPr>
          <w:rFonts w:eastAsia="Arial Unicode MS"/>
          <w:lang w:eastAsia="ro-RO"/>
        </w:rPr>
        <w:t xml:space="preserve">Randamentul dinamic de referință se stabilește individual pentru fiecare parcelă delimitată pe baza culturii și a tipului măsurilor de </w:t>
      </w:r>
      <w:proofErr w:type="spellStart"/>
      <w:r w:rsidRPr="00827721">
        <w:rPr>
          <w:rFonts w:eastAsia="Arial Unicode MS"/>
          <w:lang w:eastAsia="ro-RO"/>
        </w:rPr>
        <w:t>adiționalitate</w:t>
      </w:r>
      <w:proofErr w:type="spellEnd"/>
      <w:r w:rsidRPr="00827721">
        <w:rPr>
          <w:rFonts w:eastAsia="Arial Unicode MS"/>
          <w:lang w:eastAsia="ro-RO"/>
        </w:rPr>
        <w:t xml:space="preserve"> sau a combinației de măsuri de </w:t>
      </w:r>
      <w:proofErr w:type="spellStart"/>
      <w:r w:rsidRPr="00827721">
        <w:rPr>
          <w:rFonts w:eastAsia="Arial Unicode MS"/>
          <w:lang w:eastAsia="ro-RO"/>
        </w:rPr>
        <w:t>adiționalitate</w:t>
      </w:r>
      <w:proofErr w:type="spellEnd"/>
      <w:r w:rsidRPr="00827721">
        <w:rPr>
          <w:rFonts w:eastAsia="Arial Unicode MS"/>
          <w:lang w:eastAsia="ro-RO"/>
        </w:rPr>
        <w:t xml:space="preserve"> aplicate. Pentru a calcula punctul de plecare al randamentului dinamic de referință se utilizează date istorice privind randamentul culturilor specifice parcelelor respective pentru cel puțin trei ani anteriori momentului de aplicare a unei măsuri de </w:t>
      </w:r>
      <w:proofErr w:type="spellStart"/>
      <w:r w:rsidRPr="00827721">
        <w:rPr>
          <w:rFonts w:eastAsia="Arial Unicode MS"/>
          <w:lang w:eastAsia="ro-RO"/>
        </w:rPr>
        <w:t>adiționalitate</w:t>
      </w:r>
      <w:proofErr w:type="spellEnd"/>
      <w:r w:rsidRPr="00827721">
        <w:rPr>
          <w:rFonts w:eastAsia="Arial Unicode MS"/>
          <w:lang w:eastAsia="ro-RO"/>
        </w:rPr>
        <w:t xml:space="preserve">. Aceasta se combină cu o linie de tendință globală specifică culturilor pentru randamentul preconizat pe baza datelor istorice </w:t>
      </w:r>
      <w:r w:rsidRPr="00827721">
        <w:rPr>
          <w:rFonts w:eastAsia="Arial Unicode MS"/>
          <w:lang w:eastAsia="ro-RO"/>
        </w:rPr>
        <w:lastRenderedPageBreak/>
        <w:t>privind randamentele reale din ultimul deceniu sau pentru o perioadă mai lungă, dacă sunt disponibile date. Pentru culturile perene, randamentul dinamic de referință ia în considerare, de asemenea, curba randamentului pe durata de viață a culturii.</w:t>
      </w:r>
    </w:p>
    <w:p w14:paraId="49DE6679" w14:textId="21B6F456" w:rsidR="002F5291" w:rsidRPr="00827721" w:rsidRDefault="002F5291" w:rsidP="002F5291">
      <w:pPr>
        <w:pStyle w:val="Capitol"/>
      </w:pPr>
      <w:r w:rsidRPr="00827721">
        <w:rPr>
          <w:caps w:val="0"/>
        </w:rPr>
        <w:t>Capitolul</w:t>
      </w:r>
      <w:r w:rsidRPr="00827721">
        <w:t xml:space="preserve"> II</w:t>
      </w:r>
    </w:p>
    <w:p w14:paraId="6E736369" w14:textId="6E6851D6" w:rsidR="00A7577F" w:rsidRPr="00827721" w:rsidRDefault="00A7577F" w:rsidP="002F5291">
      <w:pPr>
        <w:pStyle w:val="Capitol"/>
      </w:pPr>
      <w:r w:rsidRPr="00827721">
        <w:t>Determinarea randamentului dinamic de referință pentru culturile anuale</w:t>
      </w:r>
    </w:p>
    <w:p w14:paraId="5BB9AAE1" w14:textId="5EEE69A2" w:rsidR="00A7577F" w:rsidRPr="00827721" w:rsidRDefault="00A7577F" w:rsidP="002F5291">
      <w:pPr>
        <w:pStyle w:val="Anexapct1"/>
        <w:rPr>
          <w:rFonts w:eastAsia="Arial Unicode MS"/>
          <w:lang w:eastAsia="ro-RO"/>
        </w:rPr>
      </w:pPr>
      <w:r w:rsidRPr="00827721">
        <w:rPr>
          <w:rFonts w:eastAsia="Arial Unicode MS"/>
          <w:lang w:eastAsia="ro-RO"/>
        </w:rPr>
        <w:t>În cazul în care o exploatație agricolă aplică o rotație a culturilor între terenuri și cultura al cărei randament va fi crescut (cultura țintă) a fost plantată pe terenuri diferite în cadrul aceleiași exploatații în anii precedenți, sunt avute în vedere două opțiuni pentru colectarea datelor istorice privind randamentele pentru a calcula randamentul dinamic de referință:</w:t>
      </w:r>
    </w:p>
    <w:p w14:paraId="7CDD5DC4" w14:textId="05FD2649" w:rsidR="00A7577F" w:rsidRPr="00827721" w:rsidRDefault="00A7577F" w:rsidP="002F5291">
      <w:pPr>
        <w:pStyle w:val="Anexapct11"/>
        <w:rPr>
          <w:rFonts w:eastAsia="Arial Unicode MS"/>
          <w:lang w:eastAsia="ro-RO"/>
        </w:rPr>
      </w:pPr>
      <w:r w:rsidRPr="00827721">
        <w:rPr>
          <w:rFonts w:eastAsia="Arial Unicode MS"/>
          <w:lang w:eastAsia="ro-RO"/>
        </w:rPr>
        <w:t xml:space="preserve">Opțiunea 1: operatorul economic calculează o medie a randamentelor din ultimii trei ani în care cultura țintă a fost cultivată pe parcela delimitată specifică înainte de punerea în aplicare a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Deoarece culturile sunt cultivate prin rotație, </w:t>
      </w:r>
      <w:r w:rsidR="00D7760D" w:rsidRPr="00827721">
        <w:rPr>
          <w:rFonts w:eastAsia="Arial Unicode MS"/>
          <w:lang w:eastAsia="ro-RO"/>
        </w:rPr>
        <w:t>pot fi</w:t>
      </w:r>
      <w:r w:rsidRPr="00827721">
        <w:rPr>
          <w:rFonts w:eastAsia="Arial Unicode MS"/>
          <w:lang w:eastAsia="ro-RO"/>
        </w:rPr>
        <w:t xml:space="preserve"> utiliza</w:t>
      </w:r>
      <w:r w:rsidR="00D7760D" w:rsidRPr="00827721">
        <w:rPr>
          <w:rFonts w:eastAsia="Arial Unicode MS"/>
          <w:lang w:eastAsia="ro-RO"/>
        </w:rPr>
        <w:t>te</w:t>
      </w:r>
      <w:r w:rsidRPr="00827721">
        <w:rPr>
          <w:rFonts w:eastAsia="Arial Unicode MS"/>
          <w:lang w:eastAsia="ro-RO"/>
        </w:rPr>
        <w:t xml:space="preserve"> date mai vechi de cinci ani.</w:t>
      </w:r>
    </w:p>
    <w:p w14:paraId="536314D9" w14:textId="5BB272F8" w:rsidR="00A7577F" w:rsidRPr="00827721" w:rsidRDefault="00A7577F" w:rsidP="00610AF9">
      <w:pPr>
        <w:pStyle w:val="Anexapct11"/>
        <w:rPr>
          <w:rFonts w:eastAsia="Arial Unicode MS"/>
          <w:lang w:eastAsia="ro-RO"/>
        </w:rPr>
      </w:pPr>
      <w:r w:rsidRPr="00827721">
        <w:rPr>
          <w:rFonts w:eastAsia="Arial Unicode MS"/>
          <w:lang w:eastAsia="ro-RO"/>
        </w:rPr>
        <w:t>Opțiunea 2:</w:t>
      </w:r>
      <w:r w:rsidR="00610AF9" w:rsidRPr="00827721">
        <w:rPr>
          <w:rFonts w:eastAsia="Arial Unicode MS"/>
          <w:lang w:eastAsia="ro-RO"/>
        </w:rPr>
        <w:t xml:space="preserve"> </w:t>
      </w:r>
      <w:r w:rsidRPr="00827721">
        <w:rPr>
          <w:rFonts w:eastAsia="Arial Unicode MS"/>
          <w:lang w:eastAsia="ro-RO"/>
        </w:rPr>
        <w:t xml:space="preserve">operatorul economic calculează o medie ponderată a randamentelor din ultimii trei ani în care cultura țintă a fost cultivată în exploatație înainte de punerea în aplicare a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w:t>
      </w:r>
      <w:r w:rsidR="00DC21D5" w:rsidRPr="00827721">
        <w:rPr>
          <w:rFonts w:eastAsia="Arial Unicode MS"/>
          <w:lang w:eastAsia="ro-RO"/>
        </w:rPr>
        <w:t xml:space="preserve">inclusiv în situațiile în care </w:t>
      </w:r>
      <w:r w:rsidRPr="00827721">
        <w:rPr>
          <w:rFonts w:eastAsia="Arial Unicode MS"/>
          <w:lang w:eastAsia="ro-RO"/>
        </w:rPr>
        <w:t>aceste randamente au fost obținute pe parcele diferite de dimensiuni diferite ale aceleiași exploatații.</w:t>
      </w:r>
    </w:p>
    <w:p w14:paraId="1B23B15C" w14:textId="3C099B61" w:rsidR="00A7577F" w:rsidRPr="00827721" w:rsidRDefault="00A7577F" w:rsidP="00610AF9">
      <w:pPr>
        <w:pStyle w:val="Anexapct1"/>
        <w:rPr>
          <w:rFonts w:eastAsia="Arial Unicode MS"/>
          <w:lang w:eastAsia="ro-RO"/>
        </w:rPr>
      </w:pPr>
      <w:r w:rsidRPr="00827721">
        <w:rPr>
          <w:rFonts w:eastAsia="Arial Unicode MS"/>
          <w:lang w:eastAsia="ro-RO"/>
        </w:rPr>
        <w:t>În cazul în care nu sunt disponibile date istorice pentru randamentele din cei mai recenți trei ani, indiferent dacă acestea sunt inaccesibile sau nu sunt reprezentative conform aprecierii auditorului, sau dacă datele privind randamentul culturilor sunt de o calitate insuficientă, se pot obține date suplimentare pentru anii anteriori sau date de la un teren învecinat care cultivă aceeași cultură în cadrul aceluiași plan de gestionare. În cazul în care unul dintre cei trei ani de date istorice reprezintă o recoltă excepțional de bună sau de slabă (de exemplu, o discrepanță de 30 % sau mai mare comparativ cu ceilalți ani de referință), randamentul care reprezintă excepția nu se include în calcul pentru a se evita distorsionarea mediei pe trei ani</w:t>
      </w:r>
      <w:r w:rsidR="00F518DC" w:rsidRPr="00827721">
        <w:rPr>
          <w:rFonts w:eastAsia="Arial Unicode MS"/>
          <w:lang w:eastAsia="ro-RO"/>
        </w:rPr>
        <w:t xml:space="preserve"> în conf</w:t>
      </w:r>
      <w:r w:rsidR="00246B56" w:rsidRPr="00827721">
        <w:rPr>
          <w:rFonts w:eastAsia="Arial Unicode MS"/>
          <w:lang w:eastAsia="ro-RO"/>
        </w:rPr>
        <w:t xml:space="preserve">ormitate cu </w:t>
      </w:r>
      <w:r w:rsidR="00E15C4F" w:rsidRPr="00827721">
        <w:rPr>
          <w:rFonts w:eastAsia="Arial Unicode MS"/>
          <w:lang w:eastAsia="ro-RO"/>
        </w:rPr>
        <w:t>definiție</w:t>
      </w:r>
      <w:r w:rsidR="00A70417" w:rsidRPr="00827721">
        <w:rPr>
          <w:rFonts w:eastAsia="Arial Unicode MS"/>
          <w:lang w:eastAsia="ro-RO"/>
        </w:rPr>
        <w:t xml:space="preserve"> de la </w:t>
      </w:r>
      <w:r w:rsidR="00246B56" w:rsidRPr="00827721">
        <w:rPr>
          <w:rFonts w:eastAsia="Arial Unicode MS"/>
          <w:lang w:eastAsia="ro-RO"/>
        </w:rPr>
        <w:t xml:space="preserve">pct. 2 </w:t>
      </w:r>
      <w:r w:rsidR="000A123C" w:rsidRPr="00827721">
        <w:rPr>
          <w:rFonts w:eastAsia="Arial Unicode MS"/>
          <w:lang w:eastAsia="ro-RO"/>
        </w:rPr>
        <w:t xml:space="preserve">din </w:t>
      </w:r>
      <w:r w:rsidR="00246B56" w:rsidRPr="00827721">
        <w:rPr>
          <w:rFonts w:eastAsia="Arial Unicode MS"/>
          <w:lang w:eastAsia="ro-RO"/>
        </w:rPr>
        <w:t>anexa nr</w:t>
      </w:r>
      <w:r w:rsidR="00A5428E" w:rsidRPr="00827721">
        <w:rPr>
          <w:rFonts w:eastAsia="Arial Unicode MS"/>
          <w:lang w:eastAsia="ro-RO"/>
        </w:rPr>
        <w:t xml:space="preserve">. 3 </w:t>
      </w:r>
      <w:r w:rsidR="00265A1C" w:rsidRPr="00827721">
        <w:rPr>
          <w:rFonts w:eastAsia="Arial Unicode MS"/>
          <w:lang w:eastAsia="ro-RO"/>
        </w:rPr>
        <w:t>la anexa</w:t>
      </w:r>
      <w:r w:rsidR="00A5428E" w:rsidRPr="00827721">
        <w:rPr>
          <w:rFonts w:eastAsia="Arial Unicode MS"/>
          <w:lang w:eastAsia="ro-RO"/>
        </w:rPr>
        <w:t xml:space="preserve"> nr. 1 </w:t>
      </w:r>
      <w:r w:rsidR="001F655B" w:rsidRPr="00827721">
        <w:rPr>
          <w:rFonts w:eastAsia="Arial Unicode MS"/>
          <w:lang w:eastAsia="ro-RO"/>
        </w:rPr>
        <w:t xml:space="preserve">la </w:t>
      </w:r>
      <w:r w:rsidR="00C72EEB" w:rsidRPr="00C72EEB">
        <w:rPr>
          <w:iCs/>
        </w:rPr>
        <w:t>HG 53/2025</w:t>
      </w:r>
      <w:r w:rsidRPr="00827721">
        <w:rPr>
          <w:rFonts w:eastAsia="Arial Unicode MS"/>
          <w:lang w:eastAsia="ro-RO"/>
        </w:rPr>
        <w:t>.</w:t>
      </w:r>
    </w:p>
    <w:p w14:paraId="4357D8CF" w14:textId="664DC85E" w:rsidR="00A7577F" w:rsidRPr="00827721" w:rsidRDefault="00A7577F" w:rsidP="001F23F6">
      <w:pPr>
        <w:pStyle w:val="Anexapct1"/>
        <w:rPr>
          <w:rFonts w:eastAsia="Arial Unicode MS"/>
          <w:lang w:eastAsia="ro-RO"/>
        </w:rPr>
      </w:pPr>
      <w:r w:rsidRPr="00827721">
        <w:rPr>
          <w:rFonts w:eastAsia="Arial Unicode MS"/>
          <w:lang w:eastAsia="ro-RO"/>
        </w:rPr>
        <w:t xml:space="preserve">Auditorul este responsabil de identificarea unei valori a randamentului care reprezintă o excepție, </w:t>
      </w:r>
      <w:r w:rsidR="003B7977" w:rsidRPr="00827721">
        <w:rPr>
          <w:rFonts w:eastAsia="Arial Unicode MS"/>
          <w:lang w:eastAsia="ro-RO"/>
        </w:rPr>
        <w:t xml:space="preserve">în </w:t>
      </w:r>
      <w:r w:rsidRPr="00827721">
        <w:rPr>
          <w:rFonts w:eastAsia="Arial Unicode MS"/>
          <w:lang w:eastAsia="ro-RO"/>
        </w:rPr>
        <w:t xml:space="preserve">baza </w:t>
      </w:r>
      <w:r w:rsidR="003B7977" w:rsidRPr="00827721">
        <w:rPr>
          <w:rFonts w:eastAsia="Arial Unicode MS"/>
          <w:lang w:eastAsia="ro-RO"/>
        </w:rPr>
        <w:t>expertizei de specialitate</w:t>
      </w:r>
      <w:r w:rsidRPr="00827721">
        <w:rPr>
          <w:rFonts w:eastAsia="Arial Unicode MS"/>
          <w:lang w:eastAsia="ro-RO"/>
        </w:rPr>
        <w:t>, a experienței pe teren și a cunoștințelor privind practicile operatorului economic pe termen lung. Auditorul  evalu</w:t>
      </w:r>
      <w:r w:rsidR="003D122C" w:rsidRPr="00827721">
        <w:rPr>
          <w:rFonts w:eastAsia="Arial Unicode MS"/>
          <w:lang w:eastAsia="ro-RO"/>
        </w:rPr>
        <w:t>e</w:t>
      </w:r>
      <w:r w:rsidRPr="00827721">
        <w:rPr>
          <w:rFonts w:eastAsia="Arial Unicode MS"/>
          <w:lang w:eastAsia="ro-RO"/>
        </w:rPr>
        <w:t>a</w:t>
      </w:r>
      <w:r w:rsidR="003D122C" w:rsidRPr="00827721">
        <w:rPr>
          <w:rFonts w:eastAsia="Arial Unicode MS"/>
          <w:lang w:eastAsia="ro-RO"/>
        </w:rPr>
        <w:t>ză</w:t>
      </w:r>
      <w:r w:rsidRPr="00827721">
        <w:rPr>
          <w:rFonts w:eastAsia="Arial Unicode MS"/>
          <w:lang w:eastAsia="ro-RO"/>
        </w:rPr>
        <w:t xml:space="preserve"> dacă datele privind randamentul culturilor au o calitate insuficientă pentru </w:t>
      </w:r>
      <w:r w:rsidRPr="00827721">
        <w:rPr>
          <w:rFonts w:eastAsia="Arial Unicode MS"/>
          <w:lang w:eastAsia="ro-RO"/>
        </w:rPr>
        <w:lastRenderedPageBreak/>
        <w:t>a fi incluse în auditurile de referință și în cele anuale și, ulterior, de a decide dacă randamentul unei culturi trebuie exclus sau nu.</w:t>
      </w:r>
    </w:p>
    <w:p w14:paraId="1C25547E" w14:textId="510C9E81" w:rsidR="00A7577F" w:rsidRPr="00827721" w:rsidRDefault="00A7577F" w:rsidP="001F23F6">
      <w:pPr>
        <w:pStyle w:val="Anexapct1"/>
        <w:rPr>
          <w:rFonts w:eastAsia="Arial Unicode MS"/>
          <w:lang w:eastAsia="ro-RO"/>
        </w:rPr>
      </w:pPr>
      <w:r w:rsidRPr="00827721">
        <w:rPr>
          <w:rFonts w:eastAsia="Arial Unicode MS"/>
          <w:lang w:eastAsia="ro-RO"/>
        </w:rPr>
        <w:t xml:space="preserve">Panta randamentului dinamic de referință se consideră a fi panta unei linii drepte de tendință corespunzătoare evoluției randamentului culturii țintă din ultimii 10 ani sau pentru o perioadă mai lungă, în cazul în care sunt disponibile date. Aceasta se bazează pe date globale și este derivată din datele </w:t>
      </w:r>
      <w:r w:rsidR="00AB6932" w:rsidRPr="00827721">
        <w:rPr>
          <w:rFonts w:eastAsia="Arial Unicode MS"/>
          <w:lang w:eastAsia="ro-RO"/>
        </w:rPr>
        <w:t>„</w:t>
      </w:r>
      <w:r w:rsidRPr="00827721">
        <w:rPr>
          <w:rFonts w:eastAsia="Arial Unicode MS"/>
          <w:lang w:eastAsia="ro-RO"/>
        </w:rPr>
        <w:t>FAOSTAT World</w:t>
      </w:r>
      <w:r w:rsidR="00E817E1" w:rsidRPr="00827721">
        <w:rPr>
          <w:rFonts w:eastAsia="Arial Unicode MS"/>
          <w:lang w:eastAsia="ro-RO"/>
        </w:rPr>
        <w:t xml:space="preserve"> </w:t>
      </w:r>
      <w:r w:rsidRPr="00827721">
        <w:rPr>
          <w:rFonts w:eastAsia="Arial Unicode MS"/>
          <w:lang w:eastAsia="ro-RO"/>
        </w:rPr>
        <w:t>+</w:t>
      </w:r>
      <w:r w:rsidR="00AB6932" w:rsidRPr="00827721">
        <w:rPr>
          <w:rFonts w:eastAsia="Arial Unicode MS"/>
          <w:lang w:eastAsia="ro-RO"/>
        </w:rPr>
        <w:t>”</w:t>
      </w:r>
      <w:r w:rsidRPr="00827721">
        <w:rPr>
          <w:rFonts w:eastAsia="Arial Unicode MS"/>
          <w:lang w:eastAsia="ro-RO"/>
        </w:rPr>
        <w:t xml:space="preserve"> pentru cultura relevantă. Acest lucru se realizează la începutul perioadei de certificare, iar panta este valabilă pentru perioada de valabilitate de referință de 10 ani a certificării riscului redus de ILUC.</w:t>
      </w:r>
    </w:p>
    <w:p w14:paraId="5F2730B3" w14:textId="6C29AB54" w:rsidR="00A7577F" w:rsidRPr="00827721" w:rsidRDefault="00A7577F" w:rsidP="00692557">
      <w:pPr>
        <w:pStyle w:val="Anexapct1"/>
        <w:rPr>
          <w:rFonts w:eastAsia="Arial Unicode MS"/>
          <w:lang w:eastAsia="ro-RO"/>
        </w:rPr>
      </w:pPr>
      <w:r w:rsidRPr="00827721">
        <w:rPr>
          <w:rFonts w:eastAsia="Arial Unicode MS"/>
          <w:lang w:eastAsia="ro-RO"/>
        </w:rPr>
        <w:t xml:space="preserve">Tabelul 2 prezintă panta randamentului dinamic de referință pentru cele mai comune culturi de materii prime pentru </w:t>
      </w:r>
      <w:r w:rsidR="008A23DF" w:rsidRPr="00827721">
        <w:rPr>
          <w:rFonts w:eastAsia="Arial Unicode MS"/>
          <w:lang w:eastAsia="ro-RO"/>
        </w:rPr>
        <w:t>biocarburanți</w:t>
      </w:r>
      <w:r w:rsidRPr="00827721">
        <w:rPr>
          <w:rFonts w:eastAsia="Arial Unicode MS"/>
          <w:lang w:eastAsia="ro-RO"/>
        </w:rPr>
        <w:t>. Aceste valori sunt obținute prin ajustarea liniei de tendință la datele globale privind culturile, obținute de la FAOSTAT, care corespund unei perioade de 20 de ani.</w:t>
      </w:r>
    </w:p>
    <w:p w14:paraId="15B8C978" w14:textId="77777777" w:rsidR="00A7577F" w:rsidRPr="00827721" w:rsidRDefault="00A7577F" w:rsidP="00692557">
      <w:pPr>
        <w:pStyle w:val="Sectiune"/>
        <w:rPr>
          <w:rFonts w:eastAsia="Arial Unicode MS"/>
          <w:lang w:eastAsia="ro-RO"/>
        </w:rPr>
      </w:pPr>
      <w:r w:rsidRPr="00827721">
        <w:rPr>
          <w:rFonts w:eastAsia="Arial Unicode MS"/>
          <w:lang w:eastAsia="ro-RO"/>
        </w:rPr>
        <w:t>Tabelul 2</w:t>
      </w:r>
    </w:p>
    <w:p w14:paraId="6D15BE2F" w14:textId="38EAE2A6" w:rsidR="00A7577F" w:rsidRPr="00827721" w:rsidRDefault="00A7577F" w:rsidP="00692557">
      <w:pPr>
        <w:pStyle w:val="Sectiune"/>
        <w:rPr>
          <w:rFonts w:eastAsia="Arial Unicode MS"/>
          <w:lang w:eastAsia="ro-RO"/>
        </w:rPr>
      </w:pPr>
      <w:r w:rsidRPr="00827721">
        <w:rPr>
          <w:rFonts w:eastAsia="Arial Unicode MS"/>
          <w:lang w:eastAsia="ro-RO"/>
        </w:rPr>
        <w:t xml:space="preserve">Panta liniei de tendință obținută pentru datele </w:t>
      </w:r>
      <w:r w:rsidR="00AB6932" w:rsidRPr="00827721">
        <w:rPr>
          <w:rFonts w:eastAsia="Arial Unicode MS"/>
          <w:lang w:eastAsia="ro-RO"/>
        </w:rPr>
        <w:t>„</w:t>
      </w:r>
      <w:r w:rsidRPr="00827721">
        <w:rPr>
          <w:rFonts w:eastAsia="Arial Unicode MS"/>
          <w:lang w:eastAsia="ro-RO"/>
        </w:rPr>
        <w:t>FAOSTAT World</w:t>
      </w:r>
      <w:r w:rsidR="00692557" w:rsidRPr="00827721">
        <w:rPr>
          <w:rFonts w:eastAsia="Arial Unicode MS"/>
          <w:lang w:eastAsia="ro-RO"/>
        </w:rPr>
        <w:t xml:space="preserve"> </w:t>
      </w:r>
      <w:r w:rsidRPr="00827721">
        <w:rPr>
          <w:rFonts w:eastAsia="Arial Unicode MS"/>
          <w:lang w:eastAsia="ro-RO"/>
        </w:rPr>
        <w:t>+</w:t>
      </w:r>
      <w:r w:rsidR="00AB6932" w:rsidRPr="00827721">
        <w:rPr>
          <w:rFonts w:eastAsia="Arial Unicode MS"/>
          <w:lang w:eastAsia="ro-RO"/>
        </w:rPr>
        <w:t>”</w:t>
      </w:r>
      <w:r w:rsidRPr="00827721">
        <w:rPr>
          <w:rFonts w:eastAsia="Arial Unicode MS"/>
          <w:lang w:eastAsia="ro-RO"/>
        </w:rPr>
        <w:t xml:space="preserve"> privind randamentul culturilor. Îmbunătățirea medie a randamentului (tone/ha/an) pe an</w:t>
      </w:r>
    </w:p>
    <w:tbl>
      <w:tblPr>
        <w:tblW w:w="934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48"/>
        <w:gridCol w:w="600"/>
        <w:gridCol w:w="900"/>
        <w:gridCol w:w="1374"/>
        <w:gridCol w:w="754"/>
        <w:gridCol w:w="600"/>
        <w:gridCol w:w="948"/>
        <w:gridCol w:w="1055"/>
        <w:gridCol w:w="1260"/>
        <w:gridCol w:w="709"/>
      </w:tblGrid>
      <w:tr w:rsidR="00A7577F" w:rsidRPr="00827721" w14:paraId="1A4E640F" w14:textId="77777777" w:rsidTr="00BC0A0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2DF6C0"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Cultură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01052"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Orz</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EFB45"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Porumb</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A6BF9"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Fructe de palmier de ulei</w:t>
            </w:r>
          </w:p>
        </w:tc>
        <w:tc>
          <w:tcPr>
            <w:tcW w:w="754" w:type="dxa"/>
            <w:tcBorders>
              <w:top w:val="outset" w:sz="6" w:space="0" w:color="auto"/>
              <w:left w:val="outset" w:sz="6" w:space="0" w:color="auto"/>
              <w:bottom w:val="outset" w:sz="6" w:space="0" w:color="auto"/>
              <w:right w:val="outset" w:sz="6" w:space="0" w:color="auto"/>
            </w:tcBorders>
            <w:vAlign w:val="center"/>
            <w:hideMark/>
          </w:tcPr>
          <w:p w14:paraId="606CE421"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Rapiță</w:t>
            </w:r>
          </w:p>
        </w:tc>
        <w:tc>
          <w:tcPr>
            <w:tcW w:w="600" w:type="dxa"/>
            <w:tcBorders>
              <w:top w:val="outset" w:sz="6" w:space="0" w:color="auto"/>
              <w:left w:val="outset" w:sz="6" w:space="0" w:color="auto"/>
              <w:bottom w:val="outset" w:sz="6" w:space="0" w:color="auto"/>
              <w:right w:val="outset" w:sz="6" w:space="0" w:color="auto"/>
            </w:tcBorders>
            <w:vAlign w:val="center"/>
            <w:hideMark/>
          </w:tcPr>
          <w:p w14:paraId="4C78BA6D"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Soia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4CBC7"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Sfeclă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A6583"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Trestie de zahăr</w:t>
            </w:r>
          </w:p>
        </w:tc>
        <w:tc>
          <w:tcPr>
            <w:tcW w:w="1260" w:type="dxa"/>
            <w:tcBorders>
              <w:top w:val="outset" w:sz="6" w:space="0" w:color="auto"/>
              <w:left w:val="outset" w:sz="6" w:space="0" w:color="auto"/>
              <w:bottom w:val="outset" w:sz="6" w:space="0" w:color="auto"/>
              <w:right w:val="outset" w:sz="6" w:space="0" w:color="auto"/>
            </w:tcBorders>
            <w:vAlign w:val="center"/>
            <w:hideMark/>
          </w:tcPr>
          <w:p w14:paraId="4FF532B9"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Semințe de floarea-soarelui</w:t>
            </w:r>
          </w:p>
        </w:tc>
        <w:tc>
          <w:tcPr>
            <w:tcW w:w="709" w:type="dxa"/>
            <w:tcBorders>
              <w:top w:val="outset" w:sz="6" w:space="0" w:color="auto"/>
              <w:left w:val="outset" w:sz="6" w:space="0" w:color="auto"/>
              <w:bottom w:val="outset" w:sz="6" w:space="0" w:color="auto"/>
              <w:right w:val="outset" w:sz="6" w:space="0" w:color="auto"/>
            </w:tcBorders>
            <w:vAlign w:val="center"/>
            <w:hideMark/>
          </w:tcPr>
          <w:p w14:paraId="0CA7BEC6" w14:textId="77777777" w:rsidR="00A7577F" w:rsidRPr="00827721" w:rsidRDefault="00A7577F" w:rsidP="00692557">
            <w:pPr>
              <w:spacing w:before="60" w:after="60" w:line="312" w:lineRule="atLeast"/>
              <w:ind w:firstLine="0"/>
              <w:jc w:val="left"/>
              <w:rPr>
                <w:rFonts w:eastAsia="Times New Roman"/>
                <w:b/>
                <w:bCs/>
                <w:sz w:val="24"/>
                <w:lang w:eastAsia="ro-RO"/>
              </w:rPr>
            </w:pPr>
            <w:r w:rsidRPr="00827721">
              <w:rPr>
                <w:rFonts w:eastAsia="Times New Roman"/>
                <w:b/>
                <w:bCs/>
                <w:sz w:val="24"/>
                <w:lang w:eastAsia="ro-RO"/>
              </w:rPr>
              <w:t>Grâu</w:t>
            </w:r>
          </w:p>
        </w:tc>
      </w:tr>
      <w:tr w:rsidR="00A7577F" w:rsidRPr="00827721" w14:paraId="22BB7BAC" w14:textId="77777777" w:rsidTr="00BC0A0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C615AC8" w14:textId="77777777" w:rsidR="00A7577F" w:rsidRPr="00827721" w:rsidRDefault="00A7577F" w:rsidP="00692557">
            <w:pPr>
              <w:spacing w:before="60" w:after="60" w:line="312" w:lineRule="atLeast"/>
              <w:ind w:firstLine="0"/>
              <w:jc w:val="left"/>
              <w:rPr>
                <w:rFonts w:eastAsia="Times New Roman"/>
                <w:sz w:val="24"/>
                <w:lang w:eastAsia="ro-RO"/>
              </w:rPr>
            </w:pPr>
            <w:r w:rsidRPr="00827721">
              <w:rPr>
                <w:rFonts w:eastAsia="Times New Roman"/>
                <w:sz w:val="24"/>
                <w:lang w:eastAsia="ro-RO"/>
              </w:rPr>
              <w:t>Panta pe 20 de ani</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4817F"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8D2FB"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0,074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2CBF6"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0,200</w:t>
            </w:r>
          </w:p>
        </w:tc>
        <w:tc>
          <w:tcPr>
            <w:tcW w:w="754" w:type="dxa"/>
            <w:tcBorders>
              <w:top w:val="outset" w:sz="6" w:space="0" w:color="auto"/>
              <w:left w:val="outset" w:sz="6" w:space="0" w:color="auto"/>
              <w:bottom w:val="outset" w:sz="6" w:space="0" w:color="auto"/>
              <w:right w:val="outset" w:sz="6" w:space="0" w:color="auto"/>
            </w:tcBorders>
            <w:vAlign w:val="center"/>
            <w:hideMark/>
          </w:tcPr>
          <w:p w14:paraId="07E781F9"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0,036</w:t>
            </w:r>
          </w:p>
        </w:tc>
        <w:tc>
          <w:tcPr>
            <w:tcW w:w="600" w:type="dxa"/>
            <w:tcBorders>
              <w:top w:val="outset" w:sz="6" w:space="0" w:color="auto"/>
              <w:left w:val="outset" w:sz="6" w:space="0" w:color="auto"/>
              <w:bottom w:val="outset" w:sz="6" w:space="0" w:color="auto"/>
              <w:right w:val="outset" w:sz="6" w:space="0" w:color="auto"/>
            </w:tcBorders>
            <w:vAlign w:val="center"/>
            <w:hideMark/>
          </w:tcPr>
          <w:p w14:paraId="5771EC9F"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F6E52"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1,276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82278"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0,379</w:t>
            </w:r>
          </w:p>
        </w:tc>
        <w:tc>
          <w:tcPr>
            <w:tcW w:w="1260" w:type="dxa"/>
            <w:tcBorders>
              <w:top w:val="outset" w:sz="6" w:space="0" w:color="auto"/>
              <w:left w:val="outset" w:sz="6" w:space="0" w:color="auto"/>
              <w:bottom w:val="outset" w:sz="6" w:space="0" w:color="auto"/>
              <w:right w:val="outset" w:sz="6" w:space="0" w:color="auto"/>
            </w:tcBorders>
            <w:vAlign w:val="center"/>
            <w:hideMark/>
          </w:tcPr>
          <w:p w14:paraId="1E9F37E7"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0,035</w:t>
            </w:r>
          </w:p>
        </w:tc>
        <w:tc>
          <w:tcPr>
            <w:tcW w:w="709" w:type="dxa"/>
            <w:tcBorders>
              <w:top w:val="outset" w:sz="6" w:space="0" w:color="auto"/>
              <w:left w:val="outset" w:sz="6" w:space="0" w:color="auto"/>
              <w:bottom w:val="outset" w:sz="6" w:space="0" w:color="auto"/>
              <w:right w:val="outset" w:sz="6" w:space="0" w:color="auto"/>
            </w:tcBorders>
            <w:vAlign w:val="center"/>
            <w:hideMark/>
          </w:tcPr>
          <w:p w14:paraId="5D305861" w14:textId="77777777" w:rsidR="00A7577F" w:rsidRPr="00827721" w:rsidRDefault="00A7577F" w:rsidP="00692557">
            <w:pPr>
              <w:spacing w:before="60" w:after="60" w:line="312" w:lineRule="atLeast"/>
              <w:ind w:firstLine="0"/>
              <w:jc w:val="center"/>
              <w:rPr>
                <w:rFonts w:eastAsia="Times New Roman"/>
                <w:sz w:val="24"/>
                <w:lang w:eastAsia="ro-RO"/>
              </w:rPr>
            </w:pPr>
            <w:r w:rsidRPr="00827721">
              <w:rPr>
                <w:rFonts w:eastAsia="Times New Roman"/>
                <w:sz w:val="24"/>
                <w:lang w:eastAsia="ro-RO"/>
              </w:rPr>
              <w:t>0,04</w:t>
            </w:r>
          </w:p>
        </w:tc>
      </w:tr>
      <w:tr w:rsidR="00A7577F" w:rsidRPr="00827721" w14:paraId="26BEC204" w14:textId="77777777" w:rsidTr="00BC0A02">
        <w:trPr>
          <w:jc w:val="center"/>
        </w:trPr>
        <w:tc>
          <w:tcPr>
            <w:tcW w:w="9348" w:type="dxa"/>
            <w:gridSpan w:val="10"/>
            <w:tcBorders>
              <w:top w:val="outset" w:sz="6" w:space="0" w:color="auto"/>
              <w:left w:val="outset" w:sz="6" w:space="0" w:color="auto"/>
              <w:bottom w:val="outset" w:sz="6" w:space="0" w:color="auto"/>
              <w:right w:val="outset" w:sz="6" w:space="0" w:color="auto"/>
            </w:tcBorders>
            <w:vAlign w:val="center"/>
            <w:hideMark/>
          </w:tcPr>
          <w:p w14:paraId="0D8447AF" w14:textId="77777777" w:rsidR="00A7577F" w:rsidRPr="00827721" w:rsidRDefault="00A7577F" w:rsidP="00692557">
            <w:pPr>
              <w:spacing w:before="120" w:line="312" w:lineRule="atLeast"/>
              <w:ind w:firstLine="0"/>
              <w:jc w:val="left"/>
              <w:rPr>
                <w:rFonts w:eastAsia="Times New Roman"/>
                <w:sz w:val="24"/>
                <w:lang w:eastAsia="ro-RO"/>
              </w:rPr>
            </w:pPr>
            <w:r w:rsidRPr="00827721">
              <w:rPr>
                <w:rFonts w:eastAsia="Times New Roman"/>
                <w:sz w:val="24"/>
                <w:lang w:eastAsia="ro-RO"/>
              </w:rPr>
              <w:t>Panta pe 20 de ani vizează perioada 2008-2017.</w:t>
            </w:r>
          </w:p>
        </w:tc>
      </w:tr>
    </w:tbl>
    <w:p w14:paraId="7F25EB31" w14:textId="48D2A1D0" w:rsidR="00A7577F" w:rsidRPr="00827721" w:rsidRDefault="00A7577F" w:rsidP="004459F1">
      <w:pPr>
        <w:pStyle w:val="Anexapct1"/>
        <w:spacing w:before="240"/>
        <w:rPr>
          <w:rFonts w:eastAsia="Arial Unicode MS"/>
          <w:lang w:eastAsia="ro-RO"/>
        </w:rPr>
      </w:pPr>
      <w:r w:rsidRPr="00827721">
        <w:rPr>
          <w:rFonts w:eastAsia="Arial Unicode MS"/>
          <w:lang w:eastAsia="ro-RO"/>
        </w:rPr>
        <w:t>Pentru orice cultură din tabel</w:t>
      </w:r>
      <w:r w:rsidR="00320835" w:rsidRPr="00827721">
        <w:rPr>
          <w:rFonts w:eastAsia="Arial Unicode MS"/>
          <w:lang w:eastAsia="ro-RO"/>
        </w:rPr>
        <w:t>ul de mai sus</w:t>
      </w:r>
      <w:r w:rsidRPr="00827721">
        <w:rPr>
          <w:rFonts w:eastAsia="Arial Unicode MS"/>
          <w:lang w:eastAsia="ro-RO"/>
        </w:rPr>
        <w:t xml:space="preserve">, randamentul dinamic de referință se determină luând punctul de plecare (media pe trei ani a randamentelor istorice înainte de aplicarea măsurii de </w:t>
      </w:r>
      <w:proofErr w:type="spellStart"/>
      <w:r w:rsidRPr="00827721">
        <w:rPr>
          <w:rFonts w:eastAsia="Arial Unicode MS"/>
          <w:lang w:eastAsia="ro-RO"/>
        </w:rPr>
        <w:t>adiționalitate</w:t>
      </w:r>
      <w:proofErr w:type="spellEnd"/>
      <w:r w:rsidRPr="00827721">
        <w:rPr>
          <w:rFonts w:eastAsia="Arial Unicode MS"/>
          <w:lang w:eastAsia="ro-RO"/>
        </w:rPr>
        <w:t xml:space="preserve">) și adăugând linia de tendință globală (panta) din tabelul 2. Se utilizează următoarea formulă, începând cu anul în care este pusă în aplicare măsura de </w:t>
      </w:r>
      <w:proofErr w:type="spellStart"/>
      <w:r w:rsidRPr="00827721">
        <w:rPr>
          <w:rFonts w:eastAsia="Arial Unicode MS"/>
          <w:lang w:eastAsia="ro-RO"/>
        </w:rPr>
        <w:t>adiționalitate</w:t>
      </w:r>
      <w:proofErr w:type="spellEnd"/>
      <w:r w:rsidRPr="00827721">
        <w:rPr>
          <w:rFonts w:eastAsia="Arial Unicode MS"/>
          <w:lang w:eastAsia="ro-RO"/>
        </w:rPr>
        <w:t>:</w:t>
      </w:r>
    </w:p>
    <w:p w14:paraId="6CBCAB89" w14:textId="159EA802" w:rsidR="00A7577F" w:rsidRPr="00827721" w:rsidRDefault="00A7577F" w:rsidP="00BC0A02">
      <w:pPr>
        <w:jc w:val="center"/>
        <w:rPr>
          <w:rFonts w:eastAsia="Arial Unicode MS"/>
          <w:lang w:eastAsia="ro-RO"/>
        </w:rPr>
      </w:pPr>
      <w:proofErr w:type="spellStart"/>
      <w:r w:rsidRPr="00827721">
        <w:rPr>
          <w:rFonts w:eastAsia="Arial Unicode MS"/>
          <w:lang w:eastAsia="ro-RO"/>
        </w:rPr>
        <w:t>DYB</w:t>
      </w:r>
      <w:r w:rsidRPr="00827721">
        <w:rPr>
          <w:rFonts w:eastAsia="Arial Unicode MS"/>
          <w:sz w:val="15"/>
          <w:szCs w:val="15"/>
          <w:vertAlign w:val="subscript"/>
          <w:lang w:eastAsia="ro-RO"/>
        </w:rPr>
        <w:t>x</w:t>
      </w:r>
      <w:proofErr w:type="spellEnd"/>
      <w:r w:rsidRPr="00827721">
        <w:rPr>
          <w:rFonts w:eastAsia="Arial Unicode MS"/>
          <w:lang w:eastAsia="ro-RO"/>
        </w:rPr>
        <w:t>=(</w:t>
      </w:r>
      <w:proofErr w:type="spellStart"/>
      <w:r w:rsidRPr="00827721">
        <w:rPr>
          <w:rFonts w:eastAsia="Arial Unicode MS"/>
          <w:lang w:eastAsia="ro-RO"/>
        </w:rPr>
        <w:t>starting</w:t>
      </w:r>
      <w:proofErr w:type="spellEnd"/>
      <w:r w:rsidRPr="00827721">
        <w:rPr>
          <w:rFonts w:eastAsia="Arial Unicode MS"/>
          <w:lang w:eastAsia="ro-RO"/>
        </w:rPr>
        <w:t xml:space="preserve"> </w:t>
      </w:r>
      <w:proofErr w:type="spellStart"/>
      <w:r w:rsidRPr="00827721">
        <w:rPr>
          <w:rFonts w:eastAsia="Arial Unicode MS"/>
          <w:lang w:eastAsia="ro-RO"/>
        </w:rPr>
        <w:t>point</w:t>
      </w:r>
      <w:proofErr w:type="spellEnd"/>
      <w:r w:rsidRPr="00827721">
        <w:rPr>
          <w:rFonts w:eastAsia="Arial Unicode MS"/>
          <w:lang w:eastAsia="ro-RO"/>
        </w:rPr>
        <w:t xml:space="preserve"> DYB)+(</w:t>
      </w:r>
      <w:r w:rsidR="000F7DF3" w:rsidRPr="00827721">
        <w:rPr>
          <w:rFonts w:eastAsia="Arial Unicode MS"/>
          <w:lang w:eastAsia="ro-RO"/>
        </w:rPr>
        <w:t>panta</w:t>
      </w:r>
      <w:r w:rsidRPr="00827721">
        <w:rPr>
          <w:rFonts w:eastAsia="Arial Unicode MS"/>
          <w:sz w:val="15"/>
          <w:szCs w:val="15"/>
          <w:vertAlign w:val="subscript"/>
          <w:lang w:eastAsia="ro-RO"/>
        </w:rPr>
        <w:t>20</w:t>
      </w:r>
      <w:r w:rsidRPr="00827721">
        <w:rPr>
          <w:rFonts w:eastAsia="Arial Unicode MS"/>
          <w:lang w:eastAsia="ro-RO"/>
        </w:rPr>
        <w:t> )x</w:t>
      </w:r>
    </w:p>
    <w:p w14:paraId="1D0DA6F9" w14:textId="77777777" w:rsidR="00A7577F" w:rsidRPr="00827721" w:rsidRDefault="00A7577F" w:rsidP="00C223FD">
      <w:pPr>
        <w:rPr>
          <w:rFonts w:eastAsia="Arial Unicode MS"/>
          <w:lang w:eastAsia="ro-RO"/>
        </w:rPr>
      </w:pPr>
      <w:r w:rsidRPr="00827721">
        <w:rPr>
          <w:rFonts w:eastAsia="Arial Unicode MS"/>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642"/>
        <w:gridCol w:w="158"/>
        <w:gridCol w:w="8661"/>
      </w:tblGrid>
      <w:tr w:rsidR="00A7577F" w:rsidRPr="00827721" w14:paraId="0D941F30" w14:textId="77777777" w:rsidTr="00C223FD">
        <w:tc>
          <w:tcPr>
            <w:tcW w:w="0" w:type="auto"/>
            <w:shd w:val="clear" w:color="auto" w:fill="FFFFFF"/>
            <w:hideMark/>
          </w:tcPr>
          <w:p w14:paraId="2FCB7035" w14:textId="77777777" w:rsidR="00A7577F" w:rsidRPr="00827721" w:rsidRDefault="00A7577F" w:rsidP="00C223FD">
            <w:pPr>
              <w:ind w:firstLine="0"/>
              <w:jc w:val="left"/>
              <w:rPr>
                <w:rFonts w:eastAsia="Arial Unicode MS"/>
                <w:lang w:eastAsia="ro-RO"/>
              </w:rPr>
            </w:pPr>
            <w:proofErr w:type="spellStart"/>
            <w:r w:rsidRPr="00827721">
              <w:rPr>
                <w:rFonts w:eastAsia="Arial Unicode MS"/>
                <w:lang w:eastAsia="ro-RO"/>
              </w:rPr>
              <w:t>DYB</w:t>
            </w:r>
            <w:r w:rsidRPr="00827721">
              <w:rPr>
                <w:rFonts w:eastAsia="Arial Unicode MS"/>
                <w:sz w:val="15"/>
                <w:szCs w:val="15"/>
                <w:vertAlign w:val="subscript"/>
                <w:lang w:eastAsia="ro-RO"/>
              </w:rPr>
              <w:t>x</w:t>
            </w:r>
            <w:proofErr w:type="spellEnd"/>
          </w:p>
        </w:tc>
        <w:tc>
          <w:tcPr>
            <w:tcW w:w="0" w:type="auto"/>
            <w:shd w:val="clear" w:color="auto" w:fill="FFFFFF"/>
            <w:hideMark/>
          </w:tcPr>
          <w:p w14:paraId="2A9C5B40" w14:textId="77777777" w:rsidR="00A7577F" w:rsidRPr="00827721" w:rsidRDefault="00A7577F" w:rsidP="00C223FD">
            <w:pPr>
              <w:ind w:firstLine="0"/>
              <w:jc w:val="left"/>
              <w:rPr>
                <w:rFonts w:eastAsia="Arial Unicode MS"/>
                <w:lang w:eastAsia="ro-RO"/>
              </w:rPr>
            </w:pPr>
            <w:r w:rsidRPr="00827721">
              <w:rPr>
                <w:rFonts w:eastAsia="Arial Unicode MS"/>
                <w:lang w:eastAsia="ro-RO"/>
              </w:rPr>
              <w:t>=</w:t>
            </w:r>
          </w:p>
        </w:tc>
        <w:tc>
          <w:tcPr>
            <w:tcW w:w="0" w:type="auto"/>
            <w:shd w:val="clear" w:color="auto" w:fill="FFFFFF"/>
            <w:hideMark/>
          </w:tcPr>
          <w:p w14:paraId="4B65705B" w14:textId="756BCA00" w:rsidR="00A7577F" w:rsidRPr="00827721" w:rsidRDefault="00A7577F" w:rsidP="00C223FD">
            <w:pPr>
              <w:ind w:firstLine="0"/>
              <w:rPr>
                <w:rFonts w:eastAsia="Arial Unicode MS"/>
                <w:lang w:eastAsia="ro-RO"/>
              </w:rPr>
            </w:pPr>
            <w:r w:rsidRPr="00827721">
              <w:rPr>
                <w:rFonts w:eastAsia="Arial Unicode MS"/>
                <w:lang w:eastAsia="ro-RO"/>
              </w:rPr>
              <w:t xml:space="preserve">randamentul dinamic de referință din anul x după punerea în aplicare a măsurii de </w:t>
            </w:r>
            <w:proofErr w:type="spellStart"/>
            <w:r w:rsidRPr="00827721">
              <w:rPr>
                <w:rFonts w:eastAsia="Arial Unicode MS"/>
                <w:lang w:eastAsia="ro-RO"/>
              </w:rPr>
              <w:t>adiționalitate</w:t>
            </w:r>
            <w:proofErr w:type="spellEnd"/>
            <w:r w:rsidR="00C223FD" w:rsidRPr="00827721">
              <w:rPr>
                <w:rFonts w:eastAsia="Arial Unicode MS"/>
                <w:lang w:eastAsia="ro-RO"/>
              </w:rPr>
              <w:t>;</w:t>
            </w:r>
          </w:p>
        </w:tc>
      </w:tr>
      <w:tr w:rsidR="00C223FD" w:rsidRPr="00827721" w14:paraId="5A347221" w14:textId="77777777" w:rsidTr="00C223FD">
        <w:tc>
          <w:tcPr>
            <w:tcW w:w="0" w:type="auto"/>
            <w:shd w:val="clear" w:color="auto" w:fill="FFFFFF"/>
          </w:tcPr>
          <w:p w14:paraId="481FB614" w14:textId="4829A8B6" w:rsidR="00C223FD" w:rsidRPr="00827721" w:rsidRDefault="00C223FD" w:rsidP="00C223FD">
            <w:pPr>
              <w:ind w:firstLine="0"/>
              <w:jc w:val="left"/>
              <w:rPr>
                <w:rFonts w:eastAsia="Arial Unicode MS"/>
                <w:lang w:eastAsia="ro-RO"/>
              </w:rPr>
            </w:pPr>
            <w:r w:rsidRPr="00827721">
              <w:rPr>
                <w:rFonts w:eastAsia="Arial Unicode MS"/>
                <w:lang w:eastAsia="ro-RO"/>
              </w:rPr>
              <w:t>x</w:t>
            </w:r>
          </w:p>
        </w:tc>
        <w:tc>
          <w:tcPr>
            <w:tcW w:w="0" w:type="auto"/>
            <w:shd w:val="clear" w:color="auto" w:fill="FFFFFF"/>
          </w:tcPr>
          <w:p w14:paraId="0398F037" w14:textId="013A2543" w:rsidR="00C223FD" w:rsidRPr="00827721" w:rsidRDefault="00C223FD" w:rsidP="00C223FD">
            <w:pPr>
              <w:ind w:firstLine="0"/>
              <w:jc w:val="left"/>
              <w:rPr>
                <w:rFonts w:eastAsia="Arial Unicode MS"/>
                <w:lang w:eastAsia="ro-RO"/>
              </w:rPr>
            </w:pPr>
            <w:r w:rsidRPr="00827721">
              <w:rPr>
                <w:rFonts w:eastAsia="Arial Unicode MS"/>
                <w:lang w:eastAsia="ro-RO"/>
              </w:rPr>
              <w:t>=</w:t>
            </w:r>
          </w:p>
        </w:tc>
        <w:tc>
          <w:tcPr>
            <w:tcW w:w="0" w:type="auto"/>
            <w:shd w:val="clear" w:color="auto" w:fill="FFFFFF"/>
          </w:tcPr>
          <w:p w14:paraId="1D442461" w14:textId="4331528B" w:rsidR="00C223FD" w:rsidRPr="00827721" w:rsidRDefault="00C223FD" w:rsidP="00C223FD">
            <w:pPr>
              <w:ind w:firstLine="0"/>
              <w:rPr>
                <w:rFonts w:eastAsia="Arial Unicode MS"/>
                <w:lang w:eastAsia="ro-RO"/>
              </w:rPr>
            </w:pPr>
            <w:r w:rsidRPr="00827721">
              <w:rPr>
                <w:rFonts w:eastAsia="Arial Unicode MS"/>
                <w:lang w:eastAsia="ro-RO"/>
              </w:rPr>
              <w:t xml:space="preserve">anul (anii) de la punerea în aplicare a măsurii de </w:t>
            </w:r>
            <w:proofErr w:type="spellStart"/>
            <w:r w:rsidRPr="00827721">
              <w:rPr>
                <w:rFonts w:eastAsia="Arial Unicode MS"/>
                <w:lang w:eastAsia="ro-RO"/>
              </w:rPr>
              <w:t>adiționalitate</w:t>
            </w:r>
            <w:proofErr w:type="spellEnd"/>
            <w:r w:rsidRPr="00827721">
              <w:rPr>
                <w:rFonts w:eastAsia="Arial Unicode MS"/>
                <w:lang w:eastAsia="ro-RO"/>
              </w:rPr>
              <w:t>.</w:t>
            </w:r>
          </w:p>
        </w:tc>
      </w:tr>
    </w:tbl>
    <w:p w14:paraId="036EEE72" w14:textId="77777777" w:rsidR="00A7577F" w:rsidRPr="00827721" w:rsidRDefault="00A7577F" w:rsidP="00C223FD">
      <w:pPr>
        <w:pStyle w:val="Anexapct1"/>
        <w:rPr>
          <w:rFonts w:eastAsia="Arial Unicode MS"/>
          <w:lang w:eastAsia="ro-RO"/>
        </w:rPr>
      </w:pPr>
      <w:r w:rsidRPr="00827721">
        <w:rPr>
          <w:rFonts w:eastAsia="Arial Unicode MS"/>
          <w:lang w:eastAsia="ro-RO"/>
        </w:rPr>
        <w:t xml:space="preserve">În cazul în care măsura de </w:t>
      </w:r>
      <w:proofErr w:type="spellStart"/>
      <w:r w:rsidRPr="00827721">
        <w:rPr>
          <w:rFonts w:eastAsia="Arial Unicode MS"/>
          <w:lang w:eastAsia="ro-RO"/>
        </w:rPr>
        <w:t>adiționalitate</w:t>
      </w:r>
      <w:proofErr w:type="spellEnd"/>
      <w:r w:rsidRPr="00827721">
        <w:rPr>
          <w:rFonts w:eastAsia="Arial Unicode MS"/>
          <w:lang w:eastAsia="ro-RO"/>
        </w:rPr>
        <w:t xml:space="preserve"> constă în înlocuirea culturii existente cu o cultură diferită (cu randament mai mare) pe o parcelă delimitată, situația </w:t>
      </w:r>
      <w:r w:rsidRPr="00827721">
        <w:rPr>
          <w:rFonts w:eastAsia="Arial Unicode MS"/>
          <w:lang w:eastAsia="ro-RO"/>
        </w:rPr>
        <w:lastRenderedPageBreak/>
        <w:t>contrafactuală este cultivarea culturii existente. Randamentul dinamic de referință se determină pe baza datelor istorice privind randamentul și linia de tendință pentru cultura existentă.</w:t>
      </w:r>
    </w:p>
    <w:p w14:paraId="51BE3958" w14:textId="4B593317" w:rsidR="00A7577F" w:rsidRPr="00827721" w:rsidRDefault="00A7577F" w:rsidP="00C223FD">
      <w:pPr>
        <w:pStyle w:val="Anexapct1"/>
        <w:rPr>
          <w:rFonts w:eastAsia="Arial Unicode MS"/>
          <w:lang w:eastAsia="ro-RO"/>
        </w:rPr>
      </w:pPr>
      <w:r w:rsidRPr="00827721">
        <w:rPr>
          <w:rFonts w:eastAsia="Arial Unicode MS"/>
          <w:lang w:eastAsia="ro-RO"/>
        </w:rPr>
        <w:t>Punctul de plecare al scenariului de referință este media pe 3 ani a randamentului obținut pentru cultura existentă cu performanțe mai scăzute. Linia de tendință se bazează pe datele globale FAOSTAT privind linia de tendință pentru cultura existentă (a se vedea tabelul 2). Această abordare se utilizează numai dacă se demonstr</w:t>
      </w:r>
      <w:r w:rsidR="00C7104E" w:rsidRPr="00827721">
        <w:rPr>
          <w:rFonts w:eastAsia="Arial Unicode MS"/>
          <w:lang w:eastAsia="ro-RO"/>
        </w:rPr>
        <w:t>e</w:t>
      </w:r>
      <w:r w:rsidRPr="00827721">
        <w:rPr>
          <w:rFonts w:eastAsia="Arial Unicode MS"/>
          <w:lang w:eastAsia="ro-RO"/>
        </w:rPr>
        <w:t>a</w:t>
      </w:r>
      <w:r w:rsidR="00C7104E" w:rsidRPr="00827721">
        <w:rPr>
          <w:rFonts w:eastAsia="Arial Unicode MS"/>
          <w:lang w:eastAsia="ro-RO"/>
        </w:rPr>
        <w:t>ză</w:t>
      </w:r>
      <w:r w:rsidRPr="00827721">
        <w:rPr>
          <w:rFonts w:eastAsia="Arial Unicode MS"/>
          <w:lang w:eastAsia="ro-RO"/>
        </w:rPr>
        <w:t xml:space="preserve"> că o cultură mai performantă </w:t>
      </w:r>
      <w:r w:rsidR="007A4DA3" w:rsidRPr="00827721">
        <w:rPr>
          <w:rFonts w:eastAsia="Arial Unicode MS"/>
          <w:lang w:eastAsia="ro-RO"/>
        </w:rPr>
        <w:t>poate</w:t>
      </w:r>
      <w:r w:rsidRPr="00827721">
        <w:rPr>
          <w:rFonts w:eastAsia="Arial Unicode MS"/>
          <w:lang w:eastAsia="ro-RO"/>
        </w:rPr>
        <w:t xml:space="preserve"> fi introdusă ca urmare a schimbărilor de pe piața </w:t>
      </w:r>
      <w:r w:rsidR="008A23DF" w:rsidRPr="00827721">
        <w:rPr>
          <w:rFonts w:eastAsia="Arial Unicode MS"/>
          <w:lang w:eastAsia="ro-RO"/>
        </w:rPr>
        <w:t>biocarburanților</w:t>
      </w:r>
      <w:r w:rsidRPr="00827721">
        <w:rPr>
          <w:rFonts w:eastAsia="Arial Unicode MS"/>
          <w:lang w:eastAsia="ro-RO"/>
        </w:rPr>
        <w:t xml:space="preserve">, astfel cum s-a demonstrat în evaluarea </w:t>
      </w:r>
      <w:proofErr w:type="spellStart"/>
      <w:r w:rsidRPr="00827721">
        <w:rPr>
          <w:rFonts w:eastAsia="Arial Unicode MS"/>
          <w:lang w:eastAsia="ro-RO"/>
        </w:rPr>
        <w:t>adiționalității</w:t>
      </w:r>
      <w:proofErr w:type="spellEnd"/>
      <w:r w:rsidRPr="00827721">
        <w:rPr>
          <w:rFonts w:eastAsia="Arial Unicode MS"/>
          <w:lang w:eastAsia="ro-RO"/>
        </w:rPr>
        <w:t>.</w:t>
      </w:r>
    </w:p>
    <w:p w14:paraId="317BD185" w14:textId="56FD7278" w:rsidR="00C223FD" w:rsidRPr="00827721" w:rsidRDefault="00C223FD" w:rsidP="00C223FD">
      <w:pPr>
        <w:pStyle w:val="Capitol"/>
        <w:rPr>
          <w:rFonts w:eastAsia="Arial Unicode MS"/>
          <w:lang w:eastAsia="ro-RO"/>
        </w:rPr>
      </w:pPr>
      <w:r w:rsidRPr="00827721">
        <w:rPr>
          <w:rFonts w:eastAsia="Arial Unicode MS"/>
          <w:caps w:val="0"/>
          <w:lang w:eastAsia="ro-RO"/>
        </w:rPr>
        <w:t xml:space="preserve">Capitolul </w:t>
      </w:r>
      <w:r w:rsidRPr="00827721">
        <w:rPr>
          <w:rFonts w:eastAsia="Arial Unicode MS"/>
          <w:lang w:eastAsia="ro-RO"/>
        </w:rPr>
        <w:t>III</w:t>
      </w:r>
    </w:p>
    <w:p w14:paraId="09AACC13" w14:textId="3C234E33" w:rsidR="00A7577F" w:rsidRPr="00827721" w:rsidRDefault="00A7577F" w:rsidP="00C223FD">
      <w:pPr>
        <w:pStyle w:val="Capitol"/>
        <w:rPr>
          <w:rFonts w:eastAsia="Arial Unicode MS"/>
          <w:lang w:eastAsia="ro-RO"/>
        </w:rPr>
      </w:pPr>
      <w:r w:rsidRPr="00827721">
        <w:rPr>
          <w:rFonts w:eastAsia="Arial Unicode MS"/>
          <w:lang w:eastAsia="ro-RO"/>
        </w:rPr>
        <w:t>Determinarea randamentului dinamic de referință pentru culturile perene</w:t>
      </w:r>
    </w:p>
    <w:p w14:paraId="7863A5FA" w14:textId="77777777" w:rsidR="00A7577F" w:rsidRPr="00827721" w:rsidRDefault="00A7577F" w:rsidP="00C223FD">
      <w:pPr>
        <w:pStyle w:val="Anexapct1"/>
        <w:rPr>
          <w:rFonts w:eastAsia="Arial Unicode MS"/>
          <w:lang w:eastAsia="ro-RO"/>
        </w:rPr>
      </w:pPr>
      <w:r w:rsidRPr="00827721">
        <w:rPr>
          <w:rFonts w:eastAsia="Arial Unicode MS"/>
          <w:lang w:eastAsia="ro-RO"/>
        </w:rPr>
        <w:t>În funcție de variația randamentului observată pe durata de viață a diferitelor tipuri de culturi perene, sunt posibile abordări metodologice diferite.</w:t>
      </w:r>
    </w:p>
    <w:p w14:paraId="21E3670D" w14:textId="77777777" w:rsidR="00A7577F" w:rsidRPr="00827721" w:rsidRDefault="00A7577F" w:rsidP="00C223FD">
      <w:pPr>
        <w:pStyle w:val="Anexapct1"/>
        <w:rPr>
          <w:rFonts w:eastAsia="Arial Unicode MS"/>
          <w:lang w:eastAsia="ro-RO"/>
        </w:rPr>
      </w:pPr>
      <w:r w:rsidRPr="00827721">
        <w:rPr>
          <w:rFonts w:eastAsia="Arial Unicode MS"/>
          <w:lang w:eastAsia="ro-RO"/>
        </w:rPr>
        <w:t>În cazul palmierilor, operatorii economici de pe plantațiile de palmieri de ulei pot utiliza următoarele date pentru determinarea randamentului dinamic de referință:</w:t>
      </w:r>
    </w:p>
    <w:p w14:paraId="761A06BF" w14:textId="77777777" w:rsidR="00A7577F" w:rsidRPr="00827721" w:rsidRDefault="00A7577F" w:rsidP="00C223FD">
      <w:pPr>
        <w:pStyle w:val="Anexapct11"/>
        <w:rPr>
          <w:rFonts w:eastAsia="Arial Unicode MS"/>
          <w:lang w:eastAsia="ro-RO"/>
        </w:rPr>
      </w:pPr>
      <w:r w:rsidRPr="00827721">
        <w:rPr>
          <w:rFonts w:eastAsia="Arial Unicode MS"/>
          <w:lang w:eastAsia="ro-RO"/>
        </w:rPr>
        <w:t xml:space="preserve">randamentele istorice ale culturilor obținute înainte de punerea în aplicare a unei măsuri de </w:t>
      </w:r>
      <w:proofErr w:type="spellStart"/>
      <w:r w:rsidRPr="00827721">
        <w:rPr>
          <w:rFonts w:eastAsia="Arial Unicode MS"/>
          <w:lang w:eastAsia="ro-RO"/>
        </w:rPr>
        <w:t>adiționalitate</w:t>
      </w:r>
      <w:proofErr w:type="spellEnd"/>
      <w:r w:rsidRPr="00827721">
        <w:rPr>
          <w:rFonts w:eastAsia="Arial Unicode MS"/>
          <w:lang w:eastAsia="ro-RO"/>
        </w:rPr>
        <w:t>;</w:t>
      </w:r>
    </w:p>
    <w:p w14:paraId="0E045648" w14:textId="77777777" w:rsidR="00A7577F" w:rsidRPr="00827721" w:rsidRDefault="00A7577F" w:rsidP="00C223FD">
      <w:pPr>
        <w:pStyle w:val="Anexapct11"/>
        <w:rPr>
          <w:rFonts w:eastAsia="Arial Unicode MS"/>
          <w:lang w:eastAsia="ro-RO"/>
        </w:rPr>
      </w:pPr>
      <w:r w:rsidRPr="00827721">
        <w:rPr>
          <w:rFonts w:eastAsia="Arial Unicode MS"/>
          <w:lang w:eastAsia="ro-RO"/>
        </w:rPr>
        <w:t>anul de plantare a palmierilor pe parcela delimitată de teren și/sau profilul de vârstă al acestora;</w:t>
      </w:r>
    </w:p>
    <w:p w14:paraId="51B03E87" w14:textId="77777777" w:rsidR="00A7577F" w:rsidRPr="00827721" w:rsidRDefault="00A7577F" w:rsidP="00C223FD">
      <w:pPr>
        <w:pStyle w:val="Anexapct11"/>
        <w:rPr>
          <w:rFonts w:eastAsia="Arial Unicode MS"/>
          <w:lang w:eastAsia="ro-RO"/>
        </w:rPr>
      </w:pPr>
      <w:proofErr w:type="spellStart"/>
      <w:r w:rsidRPr="00827721">
        <w:rPr>
          <w:rFonts w:eastAsia="Arial Unicode MS"/>
          <w:lang w:eastAsia="ro-RO"/>
        </w:rPr>
        <w:t>cultivarele</w:t>
      </w:r>
      <w:proofErr w:type="spellEnd"/>
      <w:r w:rsidRPr="00827721">
        <w:rPr>
          <w:rFonts w:eastAsia="Arial Unicode MS"/>
          <w:lang w:eastAsia="ro-RO"/>
        </w:rPr>
        <w:t xml:space="preserve"> de palmieri de pe parcela delimitată, dacă este cazul;</w:t>
      </w:r>
    </w:p>
    <w:p w14:paraId="61F2C60A" w14:textId="77777777" w:rsidR="00A7577F" w:rsidRPr="00827721" w:rsidRDefault="00A7577F" w:rsidP="00C223FD">
      <w:pPr>
        <w:pStyle w:val="Anexapct11"/>
        <w:rPr>
          <w:rFonts w:eastAsia="Arial Unicode MS"/>
          <w:lang w:eastAsia="ro-RO"/>
        </w:rPr>
      </w:pPr>
      <w:r w:rsidRPr="00827721">
        <w:rPr>
          <w:rFonts w:eastAsia="Arial Unicode MS"/>
          <w:lang w:eastAsia="ro-RO"/>
        </w:rPr>
        <w:t>suprafața de teren replantată în fiecare an pe o plantație, dacă este cazul.</w:t>
      </w:r>
    </w:p>
    <w:p w14:paraId="39A45C01" w14:textId="77777777" w:rsidR="00A7577F" w:rsidRPr="00827721" w:rsidRDefault="00A7577F" w:rsidP="00C223FD">
      <w:pPr>
        <w:pStyle w:val="Anexapct1"/>
        <w:rPr>
          <w:rFonts w:eastAsia="Arial Unicode MS"/>
          <w:lang w:eastAsia="ro-RO"/>
        </w:rPr>
      </w:pPr>
      <w:r w:rsidRPr="00827721">
        <w:rPr>
          <w:rFonts w:eastAsia="Arial Unicode MS"/>
          <w:lang w:eastAsia="ro-RO"/>
        </w:rPr>
        <w:t>Aceste date sunt combinate cu o curbă de creștere pentru a determina randamentul dinamic de referință. Caracteristica esențială a curbei de creștere a randamentului este forma, nu magnitudinea.</w:t>
      </w:r>
    </w:p>
    <w:p w14:paraId="716A5B31" w14:textId="3809D465" w:rsidR="00A7577F" w:rsidRPr="00827721" w:rsidRDefault="00A7577F" w:rsidP="00C223FD">
      <w:pPr>
        <w:pStyle w:val="Anexapct1"/>
        <w:rPr>
          <w:rFonts w:eastAsia="Arial Unicode MS"/>
          <w:lang w:eastAsia="ro-RO"/>
        </w:rPr>
      </w:pPr>
      <w:r w:rsidRPr="00827721">
        <w:rPr>
          <w:rFonts w:eastAsia="Arial Unicode MS"/>
          <w:lang w:eastAsia="ro-RO"/>
        </w:rPr>
        <w:t xml:space="preserve">Curba de creștere dă forma și trebuie să fie combinată cu datele istorice privind randamentul și vârsta arborilor, astfel cum se prevede la </w:t>
      </w:r>
      <w:r w:rsidR="00FE355D" w:rsidRPr="00827721">
        <w:rPr>
          <w:rFonts w:eastAsia="Arial Unicode MS"/>
          <w:lang w:eastAsia="ro-RO"/>
        </w:rPr>
        <w:t>subpct. 33.1 și 33.2</w:t>
      </w:r>
      <w:r w:rsidRPr="00827721">
        <w:rPr>
          <w:rFonts w:eastAsia="Arial Unicode MS"/>
          <w:lang w:eastAsia="ro-RO"/>
        </w:rPr>
        <w:t>, pentru a ajusta magnitudinea curbei randamentului dinamic de referință la parcela specifică.</w:t>
      </w:r>
    </w:p>
    <w:p w14:paraId="6AA20098" w14:textId="533ADD96" w:rsidR="00A7577F" w:rsidRPr="00827721" w:rsidRDefault="00A7577F" w:rsidP="003D2581">
      <w:pPr>
        <w:pStyle w:val="Anexapct1"/>
      </w:pPr>
      <w:r w:rsidRPr="00827721">
        <w:t>Pentru determinarea randamentului dinamic de referință pentru palmieri sunt disponibile următoarele trei opțiuni.</w:t>
      </w:r>
      <w:r w:rsidR="003D2581" w:rsidRPr="00827721">
        <w:t xml:space="preserve"> </w:t>
      </w:r>
      <w:r w:rsidRPr="00827721">
        <w:t>Pentru fiecare opțiune, datele necesare pentru stabilirea valorilor randamentului dinamic de referință trebuie să includă:</w:t>
      </w:r>
    </w:p>
    <w:p w14:paraId="17E70248" w14:textId="77777777" w:rsidR="00A7577F" w:rsidRPr="00827721" w:rsidRDefault="00A7577F" w:rsidP="003D2581">
      <w:pPr>
        <w:pStyle w:val="Anexapct11"/>
        <w:rPr>
          <w:rFonts w:eastAsia="Arial Unicode MS"/>
          <w:lang w:eastAsia="ro-RO"/>
        </w:rPr>
      </w:pPr>
      <w:r w:rsidRPr="00827721">
        <w:rPr>
          <w:rFonts w:eastAsia="Arial Unicode MS"/>
          <w:lang w:eastAsia="ro-RO"/>
        </w:rPr>
        <w:t>Opțiunea 1a: curba de creștere standard</w:t>
      </w:r>
    </w:p>
    <w:p w14:paraId="41604DA2" w14:textId="77777777" w:rsidR="00A7577F" w:rsidRPr="00827721" w:rsidRDefault="00A7577F" w:rsidP="003D2581">
      <w:pPr>
        <w:pStyle w:val="Anexapct111"/>
        <w:rPr>
          <w:rFonts w:eastAsia="Arial Unicode MS"/>
          <w:lang w:eastAsia="ro-RO"/>
        </w:rPr>
      </w:pPr>
      <w:r w:rsidRPr="00827721">
        <w:rPr>
          <w:rFonts w:eastAsia="Arial Unicode MS"/>
          <w:lang w:eastAsia="ro-RO"/>
        </w:rPr>
        <w:lastRenderedPageBreak/>
        <w:t>valorile istorice ale randamentului culturilor de palmieri de pe parcela delimitată din ultimii trei ani;</w:t>
      </w:r>
    </w:p>
    <w:p w14:paraId="580DAD2C" w14:textId="77777777" w:rsidR="00A7577F" w:rsidRPr="00827721" w:rsidRDefault="00A7577F" w:rsidP="003D2581">
      <w:pPr>
        <w:pStyle w:val="Anexapct111"/>
        <w:rPr>
          <w:rFonts w:eastAsia="Arial Unicode MS"/>
          <w:lang w:eastAsia="ro-RO"/>
        </w:rPr>
      </w:pPr>
      <w:r w:rsidRPr="00827721">
        <w:rPr>
          <w:rFonts w:eastAsia="Arial Unicode MS"/>
          <w:lang w:eastAsia="ro-RO"/>
        </w:rPr>
        <w:t>vârsta arborilor de pe parcela delimitată/anul plantării;</w:t>
      </w:r>
    </w:p>
    <w:p w14:paraId="26B40192" w14:textId="6DA32E4A" w:rsidR="00A7577F" w:rsidRPr="00827721" w:rsidRDefault="00A7577F" w:rsidP="00D3378F">
      <w:pPr>
        <w:pStyle w:val="Anexapct11"/>
      </w:pPr>
      <w:r w:rsidRPr="00827721">
        <w:t>Opțiunea 1b: operatorul economic furnizează curba de creștere</w:t>
      </w:r>
      <w:r w:rsidR="00D3378F" w:rsidRPr="00827721">
        <w:t>. Pentru a utiliza această opțiune, operatorii economici trebuie să demonstreze că corelația dintre curba de creștere standard și curba lor de creștere de referință este mai mică de 0,8.</w:t>
      </w:r>
    </w:p>
    <w:p w14:paraId="228BA62B" w14:textId="77777777" w:rsidR="00A7577F" w:rsidRPr="00827721" w:rsidRDefault="00A7577F" w:rsidP="007853DB">
      <w:pPr>
        <w:pStyle w:val="Anexapct111"/>
        <w:rPr>
          <w:rFonts w:eastAsia="Arial Unicode MS"/>
          <w:lang w:eastAsia="ro-RO"/>
        </w:rPr>
      </w:pPr>
      <w:r w:rsidRPr="00827721">
        <w:rPr>
          <w:rFonts w:eastAsia="Arial Unicode MS"/>
          <w:lang w:eastAsia="ro-RO"/>
        </w:rPr>
        <w:t>valorile istorice ale randamentului culturilor de palmieri de pe parcela delimitată din ultimii trei ani;</w:t>
      </w:r>
    </w:p>
    <w:p w14:paraId="5BDBB612" w14:textId="77777777" w:rsidR="00A7577F" w:rsidRPr="00827721" w:rsidRDefault="00A7577F" w:rsidP="007853DB">
      <w:pPr>
        <w:pStyle w:val="Anexapct111"/>
        <w:rPr>
          <w:rFonts w:eastAsia="Arial Unicode MS"/>
          <w:lang w:eastAsia="ro-RO"/>
        </w:rPr>
      </w:pPr>
      <w:r w:rsidRPr="00827721">
        <w:rPr>
          <w:rFonts w:eastAsia="Arial Unicode MS"/>
          <w:lang w:eastAsia="ro-RO"/>
        </w:rPr>
        <w:t>vârsta arborilor de pe parcela delimitată/anul plantării;</w:t>
      </w:r>
    </w:p>
    <w:p w14:paraId="60D015B9" w14:textId="77777777" w:rsidR="00A7577F" w:rsidRPr="00827721" w:rsidRDefault="00A7577F" w:rsidP="007853DB">
      <w:pPr>
        <w:pStyle w:val="Anexapct111"/>
        <w:rPr>
          <w:rFonts w:eastAsia="Arial Unicode MS"/>
          <w:lang w:eastAsia="ro-RO"/>
        </w:rPr>
      </w:pPr>
      <w:proofErr w:type="spellStart"/>
      <w:r w:rsidRPr="00827721">
        <w:rPr>
          <w:rFonts w:eastAsia="Arial Unicode MS"/>
          <w:lang w:eastAsia="ro-RO"/>
        </w:rPr>
        <w:t>cultivarele</w:t>
      </w:r>
      <w:proofErr w:type="spellEnd"/>
      <w:r w:rsidRPr="00827721">
        <w:rPr>
          <w:rFonts w:eastAsia="Arial Unicode MS"/>
          <w:lang w:eastAsia="ro-RO"/>
        </w:rPr>
        <w:t xml:space="preserve"> de palmieri de pe parcela delimitată;</w:t>
      </w:r>
    </w:p>
    <w:p w14:paraId="4F0644EF" w14:textId="77777777" w:rsidR="00A7577F" w:rsidRPr="00827721" w:rsidRDefault="00A7577F" w:rsidP="007853DB">
      <w:pPr>
        <w:pStyle w:val="Anexapct111"/>
        <w:rPr>
          <w:rFonts w:eastAsia="Arial Unicode MS"/>
          <w:lang w:eastAsia="ro-RO"/>
        </w:rPr>
      </w:pPr>
      <w:r w:rsidRPr="00827721">
        <w:rPr>
          <w:rFonts w:eastAsia="Arial Unicode MS"/>
          <w:lang w:eastAsia="ro-RO"/>
        </w:rPr>
        <w:t>curba de creștere de referință a operatorului economic.</w:t>
      </w:r>
    </w:p>
    <w:p w14:paraId="1C241D76" w14:textId="77777777" w:rsidR="00A7577F" w:rsidRPr="00827721" w:rsidRDefault="00A7577F" w:rsidP="007853DB">
      <w:pPr>
        <w:pStyle w:val="Anexapct11"/>
        <w:rPr>
          <w:rFonts w:eastAsia="Arial Unicode MS"/>
          <w:lang w:eastAsia="ro-RO"/>
        </w:rPr>
      </w:pPr>
      <w:r w:rsidRPr="00827721">
        <w:rPr>
          <w:rFonts w:eastAsia="Arial Unicode MS"/>
          <w:lang w:eastAsia="ro-RO"/>
        </w:rPr>
        <w:t>Opțiunea 2: abordarea privind certificarea la nivel de grup</w:t>
      </w:r>
    </w:p>
    <w:p w14:paraId="5C53C210" w14:textId="77777777" w:rsidR="00A7577F" w:rsidRPr="00827721" w:rsidRDefault="00A7577F" w:rsidP="007853DB">
      <w:pPr>
        <w:pStyle w:val="Anexapct111"/>
        <w:rPr>
          <w:rFonts w:eastAsia="Arial Unicode MS"/>
          <w:lang w:eastAsia="ro-RO"/>
        </w:rPr>
      </w:pPr>
      <w:r w:rsidRPr="00827721">
        <w:rPr>
          <w:rFonts w:eastAsia="Arial Unicode MS"/>
          <w:lang w:eastAsia="ro-RO"/>
        </w:rPr>
        <w:t>în ultimii trei ani, numărul total de hectare și randamentul total pentru ciorchinii de fructe proaspete ai palmierilor cultivați pe parcela/plantația (plantațiile) delimitată (delimitate) care cultivă palmieri ca parte a grupului.</w:t>
      </w:r>
    </w:p>
    <w:p w14:paraId="1448C02C" w14:textId="77777777" w:rsidR="00A7577F" w:rsidRPr="00827721" w:rsidRDefault="00A7577F" w:rsidP="006A4347">
      <w:pPr>
        <w:pStyle w:val="Anexapct1"/>
        <w:rPr>
          <w:rFonts w:eastAsia="Arial Unicode MS"/>
          <w:lang w:eastAsia="ro-RO"/>
        </w:rPr>
      </w:pPr>
      <w:r w:rsidRPr="00827721">
        <w:rPr>
          <w:rFonts w:eastAsia="Arial Unicode MS"/>
          <w:lang w:eastAsia="ro-RO"/>
        </w:rPr>
        <w:t xml:space="preserve">Opțiunile 1a și 1b se aplică în cazul în care se ia o măsură de </w:t>
      </w:r>
      <w:proofErr w:type="spellStart"/>
      <w:r w:rsidRPr="00827721">
        <w:rPr>
          <w:rFonts w:eastAsia="Arial Unicode MS"/>
          <w:lang w:eastAsia="ro-RO"/>
        </w:rPr>
        <w:t>adiționalitate</w:t>
      </w:r>
      <w:proofErr w:type="spellEnd"/>
      <w:r w:rsidRPr="00827721">
        <w:rPr>
          <w:rFonts w:eastAsia="Arial Unicode MS"/>
          <w:lang w:eastAsia="ro-RO"/>
        </w:rPr>
        <w:t xml:space="preserve"> pe un arboret cu aceeași vârstă sau în cazul în care profilul de vârstă al arborilor de pe parcela (parcelele) delimitată (delimitate) este cunoscut și nu rămâne constant de la an la an.</w:t>
      </w:r>
    </w:p>
    <w:p w14:paraId="46012217" w14:textId="65F39AE0" w:rsidR="00A7577F" w:rsidRPr="00827721" w:rsidRDefault="00A7577F" w:rsidP="006A4347">
      <w:pPr>
        <w:pStyle w:val="Anexapct1"/>
        <w:rPr>
          <w:rFonts w:eastAsia="Arial Unicode MS"/>
          <w:lang w:eastAsia="ro-RO"/>
        </w:rPr>
      </w:pPr>
      <w:r w:rsidRPr="00827721">
        <w:rPr>
          <w:rFonts w:eastAsia="Arial Unicode MS"/>
          <w:lang w:eastAsia="ro-RO"/>
        </w:rPr>
        <w:t xml:space="preserve">Opțiunea 2 </w:t>
      </w:r>
      <w:r w:rsidR="001E1C05" w:rsidRPr="00827721">
        <w:rPr>
          <w:rFonts w:eastAsia="Arial Unicode MS"/>
          <w:lang w:eastAsia="ro-RO"/>
        </w:rPr>
        <w:t>se</w:t>
      </w:r>
      <w:r w:rsidRPr="00827721">
        <w:rPr>
          <w:rFonts w:eastAsia="Arial Unicode MS"/>
          <w:lang w:eastAsia="ro-RO"/>
        </w:rPr>
        <w:t xml:space="preserve"> aplic</w:t>
      </w:r>
      <w:r w:rsidR="001E1C05" w:rsidRPr="00827721">
        <w:rPr>
          <w:rFonts w:eastAsia="Arial Unicode MS"/>
          <w:lang w:eastAsia="ro-RO"/>
        </w:rPr>
        <w:t>ă</w:t>
      </w:r>
      <w:r w:rsidRPr="00827721">
        <w:rPr>
          <w:rFonts w:eastAsia="Arial Unicode MS"/>
          <w:lang w:eastAsia="ro-RO"/>
        </w:rPr>
        <w:t xml:space="preserve"> atunci când profilul de vârstă al arborilor de pe parcelele delimitate este combinat și rămâne relativ constant de la an la an, adică în cadrul unei abordări de certificare la nivel de grup sau în cazul în care în fiecare an se replantează un procent constant din suprafața unei plantații, ceea ce conduce la un profil constant de vârstă al arborilor.</w:t>
      </w:r>
    </w:p>
    <w:p w14:paraId="3485987C" w14:textId="77777777" w:rsidR="00A7577F" w:rsidRPr="00827721" w:rsidRDefault="00A7577F" w:rsidP="006A4347">
      <w:pPr>
        <w:pStyle w:val="Anexapct1"/>
        <w:rPr>
          <w:rFonts w:eastAsia="Arial Unicode MS"/>
          <w:lang w:eastAsia="ro-RO"/>
        </w:rPr>
      </w:pPr>
      <w:r w:rsidRPr="00827721">
        <w:rPr>
          <w:rFonts w:eastAsia="Arial Unicode MS"/>
          <w:lang w:eastAsia="ro-RO"/>
        </w:rPr>
        <w:t>Opțiunea 2 nu se utilizează dacă mai mult de 20 % din volumul grupului provine de pe aceeași plantație sau dacă mai mult de 5 % din suprafața totală a grupului este replantată în același an. În acest caz, se utilizează opțiunea 1a sau 1b pentru a determina valoarea de referință.</w:t>
      </w:r>
    </w:p>
    <w:p w14:paraId="04379582" w14:textId="0DDC36C4" w:rsidR="00A7577F" w:rsidRPr="00827721" w:rsidRDefault="00A7577F" w:rsidP="005D603F">
      <w:pPr>
        <w:pStyle w:val="Anexapct1"/>
        <w:rPr>
          <w:rFonts w:eastAsia="Arial Unicode MS"/>
          <w:lang w:eastAsia="ro-RO"/>
        </w:rPr>
      </w:pPr>
      <w:r w:rsidRPr="00827721">
        <w:rPr>
          <w:rFonts w:eastAsia="Arial Unicode MS"/>
          <w:lang w:eastAsia="ro-RO"/>
        </w:rPr>
        <w:t>Opțiunea 1a: curba de creștere standard</w:t>
      </w:r>
      <w:r w:rsidR="00CA6FEC" w:rsidRPr="00827721">
        <w:rPr>
          <w:rFonts w:eastAsia="Arial Unicode MS"/>
          <w:lang w:eastAsia="ro-RO"/>
        </w:rPr>
        <w:t>.</w:t>
      </w:r>
    </w:p>
    <w:p w14:paraId="636F4223" w14:textId="4D897484" w:rsidR="00A7577F" w:rsidRPr="00827721" w:rsidRDefault="00A7577F" w:rsidP="005D603F">
      <w:pPr>
        <w:pStyle w:val="Anexapct11"/>
        <w:rPr>
          <w:rFonts w:eastAsia="Arial Unicode MS"/>
          <w:lang w:eastAsia="ro-RO"/>
        </w:rPr>
      </w:pPr>
      <w:r w:rsidRPr="00827721">
        <w:rPr>
          <w:rFonts w:eastAsia="Arial Unicode MS"/>
          <w:lang w:eastAsia="ro-RO"/>
        </w:rPr>
        <w:t>Prima opțiune utilizează forma unei curbe de creștere „standard” prestabilite (pe baza dovezilor științifice existente) pentru a determina randamentul dinamic de referință pentru o parcelă delimitată. Curba standard a fost normalizată și este prezentată în figura 1 și în tabelul 3.</w:t>
      </w:r>
    </w:p>
    <w:p w14:paraId="3E493579" w14:textId="77777777" w:rsidR="00A7577F" w:rsidRPr="00827721" w:rsidRDefault="00A7577F" w:rsidP="005D603F">
      <w:pPr>
        <w:pStyle w:val="Anexapct11"/>
        <w:rPr>
          <w:rFonts w:eastAsia="Arial Unicode MS"/>
          <w:lang w:eastAsia="ro-RO"/>
        </w:rPr>
      </w:pPr>
      <w:r w:rsidRPr="00827721">
        <w:rPr>
          <w:rFonts w:eastAsia="Arial Unicode MS"/>
          <w:lang w:eastAsia="ro-RO"/>
        </w:rPr>
        <w:t xml:space="preserve">Randamentul dinamic de referință este determinat pe baza datelor istorice din ultimii trei ani privind randamentul culturilor pentru parcela specifică și vârsta </w:t>
      </w:r>
      <w:r w:rsidRPr="00827721">
        <w:rPr>
          <w:rFonts w:eastAsia="Arial Unicode MS"/>
          <w:lang w:eastAsia="ro-RO"/>
        </w:rPr>
        <w:lastRenderedPageBreak/>
        <w:t>palmierilor în momentul în care a fost observat randamentul respectiv și pe baza variației procentuale anuale a randamentului comparativ cu curba standard pentru a forma o curbă a randamentului în scenariul de statu-quo relevantă pentru parcela respectivă.</w:t>
      </w:r>
    </w:p>
    <w:p w14:paraId="199526FF" w14:textId="77777777" w:rsidR="00A7577F" w:rsidRPr="00827721" w:rsidRDefault="00A7577F" w:rsidP="00CA6FEC">
      <w:pPr>
        <w:pStyle w:val="Sectiune"/>
        <w:rPr>
          <w:rFonts w:eastAsia="Arial Unicode MS"/>
          <w:lang w:eastAsia="ro-RO"/>
        </w:rPr>
      </w:pPr>
      <w:r w:rsidRPr="00827721">
        <w:rPr>
          <w:rFonts w:eastAsia="Arial Unicode MS"/>
          <w:lang w:eastAsia="ro-RO"/>
        </w:rPr>
        <w:t>Figura 1</w:t>
      </w:r>
    </w:p>
    <w:p w14:paraId="0A05B56B" w14:textId="77777777" w:rsidR="00A7577F" w:rsidRPr="00827721" w:rsidRDefault="00A7577F" w:rsidP="00CA6FEC">
      <w:pPr>
        <w:pStyle w:val="Sectiune"/>
        <w:rPr>
          <w:rFonts w:eastAsia="Arial Unicode MS"/>
          <w:lang w:eastAsia="ro-RO"/>
        </w:rPr>
      </w:pPr>
      <w:r w:rsidRPr="00827721">
        <w:rPr>
          <w:rFonts w:eastAsia="Arial Unicode MS"/>
          <w:lang w:eastAsia="ro-RO"/>
        </w:rPr>
        <w:t>Randamentul normalizat al culturilor de palmieri pe curba de creștere standard</w:t>
      </w:r>
    </w:p>
    <w:p w14:paraId="180D86DE" w14:textId="77777777" w:rsidR="00A7577F" w:rsidRPr="00827721" w:rsidRDefault="00A7577F" w:rsidP="00CA6FEC">
      <w:pPr>
        <w:shd w:val="clear" w:color="auto" w:fill="FFFFFF"/>
        <w:spacing w:before="120" w:line="312" w:lineRule="atLeast"/>
        <w:ind w:firstLine="0"/>
        <w:jc w:val="center"/>
        <w:rPr>
          <w:rFonts w:ascii="Arial Unicode MS" w:eastAsia="Arial Unicode MS" w:hAnsi="Arial Unicode MS" w:cs="Arial Unicode MS"/>
          <w:sz w:val="21"/>
          <w:szCs w:val="21"/>
          <w:lang w:eastAsia="ro-RO"/>
        </w:rPr>
      </w:pPr>
      <w:r w:rsidRPr="00827721">
        <w:rPr>
          <w:rFonts w:ascii="Arial Unicode MS" w:eastAsia="Arial Unicode MS" w:hAnsi="Arial Unicode MS" w:cs="Arial Unicode MS"/>
          <w:noProof/>
          <w:sz w:val="21"/>
          <w:szCs w:val="21"/>
          <w:lang w:eastAsia="ro-RO"/>
        </w:rPr>
        <w:drawing>
          <wp:inline distT="0" distB="0" distL="0" distR="0" wp14:anchorId="3D8C8B49" wp14:editId="22F4F2BE">
            <wp:extent cx="6121400" cy="2870200"/>
            <wp:effectExtent l="0" t="0" r="0" b="6350"/>
            <wp:docPr id="24"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1400" cy="2870200"/>
                    </a:xfrm>
                    <a:prstGeom prst="rect">
                      <a:avLst/>
                    </a:prstGeom>
                    <a:noFill/>
                    <a:ln>
                      <a:noFill/>
                    </a:ln>
                  </pic:spPr>
                </pic:pic>
              </a:graphicData>
            </a:graphic>
          </wp:inline>
        </w:drawing>
      </w:r>
    </w:p>
    <w:p w14:paraId="77950016" w14:textId="77777777" w:rsidR="00A7577F" w:rsidRPr="00827721" w:rsidRDefault="00A7577F" w:rsidP="00CA6FEC">
      <w:pPr>
        <w:pStyle w:val="Sectiune"/>
        <w:rPr>
          <w:rFonts w:eastAsia="Arial Unicode MS"/>
          <w:lang w:eastAsia="ro-RO"/>
        </w:rPr>
      </w:pPr>
      <w:r w:rsidRPr="00827721">
        <w:rPr>
          <w:rFonts w:eastAsia="Arial Unicode MS"/>
          <w:lang w:eastAsia="ro-RO"/>
        </w:rPr>
        <w:t>Tabelul 3</w:t>
      </w:r>
    </w:p>
    <w:p w14:paraId="2A314B39" w14:textId="77777777" w:rsidR="00A7577F" w:rsidRPr="00827721" w:rsidRDefault="00A7577F" w:rsidP="00CA6FEC">
      <w:pPr>
        <w:pStyle w:val="Sectiune"/>
        <w:rPr>
          <w:rFonts w:eastAsia="Arial Unicode MS"/>
          <w:lang w:eastAsia="ro-RO"/>
        </w:rPr>
      </w:pPr>
      <w:r w:rsidRPr="00827721">
        <w:rPr>
          <w:rFonts w:eastAsia="Arial Unicode MS"/>
          <w:lang w:eastAsia="ro-RO"/>
        </w:rPr>
        <w:t>Date privind randamentul normalizat al culturilor de palmieri pe curba de creștere standard</w:t>
      </w:r>
    </w:p>
    <w:tbl>
      <w:tblPr>
        <w:tblW w:w="959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1"/>
        <w:gridCol w:w="666"/>
        <w:gridCol w:w="666"/>
        <w:gridCol w:w="666"/>
        <w:gridCol w:w="666"/>
        <w:gridCol w:w="666"/>
        <w:gridCol w:w="666"/>
        <w:gridCol w:w="666"/>
        <w:gridCol w:w="666"/>
        <w:gridCol w:w="666"/>
        <w:gridCol w:w="666"/>
        <w:gridCol w:w="666"/>
        <w:gridCol w:w="666"/>
        <w:gridCol w:w="666"/>
      </w:tblGrid>
      <w:tr w:rsidR="00A7577F" w:rsidRPr="00827721" w14:paraId="1154E787" w14:textId="77777777" w:rsidTr="00AB3013">
        <w:trPr>
          <w:jc w:val="center"/>
        </w:trPr>
        <w:tc>
          <w:tcPr>
            <w:tcW w:w="1089" w:type="dxa"/>
            <w:tcBorders>
              <w:top w:val="outset" w:sz="6" w:space="0" w:color="auto"/>
              <w:left w:val="outset" w:sz="6" w:space="0" w:color="auto"/>
              <w:bottom w:val="outset" w:sz="6" w:space="0" w:color="auto"/>
              <w:right w:val="outset" w:sz="6" w:space="0" w:color="auto"/>
            </w:tcBorders>
            <w:vAlign w:val="center"/>
            <w:hideMark/>
          </w:tcPr>
          <w:p w14:paraId="401F8DAB"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b/>
                <w:bCs/>
                <w:sz w:val="20"/>
                <w:szCs w:val="20"/>
                <w:lang w:eastAsia="ro-RO"/>
              </w:rPr>
              <w:t>Ani de la plantare</w:t>
            </w:r>
          </w:p>
        </w:tc>
        <w:tc>
          <w:tcPr>
            <w:tcW w:w="645" w:type="dxa"/>
            <w:tcBorders>
              <w:top w:val="outset" w:sz="6" w:space="0" w:color="auto"/>
              <w:left w:val="outset" w:sz="6" w:space="0" w:color="auto"/>
              <w:bottom w:val="outset" w:sz="6" w:space="0" w:color="auto"/>
              <w:right w:val="outset" w:sz="6" w:space="0" w:color="auto"/>
            </w:tcBorders>
            <w:vAlign w:val="center"/>
            <w:hideMark/>
          </w:tcPr>
          <w:p w14:paraId="158AA94C"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D89BA"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95220"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0803F"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4DCF0"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C93F7"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4E15"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17649"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3B5B2"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E4C13"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949A6"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B297D"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3857D"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13</w:t>
            </w:r>
          </w:p>
        </w:tc>
      </w:tr>
      <w:tr w:rsidR="00A7577F" w:rsidRPr="00827721" w14:paraId="71B1E218" w14:textId="77777777" w:rsidTr="00AB3013">
        <w:trPr>
          <w:jc w:val="center"/>
        </w:trPr>
        <w:tc>
          <w:tcPr>
            <w:tcW w:w="1089" w:type="dxa"/>
            <w:tcBorders>
              <w:top w:val="outset" w:sz="6" w:space="0" w:color="auto"/>
              <w:left w:val="outset" w:sz="6" w:space="0" w:color="auto"/>
              <w:bottom w:val="outset" w:sz="6" w:space="0" w:color="auto"/>
              <w:right w:val="outset" w:sz="6" w:space="0" w:color="auto"/>
            </w:tcBorders>
            <w:vAlign w:val="center"/>
            <w:hideMark/>
          </w:tcPr>
          <w:p w14:paraId="0142D4BA"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Randament normalizat</w:t>
            </w:r>
          </w:p>
        </w:tc>
        <w:tc>
          <w:tcPr>
            <w:tcW w:w="645" w:type="dxa"/>
            <w:tcBorders>
              <w:top w:val="outset" w:sz="6" w:space="0" w:color="auto"/>
              <w:left w:val="outset" w:sz="6" w:space="0" w:color="auto"/>
              <w:bottom w:val="outset" w:sz="6" w:space="0" w:color="auto"/>
              <w:right w:val="outset" w:sz="6" w:space="0" w:color="auto"/>
            </w:tcBorders>
            <w:vAlign w:val="center"/>
            <w:hideMark/>
          </w:tcPr>
          <w:p w14:paraId="7BE79D43"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90E4B"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661D6"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41BB1"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7440B"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0,641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A45AB"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F8BA2"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CAFE1"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3FF09"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BF43B"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54DEF"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B7CC6"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EA58C"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0,965</w:t>
            </w:r>
          </w:p>
        </w:tc>
      </w:tr>
      <w:tr w:rsidR="00A7577F" w:rsidRPr="00827721" w14:paraId="5136EE9E" w14:textId="77777777" w:rsidTr="00AB3013">
        <w:trPr>
          <w:jc w:val="center"/>
        </w:trPr>
        <w:tc>
          <w:tcPr>
            <w:tcW w:w="1089" w:type="dxa"/>
            <w:tcBorders>
              <w:top w:val="outset" w:sz="6" w:space="0" w:color="auto"/>
              <w:left w:val="outset" w:sz="6" w:space="0" w:color="auto"/>
              <w:bottom w:val="outset" w:sz="6" w:space="0" w:color="auto"/>
              <w:right w:val="outset" w:sz="6" w:space="0" w:color="auto"/>
            </w:tcBorders>
            <w:vAlign w:val="center"/>
            <w:hideMark/>
          </w:tcPr>
          <w:p w14:paraId="503BA4D5"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b/>
                <w:bCs/>
                <w:sz w:val="20"/>
                <w:szCs w:val="20"/>
                <w:lang w:eastAsia="ro-RO"/>
              </w:rPr>
              <w:t>Ani de la plantare</w:t>
            </w:r>
          </w:p>
        </w:tc>
        <w:tc>
          <w:tcPr>
            <w:tcW w:w="645" w:type="dxa"/>
            <w:tcBorders>
              <w:top w:val="outset" w:sz="6" w:space="0" w:color="auto"/>
              <w:left w:val="outset" w:sz="6" w:space="0" w:color="auto"/>
              <w:bottom w:val="outset" w:sz="6" w:space="0" w:color="auto"/>
              <w:right w:val="outset" w:sz="6" w:space="0" w:color="auto"/>
            </w:tcBorders>
            <w:vAlign w:val="center"/>
            <w:hideMark/>
          </w:tcPr>
          <w:p w14:paraId="1B2F71CC"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D609A"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F9DFC"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C7C34"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59E72"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C6729"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E7160"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055DA"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A6E46"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56ACB"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EAEDC"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701D7"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E7FBB" w14:textId="75A0B4BB" w:rsidR="00A7577F" w:rsidRPr="00827721" w:rsidRDefault="00A7577F" w:rsidP="00AB3013">
            <w:pPr>
              <w:spacing w:before="60" w:after="60" w:line="312" w:lineRule="atLeast"/>
              <w:ind w:firstLine="0"/>
              <w:jc w:val="center"/>
              <w:rPr>
                <w:rFonts w:eastAsia="Times New Roman"/>
                <w:sz w:val="20"/>
                <w:szCs w:val="20"/>
                <w:vertAlign w:val="superscript"/>
                <w:lang w:eastAsia="ro-RO"/>
              </w:rPr>
            </w:pPr>
            <w:r w:rsidRPr="00827721">
              <w:rPr>
                <w:rFonts w:eastAsia="Times New Roman"/>
                <w:b/>
                <w:bCs/>
                <w:sz w:val="20"/>
                <w:szCs w:val="20"/>
                <w:lang w:eastAsia="ro-RO"/>
              </w:rPr>
              <w:t>≥ 26</w:t>
            </w:r>
            <w:r w:rsidR="00AB3013" w:rsidRPr="00827721">
              <w:rPr>
                <w:rFonts w:eastAsia="Times New Roman"/>
                <w:b/>
                <w:bCs/>
                <w:sz w:val="20"/>
                <w:szCs w:val="20"/>
                <w:vertAlign w:val="superscript"/>
                <w:lang w:eastAsia="ro-RO"/>
              </w:rPr>
              <w:t>(1)</w:t>
            </w:r>
          </w:p>
        </w:tc>
      </w:tr>
      <w:tr w:rsidR="00A7577F" w:rsidRPr="00827721" w14:paraId="53D52751" w14:textId="77777777" w:rsidTr="00AB3013">
        <w:trPr>
          <w:jc w:val="center"/>
        </w:trPr>
        <w:tc>
          <w:tcPr>
            <w:tcW w:w="1089" w:type="dxa"/>
            <w:tcBorders>
              <w:top w:val="outset" w:sz="6" w:space="0" w:color="auto"/>
              <w:left w:val="outset" w:sz="6" w:space="0" w:color="auto"/>
              <w:bottom w:val="nil"/>
              <w:right w:val="outset" w:sz="6" w:space="0" w:color="auto"/>
            </w:tcBorders>
            <w:vAlign w:val="center"/>
            <w:hideMark/>
          </w:tcPr>
          <w:p w14:paraId="436CFA64"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Randament normalizat</w:t>
            </w:r>
          </w:p>
        </w:tc>
        <w:tc>
          <w:tcPr>
            <w:tcW w:w="645" w:type="dxa"/>
            <w:tcBorders>
              <w:top w:val="outset" w:sz="6" w:space="0" w:color="auto"/>
              <w:left w:val="outset" w:sz="6" w:space="0" w:color="auto"/>
              <w:bottom w:val="nil"/>
              <w:right w:val="outset" w:sz="6" w:space="0" w:color="auto"/>
            </w:tcBorders>
            <w:vAlign w:val="center"/>
            <w:hideMark/>
          </w:tcPr>
          <w:p w14:paraId="46CEA3BF"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0,945</w:t>
            </w:r>
          </w:p>
        </w:tc>
        <w:tc>
          <w:tcPr>
            <w:tcW w:w="0" w:type="auto"/>
            <w:tcBorders>
              <w:top w:val="outset" w:sz="6" w:space="0" w:color="auto"/>
              <w:left w:val="outset" w:sz="6" w:space="0" w:color="auto"/>
              <w:bottom w:val="nil"/>
              <w:right w:val="outset" w:sz="6" w:space="0" w:color="auto"/>
            </w:tcBorders>
            <w:vAlign w:val="center"/>
            <w:hideMark/>
          </w:tcPr>
          <w:p w14:paraId="006CB2ED"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0,926</w:t>
            </w:r>
          </w:p>
        </w:tc>
        <w:tc>
          <w:tcPr>
            <w:tcW w:w="0" w:type="auto"/>
            <w:tcBorders>
              <w:top w:val="outset" w:sz="6" w:space="0" w:color="auto"/>
              <w:left w:val="outset" w:sz="6" w:space="0" w:color="auto"/>
              <w:bottom w:val="nil"/>
              <w:right w:val="outset" w:sz="6" w:space="0" w:color="auto"/>
            </w:tcBorders>
            <w:vAlign w:val="center"/>
            <w:hideMark/>
          </w:tcPr>
          <w:p w14:paraId="6518EE16"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0,910</w:t>
            </w:r>
          </w:p>
        </w:tc>
        <w:tc>
          <w:tcPr>
            <w:tcW w:w="0" w:type="auto"/>
            <w:tcBorders>
              <w:top w:val="outset" w:sz="6" w:space="0" w:color="auto"/>
              <w:left w:val="outset" w:sz="6" w:space="0" w:color="auto"/>
              <w:bottom w:val="nil"/>
              <w:right w:val="outset" w:sz="6" w:space="0" w:color="auto"/>
            </w:tcBorders>
            <w:vAlign w:val="center"/>
            <w:hideMark/>
          </w:tcPr>
          <w:p w14:paraId="0872A07B"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0,906</w:t>
            </w:r>
          </w:p>
        </w:tc>
        <w:tc>
          <w:tcPr>
            <w:tcW w:w="0" w:type="auto"/>
            <w:tcBorders>
              <w:top w:val="outset" w:sz="6" w:space="0" w:color="auto"/>
              <w:left w:val="outset" w:sz="6" w:space="0" w:color="auto"/>
              <w:bottom w:val="nil"/>
              <w:right w:val="outset" w:sz="6" w:space="0" w:color="auto"/>
            </w:tcBorders>
            <w:vAlign w:val="center"/>
            <w:hideMark/>
          </w:tcPr>
          <w:p w14:paraId="30834F7F"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0,888</w:t>
            </w:r>
          </w:p>
        </w:tc>
        <w:tc>
          <w:tcPr>
            <w:tcW w:w="0" w:type="auto"/>
            <w:tcBorders>
              <w:top w:val="outset" w:sz="6" w:space="0" w:color="auto"/>
              <w:left w:val="outset" w:sz="6" w:space="0" w:color="auto"/>
              <w:bottom w:val="nil"/>
              <w:right w:val="outset" w:sz="6" w:space="0" w:color="auto"/>
            </w:tcBorders>
            <w:vAlign w:val="center"/>
            <w:hideMark/>
          </w:tcPr>
          <w:p w14:paraId="388D998C"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0,870</w:t>
            </w:r>
          </w:p>
        </w:tc>
        <w:tc>
          <w:tcPr>
            <w:tcW w:w="0" w:type="auto"/>
            <w:tcBorders>
              <w:top w:val="outset" w:sz="6" w:space="0" w:color="auto"/>
              <w:left w:val="outset" w:sz="6" w:space="0" w:color="auto"/>
              <w:bottom w:val="nil"/>
              <w:right w:val="outset" w:sz="6" w:space="0" w:color="auto"/>
            </w:tcBorders>
            <w:vAlign w:val="center"/>
            <w:hideMark/>
          </w:tcPr>
          <w:p w14:paraId="2B48649B"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0,858</w:t>
            </w:r>
          </w:p>
        </w:tc>
        <w:tc>
          <w:tcPr>
            <w:tcW w:w="0" w:type="auto"/>
            <w:tcBorders>
              <w:top w:val="outset" w:sz="6" w:space="0" w:color="auto"/>
              <w:left w:val="outset" w:sz="6" w:space="0" w:color="auto"/>
              <w:bottom w:val="nil"/>
              <w:right w:val="outset" w:sz="6" w:space="0" w:color="auto"/>
            </w:tcBorders>
            <w:vAlign w:val="center"/>
            <w:hideMark/>
          </w:tcPr>
          <w:p w14:paraId="1348527F"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0,842</w:t>
            </w:r>
          </w:p>
        </w:tc>
        <w:tc>
          <w:tcPr>
            <w:tcW w:w="0" w:type="auto"/>
            <w:tcBorders>
              <w:top w:val="outset" w:sz="6" w:space="0" w:color="auto"/>
              <w:left w:val="outset" w:sz="6" w:space="0" w:color="auto"/>
              <w:bottom w:val="nil"/>
              <w:right w:val="outset" w:sz="6" w:space="0" w:color="auto"/>
            </w:tcBorders>
            <w:vAlign w:val="center"/>
            <w:hideMark/>
          </w:tcPr>
          <w:p w14:paraId="589190DA"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0,836</w:t>
            </w:r>
          </w:p>
        </w:tc>
        <w:tc>
          <w:tcPr>
            <w:tcW w:w="0" w:type="auto"/>
            <w:tcBorders>
              <w:top w:val="outset" w:sz="6" w:space="0" w:color="auto"/>
              <w:left w:val="outset" w:sz="6" w:space="0" w:color="auto"/>
              <w:bottom w:val="nil"/>
              <w:right w:val="outset" w:sz="6" w:space="0" w:color="auto"/>
            </w:tcBorders>
            <w:vAlign w:val="center"/>
            <w:hideMark/>
          </w:tcPr>
          <w:p w14:paraId="636ED64E"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0,815</w:t>
            </w:r>
          </w:p>
        </w:tc>
        <w:tc>
          <w:tcPr>
            <w:tcW w:w="0" w:type="auto"/>
            <w:tcBorders>
              <w:top w:val="outset" w:sz="6" w:space="0" w:color="auto"/>
              <w:left w:val="outset" w:sz="6" w:space="0" w:color="auto"/>
              <w:bottom w:val="nil"/>
              <w:right w:val="outset" w:sz="6" w:space="0" w:color="auto"/>
            </w:tcBorders>
            <w:vAlign w:val="center"/>
            <w:hideMark/>
          </w:tcPr>
          <w:p w14:paraId="2E2069BF"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0,806</w:t>
            </w:r>
          </w:p>
        </w:tc>
        <w:tc>
          <w:tcPr>
            <w:tcW w:w="0" w:type="auto"/>
            <w:tcBorders>
              <w:top w:val="outset" w:sz="6" w:space="0" w:color="auto"/>
              <w:left w:val="outset" w:sz="6" w:space="0" w:color="auto"/>
              <w:bottom w:val="nil"/>
              <w:right w:val="outset" w:sz="6" w:space="0" w:color="auto"/>
            </w:tcBorders>
            <w:vAlign w:val="center"/>
            <w:hideMark/>
          </w:tcPr>
          <w:p w14:paraId="2C857E15"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0,793</w:t>
            </w:r>
          </w:p>
        </w:tc>
        <w:tc>
          <w:tcPr>
            <w:tcW w:w="0" w:type="auto"/>
            <w:tcBorders>
              <w:top w:val="outset" w:sz="6" w:space="0" w:color="auto"/>
              <w:left w:val="outset" w:sz="6" w:space="0" w:color="auto"/>
              <w:bottom w:val="nil"/>
              <w:right w:val="outset" w:sz="6" w:space="0" w:color="auto"/>
            </w:tcBorders>
            <w:vAlign w:val="center"/>
            <w:hideMark/>
          </w:tcPr>
          <w:p w14:paraId="1842C03A"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0,793</w:t>
            </w:r>
          </w:p>
        </w:tc>
      </w:tr>
      <w:tr w:rsidR="00A7577F" w:rsidRPr="00827721" w14:paraId="274FE9D7" w14:textId="77777777" w:rsidTr="00AB3013">
        <w:trPr>
          <w:jc w:val="center"/>
        </w:trPr>
        <w:tc>
          <w:tcPr>
            <w:tcW w:w="9595" w:type="dxa"/>
            <w:gridSpan w:val="14"/>
            <w:tcBorders>
              <w:top w:val="nil"/>
              <w:left w:val="nil"/>
              <w:bottom w:val="nil"/>
              <w:right w:val="nil"/>
            </w:tcBorders>
            <w:vAlign w:val="center"/>
            <w:hideMark/>
          </w:tcPr>
          <w:p w14:paraId="74CAE8BF" w14:textId="1BB89188" w:rsidR="00A7577F" w:rsidRPr="00827721" w:rsidRDefault="00AB3013" w:rsidP="00AB3013">
            <w:pPr>
              <w:spacing w:line="312" w:lineRule="atLeast"/>
              <w:ind w:firstLine="0"/>
              <w:rPr>
                <w:rFonts w:eastAsia="Times New Roman"/>
                <w:sz w:val="20"/>
                <w:szCs w:val="20"/>
                <w:lang w:eastAsia="ro-RO"/>
              </w:rPr>
            </w:pPr>
            <w:r w:rsidRPr="00827721">
              <w:rPr>
                <w:rFonts w:eastAsia="Times New Roman"/>
                <w:sz w:val="20"/>
                <w:szCs w:val="20"/>
                <w:vertAlign w:val="superscript"/>
                <w:lang w:eastAsia="ro-RO"/>
              </w:rPr>
              <w:t>(1)</w:t>
            </w:r>
            <w:r w:rsidR="00A7577F" w:rsidRPr="00827721">
              <w:rPr>
                <w:rFonts w:eastAsia="Times New Roman"/>
                <w:i/>
                <w:iCs/>
                <w:sz w:val="20"/>
                <w:szCs w:val="20"/>
                <w:lang w:eastAsia="ro-RO"/>
              </w:rPr>
              <w:t>După 25 de ani, se preconizează că randamentul va continua să scadă. Cu toate acestea, având în vedere că durata de viață tipică a unui palmier de ulei este de aproximativ 25 de ani, nu există date care să susțină amploarea declinului după 25 de ani. Prin urmare, se adoptă o abordare prudentă conform căreia se presupune că curba randamentului se va menține în continuare la nivelul din anul 25.</w:t>
            </w:r>
          </w:p>
        </w:tc>
      </w:tr>
    </w:tbl>
    <w:p w14:paraId="3FCA99B9" w14:textId="77777777" w:rsidR="00A7577F" w:rsidRPr="00827721" w:rsidRDefault="00A7577F" w:rsidP="00AB3013">
      <w:pPr>
        <w:pStyle w:val="Anexapct1"/>
        <w:rPr>
          <w:rFonts w:eastAsia="Arial Unicode MS"/>
          <w:lang w:eastAsia="ro-RO"/>
        </w:rPr>
      </w:pPr>
      <w:r w:rsidRPr="00827721">
        <w:rPr>
          <w:rFonts w:eastAsia="Arial Unicode MS"/>
          <w:lang w:eastAsia="ro-RO"/>
        </w:rPr>
        <w:t>Opțiunea 1a implică următoarele etape metodologice:</w:t>
      </w:r>
    </w:p>
    <w:p w14:paraId="4E578986" w14:textId="4E1FEFF1" w:rsidR="00A7577F" w:rsidRPr="00827721" w:rsidRDefault="00AB3013" w:rsidP="00AB3013">
      <w:pPr>
        <w:pStyle w:val="Anexapct11"/>
        <w:rPr>
          <w:rFonts w:eastAsia="Arial Unicode MS"/>
          <w:lang w:eastAsia="ro-RO"/>
        </w:rPr>
      </w:pPr>
      <w:r w:rsidRPr="00827721">
        <w:rPr>
          <w:rFonts w:eastAsia="Arial Unicode MS"/>
          <w:lang w:eastAsia="ro-RO"/>
        </w:rPr>
        <w:lastRenderedPageBreak/>
        <w:t>p</w:t>
      </w:r>
      <w:r w:rsidR="00A7577F" w:rsidRPr="00827721">
        <w:rPr>
          <w:rFonts w:eastAsia="Arial Unicode MS"/>
          <w:lang w:eastAsia="ro-RO"/>
        </w:rPr>
        <w:t xml:space="preserve">entru a determina randamentul mediu istoric al culturilor, se colectează cele mai recente trei randamente istorice ale culturilor observate pe parcela delimitată înainte de punerea în aplicare a măsurii de </w:t>
      </w:r>
      <w:proofErr w:type="spellStart"/>
      <w:r w:rsidR="00A7577F" w:rsidRPr="00827721">
        <w:rPr>
          <w:rFonts w:eastAsia="Arial Unicode MS"/>
          <w:lang w:eastAsia="ro-RO"/>
        </w:rPr>
        <w:t>adiționalitate</w:t>
      </w:r>
      <w:proofErr w:type="spellEnd"/>
      <w:r w:rsidR="00A7577F" w:rsidRPr="00827721">
        <w:rPr>
          <w:rFonts w:eastAsia="Arial Unicode MS"/>
          <w:lang w:eastAsia="ro-RO"/>
        </w:rPr>
        <w:t>, precum și vârsta corespunzătoare a arborilor din momentul în care au fost observate aceste randamente.</w:t>
      </w:r>
    </w:p>
    <w:p w14:paraId="32A6EE5C" w14:textId="7A77429F" w:rsidR="00A7577F" w:rsidRPr="00827721" w:rsidRDefault="00AB3013" w:rsidP="00AB3013">
      <w:pPr>
        <w:pStyle w:val="Anexapct11"/>
        <w:rPr>
          <w:rFonts w:eastAsia="Arial Unicode MS"/>
          <w:lang w:eastAsia="ro-RO"/>
        </w:rPr>
      </w:pPr>
      <w:r w:rsidRPr="00827721">
        <w:rPr>
          <w:rFonts w:eastAsia="Arial Unicode MS"/>
          <w:lang w:eastAsia="ro-RO"/>
        </w:rPr>
        <w:t>s</w:t>
      </w:r>
      <w:r w:rsidR="00A7577F" w:rsidRPr="00827721">
        <w:rPr>
          <w:rFonts w:eastAsia="Arial Unicode MS"/>
          <w:lang w:eastAsia="ro-RO"/>
        </w:rPr>
        <w:t>e calculează o medie a celor trei randamente istorice ale culturilor.</w:t>
      </w:r>
    </w:p>
    <w:p w14:paraId="7D60C9A3" w14:textId="3713FC0E" w:rsidR="00A7577F" w:rsidRPr="00827721" w:rsidRDefault="00AB3013" w:rsidP="00AB3013">
      <w:pPr>
        <w:pStyle w:val="Anexapct11"/>
        <w:rPr>
          <w:rFonts w:eastAsia="Arial Unicode MS"/>
          <w:lang w:eastAsia="ro-RO"/>
        </w:rPr>
      </w:pPr>
      <w:r w:rsidRPr="00827721">
        <w:rPr>
          <w:rFonts w:eastAsia="Arial Unicode MS"/>
          <w:lang w:eastAsia="ro-RO"/>
        </w:rPr>
        <w:t>î</w:t>
      </w:r>
      <w:r w:rsidR="00A7577F" w:rsidRPr="00827721">
        <w:rPr>
          <w:rFonts w:eastAsia="Arial Unicode MS"/>
          <w:lang w:eastAsia="ro-RO"/>
        </w:rPr>
        <w:t xml:space="preserve">n funcție de vârsta arborilor la care se referă datele privind randamentul istoric, se determină poziția pe curba de creștere standard a acestui randament istoric mediu al culturilor (de exemplu, în cazul în care datele privind randamentul se referă la arbori cu vârsta de 7, 8 și 9 ani, randamentul mediu istoric </w:t>
      </w:r>
      <w:r w:rsidR="00872D50" w:rsidRPr="00827721">
        <w:rPr>
          <w:rFonts w:eastAsia="Arial Unicode MS"/>
          <w:lang w:eastAsia="ro-RO"/>
        </w:rPr>
        <w:t>se</w:t>
      </w:r>
      <w:r w:rsidR="00A7577F" w:rsidRPr="00827721">
        <w:rPr>
          <w:rFonts w:eastAsia="Arial Unicode MS"/>
          <w:lang w:eastAsia="ro-RO"/>
        </w:rPr>
        <w:t xml:space="preserve"> consider</w:t>
      </w:r>
      <w:r w:rsidR="00872D50" w:rsidRPr="00827721">
        <w:rPr>
          <w:rFonts w:eastAsia="Arial Unicode MS"/>
          <w:lang w:eastAsia="ro-RO"/>
        </w:rPr>
        <w:t>ă</w:t>
      </w:r>
      <w:r w:rsidR="00A7577F" w:rsidRPr="00827721">
        <w:rPr>
          <w:rFonts w:eastAsia="Arial Unicode MS"/>
          <w:lang w:eastAsia="ro-RO"/>
        </w:rPr>
        <w:t xml:space="preserve"> anul 8).</w:t>
      </w:r>
    </w:p>
    <w:p w14:paraId="617FED9D" w14:textId="14B974BD" w:rsidR="00A7577F" w:rsidRPr="00827721" w:rsidRDefault="00AB3013" w:rsidP="00AB3013">
      <w:pPr>
        <w:pStyle w:val="Anexapct11"/>
        <w:rPr>
          <w:rFonts w:eastAsia="Arial Unicode MS"/>
          <w:lang w:eastAsia="ro-RO"/>
        </w:rPr>
      </w:pPr>
      <w:r w:rsidRPr="00827721">
        <w:rPr>
          <w:rFonts w:eastAsia="Arial Unicode MS"/>
          <w:lang w:eastAsia="ro-RO"/>
        </w:rPr>
        <w:t>p</w:t>
      </w:r>
      <w:r w:rsidR="00A7577F" w:rsidRPr="00827721">
        <w:rPr>
          <w:rFonts w:eastAsia="Arial Unicode MS"/>
          <w:lang w:eastAsia="ro-RO"/>
        </w:rPr>
        <w:t>entru a determina următorul punct al randamentului dinamic de referință, se înmulțește randamentul mediu istoric al culturilor din etapa 2 cu variația procentuală anuală calculată corespunzătoare, derivată din curba de creștere standard (tabelul 4). Se repetă această procedură pentru fiecare punct ulterior pentru a determina randamentul dinamic de referință.</w:t>
      </w:r>
    </w:p>
    <w:p w14:paraId="453D5900" w14:textId="77777777" w:rsidR="00A7577F" w:rsidRPr="00827721" w:rsidRDefault="00A7577F" w:rsidP="00AB3013">
      <w:pPr>
        <w:pStyle w:val="Sectiune"/>
        <w:rPr>
          <w:rFonts w:eastAsia="Arial Unicode MS"/>
          <w:lang w:eastAsia="ro-RO"/>
        </w:rPr>
      </w:pPr>
      <w:r w:rsidRPr="00827721">
        <w:rPr>
          <w:rFonts w:eastAsia="Arial Unicode MS"/>
          <w:lang w:eastAsia="ro-RO"/>
        </w:rPr>
        <w:t>Tabelul 4</w:t>
      </w:r>
    </w:p>
    <w:p w14:paraId="5D8C1C41" w14:textId="77777777" w:rsidR="00A7577F" w:rsidRPr="00827721" w:rsidRDefault="00A7577F" w:rsidP="00AB3013">
      <w:pPr>
        <w:pStyle w:val="Sectiune"/>
        <w:rPr>
          <w:rFonts w:eastAsia="Arial Unicode MS"/>
          <w:lang w:eastAsia="ro-RO"/>
        </w:rPr>
      </w:pPr>
      <w:r w:rsidRPr="00827721">
        <w:rPr>
          <w:rFonts w:eastAsia="Arial Unicode MS"/>
          <w:lang w:eastAsia="ro-RO"/>
        </w:rPr>
        <w:t>Variația procentuală anuală a randamentului derivată din curba de creștere standard</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4"/>
        <w:gridCol w:w="697"/>
        <w:gridCol w:w="798"/>
        <w:gridCol w:w="696"/>
        <w:gridCol w:w="696"/>
        <w:gridCol w:w="696"/>
        <w:gridCol w:w="684"/>
        <w:gridCol w:w="684"/>
        <w:gridCol w:w="684"/>
        <w:gridCol w:w="684"/>
        <w:gridCol w:w="684"/>
        <w:gridCol w:w="684"/>
        <w:gridCol w:w="684"/>
      </w:tblGrid>
      <w:tr w:rsidR="00A7577F" w:rsidRPr="00827721" w14:paraId="591DFC1D" w14:textId="77777777" w:rsidTr="00AB301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24DFD9"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b/>
                <w:bCs/>
                <w:sz w:val="20"/>
                <w:szCs w:val="20"/>
                <w:lang w:eastAsia="ro-RO"/>
              </w:rPr>
              <w:t>Ani de la plantare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C79CD"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între 1 și 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C96B84"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E69B6"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A6540"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B24F0"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4D91C"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A03C7"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FC5D4"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53C5E"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9C0A2"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FE290"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394BD"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14</w:t>
            </w:r>
          </w:p>
        </w:tc>
      </w:tr>
      <w:tr w:rsidR="00A7577F" w:rsidRPr="00827721" w14:paraId="046C6ACF" w14:textId="77777777" w:rsidTr="00AB301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5DBC20"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Variația procentuală anuală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6FE6E"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B7D88"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B8D64"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90,6  %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C1E01"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7DCB0"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A1AFD"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A2797"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D90DD"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B5349"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71207"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B6FB5"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95270"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-2,0  %</w:t>
            </w:r>
          </w:p>
        </w:tc>
      </w:tr>
      <w:tr w:rsidR="00A7577F" w:rsidRPr="00827721" w14:paraId="5D6CAC76" w14:textId="77777777" w:rsidTr="00AB301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4A2BB0"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b/>
                <w:bCs/>
                <w:sz w:val="20"/>
                <w:szCs w:val="20"/>
                <w:lang w:eastAsia="ro-RO"/>
              </w:rPr>
              <w:t>Ani de la plantare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AEA63"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E9D93"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E06D"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18F24"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D0DE1"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A343F"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347FB"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D1BA9"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AF412"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20991"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5CDE6" w14:textId="77777777" w:rsidR="00A7577F" w:rsidRPr="00827721" w:rsidRDefault="00A7577F" w:rsidP="00AB3013">
            <w:pPr>
              <w:numPr>
                <w:ilvl w:val="0"/>
                <w:numId w:val="1"/>
              </w:num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8E2AC" w14:textId="60DD77BC"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 26</w:t>
            </w:r>
            <w:r w:rsidR="00AB3013" w:rsidRPr="00827721">
              <w:rPr>
                <w:rFonts w:eastAsia="Times New Roman"/>
                <w:b/>
                <w:bCs/>
                <w:sz w:val="20"/>
                <w:szCs w:val="20"/>
                <w:vertAlign w:val="superscript"/>
                <w:lang w:eastAsia="ro-RO"/>
              </w:rPr>
              <w:t>(1)</w:t>
            </w:r>
          </w:p>
        </w:tc>
      </w:tr>
      <w:tr w:rsidR="00A7577F" w:rsidRPr="00827721" w14:paraId="6C615C1D" w14:textId="77777777" w:rsidTr="00AB3013">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210BC0" w14:textId="77777777" w:rsidR="00A7577F" w:rsidRPr="00827721" w:rsidRDefault="00A7577F" w:rsidP="00AB3013">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Variația procentuală anuală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C9944"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0C1B6"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42E33"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D0E28"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4CDC7"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71C71"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AEA07"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0D341"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52DBF"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8B6A7"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3FC55"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436A7" w14:textId="77777777" w:rsidR="00A7577F" w:rsidRPr="00827721" w:rsidRDefault="00A7577F" w:rsidP="00AB3013">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0  %</w:t>
            </w:r>
          </w:p>
        </w:tc>
      </w:tr>
      <w:tr w:rsidR="00A7577F" w:rsidRPr="00827721" w14:paraId="123F5705" w14:textId="77777777">
        <w:trPr>
          <w:jc w:val="center"/>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14:paraId="1D84FF35" w14:textId="6C1E3965" w:rsidR="00A7577F" w:rsidRPr="00827721" w:rsidRDefault="00AB3013" w:rsidP="00AB3013">
            <w:pPr>
              <w:spacing w:line="312" w:lineRule="atLeast"/>
              <w:ind w:firstLine="0"/>
              <w:rPr>
                <w:rFonts w:eastAsia="Times New Roman"/>
                <w:i/>
                <w:iCs/>
                <w:sz w:val="20"/>
                <w:szCs w:val="20"/>
                <w:lang w:eastAsia="ro-RO"/>
              </w:rPr>
            </w:pPr>
            <w:r w:rsidRPr="00827721">
              <w:rPr>
                <w:rFonts w:eastAsia="Times New Roman"/>
                <w:sz w:val="20"/>
                <w:szCs w:val="20"/>
                <w:vertAlign w:val="superscript"/>
                <w:lang w:eastAsia="ro-RO"/>
              </w:rPr>
              <w:t>(1)</w:t>
            </w:r>
            <w:r w:rsidR="00A7577F" w:rsidRPr="00827721">
              <w:rPr>
                <w:rFonts w:eastAsia="Times New Roman"/>
                <w:i/>
                <w:iCs/>
                <w:sz w:val="20"/>
                <w:szCs w:val="20"/>
                <w:lang w:eastAsia="ro-RO"/>
              </w:rPr>
              <w:t>După 25 de ani, se preconizează că randamentul va continua să scadă. Cu toate acestea, având în vedere că durata de viață tipică a unui palmier de ulei este de aproximativ 25 de ani, nu există date care să susțină amploarea declinului după 25 de ani. Prin urmare, se adoptă o abordare prudentă conform căreia se presupune că curba randamentului se va menține în continuare la nivelul din anul 25.</w:t>
            </w:r>
          </w:p>
        </w:tc>
      </w:tr>
    </w:tbl>
    <w:p w14:paraId="6D1A4F64" w14:textId="29C02D5C" w:rsidR="00A7577F" w:rsidRPr="00827721" w:rsidRDefault="00AB3013" w:rsidP="00AB3013">
      <w:pPr>
        <w:pStyle w:val="Anexapct11"/>
        <w:spacing w:before="240"/>
        <w:rPr>
          <w:rFonts w:eastAsia="Arial Unicode MS"/>
          <w:lang w:eastAsia="ro-RO"/>
        </w:rPr>
      </w:pPr>
      <w:r w:rsidRPr="00827721">
        <w:rPr>
          <w:rFonts w:eastAsia="Arial Unicode MS"/>
          <w:lang w:eastAsia="ro-RO"/>
        </w:rPr>
        <w:t>p</w:t>
      </w:r>
      <w:r w:rsidR="00A7577F" w:rsidRPr="00827721">
        <w:rPr>
          <w:rFonts w:eastAsia="Arial Unicode MS"/>
          <w:lang w:eastAsia="ro-RO"/>
        </w:rPr>
        <w:t>entru a încorpora tendința globală a randamentului în randamentul dinamic de referință, se aplică rata anuală compusă de creștere (</w:t>
      </w:r>
      <w:r w:rsidR="00CA20E4" w:rsidRPr="00827721">
        <w:rPr>
          <w:rFonts w:eastAsia="Arial Unicode MS"/>
          <w:lang w:eastAsia="ro-RO"/>
        </w:rPr>
        <w:t xml:space="preserve">în continuare - </w:t>
      </w:r>
      <w:r w:rsidR="00A7577F" w:rsidRPr="00827721">
        <w:rPr>
          <w:rFonts w:eastAsia="Arial Unicode MS"/>
          <w:i/>
          <w:lang w:eastAsia="ro-RO"/>
        </w:rPr>
        <w:t>CAGR</w:t>
      </w:r>
      <w:r w:rsidR="00A7577F" w:rsidRPr="00827721">
        <w:rPr>
          <w:rFonts w:eastAsia="Arial Unicode MS"/>
          <w:lang w:eastAsia="ro-RO"/>
        </w:rPr>
        <w:t xml:space="preserve">) calculată pe baza datelor </w:t>
      </w:r>
      <w:r w:rsidR="00CA20E4" w:rsidRPr="00827721">
        <w:rPr>
          <w:rFonts w:eastAsia="Arial Unicode MS"/>
          <w:lang w:eastAsia="ro-RO"/>
        </w:rPr>
        <w:t>„</w:t>
      </w:r>
      <w:r w:rsidR="00A7577F" w:rsidRPr="00827721">
        <w:rPr>
          <w:rFonts w:eastAsia="Arial Unicode MS"/>
          <w:lang w:eastAsia="ro-RO"/>
        </w:rPr>
        <w:t>FAOSTAT World</w:t>
      </w:r>
      <w:r w:rsidRPr="00827721">
        <w:rPr>
          <w:rFonts w:eastAsia="Arial Unicode MS"/>
          <w:lang w:eastAsia="ro-RO"/>
        </w:rPr>
        <w:t xml:space="preserve"> </w:t>
      </w:r>
      <w:r w:rsidR="00A7577F" w:rsidRPr="00827721">
        <w:rPr>
          <w:rFonts w:eastAsia="Arial Unicode MS"/>
          <w:lang w:eastAsia="ro-RO"/>
        </w:rPr>
        <w:t>+</w:t>
      </w:r>
      <w:r w:rsidR="00CA20E4" w:rsidRPr="00827721">
        <w:rPr>
          <w:rFonts w:eastAsia="Arial Unicode MS"/>
          <w:lang w:eastAsia="ro-RO"/>
        </w:rPr>
        <w:t>”</w:t>
      </w:r>
      <w:r w:rsidR="00A7577F" w:rsidRPr="00827721">
        <w:rPr>
          <w:rFonts w:eastAsia="Arial Unicode MS"/>
          <w:lang w:eastAsia="ro-RO"/>
        </w:rPr>
        <w:t xml:space="preserve"> privind randamentul (tabelul 5), la </w:t>
      </w:r>
      <w:r w:rsidR="00A7577F" w:rsidRPr="00827721">
        <w:rPr>
          <w:rFonts w:eastAsia="Arial Unicode MS"/>
          <w:lang w:eastAsia="ro-RO"/>
        </w:rPr>
        <w:lastRenderedPageBreak/>
        <w:t>fiecare punct al randamentului dinamic de referință, pentru a obține randamentul dinamic de referință dinamic corectat pe baza CAGR.</w:t>
      </w:r>
    </w:p>
    <w:p w14:paraId="2836020B" w14:textId="77777777" w:rsidR="00A7577F" w:rsidRPr="00827721" w:rsidRDefault="00A7577F" w:rsidP="00AB3013">
      <w:pPr>
        <w:pStyle w:val="Sectiune"/>
        <w:rPr>
          <w:rFonts w:eastAsia="Arial Unicode MS"/>
          <w:lang w:eastAsia="ro-RO"/>
        </w:rPr>
      </w:pPr>
      <w:r w:rsidRPr="00827721">
        <w:rPr>
          <w:rFonts w:eastAsia="Arial Unicode MS"/>
          <w:lang w:eastAsia="ro-RO"/>
        </w:rPr>
        <w:t>Tabelul 5</w:t>
      </w:r>
    </w:p>
    <w:p w14:paraId="3AF91904" w14:textId="77777777" w:rsidR="00A7577F" w:rsidRPr="00827721" w:rsidRDefault="00A7577F" w:rsidP="00AB3013">
      <w:pPr>
        <w:pStyle w:val="Sectiune"/>
        <w:rPr>
          <w:rFonts w:eastAsia="Arial Unicode MS"/>
          <w:lang w:eastAsia="ro-RO"/>
        </w:rPr>
      </w:pPr>
      <w:r w:rsidRPr="00827721">
        <w:rPr>
          <w:rFonts w:eastAsia="Arial Unicode MS"/>
          <w:lang w:eastAsia="ro-RO"/>
        </w:rPr>
        <w:t>Rata de creștere anuală compusă pentru culturile de palmieri (20 de ani)</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99"/>
        <w:gridCol w:w="780"/>
      </w:tblGrid>
      <w:tr w:rsidR="00A7577F" w:rsidRPr="00827721" w14:paraId="410B53F8" w14:textId="77777777" w:rsidTr="004928B1">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419110" w14:textId="77777777" w:rsidR="00A7577F" w:rsidRPr="00827721" w:rsidRDefault="00A7577F" w:rsidP="00AB3013">
            <w:pPr>
              <w:spacing w:before="60" w:after="60" w:line="312" w:lineRule="atLeast"/>
              <w:ind w:firstLine="0"/>
              <w:jc w:val="left"/>
              <w:rPr>
                <w:rFonts w:eastAsia="Times New Roman"/>
                <w:sz w:val="24"/>
                <w:lang w:eastAsia="ro-RO"/>
              </w:rPr>
            </w:pPr>
            <w:r w:rsidRPr="00827721">
              <w:rPr>
                <w:rFonts w:eastAsia="Times New Roman"/>
                <w:b/>
                <w:bCs/>
                <w:sz w:val="24"/>
                <w:lang w:eastAsia="ro-RO"/>
              </w:rPr>
              <w:t>Creșterea anuală a performanței culturilor de palmieri – statu-quo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6C7C9" w14:textId="699FC9FA" w:rsidR="00A7577F" w:rsidRPr="00827721" w:rsidRDefault="00A7577F" w:rsidP="00AB3013">
            <w:pPr>
              <w:spacing w:before="60" w:after="60" w:line="312" w:lineRule="atLeast"/>
              <w:ind w:firstLine="0"/>
              <w:jc w:val="center"/>
              <w:rPr>
                <w:rFonts w:eastAsia="Times New Roman"/>
                <w:sz w:val="24"/>
                <w:lang w:eastAsia="ro-RO"/>
              </w:rPr>
            </w:pPr>
            <w:r w:rsidRPr="00827721">
              <w:rPr>
                <w:rFonts w:eastAsia="Times New Roman"/>
                <w:b/>
                <w:bCs/>
                <w:sz w:val="24"/>
                <w:lang w:eastAsia="ro-RO"/>
              </w:rPr>
              <w:t>1,37 %</w:t>
            </w:r>
          </w:p>
        </w:tc>
      </w:tr>
      <w:tr w:rsidR="00A7577F" w:rsidRPr="00827721" w14:paraId="44C4FB50" w14:textId="77777777" w:rsidTr="004928B1">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A13040" w14:textId="77777777" w:rsidR="00A7577F" w:rsidRPr="00827721" w:rsidRDefault="00A7577F" w:rsidP="00AB3013">
            <w:pPr>
              <w:spacing w:before="120" w:line="312" w:lineRule="atLeast"/>
              <w:ind w:firstLine="0"/>
              <w:jc w:val="left"/>
              <w:rPr>
                <w:rFonts w:eastAsia="Times New Roman"/>
                <w:sz w:val="24"/>
                <w:lang w:eastAsia="ro-RO"/>
              </w:rPr>
            </w:pPr>
            <w:r w:rsidRPr="00827721">
              <w:rPr>
                <w:rFonts w:eastAsia="Times New Roman"/>
                <w:sz w:val="24"/>
                <w:lang w:eastAsia="ro-RO"/>
              </w:rPr>
              <w:t>Pe baza datelor FAOSTAT World+ pentru 2008-2017.</w:t>
            </w:r>
          </w:p>
        </w:tc>
      </w:tr>
    </w:tbl>
    <w:p w14:paraId="53EA13C3" w14:textId="50B5FF21" w:rsidR="00A7577F" w:rsidRPr="00827721" w:rsidRDefault="00A7577F" w:rsidP="009B284E">
      <w:pPr>
        <w:pStyle w:val="Anexapct1"/>
        <w:spacing w:before="240"/>
        <w:rPr>
          <w:rFonts w:eastAsia="Arial Unicode MS"/>
          <w:lang w:eastAsia="ro-RO"/>
        </w:rPr>
      </w:pPr>
      <w:r w:rsidRPr="00827721">
        <w:rPr>
          <w:rFonts w:eastAsia="Arial Unicode MS"/>
          <w:lang w:eastAsia="ro-RO"/>
        </w:rPr>
        <w:t>Opțiunea 1b: operatorul economic furnizează curba de creștere</w:t>
      </w:r>
      <w:r w:rsidR="00834D5C" w:rsidRPr="00827721">
        <w:rPr>
          <w:rFonts w:eastAsia="Arial Unicode MS"/>
          <w:lang w:eastAsia="ro-RO"/>
        </w:rPr>
        <w:t>.</w:t>
      </w:r>
    </w:p>
    <w:p w14:paraId="560508AA" w14:textId="420EF724" w:rsidR="00A7577F" w:rsidRPr="00827721" w:rsidRDefault="00A7577F" w:rsidP="00834D5C">
      <w:pPr>
        <w:pStyle w:val="Anexapct11"/>
        <w:rPr>
          <w:rFonts w:eastAsia="Arial Unicode MS"/>
          <w:lang w:eastAsia="ro-RO"/>
        </w:rPr>
      </w:pPr>
      <w:r w:rsidRPr="00827721">
        <w:rPr>
          <w:rFonts w:eastAsia="Arial Unicode MS"/>
          <w:lang w:eastAsia="ro-RO"/>
        </w:rPr>
        <w:t xml:space="preserve">Această opțiune </w:t>
      </w:r>
      <w:r w:rsidR="00F627B1" w:rsidRPr="00827721">
        <w:rPr>
          <w:rFonts w:eastAsia="Arial Unicode MS"/>
          <w:lang w:eastAsia="ro-RO"/>
        </w:rPr>
        <w:t>se</w:t>
      </w:r>
      <w:r w:rsidRPr="00827721">
        <w:rPr>
          <w:rFonts w:eastAsia="Arial Unicode MS"/>
          <w:lang w:eastAsia="ro-RO"/>
        </w:rPr>
        <w:t xml:space="preserve"> utiliz</w:t>
      </w:r>
      <w:r w:rsidR="00F627B1" w:rsidRPr="00827721">
        <w:rPr>
          <w:rFonts w:eastAsia="Arial Unicode MS"/>
          <w:lang w:eastAsia="ro-RO"/>
        </w:rPr>
        <w:t>ează</w:t>
      </w:r>
      <w:r w:rsidRPr="00827721">
        <w:rPr>
          <w:rFonts w:eastAsia="Arial Unicode MS"/>
          <w:lang w:eastAsia="ro-RO"/>
        </w:rPr>
        <w:t xml:space="preserve"> în cazuri excepționale, dacă operatorul economic demonstr</w:t>
      </w:r>
      <w:r w:rsidR="00F627B1" w:rsidRPr="00827721">
        <w:rPr>
          <w:rFonts w:eastAsia="Arial Unicode MS"/>
          <w:lang w:eastAsia="ro-RO"/>
        </w:rPr>
        <w:t>e</w:t>
      </w:r>
      <w:r w:rsidRPr="00827721">
        <w:rPr>
          <w:rFonts w:eastAsia="Arial Unicode MS"/>
          <w:lang w:eastAsia="ro-RO"/>
        </w:rPr>
        <w:t>a</w:t>
      </w:r>
      <w:r w:rsidR="00F627B1" w:rsidRPr="00827721">
        <w:rPr>
          <w:rFonts w:eastAsia="Arial Unicode MS"/>
          <w:lang w:eastAsia="ro-RO"/>
        </w:rPr>
        <w:t>ză</w:t>
      </w:r>
      <w:r w:rsidRPr="00827721">
        <w:rPr>
          <w:rFonts w:eastAsia="Arial Unicode MS"/>
          <w:lang w:eastAsia="ro-RO"/>
        </w:rPr>
        <w:t xml:space="preserve"> că opțiunea 1a nu este adecvată pentru cazul specific</w:t>
      </w:r>
      <w:r w:rsidR="00207A2E" w:rsidRPr="00827721">
        <w:rPr>
          <w:rFonts w:eastAsia="Arial Unicode MS"/>
          <w:lang w:eastAsia="ro-RO"/>
        </w:rPr>
        <w:t xml:space="preserve"> la acestuia</w:t>
      </w:r>
      <w:r w:rsidRPr="00827721">
        <w:rPr>
          <w:rFonts w:eastAsia="Arial Unicode MS"/>
          <w:lang w:eastAsia="ro-RO"/>
        </w:rPr>
        <w:t>. În acest caz, dacă operatorul economic are o curbă de creștere preconizată determinată pe baza datelor disponibile privind plantulele de palmier (care se referă la scenariul lor de statu-quo), această curbă poate fi utilizată ca bază pentru randamentul dinamic de referință în locul curbei standard de creștere. Trebuie urmate toate etapele descrise la opțiunea 1a, înlocuind curba standard de creștere cu curba proprie a operatorului economic. Prin urmare, operatorul economic calculează variația procentuală anuală.</w:t>
      </w:r>
    </w:p>
    <w:p w14:paraId="1A2A4005" w14:textId="56C1DC25" w:rsidR="00A7577F" w:rsidRPr="00827721" w:rsidRDefault="00A7577F" w:rsidP="00834D5C">
      <w:pPr>
        <w:pStyle w:val="Anexapct11"/>
        <w:rPr>
          <w:rFonts w:eastAsia="Arial Unicode MS"/>
          <w:lang w:eastAsia="ro-RO"/>
        </w:rPr>
      </w:pPr>
      <w:r w:rsidRPr="00827721">
        <w:rPr>
          <w:rFonts w:eastAsia="Arial Unicode MS"/>
          <w:lang w:eastAsia="ro-RO"/>
        </w:rPr>
        <w:t xml:space="preserve">Curba de creștere specifică parcelei trebuie să fie în continuare corectată în funcție de evoluția randamentului global utilizând datele </w:t>
      </w:r>
      <w:r w:rsidR="00865CA9" w:rsidRPr="00827721">
        <w:rPr>
          <w:rFonts w:eastAsia="Arial Unicode MS"/>
          <w:lang w:eastAsia="ro-RO"/>
        </w:rPr>
        <w:t>„</w:t>
      </w:r>
      <w:r w:rsidRPr="00827721">
        <w:rPr>
          <w:rFonts w:eastAsia="Arial Unicode MS"/>
          <w:lang w:eastAsia="ro-RO"/>
        </w:rPr>
        <w:t>FAOSTAT World</w:t>
      </w:r>
      <w:r w:rsidR="00445D5B" w:rsidRPr="00827721">
        <w:rPr>
          <w:rFonts w:eastAsia="Arial Unicode MS"/>
          <w:lang w:eastAsia="ro-RO"/>
        </w:rPr>
        <w:t xml:space="preserve"> </w:t>
      </w:r>
      <w:r w:rsidRPr="00827721">
        <w:rPr>
          <w:rFonts w:eastAsia="Arial Unicode MS"/>
          <w:lang w:eastAsia="ro-RO"/>
        </w:rPr>
        <w:t>+</w:t>
      </w:r>
      <w:r w:rsidR="00865CA9" w:rsidRPr="00827721">
        <w:rPr>
          <w:rFonts w:eastAsia="Arial Unicode MS"/>
          <w:lang w:eastAsia="ro-RO"/>
        </w:rPr>
        <w:t>”</w:t>
      </w:r>
      <w:r w:rsidRPr="00827721">
        <w:rPr>
          <w:rFonts w:eastAsia="Arial Unicode MS"/>
          <w:lang w:eastAsia="ro-RO"/>
        </w:rPr>
        <w:t xml:space="preserve"> privind randamentele calculate pe baza CAGR (tabelul 5).</w:t>
      </w:r>
    </w:p>
    <w:p w14:paraId="61E6C69F" w14:textId="68DE605F" w:rsidR="00A7577F" w:rsidRPr="00827721" w:rsidRDefault="00A7577F" w:rsidP="00445D5B">
      <w:pPr>
        <w:pStyle w:val="Anexapct1"/>
        <w:rPr>
          <w:rFonts w:eastAsia="Arial Unicode MS"/>
          <w:lang w:eastAsia="ro-RO"/>
        </w:rPr>
      </w:pPr>
      <w:r w:rsidRPr="00827721">
        <w:rPr>
          <w:rFonts w:eastAsia="Arial Unicode MS"/>
          <w:lang w:eastAsia="ro-RO"/>
        </w:rPr>
        <w:t>Opțiunea 2: abordarea privind certificarea la nivel de grup</w:t>
      </w:r>
      <w:r w:rsidR="00445D5B" w:rsidRPr="00827721">
        <w:rPr>
          <w:rFonts w:eastAsia="Arial Unicode MS"/>
          <w:lang w:eastAsia="ro-RO"/>
        </w:rPr>
        <w:t>.</w:t>
      </w:r>
    </w:p>
    <w:p w14:paraId="6D5EB48D" w14:textId="4E3865BE" w:rsidR="00A7577F" w:rsidRPr="00827721" w:rsidRDefault="00A7577F" w:rsidP="00445D5B">
      <w:pPr>
        <w:pStyle w:val="Anexapct11"/>
        <w:rPr>
          <w:rFonts w:eastAsia="Arial Unicode MS"/>
          <w:lang w:eastAsia="ro-RO"/>
        </w:rPr>
      </w:pPr>
      <w:r w:rsidRPr="00827721">
        <w:rPr>
          <w:rFonts w:eastAsia="Arial Unicode MS"/>
          <w:lang w:eastAsia="ro-RO"/>
        </w:rPr>
        <w:t xml:space="preserve">În cazul certificării la nivel de grup sau atunci când un prim punct de colectare sau o primă fabrică acționează ca unitate de certificare, randamentul dinamic de referință poate fi stabilit utilizând o abordare privind randamentul dinamic de referință „în linie dreaptă” similară celei utilizate pentru culturile anuale. Această abordare </w:t>
      </w:r>
      <w:r w:rsidR="00D23660" w:rsidRPr="00827721">
        <w:rPr>
          <w:rFonts w:eastAsia="Arial Unicode MS"/>
          <w:lang w:eastAsia="ro-RO"/>
        </w:rPr>
        <w:t>se</w:t>
      </w:r>
      <w:r w:rsidRPr="00827721">
        <w:rPr>
          <w:rFonts w:eastAsia="Arial Unicode MS"/>
          <w:lang w:eastAsia="ro-RO"/>
        </w:rPr>
        <w:t xml:space="preserve"> utiliz</w:t>
      </w:r>
      <w:r w:rsidR="00D23660" w:rsidRPr="00827721">
        <w:rPr>
          <w:rFonts w:eastAsia="Arial Unicode MS"/>
          <w:lang w:eastAsia="ro-RO"/>
        </w:rPr>
        <w:t>ează</w:t>
      </w:r>
      <w:r w:rsidRPr="00827721">
        <w:rPr>
          <w:rFonts w:eastAsia="Arial Unicode MS"/>
          <w:lang w:eastAsia="ro-RO"/>
        </w:rPr>
        <w:t xml:space="preserve"> în cazul în care un administrator de grup, un prim punct de colectare sau o fabrică încearcă să certifice un grup care ia aceeași măsură de </w:t>
      </w:r>
      <w:proofErr w:type="spellStart"/>
      <w:r w:rsidRPr="00827721">
        <w:rPr>
          <w:rFonts w:eastAsia="Arial Unicode MS"/>
          <w:lang w:eastAsia="ro-RO"/>
        </w:rPr>
        <w:t>adiționalitate</w:t>
      </w:r>
      <w:proofErr w:type="spellEnd"/>
      <w:r w:rsidRPr="00827721">
        <w:rPr>
          <w:rFonts w:eastAsia="Arial Unicode MS"/>
          <w:lang w:eastAsia="ro-RO"/>
        </w:rPr>
        <w:t xml:space="preserve"> și în cazul în care plantarea sau suprafața care aprovizionează fabrica conține un amestec de arbori de vârste diferite, producția anuală care aprovizionează fabrica </w:t>
      </w:r>
      <w:r w:rsidR="00601EAC" w:rsidRPr="00827721">
        <w:rPr>
          <w:rFonts w:eastAsia="Arial Unicode MS"/>
          <w:lang w:eastAsia="ro-RO"/>
        </w:rPr>
        <w:t>se menține</w:t>
      </w:r>
      <w:r w:rsidRPr="00827721">
        <w:rPr>
          <w:rFonts w:eastAsia="Arial Unicode MS"/>
          <w:lang w:eastAsia="ro-RO"/>
        </w:rPr>
        <w:t xml:space="preserve"> relativ constantă.</w:t>
      </w:r>
    </w:p>
    <w:p w14:paraId="6541698D" w14:textId="2D6C9C6C" w:rsidR="00A7577F" w:rsidRPr="00827721" w:rsidRDefault="00A7577F" w:rsidP="00445D5B">
      <w:pPr>
        <w:pStyle w:val="Anexapct11"/>
        <w:rPr>
          <w:rFonts w:eastAsia="Arial Unicode MS"/>
          <w:lang w:eastAsia="ro-RO"/>
        </w:rPr>
      </w:pPr>
      <w:r w:rsidRPr="00827721">
        <w:rPr>
          <w:rFonts w:eastAsia="Arial Unicode MS"/>
          <w:lang w:eastAsia="ro-RO"/>
        </w:rPr>
        <w:t xml:space="preserve">Pentru a determina randamentul dinamic de referință, administratorul grupului trebuie să înregistreze suprafața totală a plantației (ha) care aprovizionează fabrica și randamentul total (ciorchini de fructe proaspete) care corespunde suprafeței respective pentru fiecare dintre ultimii trei ani. Aceste date sunt utilizate pentru a determina randamentul anual la hectar pentru fiecare dintre ultimii trei ani (în tone/ha). Ulterior, se calculează media acestor puncte de date, care este utilizată ca </w:t>
      </w:r>
      <w:r w:rsidRPr="00827721">
        <w:rPr>
          <w:rFonts w:eastAsia="Arial Unicode MS"/>
          <w:lang w:eastAsia="ro-RO"/>
        </w:rPr>
        <w:lastRenderedPageBreak/>
        <w:t xml:space="preserve">punct de plecare pentru randamentul dinamic de referință. Punctul de plecare este combinat cu panta liniei de tendință globală pentru culturile de palmieri de ulei extrasă din datele </w:t>
      </w:r>
      <w:r w:rsidR="00865CA9" w:rsidRPr="00827721">
        <w:rPr>
          <w:rFonts w:eastAsia="Arial Unicode MS"/>
          <w:lang w:eastAsia="ro-RO"/>
        </w:rPr>
        <w:t>„</w:t>
      </w:r>
      <w:r w:rsidRPr="00827721">
        <w:rPr>
          <w:rFonts w:eastAsia="Arial Unicode MS"/>
          <w:lang w:eastAsia="ro-RO"/>
        </w:rPr>
        <w:t>FAOSTAT World</w:t>
      </w:r>
      <w:r w:rsidR="00445D5B" w:rsidRPr="00827721">
        <w:rPr>
          <w:rFonts w:eastAsia="Arial Unicode MS"/>
          <w:lang w:eastAsia="ro-RO"/>
        </w:rPr>
        <w:t xml:space="preserve"> </w:t>
      </w:r>
      <w:r w:rsidRPr="00827721">
        <w:rPr>
          <w:rFonts w:eastAsia="Arial Unicode MS"/>
          <w:lang w:eastAsia="ro-RO"/>
        </w:rPr>
        <w:t>+</w:t>
      </w:r>
      <w:r w:rsidR="00865CA9" w:rsidRPr="00827721">
        <w:rPr>
          <w:rFonts w:eastAsia="Arial Unicode MS"/>
          <w:lang w:eastAsia="ro-RO"/>
        </w:rPr>
        <w:t>”</w:t>
      </w:r>
      <w:r w:rsidRPr="00827721">
        <w:rPr>
          <w:rFonts w:eastAsia="Arial Unicode MS"/>
          <w:lang w:eastAsia="ro-RO"/>
        </w:rPr>
        <w:t xml:space="preserve"> (tabelul 2) pentru a determina randamentul dinamic de referință.</w:t>
      </w:r>
    </w:p>
    <w:p w14:paraId="197B2875" w14:textId="77777777" w:rsidR="00A7577F" w:rsidRPr="00827721" w:rsidRDefault="00A7577F" w:rsidP="00445D5B">
      <w:pPr>
        <w:pStyle w:val="Anexapct11"/>
        <w:rPr>
          <w:rFonts w:eastAsia="Arial Unicode MS"/>
          <w:lang w:eastAsia="ro-RO"/>
        </w:rPr>
      </w:pPr>
      <w:r w:rsidRPr="00827721">
        <w:rPr>
          <w:rFonts w:eastAsia="Arial Unicode MS"/>
          <w:lang w:eastAsia="ro-RO"/>
        </w:rPr>
        <w:t>Trestia de zahăr trebuie tratată ca o cultură anuală atunci când se stabilește randamentul dinamic de referință.</w:t>
      </w:r>
    </w:p>
    <w:p w14:paraId="3D1CE5C6" w14:textId="720BF15B" w:rsidR="00984391" w:rsidRPr="00827721" w:rsidRDefault="00984391" w:rsidP="00984391">
      <w:pPr>
        <w:pStyle w:val="Capitol"/>
        <w:rPr>
          <w:rFonts w:eastAsia="Arial Unicode MS"/>
          <w:lang w:eastAsia="ro-RO"/>
        </w:rPr>
      </w:pPr>
      <w:r w:rsidRPr="00827721">
        <w:rPr>
          <w:rFonts w:eastAsia="Arial Unicode MS"/>
          <w:lang w:eastAsia="ro-RO"/>
        </w:rPr>
        <w:t>C</w:t>
      </w:r>
      <w:r w:rsidRPr="00827721">
        <w:rPr>
          <w:rFonts w:eastAsia="Arial Unicode MS"/>
          <w:caps w:val="0"/>
          <w:lang w:eastAsia="ro-RO"/>
        </w:rPr>
        <w:t xml:space="preserve">apitolul </w:t>
      </w:r>
      <w:r w:rsidRPr="00827721">
        <w:rPr>
          <w:rFonts w:eastAsia="Arial Unicode MS"/>
          <w:lang w:eastAsia="ro-RO"/>
        </w:rPr>
        <w:t>iv</w:t>
      </w:r>
    </w:p>
    <w:p w14:paraId="24CBC900" w14:textId="769494C9" w:rsidR="00A7577F" w:rsidRPr="00827721" w:rsidRDefault="00A7577F" w:rsidP="00984391">
      <w:pPr>
        <w:pStyle w:val="Capitol"/>
        <w:rPr>
          <w:rFonts w:eastAsia="Arial Unicode MS"/>
          <w:lang w:eastAsia="ro-RO"/>
        </w:rPr>
      </w:pPr>
      <w:r w:rsidRPr="00827721">
        <w:rPr>
          <w:rFonts w:eastAsia="Arial Unicode MS"/>
          <w:lang w:eastAsia="ro-RO"/>
        </w:rPr>
        <w:t>Determinarea randamentului dinamic de referință pentru culturile secvențiale</w:t>
      </w:r>
    </w:p>
    <w:p w14:paraId="253472A0" w14:textId="0B3455A0" w:rsidR="00A7577F" w:rsidRPr="00827721" w:rsidRDefault="00A7577F" w:rsidP="00984391">
      <w:pPr>
        <w:pStyle w:val="Anexapct1"/>
        <w:rPr>
          <w:rFonts w:eastAsia="Arial Unicode MS"/>
          <w:lang w:eastAsia="ro-RO"/>
        </w:rPr>
      </w:pPr>
      <w:r w:rsidRPr="00827721">
        <w:rPr>
          <w:rFonts w:eastAsia="Arial Unicode MS"/>
          <w:lang w:eastAsia="ro-RO"/>
        </w:rPr>
        <w:t>Dacă se utilizează practici de culturi multiple, cum ar fi culturile secvențiale, operatorii economici au trei opțiuni pentru a calcula biomasa suplimentară:</w:t>
      </w:r>
    </w:p>
    <w:p w14:paraId="681E2516" w14:textId="77777777" w:rsidR="00A7577F" w:rsidRPr="00827721" w:rsidRDefault="00A7577F" w:rsidP="00984391">
      <w:pPr>
        <w:pStyle w:val="Anexapct11"/>
        <w:rPr>
          <w:rFonts w:eastAsia="Arial Unicode MS"/>
          <w:lang w:eastAsia="ro-RO"/>
        </w:rPr>
      </w:pPr>
      <w:r w:rsidRPr="00827721">
        <w:rPr>
          <w:rFonts w:eastAsia="Arial Unicode MS"/>
          <w:lang w:eastAsia="ro-RO"/>
        </w:rPr>
        <w:t>să demonstreze că a doua cultură nu reduce randamentul culturii principale;</w:t>
      </w:r>
    </w:p>
    <w:p w14:paraId="744A3B1B" w14:textId="77777777" w:rsidR="00A7577F" w:rsidRPr="00827721" w:rsidRDefault="00A7577F" w:rsidP="00984391">
      <w:pPr>
        <w:pStyle w:val="Anexapct11"/>
        <w:rPr>
          <w:rFonts w:eastAsia="Arial Unicode MS"/>
          <w:lang w:eastAsia="ro-RO"/>
        </w:rPr>
      </w:pPr>
      <w:r w:rsidRPr="00827721">
        <w:rPr>
          <w:rFonts w:eastAsia="Arial Unicode MS"/>
          <w:lang w:eastAsia="ro-RO"/>
        </w:rPr>
        <w:t>în cazul în care a doua cultură scade randamentul culturii principale:</w:t>
      </w:r>
    </w:p>
    <w:p w14:paraId="15BBF7D9" w14:textId="77777777" w:rsidR="00A7577F" w:rsidRPr="00827721" w:rsidRDefault="00A7577F" w:rsidP="00984391">
      <w:pPr>
        <w:pStyle w:val="Anexapct111"/>
        <w:rPr>
          <w:rFonts w:eastAsia="Arial Unicode MS"/>
          <w:lang w:eastAsia="ro-RO"/>
        </w:rPr>
      </w:pPr>
      <w:r w:rsidRPr="00827721">
        <w:rPr>
          <w:rFonts w:eastAsia="Arial Unicode MS"/>
          <w:lang w:eastAsia="ro-RO"/>
        </w:rPr>
        <w:t>să determine un randament dinamic de referință pentru un sistem în care cultura principală este aceeași în fiecare an;</w:t>
      </w:r>
    </w:p>
    <w:p w14:paraId="4F899216" w14:textId="77777777" w:rsidR="00A7577F" w:rsidRPr="00827721" w:rsidRDefault="00A7577F" w:rsidP="00984391">
      <w:pPr>
        <w:pStyle w:val="Anexapct111"/>
        <w:rPr>
          <w:rFonts w:eastAsia="Arial Unicode MS"/>
          <w:lang w:eastAsia="ro-RO"/>
        </w:rPr>
      </w:pPr>
      <w:r w:rsidRPr="00827721">
        <w:rPr>
          <w:rFonts w:eastAsia="Arial Unicode MS"/>
          <w:lang w:eastAsia="ro-RO"/>
        </w:rPr>
        <w:t>să determine un factor de compensare pentru un sistem în care cultura principală este diferită în fiecare an.</w:t>
      </w:r>
    </w:p>
    <w:p w14:paraId="6BB63932" w14:textId="77777777" w:rsidR="00A7577F" w:rsidRPr="00827721" w:rsidRDefault="00A7577F" w:rsidP="00984391">
      <w:pPr>
        <w:pStyle w:val="Anexapct1"/>
        <w:rPr>
          <w:rFonts w:eastAsia="Arial Unicode MS"/>
          <w:lang w:eastAsia="ro-RO"/>
        </w:rPr>
      </w:pPr>
      <w:r w:rsidRPr="00827721">
        <w:rPr>
          <w:rFonts w:eastAsia="Arial Unicode MS"/>
          <w:lang w:eastAsia="ro-RO"/>
        </w:rPr>
        <w:t>Opțiunea 1. Demonstrarea faptului că a doua cultură nu reduce randamentul culturii principale</w:t>
      </w:r>
    </w:p>
    <w:p w14:paraId="48BD1FE3" w14:textId="3AD722AD" w:rsidR="00A7577F" w:rsidRPr="00827721" w:rsidRDefault="00A7577F" w:rsidP="00984391">
      <w:pPr>
        <w:pStyle w:val="Anexapct11"/>
        <w:rPr>
          <w:rFonts w:eastAsia="Arial Unicode MS"/>
          <w:lang w:eastAsia="ro-RO"/>
        </w:rPr>
      </w:pPr>
      <w:r w:rsidRPr="00827721">
        <w:rPr>
          <w:rFonts w:eastAsia="Arial Unicode MS"/>
          <w:lang w:eastAsia="ro-RO"/>
        </w:rPr>
        <w:t xml:space="preserve">În cazul în care un operator economic </w:t>
      </w:r>
      <w:proofErr w:type="spellStart"/>
      <w:r w:rsidRPr="00827721">
        <w:rPr>
          <w:rFonts w:eastAsia="Arial Unicode MS"/>
          <w:lang w:eastAsia="ro-RO"/>
        </w:rPr>
        <w:t>demonstr</w:t>
      </w:r>
      <w:r w:rsidR="00BB3A5F" w:rsidRPr="00827721">
        <w:rPr>
          <w:rFonts w:eastAsia="Arial Unicode MS"/>
          <w:lang w:eastAsia="ro-RO"/>
        </w:rPr>
        <w:t>eză</w:t>
      </w:r>
      <w:proofErr w:type="spellEnd"/>
      <w:r w:rsidRPr="00827721">
        <w:rPr>
          <w:rFonts w:eastAsia="Arial Unicode MS"/>
          <w:lang w:eastAsia="ro-RO"/>
        </w:rPr>
        <w:t xml:space="preserve"> că introducerea celei de-a doua culturi nu reduce producția culturii principale, randamentul total al celei de-a doua culturi </w:t>
      </w:r>
      <w:r w:rsidR="00BB3A5F" w:rsidRPr="00827721">
        <w:rPr>
          <w:rFonts w:eastAsia="Arial Unicode MS"/>
          <w:lang w:eastAsia="ro-RO"/>
        </w:rPr>
        <w:t>se</w:t>
      </w:r>
      <w:r w:rsidRPr="00827721">
        <w:rPr>
          <w:rFonts w:eastAsia="Arial Unicode MS"/>
          <w:lang w:eastAsia="ro-RO"/>
        </w:rPr>
        <w:t xml:space="preserve"> declar</w:t>
      </w:r>
      <w:r w:rsidR="00BB3A5F" w:rsidRPr="00827721">
        <w:rPr>
          <w:rFonts w:eastAsia="Arial Unicode MS"/>
          <w:lang w:eastAsia="ro-RO"/>
        </w:rPr>
        <w:t>ă</w:t>
      </w:r>
      <w:r w:rsidRPr="00827721">
        <w:rPr>
          <w:rFonts w:eastAsia="Arial Unicode MS"/>
          <w:lang w:eastAsia="ro-RO"/>
        </w:rPr>
        <w:t xml:space="preserve"> ca biomasă suplimentară.</w:t>
      </w:r>
    </w:p>
    <w:p w14:paraId="1A7D1086" w14:textId="77777777" w:rsidR="00A7577F" w:rsidRPr="00827721" w:rsidRDefault="00A7577F" w:rsidP="00984391">
      <w:pPr>
        <w:pStyle w:val="Anexapct11"/>
        <w:rPr>
          <w:rFonts w:eastAsia="Arial Unicode MS"/>
          <w:lang w:eastAsia="ro-RO"/>
        </w:rPr>
      </w:pPr>
      <w:r w:rsidRPr="00827721">
        <w:rPr>
          <w:rFonts w:eastAsia="Arial Unicode MS"/>
          <w:lang w:eastAsia="ro-RO"/>
        </w:rPr>
        <w:t>Acest lucru poate fi demonstrat, de exemplu, prin compararea randamentului observat al culturii principale înainte (media istorică pe trei ani) și după introducerea celei de-a doua culturi.</w:t>
      </w:r>
    </w:p>
    <w:p w14:paraId="4AEF9BFA" w14:textId="4884A3C6" w:rsidR="00A7577F" w:rsidRPr="00827721" w:rsidRDefault="00A7577F" w:rsidP="00984391">
      <w:pPr>
        <w:pStyle w:val="Anexapct1"/>
        <w:rPr>
          <w:rFonts w:eastAsia="Arial Unicode MS"/>
          <w:lang w:eastAsia="ro-RO"/>
        </w:rPr>
      </w:pPr>
      <w:r w:rsidRPr="00827721">
        <w:rPr>
          <w:rFonts w:eastAsia="Arial Unicode MS"/>
          <w:lang w:eastAsia="ro-RO"/>
        </w:rPr>
        <w:t>Opțiunea 2a. Determinarea randamentului dinamic de referință pentru un sistem în care cultura principală este aceeași în fiecare an</w:t>
      </w:r>
      <w:r w:rsidR="00157730" w:rsidRPr="00827721">
        <w:rPr>
          <w:rFonts w:eastAsia="Arial Unicode MS"/>
          <w:lang w:eastAsia="ro-RO"/>
        </w:rPr>
        <w:t>.</w:t>
      </w:r>
    </w:p>
    <w:p w14:paraId="653FA19B" w14:textId="77777777" w:rsidR="00A7577F" w:rsidRPr="00827721" w:rsidRDefault="00A7577F" w:rsidP="003D3628">
      <w:pPr>
        <w:pStyle w:val="Anexapct11"/>
        <w:rPr>
          <w:rFonts w:eastAsia="Arial Unicode MS"/>
          <w:lang w:eastAsia="ro-RO"/>
        </w:rPr>
      </w:pPr>
      <w:r w:rsidRPr="00827721">
        <w:rPr>
          <w:rFonts w:eastAsia="Arial Unicode MS"/>
          <w:lang w:eastAsia="ro-RO"/>
        </w:rPr>
        <w:t>Randamentul dinamic de referință se bazează pe situația „statu-quo” pentru parcela delimitată de teren. În cazul în care cultura principală este aceeași în fiecare an, valoarea de referință se stabilește pe baza randamentului istoric mediu pe trei ani al culturii principale pe parcela respectivă, combinat cu linia de tendință globală pentru cultura principală, astfel cum se procedează în cazul culturilor anuale.</w:t>
      </w:r>
    </w:p>
    <w:p w14:paraId="5527A4B4" w14:textId="6A5A2C86" w:rsidR="00A7577F" w:rsidRPr="00827721" w:rsidRDefault="00A7577F" w:rsidP="003D3628">
      <w:pPr>
        <w:pStyle w:val="Anexapct11"/>
        <w:rPr>
          <w:rFonts w:eastAsia="Arial Unicode MS"/>
          <w:lang w:eastAsia="ro-RO"/>
        </w:rPr>
      </w:pPr>
      <w:r w:rsidRPr="00827721">
        <w:rPr>
          <w:rFonts w:eastAsia="Arial Unicode MS"/>
          <w:lang w:eastAsia="ro-RO"/>
        </w:rPr>
        <w:t xml:space="preserve">Această abordare poate fi utilizată atunci când rotația culturilor urmează un tipar de rotație clar definit, care poate fi observat pe baza datelor istorice, ceea ce permite determinarea clară a situației de statu-quo. În acest caz, poate fi necesară </w:t>
      </w:r>
      <w:r w:rsidRPr="00827721">
        <w:rPr>
          <w:rFonts w:eastAsia="Arial Unicode MS"/>
          <w:lang w:eastAsia="ro-RO"/>
        </w:rPr>
        <w:lastRenderedPageBreak/>
        <w:t>utilizarea unor date mai vechi de trei ani pentru a determina randamentul istoric mediu al culturii principale.</w:t>
      </w:r>
    </w:p>
    <w:p w14:paraId="6CE66EB8" w14:textId="77777777" w:rsidR="00A7577F" w:rsidRPr="00827721" w:rsidRDefault="00A7577F" w:rsidP="003D3628">
      <w:pPr>
        <w:pStyle w:val="Anexapct11"/>
        <w:rPr>
          <w:rFonts w:eastAsia="Arial Unicode MS"/>
          <w:lang w:eastAsia="ro-RO"/>
        </w:rPr>
      </w:pPr>
      <w:r w:rsidRPr="00827721">
        <w:rPr>
          <w:rFonts w:eastAsia="Arial Unicode MS"/>
          <w:lang w:eastAsia="ro-RO"/>
        </w:rPr>
        <w:t>După implementarea culturilor secvențiale, volumul net de biomasă suplimentară se calculează ca diferența dintre randamentul anual total al parcelei delimitate de teren (și anume, randamentul culturii principale plus randamentul celei de-a doua culturi) și randamentul dinamic de referință al culturii principale.</w:t>
      </w:r>
    </w:p>
    <w:p w14:paraId="5F32872C" w14:textId="77777777" w:rsidR="00A7577F" w:rsidRPr="00827721" w:rsidRDefault="00A7577F" w:rsidP="003D3628">
      <w:pPr>
        <w:pStyle w:val="Anexapct11"/>
        <w:rPr>
          <w:rFonts w:eastAsia="Arial Unicode MS"/>
          <w:lang w:eastAsia="ro-RO"/>
        </w:rPr>
      </w:pPr>
      <w:r w:rsidRPr="00827721">
        <w:rPr>
          <w:rFonts w:eastAsia="Arial Unicode MS"/>
          <w:lang w:eastAsia="ro-RO"/>
        </w:rPr>
        <w:t>În cazul în care culturile principale și cele secundare sunt materii prime diferite care produc o combinație diferită de componente ale culturilor (de exemplu, ulei, făină proteică, amidon, fibre), suma dintre randamentul culturii principale și cel al celei de-a doua culturi trebuie să se bazeze pe unități de măsură adecvate pentru a permite calcularea unei cifre reprezentative unice pentru volumul net de biomasă suplimentară produsă. Metodologia trebuie să permită o compensare efectivă a pierderii de biomasă a culturii principale. De exemplu, calculul se poate face pe baza greutății simple (tone) sau pe baza conținutului energetic (de exemplu, dacă cea de-a doua cultură este utilizată în întregime pentru producerea de energie, de exemplu pentru biogaz). Alegerea metodologiei se justifică de către operatorul economic și se validează de către auditor.</w:t>
      </w:r>
    </w:p>
    <w:p w14:paraId="3078866A" w14:textId="0DCC6DE6" w:rsidR="00A7577F" w:rsidRPr="00827721" w:rsidRDefault="00A7577F" w:rsidP="00157730">
      <w:pPr>
        <w:pStyle w:val="Anexapct1"/>
        <w:rPr>
          <w:rFonts w:eastAsia="Arial Unicode MS"/>
          <w:lang w:eastAsia="ro-RO"/>
        </w:rPr>
      </w:pPr>
      <w:r w:rsidRPr="00827721">
        <w:rPr>
          <w:rFonts w:eastAsia="Arial Unicode MS"/>
          <w:lang w:eastAsia="ro-RO"/>
        </w:rPr>
        <w:t>Opțiunea 2b. Determinarea unui factor de compensare pentru un sistem în care cultura principală este diferită în fiecare an</w:t>
      </w:r>
      <w:r w:rsidR="00C56554" w:rsidRPr="00827721">
        <w:rPr>
          <w:rFonts w:eastAsia="Arial Unicode MS"/>
          <w:lang w:eastAsia="ro-RO"/>
        </w:rPr>
        <w:t>.</w:t>
      </w:r>
    </w:p>
    <w:p w14:paraId="1AC96BC6" w14:textId="77777777" w:rsidR="00A7577F" w:rsidRPr="00827721" w:rsidRDefault="00A7577F" w:rsidP="00411BCC">
      <w:pPr>
        <w:pStyle w:val="Anexapct11"/>
        <w:rPr>
          <w:rFonts w:eastAsia="Arial Unicode MS"/>
          <w:lang w:eastAsia="ro-RO"/>
        </w:rPr>
      </w:pPr>
      <w:r w:rsidRPr="00827721">
        <w:rPr>
          <w:rFonts w:eastAsia="Arial Unicode MS"/>
          <w:lang w:eastAsia="ro-RO"/>
        </w:rPr>
        <w:t>Atunci când cultura principală diferă în fiecare an în ceea ce privește rotația culturilor și nu urmează un model regulat, operatorul economic trebuie să evalueze orice pierdere de randament al culturii principale ca urmare a celei de-a doua culturi și să o ia în considerare pentru volumul de biomasă suplimentară declarată.</w:t>
      </w:r>
    </w:p>
    <w:p w14:paraId="3C38478C" w14:textId="77777777" w:rsidR="00A7577F" w:rsidRPr="00827721" w:rsidRDefault="00A7577F" w:rsidP="00411BCC">
      <w:pPr>
        <w:pStyle w:val="Anexapct11"/>
        <w:rPr>
          <w:rFonts w:eastAsia="Arial Unicode MS"/>
          <w:lang w:eastAsia="ro-RO"/>
        </w:rPr>
      </w:pPr>
      <w:r w:rsidRPr="00827721">
        <w:rPr>
          <w:rFonts w:eastAsia="Arial Unicode MS"/>
          <w:lang w:eastAsia="ro-RO"/>
        </w:rPr>
        <w:t>Operatorul economic trebuie să compare randamentul observat al culturii principale după introducerea celei de-a doua culturi cu randamentul istoric al aceleiași culturi (principale). Această comparație se poate realiza pe baza randamentelor observate pe terenurile învecinate (de exemplu, în cazul în care aceeași exploatație cultivă aceleași culturi prin rotație, dar pe terenuri diferite) sau pe baza literaturii științifice justificate care descrie impactul culturilor secvențiale asupra culturilor respective în regiunea respectivă.</w:t>
      </w:r>
    </w:p>
    <w:p w14:paraId="561D9DAD" w14:textId="77777777" w:rsidR="00A7577F" w:rsidRPr="00827721" w:rsidRDefault="00A7577F" w:rsidP="00411BCC">
      <w:pPr>
        <w:pStyle w:val="Anexapct11"/>
        <w:rPr>
          <w:rFonts w:eastAsia="Arial Unicode MS"/>
          <w:lang w:eastAsia="ro-RO"/>
        </w:rPr>
      </w:pPr>
      <w:r w:rsidRPr="00827721">
        <w:rPr>
          <w:rFonts w:eastAsia="Arial Unicode MS"/>
          <w:lang w:eastAsia="ro-RO"/>
        </w:rPr>
        <w:t>Impactul asupra randamentului culturii principale se traduce într-un factor de compensare care se deduce din volumul celei de-a doua culturi pentru a calcula volumul de biomasă suplimentară. În ceea ce privește opțiunea 2a, factorul se poate baza pe greutate sau pe conținutul energetic și permite o compensare efectivă a pierderii de biomasă a culturii principale. Alegerea metodologiei se justifică de către operatorul economic și se validează de către auditor.</w:t>
      </w:r>
    </w:p>
    <w:p w14:paraId="2C706517" w14:textId="5D2A08E2" w:rsidR="00E70D2D" w:rsidRPr="00827721" w:rsidRDefault="00E70D2D" w:rsidP="00E70D2D">
      <w:pPr>
        <w:pStyle w:val="Capitol"/>
        <w:rPr>
          <w:rFonts w:eastAsia="Arial Unicode MS"/>
          <w:lang w:eastAsia="ro-RO"/>
        </w:rPr>
      </w:pPr>
      <w:r w:rsidRPr="00827721">
        <w:rPr>
          <w:rFonts w:eastAsia="Arial Unicode MS"/>
          <w:caps w:val="0"/>
          <w:lang w:eastAsia="ro-RO"/>
        </w:rPr>
        <w:lastRenderedPageBreak/>
        <w:t>Capitolul</w:t>
      </w:r>
      <w:r w:rsidRPr="00827721">
        <w:rPr>
          <w:rFonts w:eastAsia="Arial Unicode MS"/>
          <w:lang w:eastAsia="ro-RO"/>
        </w:rPr>
        <w:t xml:space="preserve"> V</w:t>
      </w:r>
    </w:p>
    <w:p w14:paraId="4936CB31" w14:textId="78CEB130" w:rsidR="00A7577F" w:rsidRPr="00827721" w:rsidRDefault="00A7577F" w:rsidP="00E70D2D">
      <w:pPr>
        <w:pStyle w:val="Capitol"/>
        <w:rPr>
          <w:rFonts w:eastAsia="Arial Unicode MS"/>
          <w:lang w:eastAsia="ro-RO"/>
        </w:rPr>
      </w:pPr>
      <w:r w:rsidRPr="00827721">
        <w:rPr>
          <w:rFonts w:eastAsia="Arial Unicode MS"/>
          <w:lang w:eastAsia="ro-RO"/>
        </w:rPr>
        <w:t>Calcularea volumului de biomasă suplimentară</w:t>
      </w:r>
    </w:p>
    <w:p w14:paraId="561DEC5E" w14:textId="77777777" w:rsidR="00A7577F" w:rsidRPr="00827721" w:rsidRDefault="00A7577F" w:rsidP="00DE1ADF">
      <w:pPr>
        <w:pStyle w:val="Anexapct1"/>
        <w:rPr>
          <w:rFonts w:eastAsia="Arial Unicode MS"/>
          <w:lang w:eastAsia="ro-RO"/>
        </w:rPr>
      </w:pPr>
      <w:r w:rsidRPr="00827721">
        <w:rPr>
          <w:rFonts w:eastAsia="Arial Unicode MS"/>
          <w:lang w:eastAsia="ro-RO"/>
        </w:rPr>
        <w:t xml:space="preserve">După punerea în aplicare a măsurii de </w:t>
      </w:r>
      <w:proofErr w:type="spellStart"/>
      <w:r w:rsidRPr="00827721">
        <w:rPr>
          <w:rFonts w:eastAsia="Arial Unicode MS"/>
          <w:lang w:eastAsia="ro-RO"/>
        </w:rPr>
        <w:t>adiționalitate</w:t>
      </w:r>
      <w:proofErr w:type="spellEnd"/>
      <w:r w:rsidRPr="00827721">
        <w:rPr>
          <w:rFonts w:eastAsia="Arial Unicode MS"/>
          <w:lang w:eastAsia="ro-RO"/>
        </w:rPr>
        <w:t>, operatorul economic determină volumul biomasei cu risc redus de ILUC care poate fi declarat prin compararea producției reale a culturilor obținute pe parcela delimitată cu randamentul dinamic de referință. Auditorul trebuie să verifice în cadrul auditului anual dacă volumul de biomasă suplimentară obținut este în conformitate cu previziunile din planul de gestionare și să solicite o justificare în cazul în care există discrepanțe de peste 20 % față de estimările din planul de gestionare.</w:t>
      </w:r>
    </w:p>
    <w:p w14:paraId="5501BC9F" w14:textId="198AC32A" w:rsidR="00A7577F" w:rsidRPr="00827721" w:rsidRDefault="00A7577F" w:rsidP="00DE1ADF">
      <w:pPr>
        <w:pStyle w:val="Anexapct1"/>
        <w:rPr>
          <w:rFonts w:eastAsia="Arial Unicode MS"/>
          <w:lang w:eastAsia="ro-RO"/>
        </w:rPr>
      </w:pPr>
      <w:r w:rsidRPr="00827721">
        <w:rPr>
          <w:rFonts w:eastAsia="Arial Unicode MS"/>
          <w:lang w:eastAsia="ro-RO"/>
        </w:rPr>
        <w:t xml:space="preserve">În cazul în care se solicită certificarea pentru o măsură de </w:t>
      </w:r>
      <w:proofErr w:type="spellStart"/>
      <w:r w:rsidRPr="00827721">
        <w:rPr>
          <w:rFonts w:eastAsia="Arial Unicode MS"/>
          <w:lang w:eastAsia="ro-RO"/>
        </w:rPr>
        <w:t>adiționalitate</w:t>
      </w:r>
      <w:proofErr w:type="spellEnd"/>
      <w:r w:rsidRPr="00827721">
        <w:rPr>
          <w:rFonts w:eastAsia="Arial Unicode MS"/>
          <w:lang w:eastAsia="ro-RO"/>
        </w:rPr>
        <w:t xml:space="preserve"> aplicată în trecut, randamentul biomasei suplimentare </w:t>
      </w:r>
      <w:r w:rsidR="0009034A" w:rsidRPr="00827721">
        <w:rPr>
          <w:rFonts w:eastAsia="Arial Unicode MS"/>
          <w:lang w:eastAsia="ro-RO"/>
        </w:rPr>
        <w:t>se</w:t>
      </w:r>
      <w:r w:rsidRPr="00827721">
        <w:rPr>
          <w:rFonts w:eastAsia="Arial Unicode MS"/>
          <w:lang w:eastAsia="ro-RO"/>
        </w:rPr>
        <w:t xml:space="preserve"> </w:t>
      </w:r>
      <w:r w:rsidR="0009034A" w:rsidRPr="00827721">
        <w:rPr>
          <w:rFonts w:eastAsia="Arial Unicode MS"/>
          <w:lang w:eastAsia="ro-RO"/>
        </w:rPr>
        <w:t xml:space="preserve">calculează </w:t>
      </w:r>
      <w:r w:rsidRPr="00827721">
        <w:rPr>
          <w:rFonts w:eastAsia="Arial Unicode MS"/>
          <w:lang w:eastAsia="ro-RO"/>
        </w:rPr>
        <w:t>și înregistr</w:t>
      </w:r>
      <w:r w:rsidR="0009034A" w:rsidRPr="00827721">
        <w:rPr>
          <w:rFonts w:eastAsia="Arial Unicode MS"/>
          <w:lang w:eastAsia="ro-RO"/>
        </w:rPr>
        <w:t>ează</w:t>
      </w:r>
      <w:r w:rsidRPr="00827721">
        <w:rPr>
          <w:rFonts w:eastAsia="Arial Unicode MS"/>
          <w:lang w:eastAsia="ro-RO"/>
        </w:rPr>
        <w:t xml:space="preserve"> în planul de gestionare. Deși acest lucru permite calcularea cu precizie a volumului real de biomasă care prezintă riscuri reduse din perspectiva schimbării indirecte a destinației terenurilor, aceasta </w:t>
      </w:r>
      <w:r w:rsidR="007F73A7" w:rsidRPr="00827721">
        <w:rPr>
          <w:rFonts w:eastAsia="Arial Unicode MS"/>
          <w:lang w:eastAsia="ro-RO"/>
        </w:rPr>
        <w:t xml:space="preserve">se </w:t>
      </w:r>
      <w:r w:rsidRPr="00827721">
        <w:rPr>
          <w:rFonts w:eastAsia="Arial Unicode MS"/>
          <w:lang w:eastAsia="ro-RO"/>
        </w:rPr>
        <w:t>declară numai după ce s-a acordat certificarea riscului redus de ILUC. Nu se pot depune declarații retroactive pentru biomasa furnizată în trecut.</w:t>
      </w:r>
    </w:p>
    <w:p w14:paraId="3EADFDDF" w14:textId="77777777" w:rsidR="00A7577F" w:rsidRPr="00827721" w:rsidRDefault="00A7577F" w:rsidP="00DE1ADF">
      <w:pPr>
        <w:pStyle w:val="Anexapct1"/>
        <w:rPr>
          <w:rFonts w:eastAsia="Arial Unicode MS"/>
          <w:lang w:eastAsia="ro-RO"/>
        </w:rPr>
      </w:pPr>
      <w:r w:rsidRPr="00827721">
        <w:rPr>
          <w:rFonts w:eastAsia="Arial Unicode MS"/>
          <w:lang w:eastAsia="ro-RO"/>
        </w:rPr>
        <w:t xml:space="preserve">Pentru a calcula volumul biomasei suplimentare, operatorul economic trebuie să înregistreze randamentul tuturor culturilor de pe parcela delimitată pentru fiecare an, din momentul punerii în aplicare a măsurii de </w:t>
      </w:r>
      <w:proofErr w:type="spellStart"/>
      <w:r w:rsidRPr="00827721">
        <w:rPr>
          <w:rFonts w:eastAsia="Arial Unicode MS"/>
          <w:lang w:eastAsia="ro-RO"/>
        </w:rPr>
        <w:t>adiționalitate</w:t>
      </w:r>
      <w:proofErr w:type="spellEnd"/>
      <w:r w:rsidRPr="00827721">
        <w:rPr>
          <w:rFonts w:eastAsia="Arial Unicode MS"/>
          <w:lang w:eastAsia="ro-RO"/>
        </w:rPr>
        <w:t>. Operatorul economic trebuie să demonstreze legătura dintre parcela delimitată specifică și randamentul obținut al culturilor (tone/ha).</w:t>
      </w:r>
    </w:p>
    <w:p w14:paraId="33F1333F" w14:textId="77777777" w:rsidR="00A7577F" w:rsidRPr="00827721" w:rsidRDefault="00A7577F" w:rsidP="00DE1ADF">
      <w:pPr>
        <w:pStyle w:val="Anexapct1"/>
        <w:rPr>
          <w:rFonts w:eastAsia="Arial Unicode MS"/>
          <w:lang w:eastAsia="ro-RO"/>
        </w:rPr>
      </w:pPr>
      <w:r w:rsidRPr="00827721">
        <w:rPr>
          <w:rFonts w:eastAsia="Arial Unicode MS"/>
          <w:lang w:eastAsia="ro-RO"/>
        </w:rPr>
        <w:t>În cazul în care volumul recoltat este măsurat (cântărit) doar la un prim punct de colectare unde ajung produse provenite de la mai multe exploatații sau parcele, atunci documentația de la primul punct de colectare poate fi utilizată ca dovadă a volumului (randamentului) recoltat pentru exploatațiile și parcelele în cauză.</w:t>
      </w:r>
    </w:p>
    <w:p w14:paraId="4747CC8E" w14:textId="7B6DD1D5" w:rsidR="00A7577F" w:rsidRPr="00827721" w:rsidRDefault="00A7577F" w:rsidP="00DE1ADF">
      <w:pPr>
        <w:pStyle w:val="Anexapct1"/>
        <w:rPr>
          <w:rFonts w:eastAsia="Arial Unicode MS"/>
          <w:lang w:eastAsia="ro-RO"/>
        </w:rPr>
      </w:pPr>
      <w:r w:rsidRPr="00827721">
        <w:rPr>
          <w:rFonts w:eastAsia="Arial Unicode MS"/>
          <w:lang w:eastAsia="ro-RO"/>
        </w:rPr>
        <w:t xml:space="preserve">O evidență a tranzacțiilor comerciale dintre operatorul economic și primul punct de colectare poate fi utilizată ca dovadă, cu condiția să se poată demonstra legătura cu parcela delimitată specifică. În acest caz, primul punct de colectare este responsabil de colectarea și înregistrarea datelor privind randamentul culturilor. Acesta înregistrează randamentele de biomasă colectate pentru fiecare exploatație (și, dacă este necesar, pentru o anumită parcelă delimitată dintr-o exploatație) pe baza unui model emis de </w:t>
      </w:r>
      <w:r w:rsidR="00A569C1" w:rsidRPr="00827721">
        <w:rPr>
          <w:rFonts w:eastAsia="Arial Unicode MS"/>
          <w:lang w:eastAsia="ro-RO"/>
        </w:rPr>
        <w:t>schema voluntară</w:t>
      </w:r>
      <w:r w:rsidRPr="00827721">
        <w:rPr>
          <w:rFonts w:eastAsia="Arial Unicode MS"/>
          <w:lang w:eastAsia="ro-RO"/>
        </w:rPr>
        <w:t>.</w:t>
      </w:r>
    </w:p>
    <w:p w14:paraId="287F472B" w14:textId="77777777" w:rsidR="00A7577F" w:rsidRPr="00827721" w:rsidRDefault="00A7577F" w:rsidP="00DE1ADF">
      <w:pPr>
        <w:pStyle w:val="Anexapct1"/>
        <w:rPr>
          <w:rFonts w:eastAsia="Arial Unicode MS"/>
          <w:lang w:eastAsia="ro-RO"/>
        </w:rPr>
      </w:pPr>
      <w:r w:rsidRPr="00827721">
        <w:rPr>
          <w:rFonts w:eastAsia="Arial Unicode MS"/>
          <w:lang w:eastAsia="ro-RO"/>
        </w:rPr>
        <w:t>În cazul auditului la nivelul grupului și dacă primul punct de colectare acționează ca lider al grupului, acesta este responsabil de înregistrarea datelor privind randamentul pentru toate parcelele delimitate.</w:t>
      </w:r>
    </w:p>
    <w:p w14:paraId="35D9FF75" w14:textId="77777777" w:rsidR="00A7577F" w:rsidRPr="00827721" w:rsidRDefault="00A7577F" w:rsidP="00DE1ADF">
      <w:pPr>
        <w:pStyle w:val="Anexapct1"/>
        <w:rPr>
          <w:rFonts w:eastAsia="Arial Unicode MS"/>
          <w:lang w:eastAsia="ro-RO"/>
        </w:rPr>
      </w:pPr>
      <w:r w:rsidRPr="00827721">
        <w:rPr>
          <w:rFonts w:eastAsia="Arial Unicode MS"/>
          <w:lang w:eastAsia="ro-RO"/>
        </w:rPr>
        <w:lastRenderedPageBreak/>
        <w:t>Pentru a calcula volumul de biomasă suplimentară, datele privind randamentul culturilor obținute pentru un anumit an se compară cu randamentul dinamic de referință. Randamentul biomasei suplimentare este egal cu diferența dintre randamentul recoltei observat și randamentul dinamic de referință estimat pentru același an, înmulțit cu suprafața A (ha) a parcelei delimitate în cauză. Acest volum suplimentar poate fi declarat ulterior ca biomasă care prezintă riscuri reduse din perspectiva schimbării indirecte a destinației terenurilor.</w:t>
      </w:r>
    </w:p>
    <w:p w14:paraId="072A063F" w14:textId="77777777" w:rsidR="00A7577F" w:rsidRPr="00827721" w:rsidRDefault="00A7577F" w:rsidP="00DE1ADF">
      <w:pPr>
        <w:jc w:val="center"/>
        <w:rPr>
          <w:rFonts w:eastAsia="Arial Unicode MS"/>
          <w:lang w:eastAsia="ro-RO"/>
        </w:rPr>
      </w:pPr>
      <w:r w:rsidRPr="00827721">
        <w:rPr>
          <w:rFonts w:eastAsia="Arial Unicode MS"/>
          <w:lang w:eastAsia="ro-RO"/>
        </w:rPr>
        <w:t>Biomasa suplimentară = (</w:t>
      </w:r>
      <w:proofErr w:type="spellStart"/>
      <w:r w:rsidRPr="00827721">
        <w:rPr>
          <w:rFonts w:eastAsia="Arial Unicode MS"/>
          <w:lang w:eastAsia="ro-RO"/>
        </w:rPr>
        <w:t>Y</w:t>
      </w:r>
      <w:r w:rsidRPr="00827721">
        <w:rPr>
          <w:rFonts w:eastAsia="Arial Unicode MS"/>
          <w:sz w:val="15"/>
          <w:szCs w:val="15"/>
          <w:vertAlign w:val="subscript"/>
          <w:lang w:eastAsia="ro-RO"/>
        </w:rPr>
        <w:t>x</w:t>
      </w:r>
      <w:proofErr w:type="spellEnd"/>
      <w:r w:rsidRPr="00827721">
        <w:rPr>
          <w:rFonts w:eastAsia="Arial Unicode MS"/>
          <w:lang w:eastAsia="ro-RO"/>
        </w:rPr>
        <w:t xml:space="preserve"> – </w:t>
      </w:r>
      <w:proofErr w:type="spellStart"/>
      <w:r w:rsidRPr="00827721">
        <w:rPr>
          <w:rFonts w:eastAsia="Arial Unicode MS"/>
          <w:lang w:eastAsia="ro-RO"/>
        </w:rPr>
        <w:t>DYB</w:t>
      </w:r>
      <w:r w:rsidRPr="00827721">
        <w:rPr>
          <w:rFonts w:eastAsia="Arial Unicode MS"/>
          <w:sz w:val="15"/>
          <w:szCs w:val="15"/>
          <w:vertAlign w:val="subscript"/>
          <w:lang w:eastAsia="ro-RO"/>
        </w:rPr>
        <w:t>x</w:t>
      </w:r>
      <w:proofErr w:type="spellEnd"/>
      <w:r w:rsidRPr="00827721">
        <w:rPr>
          <w:rFonts w:eastAsia="Arial Unicode MS"/>
          <w:lang w:eastAsia="ro-RO"/>
        </w:rPr>
        <w:t>) × A</w:t>
      </w:r>
    </w:p>
    <w:p w14:paraId="723E5116" w14:textId="77777777" w:rsidR="00A7577F" w:rsidRPr="00827721" w:rsidRDefault="00A7577F" w:rsidP="00DE1ADF">
      <w:pPr>
        <w:rPr>
          <w:rFonts w:eastAsia="Arial Unicode MS"/>
          <w:lang w:eastAsia="ro-RO"/>
        </w:rPr>
      </w:pPr>
      <w:r w:rsidRPr="00827721">
        <w:rPr>
          <w:rFonts w:eastAsia="Arial Unicode MS"/>
          <w:lang w:eastAsia="ro-RO"/>
        </w:rPr>
        <w:t>unde:</w:t>
      </w:r>
    </w:p>
    <w:tbl>
      <w:tblPr>
        <w:tblW w:w="5000" w:type="pct"/>
        <w:shd w:val="clear" w:color="auto" w:fill="FFFFFF"/>
        <w:tblCellMar>
          <w:left w:w="0" w:type="dxa"/>
          <w:right w:w="0" w:type="dxa"/>
        </w:tblCellMar>
        <w:tblLook w:val="04A0" w:firstRow="1" w:lastRow="0" w:firstColumn="1" w:lastColumn="0" w:noHBand="0" w:noVBand="1"/>
      </w:tblPr>
      <w:tblGrid>
        <w:gridCol w:w="1183"/>
        <w:gridCol w:w="650"/>
        <w:gridCol w:w="7628"/>
      </w:tblGrid>
      <w:tr w:rsidR="00A7577F" w:rsidRPr="00827721" w14:paraId="2811143E" w14:textId="77777777" w:rsidTr="00DE1ADF">
        <w:tc>
          <w:tcPr>
            <w:tcW w:w="0" w:type="auto"/>
            <w:shd w:val="clear" w:color="auto" w:fill="FFFFFF"/>
            <w:hideMark/>
          </w:tcPr>
          <w:p w14:paraId="5BB9ADA7" w14:textId="77777777" w:rsidR="00A7577F" w:rsidRPr="00827721" w:rsidRDefault="00A7577F" w:rsidP="00DE1ADF">
            <w:pPr>
              <w:rPr>
                <w:rFonts w:eastAsia="Arial Unicode MS"/>
                <w:lang w:eastAsia="ro-RO"/>
              </w:rPr>
            </w:pPr>
            <w:proofErr w:type="spellStart"/>
            <w:r w:rsidRPr="00827721">
              <w:rPr>
                <w:rFonts w:eastAsia="Arial Unicode MS"/>
                <w:lang w:eastAsia="ro-RO"/>
              </w:rPr>
              <w:t>Y</w:t>
            </w:r>
            <w:r w:rsidRPr="00827721">
              <w:rPr>
                <w:rFonts w:eastAsia="Arial Unicode MS"/>
                <w:sz w:val="15"/>
                <w:szCs w:val="15"/>
                <w:vertAlign w:val="subscript"/>
                <w:lang w:eastAsia="ro-RO"/>
              </w:rPr>
              <w:t>x</w:t>
            </w:r>
            <w:proofErr w:type="spellEnd"/>
          </w:p>
        </w:tc>
        <w:tc>
          <w:tcPr>
            <w:tcW w:w="0" w:type="auto"/>
            <w:shd w:val="clear" w:color="auto" w:fill="FFFFFF"/>
            <w:hideMark/>
          </w:tcPr>
          <w:p w14:paraId="7D47D8D3" w14:textId="77777777" w:rsidR="00A7577F" w:rsidRPr="00827721" w:rsidRDefault="00A7577F" w:rsidP="00DE1ADF">
            <w:pPr>
              <w:rPr>
                <w:rFonts w:eastAsia="Arial Unicode MS"/>
                <w:lang w:eastAsia="ro-RO"/>
              </w:rPr>
            </w:pPr>
            <w:r w:rsidRPr="00827721">
              <w:rPr>
                <w:rFonts w:eastAsia="Arial Unicode MS"/>
                <w:lang w:eastAsia="ro-RO"/>
              </w:rPr>
              <w:t>=</w:t>
            </w:r>
          </w:p>
        </w:tc>
        <w:tc>
          <w:tcPr>
            <w:tcW w:w="0" w:type="auto"/>
            <w:shd w:val="clear" w:color="auto" w:fill="FFFFFF"/>
            <w:hideMark/>
          </w:tcPr>
          <w:p w14:paraId="48560BD7" w14:textId="77777777" w:rsidR="00A7577F" w:rsidRPr="00827721" w:rsidRDefault="00A7577F" w:rsidP="00DE1ADF">
            <w:pPr>
              <w:rPr>
                <w:rFonts w:eastAsia="Arial Unicode MS"/>
                <w:lang w:eastAsia="ro-RO"/>
              </w:rPr>
            </w:pPr>
            <w:r w:rsidRPr="00827721">
              <w:rPr>
                <w:rFonts w:eastAsia="Arial Unicode MS"/>
                <w:lang w:eastAsia="ro-RO"/>
              </w:rPr>
              <w:t>randamentul observat în anul x (în tone/ha/an)</w:t>
            </w:r>
          </w:p>
        </w:tc>
      </w:tr>
      <w:tr w:rsidR="00DE1ADF" w:rsidRPr="00827721" w14:paraId="14C5A066" w14:textId="77777777" w:rsidTr="00DE1ADF">
        <w:tc>
          <w:tcPr>
            <w:tcW w:w="0" w:type="auto"/>
            <w:shd w:val="clear" w:color="auto" w:fill="FFFFFF"/>
          </w:tcPr>
          <w:p w14:paraId="6C954657" w14:textId="51A80886" w:rsidR="00DE1ADF" w:rsidRPr="00827721" w:rsidRDefault="00DE1ADF" w:rsidP="00DE1ADF">
            <w:pPr>
              <w:rPr>
                <w:rFonts w:eastAsia="Arial Unicode MS"/>
                <w:lang w:eastAsia="ro-RO"/>
              </w:rPr>
            </w:pPr>
            <w:proofErr w:type="spellStart"/>
            <w:r w:rsidRPr="00827721">
              <w:rPr>
                <w:rFonts w:eastAsia="Arial Unicode MS"/>
                <w:lang w:eastAsia="ro-RO"/>
              </w:rPr>
              <w:t>DYB</w:t>
            </w:r>
            <w:r w:rsidRPr="00827721">
              <w:rPr>
                <w:rFonts w:eastAsia="Arial Unicode MS"/>
                <w:sz w:val="15"/>
                <w:szCs w:val="15"/>
                <w:vertAlign w:val="subscript"/>
                <w:lang w:eastAsia="ro-RO"/>
              </w:rPr>
              <w:t>x</w:t>
            </w:r>
            <w:proofErr w:type="spellEnd"/>
          </w:p>
        </w:tc>
        <w:tc>
          <w:tcPr>
            <w:tcW w:w="0" w:type="auto"/>
            <w:shd w:val="clear" w:color="auto" w:fill="FFFFFF"/>
          </w:tcPr>
          <w:p w14:paraId="35B87868" w14:textId="365BD027" w:rsidR="00DE1ADF" w:rsidRPr="00827721" w:rsidRDefault="00DE1ADF" w:rsidP="00DE1ADF">
            <w:pPr>
              <w:rPr>
                <w:rFonts w:eastAsia="Arial Unicode MS"/>
                <w:lang w:eastAsia="ro-RO"/>
              </w:rPr>
            </w:pPr>
            <w:r w:rsidRPr="00827721">
              <w:rPr>
                <w:rFonts w:eastAsia="Arial Unicode MS"/>
                <w:lang w:eastAsia="ro-RO"/>
              </w:rPr>
              <w:t>=</w:t>
            </w:r>
          </w:p>
        </w:tc>
        <w:tc>
          <w:tcPr>
            <w:tcW w:w="0" w:type="auto"/>
            <w:shd w:val="clear" w:color="auto" w:fill="FFFFFF"/>
          </w:tcPr>
          <w:p w14:paraId="00F010EA" w14:textId="7B4D28FA" w:rsidR="00DE1ADF" w:rsidRPr="00827721" w:rsidRDefault="00DE1ADF" w:rsidP="00DE1ADF">
            <w:pPr>
              <w:rPr>
                <w:rFonts w:eastAsia="Arial Unicode MS"/>
                <w:lang w:eastAsia="ro-RO"/>
              </w:rPr>
            </w:pPr>
            <w:r w:rsidRPr="00827721">
              <w:rPr>
                <w:rFonts w:eastAsia="Arial Unicode MS"/>
                <w:lang w:eastAsia="ro-RO"/>
              </w:rPr>
              <w:t>randamentul dinamic de referință în anul x (în tone/ha/an)</w:t>
            </w:r>
          </w:p>
        </w:tc>
      </w:tr>
      <w:tr w:rsidR="00DE1ADF" w:rsidRPr="00827721" w14:paraId="131ADA08" w14:textId="77777777" w:rsidTr="00DE1ADF">
        <w:tc>
          <w:tcPr>
            <w:tcW w:w="0" w:type="auto"/>
            <w:shd w:val="clear" w:color="auto" w:fill="FFFFFF"/>
          </w:tcPr>
          <w:p w14:paraId="53F1937D" w14:textId="78D32974" w:rsidR="00DE1ADF" w:rsidRPr="00827721" w:rsidRDefault="00DE1ADF" w:rsidP="00DE1ADF">
            <w:pPr>
              <w:rPr>
                <w:rFonts w:eastAsia="Arial Unicode MS"/>
                <w:lang w:eastAsia="ro-RO"/>
              </w:rPr>
            </w:pPr>
            <w:r w:rsidRPr="00827721">
              <w:rPr>
                <w:rFonts w:eastAsia="Arial Unicode MS"/>
                <w:lang w:eastAsia="ro-RO"/>
              </w:rPr>
              <w:t>A</w:t>
            </w:r>
          </w:p>
        </w:tc>
        <w:tc>
          <w:tcPr>
            <w:tcW w:w="0" w:type="auto"/>
            <w:shd w:val="clear" w:color="auto" w:fill="FFFFFF"/>
          </w:tcPr>
          <w:p w14:paraId="75B3FE6B" w14:textId="57EA4DDC" w:rsidR="00DE1ADF" w:rsidRPr="00827721" w:rsidRDefault="00DE1ADF" w:rsidP="00DE1ADF">
            <w:pPr>
              <w:rPr>
                <w:rFonts w:eastAsia="Arial Unicode MS"/>
                <w:lang w:eastAsia="ro-RO"/>
              </w:rPr>
            </w:pPr>
            <w:r w:rsidRPr="00827721">
              <w:rPr>
                <w:rFonts w:eastAsia="Arial Unicode MS"/>
                <w:lang w:eastAsia="ro-RO"/>
              </w:rPr>
              <w:t>=</w:t>
            </w:r>
          </w:p>
        </w:tc>
        <w:tc>
          <w:tcPr>
            <w:tcW w:w="0" w:type="auto"/>
            <w:shd w:val="clear" w:color="auto" w:fill="FFFFFF"/>
          </w:tcPr>
          <w:p w14:paraId="1534512D" w14:textId="52B9E18A" w:rsidR="00DE1ADF" w:rsidRPr="00827721" w:rsidRDefault="00DE1ADF" w:rsidP="00DE1ADF">
            <w:pPr>
              <w:rPr>
                <w:rFonts w:eastAsia="Arial Unicode MS"/>
                <w:lang w:eastAsia="ro-RO"/>
              </w:rPr>
            </w:pPr>
            <w:r w:rsidRPr="00827721">
              <w:rPr>
                <w:rFonts w:eastAsia="Arial Unicode MS"/>
                <w:lang w:eastAsia="ro-RO"/>
              </w:rPr>
              <w:t>suprafața parcelei delimitate (ha)</w:t>
            </w:r>
          </w:p>
        </w:tc>
      </w:tr>
    </w:tbl>
    <w:p w14:paraId="0472CBA6" w14:textId="03C0B845" w:rsidR="003046A5" w:rsidRPr="00827721" w:rsidRDefault="003046A5" w:rsidP="003046A5">
      <w:pPr>
        <w:pStyle w:val="Capitol"/>
        <w:rPr>
          <w:rFonts w:eastAsia="Arial Unicode MS"/>
          <w:lang w:eastAsia="ro-RO"/>
        </w:rPr>
      </w:pPr>
      <w:r w:rsidRPr="00827721">
        <w:rPr>
          <w:rFonts w:eastAsia="Arial Unicode MS"/>
          <w:caps w:val="0"/>
          <w:lang w:eastAsia="ro-RO"/>
        </w:rPr>
        <w:t xml:space="preserve">Capitolul </w:t>
      </w:r>
      <w:r w:rsidRPr="00827721">
        <w:rPr>
          <w:rFonts w:eastAsia="Arial Unicode MS"/>
          <w:lang w:eastAsia="ro-RO"/>
        </w:rPr>
        <w:t>VI</w:t>
      </w:r>
    </w:p>
    <w:p w14:paraId="277E164A" w14:textId="389698DB" w:rsidR="00A7577F" w:rsidRPr="00827721" w:rsidRDefault="00A7577F" w:rsidP="003046A5">
      <w:pPr>
        <w:pStyle w:val="Capitol"/>
        <w:rPr>
          <w:rFonts w:eastAsia="Arial Unicode MS"/>
          <w:lang w:eastAsia="ro-RO"/>
        </w:rPr>
      </w:pPr>
      <w:r w:rsidRPr="00827721">
        <w:rPr>
          <w:rFonts w:eastAsia="Arial Unicode MS"/>
          <w:lang w:eastAsia="ro-RO"/>
        </w:rPr>
        <w:t>Conținutul minim al certificatului pentru riscul redus de ILUC</w:t>
      </w:r>
    </w:p>
    <w:p w14:paraId="2B29DAF1" w14:textId="77777777" w:rsidR="00A7577F" w:rsidRPr="00827721" w:rsidRDefault="00A7577F" w:rsidP="00713570">
      <w:pPr>
        <w:pStyle w:val="Anexapct1"/>
        <w:rPr>
          <w:rFonts w:eastAsia="Arial Unicode MS"/>
          <w:lang w:eastAsia="ro-RO"/>
        </w:rPr>
      </w:pPr>
      <w:r w:rsidRPr="00827721">
        <w:rPr>
          <w:rFonts w:eastAsia="Arial Unicode MS"/>
          <w:lang w:eastAsia="ro-RO"/>
        </w:rPr>
        <w:t>Certificatele pentru riscul redus de ILUC trebuie să conțină toate informațiile următoare:</w:t>
      </w:r>
    </w:p>
    <w:p w14:paraId="2F695DFE" w14:textId="77777777" w:rsidR="00A7577F" w:rsidRPr="00827721" w:rsidRDefault="00A7577F" w:rsidP="00713570">
      <w:pPr>
        <w:pStyle w:val="Anexapct11"/>
        <w:rPr>
          <w:rFonts w:eastAsia="Arial Unicode MS"/>
          <w:lang w:eastAsia="ro-RO"/>
        </w:rPr>
      </w:pPr>
      <w:r w:rsidRPr="00827721">
        <w:rPr>
          <w:rFonts w:eastAsia="Arial Unicode MS"/>
          <w:lang w:eastAsia="ro-RO"/>
        </w:rPr>
        <w:t>datele de contact ale principalei entități certificate (denumirea și adresa societății, detalii privind punctul de contact desemnat);</w:t>
      </w:r>
    </w:p>
    <w:p w14:paraId="72616930" w14:textId="77777777" w:rsidR="00A7577F" w:rsidRPr="00827721" w:rsidRDefault="00A7577F" w:rsidP="00713570">
      <w:pPr>
        <w:pStyle w:val="Anexapct11"/>
        <w:rPr>
          <w:rFonts w:eastAsia="Arial Unicode MS"/>
          <w:lang w:eastAsia="ro-RO"/>
        </w:rPr>
      </w:pPr>
      <w:r w:rsidRPr="00827721">
        <w:rPr>
          <w:rFonts w:eastAsia="Arial Unicode MS"/>
          <w:lang w:eastAsia="ro-RO"/>
        </w:rPr>
        <w:t xml:space="preserve">domeniul de aplicare al certificării [tipul de măsură de </w:t>
      </w:r>
      <w:proofErr w:type="spellStart"/>
      <w:r w:rsidRPr="00827721">
        <w:rPr>
          <w:rFonts w:eastAsia="Arial Unicode MS"/>
          <w:lang w:eastAsia="ro-RO"/>
        </w:rPr>
        <w:t>adiționalitate</w:t>
      </w:r>
      <w:proofErr w:type="spellEnd"/>
      <w:r w:rsidRPr="00827721">
        <w:rPr>
          <w:rFonts w:eastAsia="Arial Unicode MS"/>
          <w:lang w:eastAsia="ro-RO"/>
        </w:rPr>
        <w:t xml:space="preserve"> și testul de </w:t>
      </w:r>
      <w:proofErr w:type="spellStart"/>
      <w:r w:rsidRPr="00827721">
        <w:rPr>
          <w:rFonts w:eastAsia="Arial Unicode MS"/>
          <w:lang w:eastAsia="ro-RO"/>
        </w:rPr>
        <w:t>adiționalitate</w:t>
      </w:r>
      <w:proofErr w:type="spellEnd"/>
      <w:r w:rsidRPr="00827721">
        <w:rPr>
          <w:rFonts w:eastAsia="Arial Unicode MS"/>
          <w:lang w:eastAsia="ro-RO"/>
        </w:rPr>
        <w:t xml:space="preserve"> aplicat, precum și tipul de operator economic (dacă sunt mici proprietari agricoli)];</w:t>
      </w:r>
    </w:p>
    <w:p w14:paraId="7CE4CFCF" w14:textId="77777777" w:rsidR="00A7577F" w:rsidRPr="00827721" w:rsidRDefault="00A7577F" w:rsidP="00713570">
      <w:pPr>
        <w:pStyle w:val="Anexapct11"/>
        <w:rPr>
          <w:rFonts w:eastAsia="Arial Unicode MS"/>
          <w:lang w:eastAsia="ro-RO"/>
        </w:rPr>
      </w:pPr>
      <w:r w:rsidRPr="00827721">
        <w:rPr>
          <w:rFonts w:eastAsia="Arial Unicode MS"/>
          <w:lang w:eastAsia="ro-RO"/>
        </w:rPr>
        <w:t>coordonatele de longitudine și latitudine (pentru exploatațiile agricole și plantațiile certificate ca entități unice);</w:t>
      </w:r>
    </w:p>
    <w:p w14:paraId="7106B117" w14:textId="77777777" w:rsidR="00A7577F" w:rsidRPr="00827721" w:rsidRDefault="00A7577F" w:rsidP="00713570">
      <w:pPr>
        <w:pStyle w:val="Anexapct11"/>
        <w:rPr>
          <w:rFonts w:eastAsia="Arial Unicode MS"/>
          <w:lang w:eastAsia="ro-RO"/>
        </w:rPr>
      </w:pPr>
      <w:r w:rsidRPr="00827721">
        <w:rPr>
          <w:rFonts w:eastAsia="Arial Unicode MS"/>
          <w:lang w:eastAsia="ro-RO"/>
        </w:rPr>
        <w:t>lista amplasamentelor care fac obiectul certificării (denumire și adresă);</w:t>
      </w:r>
    </w:p>
    <w:p w14:paraId="1C943E1E" w14:textId="77777777" w:rsidR="00A7577F" w:rsidRPr="00827721" w:rsidRDefault="00A7577F" w:rsidP="00713570">
      <w:pPr>
        <w:pStyle w:val="Anexapct11"/>
        <w:rPr>
          <w:rFonts w:eastAsia="Arial Unicode MS"/>
          <w:lang w:eastAsia="ro-RO"/>
        </w:rPr>
      </w:pPr>
      <w:r w:rsidRPr="00827721">
        <w:rPr>
          <w:rFonts w:eastAsia="Arial Unicode MS"/>
          <w:lang w:eastAsia="ro-RO"/>
        </w:rPr>
        <w:t>volumul total de biomasă certificată ca prezentând riscuri reduse din perspectiva schimbării indirecte a destinației terenurilor;</w:t>
      </w:r>
    </w:p>
    <w:p w14:paraId="219DB04D" w14:textId="77777777" w:rsidR="00A7577F" w:rsidRPr="00827721" w:rsidRDefault="00A7577F" w:rsidP="00713570">
      <w:pPr>
        <w:pStyle w:val="Anexapct11"/>
        <w:rPr>
          <w:rFonts w:eastAsia="Arial Unicode MS"/>
          <w:lang w:eastAsia="ro-RO"/>
        </w:rPr>
      </w:pPr>
      <w:r w:rsidRPr="00827721">
        <w:rPr>
          <w:rFonts w:eastAsia="Arial Unicode MS"/>
          <w:lang w:eastAsia="ro-RO"/>
        </w:rPr>
        <w:t>datele de contact ale organismului de certificare (denumire și adresă) și sigla;</w:t>
      </w:r>
    </w:p>
    <w:p w14:paraId="2C549F78" w14:textId="77777777" w:rsidR="00A7577F" w:rsidRPr="00827721" w:rsidRDefault="00A7577F" w:rsidP="00713570">
      <w:pPr>
        <w:pStyle w:val="Anexapct11"/>
        <w:rPr>
          <w:rFonts w:eastAsia="Arial Unicode MS"/>
          <w:lang w:eastAsia="ro-RO"/>
        </w:rPr>
      </w:pPr>
      <w:r w:rsidRPr="00827721">
        <w:rPr>
          <w:rFonts w:eastAsia="Arial Unicode MS"/>
          <w:lang w:eastAsia="ro-RO"/>
        </w:rPr>
        <w:t>numărul sau codul (unic) al certificatului;</w:t>
      </w:r>
    </w:p>
    <w:p w14:paraId="6D16E1CB" w14:textId="77777777" w:rsidR="00A7577F" w:rsidRPr="00827721" w:rsidRDefault="00A7577F" w:rsidP="00713570">
      <w:pPr>
        <w:pStyle w:val="Anexapct11"/>
        <w:rPr>
          <w:rFonts w:eastAsia="Arial Unicode MS"/>
          <w:lang w:eastAsia="ro-RO"/>
        </w:rPr>
      </w:pPr>
      <w:r w:rsidRPr="00827721">
        <w:rPr>
          <w:rFonts w:eastAsia="Arial Unicode MS"/>
          <w:lang w:eastAsia="ro-RO"/>
        </w:rPr>
        <w:t>locul și data emiterii;</w:t>
      </w:r>
    </w:p>
    <w:p w14:paraId="540F997E" w14:textId="77777777" w:rsidR="00A7577F" w:rsidRPr="00827721" w:rsidRDefault="00A7577F" w:rsidP="00713570">
      <w:pPr>
        <w:pStyle w:val="Anexapct11"/>
        <w:rPr>
          <w:rFonts w:eastAsia="Arial Unicode MS"/>
          <w:lang w:eastAsia="ro-RO"/>
        </w:rPr>
      </w:pPr>
      <w:r w:rsidRPr="00827721">
        <w:rPr>
          <w:rFonts w:eastAsia="Arial Unicode MS"/>
          <w:lang w:eastAsia="ro-RO"/>
        </w:rPr>
        <w:t>certificat valabil de la/până la data (și data certificării, dacă este cazul);</w:t>
      </w:r>
    </w:p>
    <w:p w14:paraId="56A44894" w14:textId="77777777" w:rsidR="00A7577F" w:rsidRPr="00827721" w:rsidRDefault="00A7577F" w:rsidP="00713570">
      <w:pPr>
        <w:pStyle w:val="Anexapct11"/>
        <w:rPr>
          <w:rFonts w:eastAsia="Arial Unicode MS"/>
          <w:lang w:eastAsia="ro-RO"/>
        </w:rPr>
      </w:pPr>
      <w:r w:rsidRPr="00827721">
        <w:rPr>
          <w:rFonts w:eastAsia="Arial Unicode MS"/>
          <w:lang w:eastAsia="ro-RO"/>
        </w:rPr>
        <w:t>ștampila și/sau semnătura părții emitente.</w:t>
      </w:r>
    </w:p>
    <w:p w14:paraId="56729CCE" w14:textId="6218F93B" w:rsidR="00F44F64" w:rsidRPr="00827721" w:rsidRDefault="00F44F64">
      <w:pPr>
        <w:rPr>
          <w:rFonts w:eastAsia="Times New Roman"/>
          <w:lang w:eastAsia="ro-RO"/>
        </w:rPr>
      </w:pPr>
      <w:r w:rsidRPr="00827721">
        <w:rPr>
          <w:rFonts w:eastAsia="Times New Roman"/>
          <w:lang w:eastAsia="ro-RO"/>
        </w:rPr>
        <w:br w:type="page"/>
      </w:r>
    </w:p>
    <w:p w14:paraId="6A5DF2AE" w14:textId="103B5FF1" w:rsidR="00F44F64" w:rsidRPr="00827721" w:rsidRDefault="00F44F64" w:rsidP="00F44F64">
      <w:pPr>
        <w:jc w:val="right"/>
      </w:pPr>
      <w:r w:rsidRPr="00827721">
        <w:lastRenderedPageBreak/>
        <w:t>Anexa nr. 9</w:t>
      </w:r>
    </w:p>
    <w:p w14:paraId="31292D38" w14:textId="00B99CAF" w:rsidR="00F44F64" w:rsidRPr="00827721" w:rsidRDefault="00F44F64"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4BEB78C2" w14:textId="77777777" w:rsidR="003A62F6" w:rsidRPr="00827721" w:rsidRDefault="003A62F6" w:rsidP="003A62F6">
      <w:pPr>
        <w:pStyle w:val="Capitol"/>
        <w:rPr>
          <w:rFonts w:eastAsia="Times New Roman"/>
          <w:lang w:eastAsia="ro-RO"/>
        </w:rPr>
      </w:pPr>
      <w:r w:rsidRPr="00827721">
        <w:rPr>
          <w:rFonts w:eastAsia="Times New Roman"/>
          <w:lang w:eastAsia="ro-RO"/>
        </w:rPr>
        <w:t>VALORILE STANDARD ALE FACTORILOR DE EMISIE</w:t>
      </w:r>
    </w:p>
    <w:tbl>
      <w:tblPr>
        <w:tblW w:w="94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7"/>
        <w:gridCol w:w="2086"/>
        <w:gridCol w:w="509"/>
        <w:gridCol w:w="1001"/>
        <w:gridCol w:w="753"/>
        <w:gridCol w:w="753"/>
        <w:gridCol w:w="753"/>
        <w:gridCol w:w="1113"/>
        <w:gridCol w:w="2300"/>
      </w:tblGrid>
      <w:tr w:rsidR="005D3C31" w:rsidRPr="00827721" w14:paraId="3D8260BD" w14:textId="77777777" w:rsidTr="00C2038A">
        <w:trPr>
          <w:jc w:val="center"/>
        </w:trPr>
        <w:tc>
          <w:tcPr>
            <w:tcW w:w="0" w:type="auto"/>
            <w:tcBorders>
              <w:top w:val="outset" w:sz="6" w:space="0" w:color="auto"/>
              <w:left w:val="outset" w:sz="6" w:space="0" w:color="auto"/>
              <w:bottom w:val="outset" w:sz="6" w:space="0" w:color="auto"/>
              <w:right w:val="outset" w:sz="6" w:space="0" w:color="auto"/>
            </w:tcBorders>
            <w:hideMark/>
          </w:tcPr>
          <w:p w14:paraId="7AC65695" w14:textId="77777777" w:rsidR="005D3C31" w:rsidRPr="00827721" w:rsidRDefault="005D3C31" w:rsidP="005D3C31">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5F4805A" w14:textId="77777777" w:rsidR="005D3C31" w:rsidRPr="00827721" w:rsidRDefault="005D3C31" w:rsidP="005D3C31">
            <w:pPr>
              <w:spacing w:before="60" w:after="60" w:line="312" w:lineRule="atLeast"/>
              <w:ind w:firstLine="0"/>
              <w:rPr>
                <w:rFonts w:eastAsia="Times New Roman"/>
                <w:b/>
                <w:bCs/>
                <w:sz w:val="20"/>
                <w:szCs w:val="20"/>
                <w:lang w:eastAsia="ro-RO"/>
              </w:rPr>
            </w:pPr>
            <w:r w:rsidRPr="00827721">
              <w:rPr>
                <w:rFonts w:eastAsia="Times New Roman"/>
                <w:b/>
                <w:bCs/>
                <w:sz w:val="20"/>
                <w:szCs w:val="20"/>
                <w:lang w:eastAsia="ro-RO"/>
              </w:rPr>
              <w:t>parametru:</w:t>
            </w:r>
          </w:p>
        </w:tc>
        <w:tc>
          <w:tcPr>
            <w:tcW w:w="0" w:type="auto"/>
            <w:tcBorders>
              <w:top w:val="outset" w:sz="6" w:space="0" w:color="auto"/>
              <w:left w:val="outset" w:sz="6" w:space="0" w:color="auto"/>
              <w:bottom w:val="outset" w:sz="6" w:space="0" w:color="auto"/>
              <w:right w:val="outset" w:sz="6" w:space="0" w:color="auto"/>
            </w:tcBorders>
            <w:hideMark/>
          </w:tcPr>
          <w:p w14:paraId="2FECB7AA" w14:textId="77777777" w:rsidR="005D3C31" w:rsidRPr="00827721" w:rsidRDefault="005D3C31" w:rsidP="005D3C31">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gridSpan w:val="4"/>
            <w:tcBorders>
              <w:top w:val="outset" w:sz="6" w:space="0" w:color="auto"/>
              <w:left w:val="outset" w:sz="6" w:space="0" w:color="auto"/>
              <w:bottom w:val="outset" w:sz="6" w:space="0" w:color="auto"/>
              <w:right w:val="outset" w:sz="6" w:space="0" w:color="auto"/>
            </w:tcBorders>
            <w:hideMark/>
          </w:tcPr>
          <w:p w14:paraId="274ECCBA"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c>
          <w:tcPr>
            <w:tcW w:w="0" w:type="auto"/>
            <w:tcBorders>
              <w:top w:val="outset" w:sz="6" w:space="0" w:color="auto"/>
              <w:left w:val="outset" w:sz="6" w:space="0" w:color="auto"/>
              <w:bottom w:val="outset" w:sz="6" w:space="0" w:color="auto"/>
              <w:right w:val="outset" w:sz="6" w:space="0" w:color="auto"/>
            </w:tcBorders>
            <w:hideMark/>
          </w:tcPr>
          <w:p w14:paraId="1510B87D"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Aportul de energie al combustibililor fosili</w:t>
            </w:r>
          </w:p>
        </w:tc>
      </w:tr>
      <w:tr w:rsidR="005D3C31" w:rsidRPr="00827721" w14:paraId="25094989"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4DC5F785" w14:textId="77777777" w:rsidR="005D3C31" w:rsidRPr="00827721" w:rsidRDefault="005D3C31" w:rsidP="005D3C31">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EB58062" w14:textId="77777777" w:rsidR="005D3C31" w:rsidRPr="00827721" w:rsidRDefault="005D3C31" w:rsidP="005D3C31">
            <w:pPr>
              <w:spacing w:before="60" w:after="60" w:line="312" w:lineRule="atLeast"/>
              <w:ind w:firstLine="0"/>
              <w:rPr>
                <w:rFonts w:eastAsia="Times New Roman"/>
                <w:b/>
                <w:bCs/>
                <w:sz w:val="20"/>
                <w:szCs w:val="20"/>
                <w:lang w:eastAsia="ro-RO"/>
              </w:rPr>
            </w:pPr>
            <w:r w:rsidRPr="00827721">
              <w:rPr>
                <w:rFonts w:eastAsia="Times New Roman"/>
                <w:b/>
                <w:bCs/>
                <w:sz w:val="20"/>
                <w:szCs w:val="20"/>
                <w:lang w:eastAsia="ro-RO"/>
              </w:rPr>
              <w:t>unitatea: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B0BFD"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7C153"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073E1"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A59B4"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O/kg</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01580"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5916F" w14:textId="77777777" w:rsidR="005D3C31" w:rsidRPr="00827721" w:rsidRDefault="005D3C31" w:rsidP="00673BD4">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/kg</w:t>
            </w:r>
          </w:p>
        </w:tc>
      </w:tr>
      <w:tr w:rsidR="005D3C31" w:rsidRPr="00827721" w14:paraId="43C5D1AB"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7056CA22"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C95717D"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F9B0F" w14:textId="061D927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5C4F56" w14:textId="3788664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5C7BA0" w14:textId="06C8681F"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FF5363" w14:textId="514F14D3"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2EC186" w14:textId="61DEB8E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C3133C" w14:textId="386805A7"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16183197" w14:textId="77777777" w:rsidTr="00673BD4">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1709640A" w14:textId="77777777" w:rsidR="005D3C31" w:rsidRPr="00827721" w:rsidRDefault="005D3C31" w:rsidP="005D3C31">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Potențialul de încălzire globală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FA215" w14:textId="09ADB70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9E04A" w14:textId="68545053"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EE3680" w14:textId="059A81DB"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AD8825" w14:textId="1374722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CBD66" w14:textId="754BC922"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AB03F" w14:textId="7770196E"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565ABD63"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39332A06"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7ADFFC8C"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CO</w:t>
            </w:r>
            <w:r w:rsidRPr="00827721">
              <w:rPr>
                <w:rFonts w:eastAsia="Times New Roman"/>
                <w:sz w:val="20"/>
                <w:szCs w:val="20"/>
                <w:vertAlign w:val="subscript"/>
                <w:lang w:eastAsia="ro-RO"/>
              </w:rPr>
              <w:t>2</w:t>
            </w:r>
          </w:p>
        </w:tc>
        <w:tc>
          <w:tcPr>
            <w:tcW w:w="0" w:type="auto"/>
            <w:tcBorders>
              <w:top w:val="outset" w:sz="6" w:space="0" w:color="auto"/>
              <w:left w:val="outset" w:sz="6" w:space="0" w:color="auto"/>
              <w:bottom w:val="outset" w:sz="6" w:space="0" w:color="auto"/>
              <w:right w:val="outset" w:sz="6" w:space="0" w:color="auto"/>
            </w:tcBorders>
            <w:hideMark/>
          </w:tcPr>
          <w:p w14:paraId="7DE874ED"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AA1D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02ED8" w14:textId="228C895F"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91D79A" w14:textId="047ED77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09258F" w14:textId="111C6418"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F2A708" w14:textId="0938B63A"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FEADB4" w14:textId="5FB389D0"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7065E849"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7220677D"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602F0F29"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CH</w:t>
            </w:r>
            <w:r w:rsidRPr="00827721">
              <w:rPr>
                <w:rFonts w:eastAsia="Times New Roman"/>
                <w:sz w:val="20"/>
                <w:szCs w:val="20"/>
                <w:vertAlign w:val="subscript"/>
                <w:lang w:eastAsia="ro-RO"/>
              </w:rPr>
              <w:t>4</w:t>
            </w:r>
          </w:p>
        </w:tc>
        <w:tc>
          <w:tcPr>
            <w:tcW w:w="0" w:type="auto"/>
            <w:tcBorders>
              <w:top w:val="outset" w:sz="6" w:space="0" w:color="auto"/>
              <w:left w:val="outset" w:sz="6" w:space="0" w:color="auto"/>
              <w:bottom w:val="outset" w:sz="6" w:space="0" w:color="auto"/>
              <w:right w:val="outset" w:sz="6" w:space="0" w:color="auto"/>
            </w:tcBorders>
            <w:hideMark/>
          </w:tcPr>
          <w:p w14:paraId="08656F57"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D0F1C"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968FC" w14:textId="05BAD9F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6D4DC8" w14:textId="6C49883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4DE160" w14:textId="5BFA8C0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CBF30C" w14:textId="35D9D1DD"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37DEA9" w14:textId="0054DA6A"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108ECB40"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108D3222"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hideMark/>
          </w:tcPr>
          <w:p w14:paraId="13C8EE56"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N</w:t>
            </w:r>
            <w:r w:rsidRPr="00827721">
              <w:rPr>
                <w:rFonts w:eastAsia="Times New Roman"/>
                <w:sz w:val="20"/>
                <w:szCs w:val="20"/>
                <w:vertAlign w:val="subscript"/>
                <w:lang w:eastAsia="ro-RO"/>
              </w:rPr>
              <w:t>2</w:t>
            </w:r>
            <w:r w:rsidRPr="00827721">
              <w:rPr>
                <w:rFonts w:eastAsia="Times New Roman"/>
                <w:sz w:val="20"/>
                <w:szCs w:val="20"/>
                <w:lang w:eastAsia="ro-RO"/>
              </w:rPr>
              <w:t>O</w:t>
            </w:r>
          </w:p>
        </w:tc>
        <w:tc>
          <w:tcPr>
            <w:tcW w:w="0" w:type="auto"/>
            <w:tcBorders>
              <w:top w:val="outset" w:sz="6" w:space="0" w:color="auto"/>
              <w:left w:val="outset" w:sz="6" w:space="0" w:color="auto"/>
              <w:bottom w:val="outset" w:sz="6" w:space="0" w:color="auto"/>
              <w:right w:val="outset" w:sz="6" w:space="0" w:color="auto"/>
            </w:tcBorders>
            <w:hideMark/>
          </w:tcPr>
          <w:p w14:paraId="1E6C249F"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5B74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45476" w14:textId="524BC0CA"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F92BE1" w14:textId="3F2FECA3"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1517B3" w14:textId="2C95F69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3B1A5F" w14:textId="1022D73B"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6FA160" w14:textId="23A79F05"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64767813"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511814F7"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3E922D8"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A8D83" w14:textId="708C393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43BAA5" w14:textId="4E7BC7E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5C46E6" w14:textId="7DAFAE91"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18C22A" w14:textId="57C8FAD8"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DDB295" w14:textId="544C083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8B222" w14:textId="03E3CDFF"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11590C15" w14:textId="77777777" w:rsidTr="00673BD4">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FE96AD0" w14:textId="77777777" w:rsidR="005D3C31" w:rsidRPr="00827721" w:rsidRDefault="005D3C31" w:rsidP="005D3C31">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Factorii de producție agricolă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37558" w14:textId="556262F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A98B43" w14:textId="3A7B6177"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503819" w14:textId="2A56F3DD"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84D7BF" w14:textId="64D632C2"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558ADD" w14:textId="086635A4"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BCF6E8" w14:textId="54247D0A"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18CDAEDC" w14:textId="77777777" w:rsidTr="00673BD4">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20314764"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Îngrășământ pe bază de N (kg 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C7EED" w14:textId="16DDC5C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EE1B65" w14:textId="54F8E7F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9DCE9B" w14:textId="6BE6C611"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0BCCC7" w14:textId="0F4958E3"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BBB82C" w14:textId="0BE3C6B9"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954D92" w14:textId="3C4B5AE8"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4A8D8DE4"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25B9F914"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A952EDB"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Nitrat de amoniu (AN)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38968" w14:textId="31EB5CDC"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2B52A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F359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71EF2"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AFBE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E025D" w14:textId="2D5630F3"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4BDF06EF"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33893115"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12CB085"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Sulfat de amoniu (AS)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CB982" w14:textId="5EA0A9A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E565E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2 560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21E5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B80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DE3FF"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0865A" w14:textId="549846AD"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39D172DC"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4619C94E"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64C7DF0"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Sulfat de nitrat de amoniu (ANS)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860C4" w14:textId="70DC35BC"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F50D5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E20D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ECE9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7712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DF01E" w14:textId="4B0653CC"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7568ED82"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33303219"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5AFEAA32"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Amoniac anhidru</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41415" w14:textId="4CC9A588"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3544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2 662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4076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BA57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7E44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C6E86" w14:textId="6EE025E0"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01A31484"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556C8478"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F22CD54"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Nitrat de calciu și amoniu (CAN)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BF246" w14:textId="2819E98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FA2A57"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72D5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22A82"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58BE7"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4EC1E" w14:textId="0521A4B6"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79C21F2A"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6856C8B8"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45F2098"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Nitrat de calciu (CN)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26626" w14:textId="76B88F77"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C58E1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2 653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97487"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84D4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8E49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4 348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69295" w14:textId="2164AEA9"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0158EB93"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27328193"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57A1ACDB"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Uree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14032" w14:textId="2E8D488F"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B8BAE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7B3D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B439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C640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528BE" w14:textId="7D257481"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2691603C"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4B52251E"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966CB04"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Uree și nitrat de amoniu (UAN)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71298" w14:textId="20F381E9"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E14F9F"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8710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4494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CADD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60B04" w14:textId="38CB83AA"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50354F8E" w14:textId="77777777" w:rsidTr="00673BD4">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3225B816"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Îngrășământ pe bază de P</w:t>
            </w:r>
            <w:r w:rsidRPr="00827721">
              <w:rPr>
                <w:rFonts w:eastAsia="Times New Roman"/>
                <w:sz w:val="20"/>
                <w:szCs w:val="20"/>
                <w:vertAlign w:val="subscript"/>
                <w:lang w:eastAsia="ro-RO"/>
              </w:rPr>
              <w:t>2</w:t>
            </w:r>
            <w:r w:rsidRPr="00827721">
              <w:rPr>
                <w:rFonts w:eastAsia="Times New Roman"/>
                <w:sz w:val="20"/>
                <w:szCs w:val="20"/>
                <w:lang w:eastAsia="ro-RO"/>
              </w:rPr>
              <w:t>O</w:t>
            </w:r>
            <w:r w:rsidRPr="00827721">
              <w:rPr>
                <w:rFonts w:eastAsia="Times New Roman"/>
                <w:sz w:val="20"/>
                <w:szCs w:val="20"/>
                <w:vertAlign w:val="subscript"/>
                <w:lang w:eastAsia="ro-RO"/>
              </w:rPr>
              <w:t>5</w:t>
            </w:r>
            <w:r w:rsidRPr="00827721">
              <w:rPr>
                <w:rFonts w:eastAsia="Times New Roman"/>
                <w:sz w:val="20"/>
                <w:szCs w:val="20"/>
                <w:lang w:eastAsia="ro-RO"/>
              </w:rPr>
              <w:t> (kg P</w:t>
            </w:r>
            <w:r w:rsidRPr="00827721">
              <w:rPr>
                <w:rFonts w:eastAsia="Times New Roman"/>
                <w:sz w:val="20"/>
                <w:szCs w:val="20"/>
                <w:vertAlign w:val="subscript"/>
                <w:lang w:eastAsia="ro-RO"/>
              </w:rPr>
              <w:t>2</w:t>
            </w:r>
            <w:r w:rsidRPr="00827721">
              <w:rPr>
                <w:rFonts w:eastAsia="Times New Roman"/>
                <w:sz w:val="20"/>
                <w:szCs w:val="20"/>
                <w:lang w:eastAsia="ro-RO"/>
              </w:rPr>
              <w:t>O</w:t>
            </w:r>
            <w:r w:rsidRPr="00827721">
              <w:rPr>
                <w:rFonts w:eastAsia="Times New Roman"/>
                <w:sz w:val="20"/>
                <w:szCs w:val="20"/>
                <w:vertAlign w:val="subscript"/>
                <w:lang w:eastAsia="ro-RO"/>
              </w:rPr>
              <w:t>5</w:t>
            </w: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3F91C" w14:textId="7286D73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488E33" w14:textId="39FA42C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840B13" w14:textId="50DF926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A9BBDB" w14:textId="2C0013F2"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98A63C" w14:textId="1A09E9E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2E385E" w14:textId="09602016"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67C43302"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2839D986"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E5AA27A"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Superfosfat triplu (TSP)</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7F006" w14:textId="47BBB08D"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5FD784"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BCBC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56F8D"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5618C"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BEBDD" w14:textId="0670F2C8"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6001FB7D"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6CE5C504"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C41CDE"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Fosforit 21 % P</w:t>
            </w:r>
            <w:r w:rsidRPr="00827721">
              <w:rPr>
                <w:rFonts w:eastAsia="Times New Roman"/>
                <w:sz w:val="20"/>
                <w:szCs w:val="20"/>
                <w:vertAlign w:val="subscript"/>
                <w:lang w:eastAsia="ro-RO"/>
              </w:rPr>
              <w:t>2</w:t>
            </w:r>
            <w:r w:rsidRPr="00827721">
              <w:rPr>
                <w:rFonts w:eastAsia="Times New Roman"/>
                <w:sz w:val="20"/>
                <w:szCs w:val="20"/>
                <w:lang w:eastAsia="ro-RO"/>
              </w:rPr>
              <w:t>O</w:t>
            </w:r>
            <w:r w:rsidRPr="00827721">
              <w:rPr>
                <w:rFonts w:eastAsia="Times New Roman"/>
                <w:sz w:val="20"/>
                <w:szCs w:val="20"/>
                <w:vertAlign w:val="subscript"/>
                <w:lang w:eastAsia="ro-RO"/>
              </w:rPr>
              <w:t>5</w:t>
            </w:r>
            <w:r w:rsidRPr="00827721">
              <w:rPr>
                <w:rFonts w:eastAsia="Times New Roman"/>
                <w:sz w:val="20"/>
                <w:szCs w:val="20"/>
                <w:lang w:eastAsia="ro-RO"/>
              </w:rPr>
              <w:t> 23 % SO</w:t>
            </w:r>
            <w:r w:rsidRPr="00827721">
              <w:rPr>
                <w:rFonts w:eastAsia="Times New Roman"/>
                <w:sz w:val="20"/>
                <w:szCs w:val="20"/>
                <w:vertAlign w:val="sub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45894" w14:textId="361EA92A"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16D6C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A1577"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3E2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B931F"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7D924" w14:textId="514C872D"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3F683370"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4719DA34"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D4D708"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 xml:space="preserve">Fosfat </w:t>
            </w:r>
            <w:proofErr w:type="spellStart"/>
            <w:r w:rsidRPr="00827721">
              <w:rPr>
                <w:rFonts w:eastAsia="Times New Roman"/>
                <w:sz w:val="20"/>
                <w:szCs w:val="20"/>
                <w:lang w:eastAsia="ro-RO"/>
              </w:rPr>
              <w:t>monoamonic</w:t>
            </w:r>
            <w:proofErr w:type="spellEnd"/>
            <w:r w:rsidRPr="00827721">
              <w:rPr>
                <w:rFonts w:eastAsia="Times New Roman"/>
                <w:sz w:val="20"/>
                <w:szCs w:val="20"/>
                <w:lang w:eastAsia="ro-RO"/>
              </w:rPr>
              <w:t xml:space="preserve"> (MAP) 11 % N 52 % P</w:t>
            </w:r>
            <w:r w:rsidRPr="00827721">
              <w:rPr>
                <w:rFonts w:eastAsia="Times New Roman"/>
                <w:sz w:val="20"/>
                <w:szCs w:val="20"/>
                <w:vertAlign w:val="subscript"/>
                <w:lang w:eastAsia="ro-RO"/>
              </w:rPr>
              <w:t>2</w:t>
            </w:r>
            <w:r w:rsidRPr="00827721">
              <w:rPr>
                <w:rFonts w:eastAsia="Times New Roman"/>
                <w:sz w:val="20"/>
                <w:szCs w:val="20"/>
                <w:lang w:eastAsia="ro-RO"/>
              </w:rPr>
              <w:t>O</w:t>
            </w:r>
            <w:r w:rsidRPr="00827721">
              <w:rPr>
                <w:rFonts w:eastAsia="Times New Roman"/>
                <w:sz w:val="20"/>
                <w:szCs w:val="20"/>
                <w:vertAlign w:val="subscript"/>
                <w:lang w:eastAsia="ro-RO"/>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A1517" w14:textId="7FEA97CB"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17DC42"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9C61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037D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B1FC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DF11F" w14:textId="65CE4DC4"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577C02F6"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1B8A2F39"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F4267E3" w14:textId="77777777" w:rsidR="005D3C31" w:rsidRPr="00827721" w:rsidRDefault="005D3C31" w:rsidP="005D3C31">
            <w:pPr>
              <w:spacing w:before="60" w:after="60" w:line="312" w:lineRule="atLeast"/>
              <w:ind w:firstLine="0"/>
              <w:rPr>
                <w:rFonts w:eastAsia="Times New Roman"/>
                <w:sz w:val="20"/>
                <w:szCs w:val="20"/>
                <w:lang w:eastAsia="ro-RO"/>
              </w:rPr>
            </w:pPr>
            <w:proofErr w:type="spellStart"/>
            <w:r w:rsidRPr="00827721">
              <w:rPr>
                <w:rFonts w:eastAsia="Times New Roman"/>
                <w:sz w:val="20"/>
                <w:szCs w:val="20"/>
                <w:lang w:eastAsia="ro-RO"/>
              </w:rPr>
              <w:t>Diamoniu</w:t>
            </w:r>
            <w:proofErr w:type="spellEnd"/>
            <w:r w:rsidRPr="00827721">
              <w:rPr>
                <w:rFonts w:eastAsia="Times New Roman"/>
                <w:sz w:val="20"/>
                <w:szCs w:val="20"/>
                <w:lang w:eastAsia="ro-RO"/>
              </w:rPr>
              <w:t xml:space="preserve"> fosfat (DAP) 18 % N 46 % P</w:t>
            </w:r>
            <w:r w:rsidRPr="00827721">
              <w:rPr>
                <w:rFonts w:eastAsia="Times New Roman"/>
                <w:sz w:val="20"/>
                <w:szCs w:val="20"/>
                <w:vertAlign w:val="subscript"/>
                <w:lang w:eastAsia="ro-RO"/>
              </w:rPr>
              <w:t>2</w:t>
            </w:r>
            <w:r w:rsidRPr="00827721">
              <w:rPr>
                <w:rFonts w:eastAsia="Times New Roman"/>
                <w:sz w:val="20"/>
                <w:szCs w:val="20"/>
                <w:lang w:eastAsia="ro-RO"/>
              </w:rPr>
              <w:t>O</w:t>
            </w:r>
            <w:r w:rsidRPr="00827721">
              <w:rPr>
                <w:rFonts w:eastAsia="Times New Roman"/>
                <w:sz w:val="20"/>
                <w:szCs w:val="20"/>
                <w:vertAlign w:val="subscript"/>
                <w:lang w:eastAsia="ro-RO"/>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8428F" w14:textId="368A3E5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3E52A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576F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167E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AD22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1 552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D94A2" w14:textId="70860C75"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5F117602" w14:textId="77777777" w:rsidTr="00673BD4">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4B8A77B9"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Îngrășământ pe bază de K</w:t>
            </w:r>
            <w:r w:rsidRPr="00827721">
              <w:rPr>
                <w:rFonts w:eastAsia="Times New Roman"/>
                <w:sz w:val="20"/>
                <w:szCs w:val="20"/>
                <w:vertAlign w:val="subscript"/>
                <w:lang w:eastAsia="ro-RO"/>
              </w:rPr>
              <w:t>2</w:t>
            </w:r>
            <w:r w:rsidRPr="00827721">
              <w:rPr>
                <w:rFonts w:eastAsia="Times New Roman"/>
                <w:sz w:val="20"/>
                <w:szCs w:val="20"/>
                <w:lang w:eastAsia="ro-RO"/>
              </w:rPr>
              <w:t>O (kg K</w:t>
            </w:r>
            <w:r w:rsidRPr="00827721">
              <w:rPr>
                <w:rFonts w:eastAsia="Times New Roman"/>
                <w:sz w:val="20"/>
                <w:szCs w:val="20"/>
                <w:vertAlign w:val="subscript"/>
                <w:lang w:eastAsia="ro-RO"/>
              </w:rPr>
              <w:t>2</w:t>
            </w:r>
            <w:r w:rsidRPr="00827721">
              <w:rPr>
                <w:rFonts w:eastAsia="Times New Roman"/>
                <w:sz w:val="20"/>
                <w:szCs w:val="20"/>
                <w:lang w:eastAsia="ro-RO"/>
              </w:rPr>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FE4AD" w14:textId="6198CC94"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948CF9" w14:textId="3DED2F2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F11B46" w14:textId="4F366F1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B03F11" w14:textId="764FA3BB"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706BEE" w14:textId="684944DA"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E973EF" w14:textId="5DE34C37"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24F9165F"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3BE910EE"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773B4B01"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Clorură de potasiu (MOP) 60 % K</w:t>
            </w:r>
            <w:r w:rsidRPr="00827721">
              <w:rPr>
                <w:rFonts w:eastAsia="Times New Roman"/>
                <w:sz w:val="20"/>
                <w:szCs w:val="20"/>
                <w:vertAlign w:val="subscript"/>
                <w:lang w:eastAsia="ro-RO"/>
              </w:rPr>
              <w:t>2</w:t>
            </w:r>
            <w:r w:rsidRPr="00827721">
              <w:rPr>
                <w:rFonts w:eastAsia="Times New Roman"/>
                <w:sz w:val="20"/>
                <w:szCs w:val="20"/>
                <w:lang w:eastAsia="ro-RO"/>
              </w:rPr>
              <w: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96FAF" w14:textId="73EFBED5"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FE4C0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7EFB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39E9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7C44D"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2865B" w14:textId="4F78DDF3"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0E5B20C1" w14:textId="77777777" w:rsidTr="00673BD4">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02DBEEAA"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Alte îngrășăminte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FB36B" w14:textId="6AE794C2"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72EA89" w14:textId="5142BC61"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9C725E" w14:textId="0841B048"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DC6FDE" w14:textId="5B1461D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BC6AD1" w14:textId="37FB65D4"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5AC598" w14:textId="427E4A3C"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03EE2C2F"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590438FE"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20B60E9"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NPK 15-15-15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18F0E" w14:textId="01F2BFEF"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29DFB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4 261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7F18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8B80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8E06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5 013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58C90" w14:textId="58B9E906"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09FD338F"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6321BF91"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0BF1C3B" w14:textId="77777777" w:rsidR="005D3C31" w:rsidRPr="00827721" w:rsidRDefault="005D3C31" w:rsidP="005D3C31">
            <w:pPr>
              <w:spacing w:before="60" w:after="60" w:line="312" w:lineRule="atLeast"/>
              <w:ind w:firstLine="0"/>
              <w:rPr>
                <w:rFonts w:eastAsia="Times New Roman"/>
                <w:sz w:val="20"/>
                <w:szCs w:val="20"/>
                <w:lang w:eastAsia="ro-RO"/>
              </w:rPr>
            </w:pPr>
            <w:proofErr w:type="spellStart"/>
            <w:r w:rsidRPr="00827721">
              <w:rPr>
                <w:rFonts w:eastAsia="Times New Roman"/>
                <w:sz w:val="20"/>
                <w:szCs w:val="20"/>
                <w:lang w:eastAsia="ro-RO"/>
              </w:rPr>
              <w:t>MgO</w:t>
            </w:r>
            <w:proofErr w:type="spellEnd"/>
            <w:r w:rsidRPr="00827721">
              <w:rPr>
                <w:rFonts w:eastAsia="Times New Roman"/>
                <w:sz w:val="20"/>
                <w:szCs w:val="20"/>
                <w:lang w:eastAsia="ro-RO"/>
              </w:rPr>
              <w:t xml:space="preserve"> (kg </w:t>
            </w:r>
            <w:proofErr w:type="spellStart"/>
            <w:r w:rsidRPr="00827721">
              <w:rPr>
                <w:rFonts w:eastAsia="Times New Roman"/>
                <w:sz w:val="20"/>
                <w:szCs w:val="20"/>
                <w:lang w:eastAsia="ro-RO"/>
              </w:rPr>
              <w:t>MgO</w:t>
            </w:r>
            <w:proofErr w:type="spellEnd"/>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AD541" w14:textId="6F2D63AB"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C405F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4B48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EB84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01A5D"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3FD1" w14:textId="3B559BD2"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6F7017CE"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51AFA760"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5AB4F114"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Îngrășământ cu sodiu (Na) (kg 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178FC" w14:textId="5E479523"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DB4AE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4E38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9453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188B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72C6C" w14:textId="7B315559"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26371EFE"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3A4E29A1"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39FDFA0"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2EAAD" w14:textId="2EA43E47"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019165" w14:textId="6DF608E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33790D" w14:textId="12BF6679"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7CBC0" w14:textId="53CAF56A"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07165" w14:textId="2C35CBF6"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DB1811" w14:textId="26DE57CA"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177C0F17"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2BACAF72"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AD37298"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orz</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00451" w14:textId="3ADA956F"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125BC2"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7147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F8B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7879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A1A3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3,23</w:t>
            </w:r>
          </w:p>
        </w:tc>
      </w:tr>
      <w:tr w:rsidR="005D3C31" w:rsidRPr="00827721" w14:paraId="398AD4DD"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0D5BA2CD"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0F8143DB"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butași de eucalipt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4D091" w14:textId="6EA38DE0"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24AB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9ABB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E80A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9437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E98DB" w14:textId="1386C051"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1944F941"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1E14EAD1"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381272C"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porumb</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89542" w14:textId="338C934E"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12C96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4AE9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A7F3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043B2"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1B2C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3,23</w:t>
            </w:r>
          </w:p>
        </w:tc>
      </w:tr>
      <w:tr w:rsidR="005D3C31" w:rsidRPr="00827721" w14:paraId="66BC6A3E"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061AEE7C"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523BC38B"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butași de plop</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983AF" w14:textId="32FBF3CC"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DC8C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BA1CD"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B21D2"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D41C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1CDAE" w14:textId="06C4B87F"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64B87303"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6544CB26"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B326FF6"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rapiță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DED35" w14:textId="43E69C61"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81F6F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C9DE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1780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6CD0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57F7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8,33</w:t>
            </w:r>
          </w:p>
        </w:tc>
      </w:tr>
      <w:tr w:rsidR="005D3C31" w:rsidRPr="00827721" w14:paraId="6566AE89"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1321386C"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7C7E4426"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secară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9597F" w14:textId="010A1094"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BB21F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40AB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B77C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EE5C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2175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3,23</w:t>
            </w:r>
          </w:p>
        </w:tc>
      </w:tr>
      <w:tr w:rsidR="005D3C31" w:rsidRPr="00827721" w14:paraId="3555C2CA"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2F42AB9E"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2BBE9648"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boabe de soia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7FF61" w14:textId="7A2AC159"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2D010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E679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95FE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0FC68"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FF34D" w14:textId="55486D64" w:rsidR="005D3C31" w:rsidRPr="00827721" w:rsidRDefault="005D3C31" w:rsidP="00673BD4">
            <w:pPr>
              <w:spacing w:line="312" w:lineRule="atLeast"/>
              <w:ind w:firstLine="0"/>
              <w:jc w:val="center"/>
              <w:rPr>
                <w:rFonts w:eastAsia="Times New Roman"/>
                <w:sz w:val="20"/>
                <w:szCs w:val="20"/>
                <w:lang w:eastAsia="ro-RO"/>
              </w:rPr>
            </w:pPr>
          </w:p>
        </w:tc>
      </w:tr>
      <w:tr w:rsidR="005D3C31" w:rsidRPr="00827721" w14:paraId="32AEABBD"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361E95DA"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E679733"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sfeclă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0528B" w14:textId="569976A9"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0BA897"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2 363,0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F79B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CC7DB"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BF1C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3 651,7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640BF"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38,44</w:t>
            </w:r>
          </w:p>
        </w:tc>
      </w:tr>
      <w:tr w:rsidR="005D3C31" w:rsidRPr="00827721" w14:paraId="3AF03C14"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71FF4F05"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A875917"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trestie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1C54F" w14:textId="586A095C"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AB4E8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F666F"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97350"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9866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4E13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0,06</w:t>
            </w:r>
          </w:p>
        </w:tc>
      </w:tr>
      <w:tr w:rsidR="005D3C31" w:rsidRPr="00827721" w14:paraId="3B0BAAFD"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2D3DA5A1"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3107ED94"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floarea soarelui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2034F" w14:textId="76F5F1B3"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B5BE8C"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BDA5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37759"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658F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FC816"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8,33</w:t>
            </w:r>
          </w:p>
        </w:tc>
      </w:tr>
      <w:tr w:rsidR="005D3C31" w:rsidRPr="00827721" w14:paraId="07C0E49E"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49AB9230"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561412F4"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triticală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7FA79" w14:textId="544653B7"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C0DA0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867B4"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F2A3A"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B1A4"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2876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3,00</w:t>
            </w:r>
          </w:p>
        </w:tc>
      </w:tr>
      <w:tr w:rsidR="005D3C31" w:rsidRPr="00827721" w14:paraId="5DD30EF0" w14:textId="77777777" w:rsidTr="00673BD4">
        <w:trPr>
          <w:jc w:val="center"/>
        </w:trPr>
        <w:tc>
          <w:tcPr>
            <w:tcW w:w="0" w:type="auto"/>
            <w:tcBorders>
              <w:top w:val="outset" w:sz="6" w:space="0" w:color="auto"/>
              <w:left w:val="outset" w:sz="6" w:space="0" w:color="auto"/>
              <w:bottom w:val="outset" w:sz="6" w:space="0" w:color="auto"/>
              <w:right w:val="outset" w:sz="6" w:space="0" w:color="auto"/>
            </w:tcBorders>
            <w:hideMark/>
          </w:tcPr>
          <w:p w14:paraId="0E0F3A59"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793E1D9A" w14:textId="77777777" w:rsidR="005D3C31" w:rsidRPr="00827721" w:rsidRDefault="005D3C31" w:rsidP="005D3C31">
            <w:pPr>
              <w:spacing w:before="60" w:after="60" w:line="312" w:lineRule="atLeast"/>
              <w:ind w:firstLine="0"/>
              <w:rPr>
                <w:rFonts w:eastAsia="Times New Roman"/>
                <w:sz w:val="20"/>
                <w:szCs w:val="20"/>
                <w:lang w:eastAsia="ro-RO"/>
              </w:rPr>
            </w:pPr>
            <w:r w:rsidRPr="00827721">
              <w:rPr>
                <w:rFonts w:eastAsia="Times New Roman"/>
                <w:sz w:val="20"/>
                <w:szCs w:val="20"/>
                <w:lang w:eastAsia="ro-RO"/>
              </w:rPr>
              <w:t>Semințe – grâu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2A2C4" w14:textId="29067EB4" w:rsidR="005D3C31" w:rsidRPr="00827721" w:rsidRDefault="005D3C31" w:rsidP="00673BD4">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2B22EE"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7C341"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A5055"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8B4CD"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D1A33" w14:textId="77777777" w:rsidR="005D3C31" w:rsidRPr="00827721" w:rsidRDefault="005D3C31" w:rsidP="00673BD4">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2,76</w:t>
            </w:r>
          </w:p>
        </w:tc>
      </w:tr>
    </w:tbl>
    <w:p w14:paraId="370D375A" w14:textId="77777777" w:rsidR="005D3C31" w:rsidRPr="00827721" w:rsidRDefault="005D3C31" w:rsidP="005D3C31">
      <w:pPr>
        <w:shd w:val="clear" w:color="auto" w:fill="FFFFFF"/>
        <w:spacing w:line="312" w:lineRule="atLeast"/>
        <w:ind w:firstLine="0"/>
        <w:jc w:val="center"/>
        <w:rPr>
          <w:rFonts w:ascii="Arial Unicode MS" w:eastAsia="Arial Unicode MS" w:hAnsi="Arial Unicode MS" w:cs="Arial Unicode MS"/>
          <w:sz w:val="21"/>
          <w:szCs w:val="21"/>
          <w:lang w:eastAsia="ro-RO"/>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5"/>
        <w:gridCol w:w="2312"/>
        <w:gridCol w:w="1210"/>
        <w:gridCol w:w="758"/>
        <w:gridCol w:w="758"/>
        <w:gridCol w:w="758"/>
        <w:gridCol w:w="1132"/>
        <w:gridCol w:w="2382"/>
      </w:tblGrid>
      <w:tr w:rsidR="005D3C31" w:rsidRPr="00827721" w14:paraId="7FEE3B1A" w14:textId="77777777" w:rsidTr="000433E0">
        <w:trPr>
          <w:jc w:val="center"/>
        </w:trPr>
        <w:tc>
          <w:tcPr>
            <w:tcW w:w="0" w:type="auto"/>
            <w:tcBorders>
              <w:top w:val="outset" w:sz="6" w:space="0" w:color="auto"/>
              <w:left w:val="outset" w:sz="6" w:space="0" w:color="auto"/>
              <w:bottom w:val="outset" w:sz="6" w:space="0" w:color="auto"/>
              <w:right w:val="outset" w:sz="6" w:space="0" w:color="auto"/>
            </w:tcBorders>
            <w:hideMark/>
          </w:tcPr>
          <w:p w14:paraId="11115954" w14:textId="77777777" w:rsidR="005D3C31" w:rsidRPr="00827721" w:rsidRDefault="005D3C31" w:rsidP="005D3C31">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CB8FD" w14:textId="77777777" w:rsidR="005D3C31" w:rsidRPr="00827721" w:rsidRDefault="005D3C31" w:rsidP="000433E0">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1BB11" w14:textId="5D63C1AC" w:rsidR="005D3C31" w:rsidRPr="00827721" w:rsidRDefault="005D3C31" w:rsidP="000433E0">
            <w:pPr>
              <w:spacing w:line="312" w:lineRule="atLeast"/>
              <w:ind w:firstLine="0"/>
              <w:jc w:val="center"/>
              <w:rPr>
                <w:rFonts w:eastAsia="Times New Roman"/>
                <w:b/>
                <w:bCs/>
                <w:sz w:val="20"/>
                <w:szCs w:val="20"/>
                <w:lang w:eastAsia="ro-RO"/>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A22705E"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D7CED"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Aportul de energie al combustibililor fosili</w:t>
            </w:r>
          </w:p>
        </w:tc>
      </w:tr>
      <w:tr w:rsidR="005D3C31" w:rsidRPr="00827721" w14:paraId="63911703" w14:textId="77777777" w:rsidTr="000433E0">
        <w:trPr>
          <w:jc w:val="center"/>
        </w:trPr>
        <w:tc>
          <w:tcPr>
            <w:tcW w:w="0" w:type="auto"/>
            <w:tcBorders>
              <w:top w:val="outset" w:sz="6" w:space="0" w:color="auto"/>
              <w:left w:val="outset" w:sz="6" w:space="0" w:color="auto"/>
              <w:bottom w:val="outset" w:sz="6" w:space="0" w:color="auto"/>
              <w:right w:val="outset" w:sz="6" w:space="0" w:color="auto"/>
            </w:tcBorders>
            <w:hideMark/>
          </w:tcPr>
          <w:p w14:paraId="715E5EAF" w14:textId="77777777" w:rsidR="005D3C31" w:rsidRPr="00827721" w:rsidRDefault="005D3C31" w:rsidP="005D3C31">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364B9" w14:textId="77777777" w:rsidR="005D3C31" w:rsidRPr="00827721" w:rsidRDefault="005D3C31" w:rsidP="000433E0">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BDE82"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2echivalent</w:t>
            </w:r>
            <w:r w:rsidRPr="00827721">
              <w:rPr>
                <w:rFonts w:eastAsia="Times New Roman"/>
                <w:b/>
                <w:bCs/>
                <w:sz w:val="20"/>
                <w:szCs w:val="20"/>
                <w:lang w:eastAsia="ro-RO"/>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3D7C6"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9A9C4"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267CC"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O/kg</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4BB4C"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249AC" w14:textId="77777777" w:rsidR="005D3C31" w:rsidRPr="00827721" w:rsidRDefault="005D3C31" w:rsidP="000433E0">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/kg</w:t>
            </w:r>
          </w:p>
        </w:tc>
      </w:tr>
      <w:tr w:rsidR="005D3C31" w:rsidRPr="00827721" w14:paraId="4BA33C21" w14:textId="77777777" w:rsidTr="000433E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2CAB86" w14:textId="77777777" w:rsidR="005D3C31" w:rsidRPr="00827721" w:rsidRDefault="005D3C31" w:rsidP="000433E0">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Reziduuri (materii prime sau factori de producție)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D20EC" w14:textId="5709CA5C"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A4F77E" w14:textId="2DA51453"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B77CFA" w14:textId="31097305"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28BB8" w14:textId="528E4980"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F6BFEE" w14:textId="37A6A6AA"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2DB5C6" w14:textId="0F54A892" w:rsidR="005D3C31" w:rsidRPr="00827721" w:rsidRDefault="005D3C31" w:rsidP="000433E0">
            <w:pPr>
              <w:spacing w:line="312" w:lineRule="atLeast"/>
              <w:ind w:firstLine="0"/>
              <w:jc w:val="center"/>
              <w:rPr>
                <w:rFonts w:eastAsia="Times New Roman"/>
                <w:sz w:val="20"/>
                <w:szCs w:val="20"/>
                <w:lang w:eastAsia="ro-RO"/>
              </w:rPr>
            </w:pPr>
          </w:p>
        </w:tc>
      </w:tr>
      <w:tr w:rsidR="005D3C31" w:rsidRPr="00827721" w14:paraId="26286F5C" w14:textId="77777777" w:rsidTr="000433E0">
        <w:trPr>
          <w:jc w:val="center"/>
        </w:trPr>
        <w:tc>
          <w:tcPr>
            <w:tcW w:w="0" w:type="auto"/>
            <w:tcBorders>
              <w:top w:val="outset" w:sz="6" w:space="0" w:color="auto"/>
              <w:left w:val="outset" w:sz="6" w:space="0" w:color="auto"/>
              <w:bottom w:val="outset" w:sz="6" w:space="0" w:color="auto"/>
              <w:right w:val="outset" w:sz="6" w:space="0" w:color="auto"/>
            </w:tcBorders>
            <w:hideMark/>
          </w:tcPr>
          <w:p w14:paraId="5046979A"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2D213" w14:textId="77777777" w:rsidR="005D3C31" w:rsidRPr="00827721" w:rsidRDefault="005D3C31" w:rsidP="000433E0">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Digestat</w:t>
            </w:r>
            <w:proofErr w:type="spellEnd"/>
            <w:r w:rsidRPr="00827721">
              <w:rPr>
                <w:rFonts w:eastAsia="Times New Roman"/>
                <w:sz w:val="20"/>
                <w:szCs w:val="20"/>
                <w:lang w:eastAsia="ro-RO"/>
              </w:rPr>
              <w:t xml:space="preserve"> de biogaz</w:t>
            </w:r>
          </w:p>
        </w:tc>
        <w:tc>
          <w:tcPr>
            <w:tcW w:w="0" w:type="auto"/>
            <w:tcBorders>
              <w:top w:val="outset" w:sz="6" w:space="0" w:color="auto"/>
              <w:left w:val="outset" w:sz="6" w:space="0" w:color="auto"/>
              <w:bottom w:val="outset" w:sz="6" w:space="0" w:color="auto"/>
              <w:right w:val="outset" w:sz="6" w:space="0" w:color="auto"/>
            </w:tcBorders>
            <w:vAlign w:val="center"/>
            <w:hideMark/>
          </w:tcPr>
          <w:p w14:paraId="1BB208A8" w14:textId="3DD3903A"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02E223"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A08AB"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B6B8D"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9DB7C"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60707"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r>
      <w:tr w:rsidR="005D3C31" w:rsidRPr="00827721" w14:paraId="3BE0D127" w14:textId="77777777" w:rsidTr="000433E0">
        <w:trPr>
          <w:jc w:val="center"/>
        </w:trPr>
        <w:tc>
          <w:tcPr>
            <w:tcW w:w="0" w:type="auto"/>
            <w:tcBorders>
              <w:top w:val="outset" w:sz="6" w:space="0" w:color="auto"/>
              <w:left w:val="outset" w:sz="6" w:space="0" w:color="auto"/>
              <w:bottom w:val="outset" w:sz="6" w:space="0" w:color="auto"/>
              <w:right w:val="outset" w:sz="6" w:space="0" w:color="auto"/>
            </w:tcBorders>
            <w:hideMark/>
          </w:tcPr>
          <w:p w14:paraId="7844F1C3"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BC1C6" w14:textId="77777777" w:rsidR="005D3C31" w:rsidRPr="00827721" w:rsidRDefault="005D3C31" w:rsidP="000433E0">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Compost EFB (ulei de palmier)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58D30" w14:textId="7850DAD5"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46567B"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0AA0B"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8170D"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92A41"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70C54"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r>
      <w:tr w:rsidR="005D3C31" w:rsidRPr="00827721" w14:paraId="189AAD6E" w14:textId="77777777" w:rsidTr="000433E0">
        <w:trPr>
          <w:jc w:val="center"/>
        </w:trPr>
        <w:tc>
          <w:tcPr>
            <w:tcW w:w="0" w:type="auto"/>
            <w:tcBorders>
              <w:top w:val="outset" w:sz="6" w:space="0" w:color="auto"/>
              <w:left w:val="outset" w:sz="6" w:space="0" w:color="auto"/>
              <w:bottom w:val="outset" w:sz="6" w:space="0" w:color="auto"/>
              <w:right w:val="outset" w:sz="6" w:space="0" w:color="auto"/>
            </w:tcBorders>
            <w:hideMark/>
          </w:tcPr>
          <w:p w14:paraId="3AC48874" w14:textId="77777777" w:rsidR="005D3C31" w:rsidRPr="00827721" w:rsidRDefault="005D3C31" w:rsidP="005D3C31">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3A854" w14:textId="77777777" w:rsidR="005D3C31" w:rsidRPr="00827721" w:rsidRDefault="005D3C31" w:rsidP="000433E0">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Turtă de filtrare a nămolului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D5E5B" w14:textId="50E80E72" w:rsidR="005D3C31" w:rsidRPr="00827721" w:rsidRDefault="005D3C31" w:rsidP="000433E0">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29999B"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B342"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7F705"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C4107"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76496" w14:textId="77777777" w:rsidR="005D3C31" w:rsidRPr="00827721" w:rsidRDefault="005D3C31" w:rsidP="000433E0">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r>
    </w:tbl>
    <w:p w14:paraId="20AE2B8A" w14:textId="0A2B4326" w:rsidR="008C4F89" w:rsidRPr="00827721" w:rsidRDefault="008C4F89" w:rsidP="00CF38FE">
      <w:pPr>
        <w:ind w:left="431" w:firstLine="0"/>
        <w:rPr>
          <w:lang w:eastAsia="ro-RO"/>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
        <w:gridCol w:w="1548"/>
        <w:gridCol w:w="792"/>
        <w:gridCol w:w="792"/>
        <w:gridCol w:w="792"/>
        <w:gridCol w:w="1050"/>
        <w:gridCol w:w="1150"/>
        <w:gridCol w:w="1163"/>
        <w:gridCol w:w="860"/>
        <w:gridCol w:w="1222"/>
      </w:tblGrid>
      <w:tr w:rsidR="008C4F89" w:rsidRPr="00827721" w14:paraId="4433CB0A"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C901B2" w14:textId="64E3356B" w:rsidR="008C4F89" w:rsidRPr="00827721" w:rsidRDefault="008C4F89" w:rsidP="005A268D">
            <w:pPr>
              <w:spacing w:line="312" w:lineRule="atLeast"/>
              <w:ind w:firstLine="0"/>
              <w:jc w:val="center"/>
              <w:rPr>
                <w:rFonts w:eastAsia="Times New Roman"/>
                <w:b/>
                <w:bCs/>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52E078" w14:textId="77777777" w:rsidR="008C4F89" w:rsidRPr="00827721" w:rsidRDefault="008C4F89" w:rsidP="005A268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C7A32D0"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FC1986"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Aportul de energie al combustibililor fosili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BF9DA"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Densitate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C2567" w14:textId="15B2115B" w:rsidR="008C4F89" w:rsidRPr="00827721" w:rsidRDefault="008C4F89" w:rsidP="00FE224D">
            <w:pPr>
              <w:spacing w:before="60" w:after="45" w:line="312" w:lineRule="atLeast"/>
              <w:ind w:firstLine="0"/>
              <w:jc w:val="center"/>
              <w:rPr>
                <w:rFonts w:eastAsia="Times New Roman"/>
                <w:b/>
                <w:bCs/>
                <w:sz w:val="20"/>
                <w:szCs w:val="20"/>
                <w:lang w:eastAsia="ro-RO"/>
              </w:rPr>
            </w:pPr>
            <w:r w:rsidRPr="00827721">
              <w:rPr>
                <w:rFonts w:eastAsia="Times New Roman"/>
                <w:b/>
                <w:bCs/>
                <w:sz w:val="20"/>
                <w:szCs w:val="20"/>
                <w:lang w:eastAsia="ro-RO"/>
              </w:rPr>
              <w:t>Putere calorifică netă (PCN)</w:t>
            </w:r>
            <w:r w:rsidR="00FE224D" w:rsidRPr="00827721">
              <w:rPr>
                <w:rFonts w:eastAsia="Times New Roman"/>
                <w:b/>
                <w:bCs/>
                <w:sz w:val="20"/>
                <w:szCs w:val="20"/>
                <w:lang w:eastAsia="ro-RO"/>
              </w:rPr>
              <w:t xml:space="preserve">, </w:t>
            </w:r>
            <w:r w:rsidRPr="00827721">
              <w:rPr>
                <w:rFonts w:eastAsia="Times New Roman"/>
                <w:b/>
                <w:bCs/>
                <w:sz w:val="20"/>
                <w:szCs w:val="20"/>
                <w:lang w:eastAsia="ro-RO"/>
              </w:rPr>
              <w:t>MJ/kg</w:t>
            </w:r>
          </w:p>
        </w:tc>
      </w:tr>
      <w:tr w:rsidR="008C4F89" w:rsidRPr="00827721" w14:paraId="05E6AC09"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012AAF" w14:textId="7B85371D" w:rsidR="008C4F89" w:rsidRPr="00827721" w:rsidRDefault="008C4F89" w:rsidP="005A268D">
            <w:pPr>
              <w:spacing w:line="312" w:lineRule="atLeast"/>
              <w:ind w:firstLine="0"/>
              <w:jc w:val="center"/>
              <w:rPr>
                <w:rFonts w:eastAsia="Times New Roman"/>
                <w:b/>
                <w:bCs/>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CF2C34" w14:textId="77777777" w:rsidR="008C4F89" w:rsidRPr="00827721" w:rsidRDefault="008C4F89" w:rsidP="005A268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F9C50"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C5F3D"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6726"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O/MJ</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7FB49"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02198"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5AAA6"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06164"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kg/m</w:t>
            </w:r>
            <w:r w:rsidRPr="00827721">
              <w:rPr>
                <w:rFonts w:eastAsia="Times New Roman"/>
                <w:b/>
                <w:bCs/>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53749"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(raportat la substanța uscată)</w:t>
            </w:r>
          </w:p>
        </w:tc>
      </w:tr>
      <w:tr w:rsidR="008C4F89" w:rsidRPr="00827721" w14:paraId="44D03D72" w14:textId="77777777" w:rsidTr="005A268D">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6297CE"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Combustibili – gaze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6B60F" w14:textId="40A04D4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632E4C" w14:textId="60C2168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F3F313" w14:textId="10E7228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C0F519" w14:textId="0E24FEB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8787B7" w14:textId="3C4DAD7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6E43D4" w14:textId="0B04A46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2D1FBD" w14:textId="4C237B5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77C16" w14:textId="083F07AE" w:rsidR="008C4F89" w:rsidRPr="00827721" w:rsidRDefault="008C4F89" w:rsidP="005A268D">
            <w:pPr>
              <w:spacing w:line="312" w:lineRule="atLeast"/>
              <w:ind w:firstLine="0"/>
              <w:jc w:val="center"/>
              <w:rPr>
                <w:rFonts w:eastAsia="Times New Roman"/>
                <w:sz w:val="20"/>
                <w:szCs w:val="20"/>
                <w:lang w:eastAsia="ro-RO"/>
              </w:rPr>
            </w:pPr>
          </w:p>
        </w:tc>
      </w:tr>
      <w:tr w:rsidR="008C4F89" w:rsidRPr="00827721" w14:paraId="20688251"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D21602" w14:textId="7516609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30B2B"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Gaze naturale (amestec 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02C30"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C16CA"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305B2"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E4DFD"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B1F6" w14:textId="7684A4D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51F60C"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8EF5F" w14:textId="59B5F06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3CE27"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49,2</w:t>
            </w:r>
          </w:p>
        </w:tc>
      </w:tr>
      <w:tr w:rsidR="008C4F89" w:rsidRPr="00827721" w14:paraId="33CB5D87"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5C103A" w14:textId="33D38C5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E760C1"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GPL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7A43A"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4364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379F8"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AE4B3"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49D6A" w14:textId="55BB839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A7C50C"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F3986" w14:textId="15B3916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8E8D30"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46,0</w:t>
            </w:r>
          </w:p>
        </w:tc>
      </w:tr>
      <w:tr w:rsidR="008C4F89" w:rsidRPr="00827721" w14:paraId="63FF22BC"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CFDDE2" w14:textId="24DE88BE"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7FF8C7"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Metan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79D52" w14:textId="0830B6D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DB2104" w14:textId="4FE248F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8E6234" w14:textId="3715174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5A573A" w14:textId="3F2B9EF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D15351" w14:textId="077E5A34"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761F04" w14:textId="155722A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90DF6D" w14:textId="4AD94F7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D845EB"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50,0</w:t>
            </w:r>
          </w:p>
        </w:tc>
      </w:tr>
      <w:tr w:rsidR="008C4F89" w:rsidRPr="00827721" w14:paraId="1B0589D8" w14:textId="77777777" w:rsidTr="005A268D">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E46262"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Combustibili – lichide (și materiile prime de conversie)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F2C82" w14:textId="0DCB3AB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7B4812" w14:textId="48974854"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88DA5F" w14:textId="6EBEA8E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2E1D7E" w14:textId="2362F02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2E4057" w14:textId="25A3C53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673413" w14:textId="16D26A1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45C160" w14:textId="213BA46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185F1C" w14:textId="081FE7C8" w:rsidR="008C4F89" w:rsidRPr="00827721" w:rsidRDefault="008C4F89" w:rsidP="005A268D">
            <w:pPr>
              <w:spacing w:line="312" w:lineRule="atLeast"/>
              <w:ind w:firstLine="0"/>
              <w:jc w:val="center"/>
              <w:rPr>
                <w:rFonts w:eastAsia="Times New Roman"/>
                <w:sz w:val="20"/>
                <w:szCs w:val="20"/>
                <w:lang w:eastAsia="ro-RO"/>
              </w:rPr>
            </w:pPr>
          </w:p>
        </w:tc>
      </w:tr>
      <w:tr w:rsidR="008C4F89" w:rsidRPr="00827721" w14:paraId="12535CE5"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85E0B0" w14:textId="4B0B92A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982C6"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AC0AB"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E38B0"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1863C"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87A4E1"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D39F6" w14:textId="16054CC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354D43"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1D457"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CEA5"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43,1</w:t>
            </w:r>
          </w:p>
        </w:tc>
      </w:tr>
      <w:tr w:rsidR="008C4F89" w:rsidRPr="00827721" w14:paraId="77FE9280"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1F8593" w14:textId="645F7F2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541DB7"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Benzină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4A9A2"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C6F84"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ECF41"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1C235"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4640B" w14:textId="3E9CF31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DEA5FA"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2598F"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2B8F5"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43,2</w:t>
            </w:r>
          </w:p>
        </w:tc>
      </w:tr>
      <w:tr w:rsidR="008C4F89" w:rsidRPr="00827721" w14:paraId="5D4E2A40"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7304F" w14:textId="2626E55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15319F"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Păcură grea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D8265"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02A2C"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E866B"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785B2"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0DACE" w14:textId="3D38291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E6BBD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1315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F020A"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40,5</w:t>
            </w:r>
          </w:p>
        </w:tc>
      </w:tr>
      <w:tr w:rsidR="008C4F89" w:rsidRPr="00827721" w14:paraId="6D3C9F49"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B7B351" w14:textId="2E8D614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66EAA4"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Etanol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4629B" w14:textId="00DA89D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87A3A9" w14:textId="5AE5A4F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9E4B96" w14:textId="36F563C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C66E04" w14:textId="7F00BCE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7775F4" w14:textId="5A5ACE7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F4FE10" w14:textId="68AEA2A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C37F4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6D455"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26,81</w:t>
            </w:r>
          </w:p>
        </w:tc>
      </w:tr>
      <w:tr w:rsidR="008C4F89" w:rsidRPr="00827721" w14:paraId="31AFDD7A"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B7AEA0" w14:textId="0EA21C0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B31AC0"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Metanol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5FD6F"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86251"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092D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9E4501"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A1DB8" w14:textId="7C1A506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2D41E"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0462F"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16E43"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19,95</w:t>
            </w:r>
          </w:p>
        </w:tc>
      </w:tr>
      <w:tr w:rsidR="008C4F89" w:rsidRPr="00827721" w14:paraId="4225B754"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D062B1" w14:textId="188C203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7042E"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8376C" w14:textId="52BBD37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12F47D" w14:textId="0AAB4F2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3A3979" w14:textId="6908280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BBBD89" w14:textId="78F3F8A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2FDE0" w14:textId="4297A27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B22A55" w14:textId="4E3FBFA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0EBBF2"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D0E2D"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28,4</w:t>
            </w:r>
          </w:p>
        </w:tc>
      </w:tr>
      <w:tr w:rsidR="008C4F89" w:rsidRPr="00827721" w14:paraId="7A039125"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F6E955" w14:textId="7EA8A4D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2373A"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EMAG</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D5B46" w14:textId="26C89BE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D376E7" w14:textId="7911D7F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855A1A" w14:textId="3C97F46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DE7DA6" w14:textId="2C87F80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8719DA" w14:textId="7743BC0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F7A426" w14:textId="7C911FF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612B7B"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DFA2D"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37,2</w:t>
            </w:r>
          </w:p>
        </w:tc>
      </w:tr>
      <w:tr w:rsidR="008C4F89" w:rsidRPr="00827721" w14:paraId="039FC855"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E441EF" w14:textId="66838B2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C253A7"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HVO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001D0" w14:textId="5F7E94A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2261BA" w14:textId="1619FF6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0BFC41" w14:textId="7E67A40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D921BB" w14:textId="690C6E5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FCDC9" w14:textId="1CF1083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B68377" w14:textId="65D6252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DE585A" w14:textId="635C92A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F052A8"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44,0</w:t>
            </w:r>
          </w:p>
        </w:tc>
      </w:tr>
      <w:tr w:rsidR="008C4F89" w:rsidRPr="00827721" w14:paraId="260AC1C9"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D51B6E" w14:textId="7172D4B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8A076E"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PVO</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BD0D7" w14:textId="5D56D48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97A5B0" w14:textId="672448D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BC4C1E" w14:textId="760B150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C10C6A" w14:textId="2231AA5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061F8B" w14:textId="6660C9D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F4D396" w14:textId="2A2CD93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661542"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A50CF"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360DA23E"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B8F26C" w14:textId="1596A43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8C7C4"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Motorină sintetică (</w:t>
            </w:r>
            <w:proofErr w:type="spellStart"/>
            <w:r w:rsidRPr="00827721">
              <w:rPr>
                <w:rFonts w:eastAsia="Times New Roman"/>
                <w:sz w:val="20"/>
                <w:szCs w:val="20"/>
                <w:lang w:eastAsia="ro-RO"/>
              </w:rPr>
              <w:t>BtL</w:t>
            </w:r>
            <w:proofErr w:type="spellEnd"/>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47C53" w14:textId="4F27C95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3258FD" w14:textId="44651C1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8CBDC6" w14:textId="75F3DC1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5922EF" w14:textId="274E9B72"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9DE1AC" w14:textId="0DAE367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E75BD3" w14:textId="6F6C22B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BA8D6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D43A"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44,0</w:t>
            </w:r>
          </w:p>
        </w:tc>
      </w:tr>
      <w:tr w:rsidR="008C4F89" w:rsidRPr="00827721" w14:paraId="60C88332"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15F106" w14:textId="227D6648"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CC5E7B"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Ulei de palmier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14C5A" w14:textId="3FC9A5D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EB1754" w14:textId="35ECAA4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EAA418" w14:textId="534C8EC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A5F780" w14:textId="3B0F2CB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4A79E" w14:textId="5033EF1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F2221" w14:textId="7368AB3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D1BA4"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A1948"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1C88FB69"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DFD2B" w14:textId="117E012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C61298"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Ulei de rapiță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41EFF" w14:textId="29FE0AD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E5E4F1" w14:textId="11F3526C"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8CD641" w14:textId="3EADAB1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45A3F" w14:textId="278856A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070C8A" w14:textId="34706C2E"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78C1F5" w14:textId="57F2E6B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B593D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59604"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2626E2F2"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21AA75" w14:textId="1C89072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9536FF"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Ulei de soia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BD571" w14:textId="4FE4C18E"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E80CD1" w14:textId="15E242A0"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4093AE" w14:textId="2422A60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6E4750" w14:textId="6048335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B29E62" w14:textId="4CE6271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72D2AB" w14:textId="34763D5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8C563"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92396"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30DA7FA1"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DD3342" w14:textId="371C6EA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04408C"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Ulei de floarea-soarelui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CFEF7" w14:textId="58CEB98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3E4E35" w14:textId="0DB0C30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4B0020" w14:textId="513743A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50A04C" w14:textId="502B428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2240D3" w14:textId="26A3D4E4"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1DC7DA" w14:textId="762AE9DE"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88D0EE"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43965"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bl>
    <w:p w14:paraId="5FE3DD79" w14:textId="77777777" w:rsidR="008C4F89" w:rsidRPr="00827721" w:rsidRDefault="008C4F89" w:rsidP="00CF38FE">
      <w:pPr>
        <w:ind w:left="431" w:firstLine="0"/>
        <w:rPr>
          <w:lang w:eastAsia="ro-RO"/>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3"/>
        <w:gridCol w:w="1829"/>
        <w:gridCol w:w="802"/>
        <w:gridCol w:w="802"/>
        <w:gridCol w:w="802"/>
        <w:gridCol w:w="1085"/>
        <w:gridCol w:w="1855"/>
        <w:gridCol w:w="860"/>
        <w:gridCol w:w="1247"/>
      </w:tblGrid>
      <w:tr w:rsidR="008C4F89" w:rsidRPr="00827721" w14:paraId="2204A588"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hideMark/>
          </w:tcPr>
          <w:p w14:paraId="43B44C37" w14:textId="77777777" w:rsidR="008C4F89" w:rsidRPr="00827721" w:rsidRDefault="008C4F89" w:rsidP="008C4F89">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CAAFA" w14:textId="77777777" w:rsidR="008C4F89" w:rsidRPr="00827721" w:rsidRDefault="008C4F89" w:rsidP="005A268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A98203A"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8F7A9"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Aportul de energie al combustibililor fosili</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1D6C7"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Densitate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5CF76" w14:textId="6397234E" w:rsidR="008C4F89" w:rsidRPr="00827721" w:rsidRDefault="008C4F89" w:rsidP="00FE224D">
            <w:pPr>
              <w:spacing w:before="60" w:after="45" w:line="312" w:lineRule="atLeast"/>
              <w:ind w:firstLine="0"/>
              <w:jc w:val="center"/>
              <w:rPr>
                <w:rFonts w:eastAsia="Times New Roman"/>
                <w:b/>
                <w:bCs/>
                <w:sz w:val="20"/>
                <w:szCs w:val="20"/>
                <w:lang w:eastAsia="ro-RO"/>
              </w:rPr>
            </w:pPr>
            <w:r w:rsidRPr="00827721">
              <w:rPr>
                <w:rFonts w:eastAsia="Times New Roman"/>
                <w:b/>
                <w:bCs/>
                <w:sz w:val="20"/>
                <w:szCs w:val="20"/>
                <w:lang w:eastAsia="ro-RO"/>
              </w:rPr>
              <w:t>Putere calorifică netă</w:t>
            </w:r>
            <w:r w:rsidR="00FE224D" w:rsidRPr="00827721">
              <w:rPr>
                <w:rFonts w:eastAsia="Times New Roman"/>
                <w:b/>
                <w:bCs/>
                <w:sz w:val="20"/>
                <w:szCs w:val="20"/>
                <w:lang w:eastAsia="ro-RO"/>
              </w:rPr>
              <w:t xml:space="preserve">, </w:t>
            </w:r>
            <w:r w:rsidRPr="00827721">
              <w:rPr>
                <w:rFonts w:eastAsia="Times New Roman"/>
                <w:b/>
                <w:bCs/>
                <w:sz w:val="20"/>
                <w:szCs w:val="20"/>
                <w:lang w:eastAsia="ro-RO"/>
              </w:rPr>
              <w:t>MJ/kg</w:t>
            </w:r>
          </w:p>
        </w:tc>
      </w:tr>
      <w:tr w:rsidR="008C4F89" w:rsidRPr="00827721" w14:paraId="5F1BDBFE"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hideMark/>
          </w:tcPr>
          <w:p w14:paraId="274F06B5" w14:textId="77777777" w:rsidR="008C4F89" w:rsidRPr="00827721" w:rsidRDefault="008C4F89" w:rsidP="008C4F89">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11F5A" w14:textId="77777777" w:rsidR="008C4F89" w:rsidRPr="00827721" w:rsidRDefault="008C4F89" w:rsidP="005A268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C921F"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E5B3E"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F4B44"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O/MJ</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73F5A"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27A63CC2"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A8E2"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kg/m</w:t>
            </w:r>
            <w:r w:rsidRPr="00827721">
              <w:rPr>
                <w:rFonts w:eastAsia="Times New Roman"/>
                <w:b/>
                <w:bCs/>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CA7BD" w14:textId="77777777" w:rsidR="008C4F89" w:rsidRPr="00827721" w:rsidRDefault="008C4F89" w:rsidP="005A268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(raportat la substanța uscată)</w:t>
            </w:r>
          </w:p>
        </w:tc>
      </w:tr>
      <w:tr w:rsidR="008C4F89" w:rsidRPr="00827721" w14:paraId="70AE7AB3" w14:textId="77777777" w:rsidTr="005A268D">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D39369"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Combustibili – materii solide (și materiile prime de conversie)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B11D1" w14:textId="21391B7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773D44" w14:textId="26DFD48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763857" w14:textId="73E974F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C24E4" w14:textId="5E3928D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001D03" w14:textId="51E04C0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65E24B" w14:textId="24D13116"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A727CB" w14:textId="0854E798" w:rsidR="008C4F89" w:rsidRPr="00827721" w:rsidRDefault="008C4F89" w:rsidP="005A268D">
            <w:pPr>
              <w:spacing w:line="312" w:lineRule="atLeast"/>
              <w:ind w:firstLine="0"/>
              <w:jc w:val="center"/>
              <w:rPr>
                <w:rFonts w:eastAsia="Times New Roman"/>
                <w:sz w:val="20"/>
                <w:szCs w:val="20"/>
                <w:lang w:eastAsia="ro-RO"/>
              </w:rPr>
            </w:pPr>
          </w:p>
        </w:tc>
      </w:tr>
      <w:tr w:rsidR="008C4F89" w:rsidRPr="00827721" w14:paraId="4B9E5CE9"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hideMark/>
          </w:tcPr>
          <w:p w14:paraId="70A60AB4"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587F7"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Cărbune superior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DC9D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56FBC"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C5A57"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26351"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8FE9B"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C5487" w14:textId="3C457A7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239F2E"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26,5</w:t>
            </w:r>
          </w:p>
        </w:tc>
      </w:tr>
      <w:tr w:rsidR="008C4F89" w:rsidRPr="00827721" w14:paraId="2659E0B1"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hideMark/>
          </w:tcPr>
          <w:p w14:paraId="155F2F23"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0190B"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Lignit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DB834"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116,68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06A73"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0832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49D60"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51C6"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C1A54" w14:textId="50776B83"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CAFD08"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9,2</w:t>
            </w:r>
          </w:p>
        </w:tc>
      </w:tr>
      <w:tr w:rsidR="008C4F89" w:rsidRPr="00827721" w14:paraId="66D8B073"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hideMark/>
          </w:tcPr>
          <w:p w14:paraId="610DB666"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B478F"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Așchii de lemn</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5375B" w14:textId="10646359"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961F1" w14:textId="7644103D"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AF4A1E" w14:textId="2C2FFC3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BB4C7F" w14:textId="47EC37E1"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7277AE" w14:textId="4C28816A"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663C5B"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64959"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0F9464E7" w14:textId="77777777" w:rsidTr="005A268D">
        <w:trPr>
          <w:jc w:val="center"/>
        </w:trPr>
        <w:tc>
          <w:tcPr>
            <w:tcW w:w="0" w:type="auto"/>
            <w:tcBorders>
              <w:top w:val="outset" w:sz="6" w:space="0" w:color="auto"/>
              <w:left w:val="outset" w:sz="6" w:space="0" w:color="auto"/>
              <w:bottom w:val="outset" w:sz="6" w:space="0" w:color="auto"/>
              <w:right w:val="outset" w:sz="6" w:space="0" w:color="auto"/>
            </w:tcBorders>
            <w:hideMark/>
          </w:tcPr>
          <w:p w14:paraId="21F612CE"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C394E" w14:textId="77777777" w:rsidR="008C4F89" w:rsidRPr="00827721" w:rsidRDefault="008C4F89" w:rsidP="005A268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Pelete de lemn</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F68B0" w14:textId="48F98EB5"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0FEB74" w14:textId="28E48F5F"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C86781" w14:textId="635CEC47"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3799B5" w14:textId="7EE1458B" w:rsidR="008C4F89" w:rsidRPr="00827721" w:rsidRDefault="008C4F89" w:rsidP="005A268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107710"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49780"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4D88D" w14:textId="77777777" w:rsidR="008C4F89" w:rsidRPr="00827721" w:rsidRDefault="008C4F89" w:rsidP="005A268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bl>
    <w:p w14:paraId="69498719" w14:textId="77777777" w:rsidR="008C4F89" w:rsidRPr="00827721" w:rsidRDefault="008C4F89" w:rsidP="00CF38FE">
      <w:pPr>
        <w:ind w:left="431" w:firstLine="0"/>
        <w:rPr>
          <w:lang w:eastAsia="ro-RO"/>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22"/>
        <w:gridCol w:w="3278"/>
        <w:gridCol w:w="860"/>
        <w:gridCol w:w="1485"/>
      </w:tblGrid>
      <w:tr w:rsidR="008C4F89" w:rsidRPr="00827721" w14:paraId="6F76F9C5" w14:textId="77777777" w:rsidTr="00FE224D">
        <w:trPr>
          <w:jc w:val="center"/>
        </w:trPr>
        <w:tc>
          <w:tcPr>
            <w:tcW w:w="0" w:type="auto"/>
            <w:tcBorders>
              <w:top w:val="outset" w:sz="6" w:space="0" w:color="auto"/>
              <w:left w:val="outset" w:sz="6" w:space="0" w:color="auto"/>
              <w:bottom w:val="outset" w:sz="6" w:space="0" w:color="auto"/>
              <w:right w:val="outset" w:sz="6" w:space="0" w:color="auto"/>
            </w:tcBorders>
            <w:hideMark/>
          </w:tcPr>
          <w:p w14:paraId="44D0C497" w14:textId="77777777" w:rsidR="008C4F89" w:rsidRPr="00827721" w:rsidRDefault="008C4F89" w:rsidP="008C4F89">
            <w:pPr>
              <w:spacing w:line="312" w:lineRule="atLeast"/>
              <w:ind w:firstLine="0"/>
              <w:jc w:val="left"/>
              <w:rPr>
                <w:rFonts w:eastAsia="Times New Roman"/>
                <w:b/>
                <w:bCs/>
                <w:sz w:val="24"/>
                <w:lang w:eastAsia="ro-RO"/>
              </w:rPr>
            </w:pPr>
            <w:r w:rsidRPr="00827721">
              <w:rPr>
                <w:rFonts w:eastAsia="Times New Roman"/>
                <w:b/>
                <w:bCs/>
                <w:sz w:val="24"/>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2AE06" w14:textId="77777777" w:rsidR="008C4F89" w:rsidRPr="00827721" w:rsidRDefault="008C4F89" w:rsidP="00FE224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AD581" w14:textId="77777777" w:rsidR="008C4F89" w:rsidRPr="00827721" w:rsidRDefault="008C4F89" w:rsidP="00FE224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Densitate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CE341" w14:textId="4EA99F46" w:rsidR="008C4F89" w:rsidRPr="00827721" w:rsidRDefault="008C4F89" w:rsidP="00FE224D">
            <w:pPr>
              <w:spacing w:before="60" w:after="45" w:line="312" w:lineRule="atLeast"/>
              <w:ind w:firstLine="0"/>
              <w:jc w:val="center"/>
              <w:rPr>
                <w:rFonts w:eastAsia="Times New Roman"/>
                <w:b/>
                <w:bCs/>
                <w:sz w:val="20"/>
                <w:szCs w:val="20"/>
                <w:lang w:eastAsia="ro-RO"/>
              </w:rPr>
            </w:pPr>
            <w:r w:rsidRPr="00827721">
              <w:rPr>
                <w:rFonts w:eastAsia="Times New Roman"/>
                <w:b/>
                <w:bCs/>
                <w:sz w:val="20"/>
                <w:szCs w:val="20"/>
                <w:lang w:eastAsia="ro-RO"/>
              </w:rPr>
              <w:t>Putere calorifică netă</w:t>
            </w:r>
            <w:r w:rsidR="00FE224D" w:rsidRPr="00827721">
              <w:rPr>
                <w:rFonts w:eastAsia="Times New Roman"/>
                <w:b/>
                <w:bCs/>
                <w:sz w:val="20"/>
                <w:szCs w:val="20"/>
                <w:lang w:eastAsia="ro-RO"/>
              </w:rPr>
              <w:t xml:space="preserve">, </w:t>
            </w:r>
            <w:r w:rsidRPr="00827721">
              <w:rPr>
                <w:rFonts w:eastAsia="Times New Roman"/>
                <w:b/>
                <w:bCs/>
                <w:sz w:val="20"/>
                <w:szCs w:val="20"/>
                <w:lang w:eastAsia="ro-RO"/>
              </w:rPr>
              <w:t>MJ/kg</w:t>
            </w:r>
          </w:p>
        </w:tc>
      </w:tr>
      <w:tr w:rsidR="008C4F89" w:rsidRPr="00827721" w14:paraId="3C6204A0" w14:textId="77777777" w:rsidTr="00FE224D">
        <w:trPr>
          <w:jc w:val="center"/>
        </w:trPr>
        <w:tc>
          <w:tcPr>
            <w:tcW w:w="0" w:type="auto"/>
            <w:tcBorders>
              <w:top w:val="outset" w:sz="6" w:space="0" w:color="auto"/>
              <w:left w:val="outset" w:sz="6" w:space="0" w:color="auto"/>
              <w:bottom w:val="outset" w:sz="6" w:space="0" w:color="auto"/>
              <w:right w:val="outset" w:sz="6" w:space="0" w:color="auto"/>
            </w:tcBorders>
            <w:hideMark/>
          </w:tcPr>
          <w:p w14:paraId="4258ED82" w14:textId="77777777" w:rsidR="008C4F89" w:rsidRPr="00827721" w:rsidRDefault="008C4F89" w:rsidP="008C4F89">
            <w:pPr>
              <w:spacing w:line="312" w:lineRule="atLeast"/>
              <w:ind w:firstLine="0"/>
              <w:jc w:val="left"/>
              <w:rPr>
                <w:rFonts w:eastAsia="Times New Roman"/>
                <w:b/>
                <w:bCs/>
                <w:sz w:val="24"/>
                <w:lang w:eastAsia="ro-RO"/>
              </w:rPr>
            </w:pPr>
            <w:r w:rsidRPr="00827721">
              <w:rPr>
                <w:rFonts w:eastAsia="Times New Roman"/>
                <w:b/>
                <w:bCs/>
                <w:sz w:val="24"/>
                <w:lang w:eastAsia="ro-RO"/>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C6047" w14:textId="77777777" w:rsidR="008C4F89" w:rsidRPr="00827721" w:rsidRDefault="008C4F89" w:rsidP="00FE224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66BA5" w14:textId="77777777" w:rsidR="008C4F89" w:rsidRPr="00827721" w:rsidRDefault="008C4F89" w:rsidP="00FE224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kg/m</w:t>
            </w:r>
            <w:r w:rsidRPr="00827721">
              <w:rPr>
                <w:rFonts w:eastAsia="Times New Roman"/>
                <w:b/>
                <w:bCs/>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6957" w14:textId="77777777" w:rsidR="008C4F89" w:rsidRPr="00827721" w:rsidRDefault="008C4F89" w:rsidP="00FE224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(raportat la substanța uscată)</w:t>
            </w:r>
          </w:p>
        </w:tc>
      </w:tr>
      <w:tr w:rsidR="008C4F89" w:rsidRPr="00827721" w14:paraId="056E2A52" w14:textId="77777777" w:rsidTr="00FE224D">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5835AF" w14:textId="77777777" w:rsidR="008C4F89" w:rsidRPr="00827721" w:rsidRDefault="008C4F89" w:rsidP="00FE224D">
            <w:pPr>
              <w:spacing w:before="60" w:after="45" w:line="312" w:lineRule="atLeast"/>
              <w:ind w:firstLine="0"/>
              <w:jc w:val="left"/>
              <w:rPr>
                <w:rFonts w:eastAsia="Times New Roman"/>
                <w:b/>
                <w:bCs/>
                <w:sz w:val="24"/>
                <w:lang w:eastAsia="ro-RO"/>
              </w:rPr>
            </w:pPr>
            <w:r w:rsidRPr="00827721">
              <w:rPr>
                <w:rFonts w:eastAsia="Times New Roman"/>
                <w:b/>
                <w:bCs/>
                <w:i/>
                <w:iCs/>
                <w:sz w:val="24"/>
                <w:lang w:eastAsia="ro-RO"/>
              </w:rPr>
              <w:t>Combustibili/materii prime/ coproduse/reziduuri/deșeuri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03FF6" w14:textId="77777777" w:rsidR="008C4F89" w:rsidRPr="00827721" w:rsidRDefault="008C4F89" w:rsidP="00FE224D">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27B7C" w14:textId="0FA7D962" w:rsidR="008C4F89" w:rsidRPr="00827721" w:rsidRDefault="008C4F89" w:rsidP="00FE224D">
            <w:pPr>
              <w:spacing w:line="312" w:lineRule="atLeast"/>
              <w:ind w:firstLine="0"/>
              <w:jc w:val="center"/>
              <w:rPr>
                <w:rFonts w:eastAsia="Times New Roman"/>
                <w:b/>
                <w:bCs/>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F829F4" w14:textId="354B49C3" w:rsidR="008C4F89" w:rsidRPr="00827721" w:rsidRDefault="008C4F89" w:rsidP="00FE224D">
            <w:pPr>
              <w:spacing w:line="312" w:lineRule="atLeast"/>
              <w:ind w:firstLine="0"/>
              <w:jc w:val="center"/>
              <w:rPr>
                <w:rFonts w:eastAsia="Times New Roman"/>
                <w:b/>
                <w:bCs/>
                <w:sz w:val="20"/>
                <w:szCs w:val="20"/>
                <w:lang w:eastAsia="ro-RO"/>
              </w:rPr>
            </w:pPr>
          </w:p>
        </w:tc>
      </w:tr>
      <w:tr w:rsidR="008C4F89" w:rsidRPr="00827721" w14:paraId="389F4C94" w14:textId="77777777" w:rsidTr="00FE224D">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5A3380" w14:textId="77777777" w:rsidR="008C4F89" w:rsidRPr="00827721" w:rsidRDefault="008C4F89" w:rsidP="00FE224D">
            <w:pPr>
              <w:spacing w:line="312" w:lineRule="atLeast"/>
              <w:ind w:firstLine="0"/>
              <w:jc w:val="left"/>
              <w:rPr>
                <w:rFonts w:eastAsia="Times New Roman"/>
                <w:sz w:val="24"/>
                <w:lang w:eastAsia="ro-RO"/>
              </w:rPr>
            </w:pPr>
            <w:r w:rsidRPr="00827721">
              <w:rPr>
                <w:rFonts w:eastAsia="Times New Roman"/>
                <w:sz w:val="24"/>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6B0AD"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Baloturi de reziduuri agricole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498DE" w14:textId="24598A6B"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49431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18,0</w:t>
            </w:r>
          </w:p>
        </w:tc>
      </w:tr>
      <w:tr w:rsidR="008C4F89" w:rsidRPr="00827721" w14:paraId="3BD859B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499C69"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24F65"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Grăsimi animale (seu)</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CBB13" w14:textId="1A1FF6C7"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91723C"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38,8</w:t>
            </w:r>
          </w:p>
        </w:tc>
      </w:tr>
      <w:tr w:rsidR="008C4F89" w:rsidRPr="00827721" w14:paraId="395525A8"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F5925F"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FD33C1"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Reziduuri rezultate din prelucrarea trestiei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76D05" w14:textId="574AE3D8"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DE46F7"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17,0</w:t>
            </w:r>
          </w:p>
        </w:tc>
      </w:tr>
      <w:tr w:rsidR="008C4F89" w:rsidRPr="00827721" w14:paraId="69EDE482"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927327"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585FD5"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Instalație de evacuare a reziduurilor rezultate din prelucrarea trestiei de zahăr (uscate)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13EDA"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50E2F"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17,0</w:t>
            </w:r>
          </w:p>
        </w:tc>
      </w:tr>
      <w:tr w:rsidR="008C4F89" w:rsidRPr="00827721" w14:paraId="188CF29D"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43B59"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45A34B"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Baloturi de reziduuri rezultate din prelucrarea trestiei de zahăr (uscate)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6458B"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6C268"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17,0</w:t>
            </w:r>
          </w:p>
        </w:tc>
      </w:tr>
      <w:tr w:rsidR="008C4F89" w:rsidRPr="00827721" w14:paraId="1AA8C7DF"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443AE9"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950098"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Pelete de reziduuri rezultate din prelucrarea trestiei de zahăr (uscate)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49C1C"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5D6A8"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17,0</w:t>
            </w:r>
          </w:p>
        </w:tc>
      </w:tr>
      <w:tr w:rsidR="008C4F89" w:rsidRPr="00827721" w14:paraId="3ABA6FC9"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86B82"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114E97"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Orz</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0D410" w14:textId="6F13AE1B"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D4688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17,0</w:t>
            </w:r>
          </w:p>
        </w:tc>
      </w:tr>
      <w:tr w:rsidR="008C4F89" w:rsidRPr="00827721" w14:paraId="348FE274"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5F5813"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C29383"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Benzină biologică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1F4C9" w14:textId="610B3D70"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38A7F3"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44,0</w:t>
            </w:r>
          </w:p>
        </w:tc>
      </w:tr>
      <w:tr w:rsidR="008C4F89" w:rsidRPr="00827721" w14:paraId="13183098"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EF596E"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689E9" w14:textId="77777777" w:rsidR="008C4F89" w:rsidRPr="00827721" w:rsidRDefault="008C4F89" w:rsidP="00FE224D">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Biodeșeuri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02564EC" w14:textId="0740E6CE"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9D6AD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20,7</w:t>
            </w:r>
          </w:p>
        </w:tc>
      </w:tr>
      <w:tr w:rsidR="008C4F89" w:rsidRPr="00827721" w14:paraId="1690161B"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0CE813"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2FE4DC"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DDGS (orz)</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BC276" w14:textId="5FE31CA3"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FE9FA"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17,8</w:t>
            </w:r>
          </w:p>
        </w:tc>
      </w:tr>
      <w:tr w:rsidR="008C4F89" w:rsidRPr="00827721" w14:paraId="4FE288D2"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ACCE12"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6A4E38"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DDGS (porumb)</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7B7B3" w14:textId="26CE9513"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5F2386"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19,2</w:t>
            </w:r>
          </w:p>
        </w:tc>
      </w:tr>
      <w:tr w:rsidR="008C4F89" w:rsidRPr="00827721" w14:paraId="3827A3D7"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A7C285"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E472C"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DDGS (secară)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D618A" w14:textId="5E39B70B"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73BD08"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17,8</w:t>
            </w:r>
          </w:p>
        </w:tc>
      </w:tr>
      <w:tr w:rsidR="008C4F89" w:rsidRPr="00827721" w14:paraId="72F1043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C530F7"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F466F9"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DDGS (triticală)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F1FDF" w14:textId="6730033A"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167771"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18,0</w:t>
            </w:r>
          </w:p>
        </w:tc>
      </w:tr>
      <w:tr w:rsidR="008C4F89" w:rsidRPr="00827721" w14:paraId="7681AB1C"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3A92FC"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25969B"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DDGS (grâu)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F6F9B" w14:textId="37F8A6EE"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396919"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18,1</w:t>
            </w:r>
          </w:p>
        </w:tc>
      </w:tr>
      <w:tr w:rsidR="008C4F89" w:rsidRPr="00827721" w14:paraId="6462CF2C"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8E58DD"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F414B0"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Eucalipt (SRC)</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A8E2F" w14:textId="5928D0A6"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BD90A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4045D5E4"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B2C4E5"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84CFA"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Acizi grași</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DC6BF" w14:textId="0DD9687E"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EE6281"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0200F32F"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2B5C4D"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80D2F5"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Ciorchini de fructe proaspete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9EACE" w14:textId="688A6ABC"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21A699"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24,0</w:t>
            </w:r>
          </w:p>
        </w:tc>
      </w:tr>
      <w:tr w:rsidR="008C4F89" w:rsidRPr="00827721" w14:paraId="6DACEFF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DFD01"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6012A3"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Reziduuri din silvicultură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7F120" w14:textId="212D9AA5"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AA207B"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751DD0FF"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7DC18D"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76FF56"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Glicerină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E5A29" w14:textId="6D927871"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5C185"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16,0</w:t>
            </w:r>
          </w:p>
        </w:tc>
      </w:tr>
      <w:tr w:rsidR="008C4F89" w:rsidRPr="00827721" w14:paraId="175A7D69"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7C3FF"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56BCC4"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Reziduuri industriale (lemn)</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48EB5" w14:textId="2723725A"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3397FC"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55939F63"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9D6FA"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08E048"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Gunoi de grajd</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0EB1F" w14:textId="15E69E5F"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98CA3E"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12,0</w:t>
            </w:r>
          </w:p>
        </w:tc>
      </w:tr>
      <w:tr w:rsidR="008C4F89" w:rsidRPr="00827721" w14:paraId="533CEFDA"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568444"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1CDC60"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Porumb (numai boabe)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2724" w14:textId="4B56546A"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CD68DF"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17,3</w:t>
            </w:r>
          </w:p>
        </w:tc>
      </w:tr>
      <w:tr w:rsidR="008C4F89" w:rsidRPr="00827721" w14:paraId="65E5CE08"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CA6AEA"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748259"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Cultură întreagă de porumb</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98D62" w14:textId="49F13F4C"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1EEE0"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16,9</w:t>
            </w:r>
          </w:p>
        </w:tc>
      </w:tr>
      <w:tr w:rsidR="008C4F89" w:rsidRPr="00827721" w14:paraId="28B0F0E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1DEDC3"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37180C"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Făină de sâmburi de palmier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265C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6EF2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18,5</w:t>
            </w:r>
          </w:p>
        </w:tc>
      </w:tr>
      <w:tr w:rsidR="008C4F89" w:rsidRPr="00827721" w14:paraId="3302E953"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158F14"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1EB39B"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Ulei de sâmburi de palmier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03C6" w14:textId="471629D0"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E67AD3"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26FAEB57"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BDF045"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B735BF"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Plop (SRC)</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5C073" w14:textId="384EFD49"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04AA02"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1437E315"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2F91"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E481AC"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Rapiță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FA5F1" w14:textId="4957A280"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DBBBB"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27,0</w:t>
            </w:r>
          </w:p>
        </w:tc>
      </w:tr>
      <w:tr w:rsidR="008C4F89" w:rsidRPr="00827721" w14:paraId="05B49DF5"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F508E"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922CB4"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Turte de ulei de rapiță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9DC6C" w14:textId="4201DF31"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19C558"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18,4</w:t>
            </w:r>
          </w:p>
        </w:tc>
      </w:tr>
      <w:tr w:rsidR="008C4F89" w:rsidRPr="00827721" w14:paraId="5DFEAE9A"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1C8370"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EB4BCF"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Secară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8223C" w14:textId="5CDC3AB5"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D63010"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17,1</w:t>
            </w:r>
          </w:p>
        </w:tc>
      </w:tr>
      <w:tr w:rsidR="008C4F89" w:rsidRPr="00827721" w14:paraId="40134DA9"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7D2D27"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39F786"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Rumeguș</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9BF07" w14:textId="07C51EC7"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22005"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28577DB5"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97312C"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464A97"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Boabe de soia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84204" w14:textId="303A76C9"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F99860"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23,0</w:t>
            </w:r>
          </w:p>
        </w:tc>
      </w:tr>
      <w:tr w:rsidR="008C4F89" w:rsidRPr="00827721" w14:paraId="2B5AC332"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7E52A2"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34EE6F"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Turte de ulei de soia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C1382" w14:textId="4DEBC33A"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752D60"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19,1</w:t>
            </w:r>
          </w:p>
        </w:tc>
      </w:tr>
      <w:tr w:rsidR="008C4F89" w:rsidRPr="00827721" w14:paraId="77475427"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FF30CD"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007EF"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Lemn comercializabil (pin)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D1F0A" w14:textId="68AD697A"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DC737C"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19,0</w:t>
            </w:r>
          </w:p>
        </w:tc>
      </w:tr>
      <w:tr w:rsidR="008C4F89" w:rsidRPr="00827721" w14:paraId="24744A02"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7462F8"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56EE1"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Paie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B7CB6" w14:textId="5FB44C41"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6C3D32"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17,2</w:t>
            </w:r>
          </w:p>
        </w:tc>
      </w:tr>
      <w:tr w:rsidR="008C4F89" w:rsidRPr="00827721" w14:paraId="066E49AF"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47F3F6"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66F7EA"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Baloturi de paie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193C9"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F86AB"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17,2</w:t>
            </w:r>
          </w:p>
        </w:tc>
      </w:tr>
      <w:tr w:rsidR="008C4F89" w:rsidRPr="00827721" w14:paraId="20460F04"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0D5FEB"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258DB1"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Paie tăiate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988B"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DCCC8"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17,2</w:t>
            </w:r>
          </w:p>
        </w:tc>
      </w:tr>
      <w:tr w:rsidR="008C4F89" w:rsidRPr="00827721" w14:paraId="2FEE71FA"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BAD7AF"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F11623"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Pelete din paie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B1415"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E3B86"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17,2</w:t>
            </w:r>
          </w:p>
        </w:tc>
      </w:tr>
      <w:tr w:rsidR="008C4F89" w:rsidRPr="00827721" w14:paraId="542C6E76"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9745AE"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591773"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Sfeclă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57E8D" w14:textId="22DE38C6"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34D718"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16,3</w:t>
            </w:r>
          </w:p>
        </w:tc>
      </w:tr>
      <w:tr w:rsidR="008C4F89" w:rsidRPr="00827721" w14:paraId="2AFE7017"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968E4B"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DD9C86"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Pulpă de sfeclă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AB33F" w14:textId="4234D1A1"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B4762"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16,1</w:t>
            </w:r>
          </w:p>
        </w:tc>
      </w:tr>
      <w:tr w:rsidR="008C4F89" w:rsidRPr="00827721" w14:paraId="3E9461E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1EF4FF"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9E841"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Trestie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FC4C8" w14:textId="7F5AF52F"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CE4D9"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19,6</w:t>
            </w:r>
          </w:p>
        </w:tc>
      </w:tr>
      <w:tr w:rsidR="008C4F89" w:rsidRPr="00827721" w14:paraId="70F98C89"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7BB0C1"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38C8E8"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Semințe de floarea-soarelui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06298" w14:textId="5F7D1B43"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5333DD"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27,2</w:t>
            </w:r>
          </w:p>
        </w:tc>
      </w:tr>
      <w:tr w:rsidR="008C4F89" w:rsidRPr="00827721" w14:paraId="6580ECD2"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91494C"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B5C73E"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Turte de ulei de floarea-soarelui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97F2C" w14:textId="5D8BB7AC"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80992B"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18,2</w:t>
            </w:r>
          </w:p>
        </w:tc>
      </w:tr>
      <w:tr w:rsidR="008C4F89" w:rsidRPr="00827721" w14:paraId="2A9F89D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0A2B34"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28277C"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Triticală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F7F5D" w14:textId="5412359F"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45D8EA"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16,9</w:t>
            </w:r>
          </w:p>
        </w:tc>
      </w:tr>
      <w:tr w:rsidR="008C4F89" w:rsidRPr="00827721" w14:paraId="3E5B729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76AD54"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45544"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Vinasă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8052A" w14:textId="59A0036E"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B1904"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14,0</w:t>
            </w:r>
          </w:p>
        </w:tc>
      </w:tr>
      <w:tr w:rsidR="008C4F89" w:rsidRPr="00827721" w14:paraId="7A526B91"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46DC6C"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82FA79"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Ulei de gătit uzat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FA244" w14:textId="6AB077AA"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90C7EC"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37,0</w:t>
            </w:r>
          </w:p>
        </w:tc>
      </w:tr>
      <w:tr w:rsidR="008C4F89" w:rsidRPr="00827721" w14:paraId="7736DF04"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F59AC7"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3F9CEF"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Grâu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45218" w14:textId="0EEB9365"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7E3152"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17,0</w:t>
            </w:r>
          </w:p>
        </w:tc>
      </w:tr>
      <w:tr w:rsidR="008C4F89" w:rsidRPr="00827721" w14:paraId="0FCF9B10" w14:textId="77777777" w:rsidTr="00FE224D">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16A08E" w14:textId="77777777" w:rsidR="008C4F89" w:rsidRPr="00827721" w:rsidRDefault="008C4F89" w:rsidP="008C4F89">
            <w:pPr>
              <w:spacing w:line="240" w:lineRule="auto"/>
              <w:ind w:firstLine="0"/>
              <w:jc w:val="left"/>
              <w:rPr>
                <w:rFonts w:eastAsia="Times New Roman"/>
                <w:sz w:val="24"/>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1A240D" w14:textId="77777777" w:rsidR="008C4F89" w:rsidRPr="00827721" w:rsidRDefault="008C4F89" w:rsidP="00FE224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Paie de grâu</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5F6F6" w14:textId="7E824CF9" w:rsidR="008C4F89" w:rsidRPr="00827721" w:rsidRDefault="008C4F89" w:rsidP="00FE224D">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403F77" w14:textId="77777777" w:rsidR="008C4F89" w:rsidRPr="00827721" w:rsidRDefault="008C4F89" w:rsidP="00FE224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17,2</w:t>
            </w:r>
          </w:p>
        </w:tc>
      </w:tr>
    </w:tbl>
    <w:p w14:paraId="2A7C7EB2" w14:textId="77777777" w:rsidR="008C4F89" w:rsidRPr="00827721" w:rsidRDefault="008C4F89" w:rsidP="00CF38FE">
      <w:pPr>
        <w:ind w:left="431" w:firstLine="0"/>
        <w:rPr>
          <w:lang w:eastAsia="ro-RO"/>
        </w:rPr>
      </w:pPr>
    </w:p>
    <w:tbl>
      <w:tblPr>
        <w:tblW w:w="944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0"/>
        <w:gridCol w:w="1125"/>
        <w:gridCol w:w="772"/>
        <w:gridCol w:w="709"/>
        <w:gridCol w:w="708"/>
        <w:gridCol w:w="709"/>
        <w:gridCol w:w="567"/>
        <w:gridCol w:w="709"/>
        <w:gridCol w:w="709"/>
        <w:gridCol w:w="689"/>
        <w:gridCol w:w="935"/>
        <w:gridCol w:w="935"/>
        <w:gridCol w:w="798"/>
      </w:tblGrid>
      <w:tr w:rsidR="008C4F89" w:rsidRPr="00827721" w14:paraId="64A2897B" w14:textId="77777777" w:rsidTr="005936CD">
        <w:trPr>
          <w:jc w:val="center"/>
        </w:trPr>
        <w:tc>
          <w:tcPr>
            <w:tcW w:w="1205" w:type="dxa"/>
            <w:gridSpan w:val="2"/>
            <w:tcBorders>
              <w:top w:val="outset" w:sz="6" w:space="0" w:color="auto"/>
              <w:left w:val="outset" w:sz="6" w:space="0" w:color="auto"/>
              <w:bottom w:val="outset" w:sz="6" w:space="0" w:color="auto"/>
              <w:right w:val="outset" w:sz="6" w:space="0" w:color="auto"/>
            </w:tcBorders>
            <w:vAlign w:val="center"/>
            <w:hideMark/>
          </w:tcPr>
          <w:p w14:paraId="17F4BE49" w14:textId="77777777" w:rsidR="008C4F89" w:rsidRPr="00827721" w:rsidRDefault="008C4F89" w:rsidP="005936C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5572" w:type="dxa"/>
            <w:gridSpan w:val="8"/>
            <w:tcBorders>
              <w:top w:val="outset" w:sz="6" w:space="0" w:color="auto"/>
              <w:left w:val="outset" w:sz="6" w:space="0" w:color="auto"/>
              <w:bottom w:val="outset" w:sz="6" w:space="0" w:color="auto"/>
              <w:right w:val="outset" w:sz="6" w:space="0" w:color="auto"/>
            </w:tcBorders>
            <w:vAlign w:val="center"/>
            <w:hideMark/>
          </w:tcPr>
          <w:p w14:paraId="2334C1AD"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c>
          <w:tcPr>
            <w:tcW w:w="1870" w:type="dxa"/>
            <w:gridSpan w:val="2"/>
            <w:tcBorders>
              <w:top w:val="outset" w:sz="6" w:space="0" w:color="auto"/>
              <w:left w:val="outset" w:sz="6" w:space="0" w:color="auto"/>
              <w:bottom w:val="outset" w:sz="6" w:space="0" w:color="auto"/>
              <w:right w:val="outset" w:sz="6" w:space="0" w:color="auto"/>
            </w:tcBorders>
            <w:vAlign w:val="center"/>
            <w:hideMark/>
          </w:tcPr>
          <w:p w14:paraId="39F6C471"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Aportul de energie al combustibililor fosili</w:t>
            </w:r>
          </w:p>
        </w:tc>
        <w:tc>
          <w:tcPr>
            <w:tcW w:w="798" w:type="dxa"/>
            <w:tcBorders>
              <w:top w:val="outset" w:sz="6" w:space="0" w:color="auto"/>
              <w:left w:val="outset" w:sz="6" w:space="0" w:color="auto"/>
              <w:bottom w:val="outset" w:sz="6" w:space="0" w:color="auto"/>
              <w:right w:val="outset" w:sz="6" w:space="0" w:color="auto"/>
            </w:tcBorders>
            <w:vAlign w:val="center"/>
            <w:hideMark/>
          </w:tcPr>
          <w:p w14:paraId="4ADAFE8A" w14:textId="77777777" w:rsidR="008C4F89" w:rsidRPr="00827721" w:rsidRDefault="008C4F89" w:rsidP="005936CD">
            <w:pPr>
              <w:spacing w:before="60" w:after="45" w:line="312" w:lineRule="atLeast"/>
              <w:ind w:firstLine="0"/>
              <w:jc w:val="center"/>
              <w:rPr>
                <w:rFonts w:eastAsia="Times New Roman"/>
                <w:b/>
                <w:bCs/>
                <w:sz w:val="20"/>
                <w:szCs w:val="20"/>
                <w:lang w:eastAsia="ro-RO"/>
              </w:rPr>
            </w:pPr>
            <w:r w:rsidRPr="00827721">
              <w:rPr>
                <w:rFonts w:eastAsia="Times New Roman"/>
                <w:b/>
                <w:bCs/>
                <w:sz w:val="20"/>
                <w:szCs w:val="20"/>
                <w:lang w:eastAsia="ro-RO"/>
              </w:rPr>
              <w:t>Putere calorifică netă</w:t>
            </w:r>
          </w:p>
          <w:p w14:paraId="4E63C5A7" w14:textId="77777777" w:rsidR="008C4F89" w:rsidRPr="00827721" w:rsidRDefault="008C4F89" w:rsidP="005936CD">
            <w:pPr>
              <w:spacing w:before="60" w:after="45" w:line="312" w:lineRule="atLeast"/>
              <w:ind w:firstLine="0"/>
              <w:jc w:val="center"/>
              <w:rPr>
                <w:rFonts w:eastAsia="Times New Roman"/>
                <w:b/>
                <w:bCs/>
                <w:sz w:val="20"/>
                <w:szCs w:val="20"/>
                <w:lang w:eastAsia="ro-RO"/>
              </w:rPr>
            </w:pPr>
            <w:r w:rsidRPr="00827721">
              <w:rPr>
                <w:rFonts w:eastAsia="Times New Roman"/>
                <w:b/>
                <w:bCs/>
                <w:sz w:val="20"/>
                <w:szCs w:val="20"/>
                <w:lang w:eastAsia="ro-RO"/>
              </w:rPr>
              <w:t>MJ/kg</w:t>
            </w:r>
          </w:p>
        </w:tc>
      </w:tr>
      <w:tr w:rsidR="008C4F89" w:rsidRPr="00827721" w14:paraId="5E6161F1" w14:textId="77777777" w:rsidTr="005936CD">
        <w:trPr>
          <w:jc w:val="center"/>
        </w:trPr>
        <w:tc>
          <w:tcPr>
            <w:tcW w:w="1205" w:type="dxa"/>
            <w:gridSpan w:val="2"/>
            <w:tcBorders>
              <w:top w:val="outset" w:sz="6" w:space="0" w:color="auto"/>
              <w:left w:val="outset" w:sz="6" w:space="0" w:color="auto"/>
              <w:bottom w:val="outset" w:sz="6" w:space="0" w:color="auto"/>
              <w:right w:val="outset" w:sz="6" w:space="0" w:color="auto"/>
            </w:tcBorders>
            <w:vAlign w:val="center"/>
            <w:hideMark/>
          </w:tcPr>
          <w:p w14:paraId="4A813084" w14:textId="77777777" w:rsidR="008C4F89" w:rsidRPr="00827721" w:rsidRDefault="008C4F89" w:rsidP="005936CD">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772" w:type="dxa"/>
            <w:tcBorders>
              <w:top w:val="outset" w:sz="6" w:space="0" w:color="auto"/>
              <w:left w:val="outset" w:sz="6" w:space="0" w:color="auto"/>
              <w:bottom w:val="outset" w:sz="6" w:space="0" w:color="auto"/>
              <w:right w:val="outset" w:sz="6" w:space="0" w:color="auto"/>
            </w:tcBorders>
            <w:vAlign w:val="center"/>
            <w:hideMark/>
          </w:tcPr>
          <w:p w14:paraId="592F02F5"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/kg</w:t>
            </w:r>
          </w:p>
        </w:tc>
        <w:tc>
          <w:tcPr>
            <w:tcW w:w="709" w:type="dxa"/>
            <w:tcBorders>
              <w:top w:val="outset" w:sz="6" w:space="0" w:color="auto"/>
              <w:left w:val="outset" w:sz="6" w:space="0" w:color="auto"/>
              <w:bottom w:val="outset" w:sz="6" w:space="0" w:color="auto"/>
              <w:right w:val="outset" w:sz="6" w:space="0" w:color="auto"/>
            </w:tcBorders>
            <w:vAlign w:val="center"/>
            <w:hideMark/>
          </w:tcPr>
          <w:p w14:paraId="7B914405"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/kg</w:t>
            </w:r>
          </w:p>
        </w:tc>
        <w:tc>
          <w:tcPr>
            <w:tcW w:w="708" w:type="dxa"/>
            <w:tcBorders>
              <w:top w:val="outset" w:sz="6" w:space="0" w:color="auto"/>
              <w:left w:val="outset" w:sz="6" w:space="0" w:color="auto"/>
              <w:bottom w:val="outset" w:sz="6" w:space="0" w:color="auto"/>
              <w:right w:val="outset" w:sz="6" w:space="0" w:color="auto"/>
            </w:tcBorders>
            <w:vAlign w:val="center"/>
            <w:hideMark/>
          </w:tcPr>
          <w:p w14:paraId="0EEB7DEA"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(la 0 % apă)</w:t>
            </w:r>
          </w:p>
        </w:tc>
        <w:tc>
          <w:tcPr>
            <w:tcW w:w="709" w:type="dxa"/>
            <w:tcBorders>
              <w:top w:val="outset" w:sz="6" w:space="0" w:color="auto"/>
              <w:left w:val="outset" w:sz="6" w:space="0" w:color="auto"/>
              <w:bottom w:val="outset" w:sz="6" w:space="0" w:color="auto"/>
              <w:right w:val="outset" w:sz="6" w:space="0" w:color="auto"/>
            </w:tcBorders>
            <w:vAlign w:val="center"/>
            <w:hideMark/>
          </w:tcPr>
          <w:p w14:paraId="7B4A247D"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/kg</w:t>
            </w:r>
          </w:p>
        </w:tc>
        <w:tc>
          <w:tcPr>
            <w:tcW w:w="567" w:type="dxa"/>
            <w:tcBorders>
              <w:top w:val="outset" w:sz="6" w:space="0" w:color="auto"/>
              <w:left w:val="outset" w:sz="6" w:space="0" w:color="auto"/>
              <w:bottom w:val="outset" w:sz="6" w:space="0" w:color="auto"/>
              <w:right w:val="outset" w:sz="6" w:space="0" w:color="auto"/>
            </w:tcBorders>
            <w:vAlign w:val="center"/>
            <w:hideMark/>
          </w:tcPr>
          <w:p w14:paraId="6666CF3C"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/MJ</w:t>
            </w:r>
          </w:p>
        </w:tc>
        <w:tc>
          <w:tcPr>
            <w:tcW w:w="709" w:type="dxa"/>
            <w:tcBorders>
              <w:top w:val="outset" w:sz="6" w:space="0" w:color="auto"/>
              <w:left w:val="outset" w:sz="6" w:space="0" w:color="auto"/>
              <w:bottom w:val="outset" w:sz="6" w:space="0" w:color="auto"/>
              <w:right w:val="outset" w:sz="6" w:space="0" w:color="auto"/>
            </w:tcBorders>
            <w:vAlign w:val="center"/>
            <w:hideMark/>
          </w:tcPr>
          <w:p w14:paraId="11292C82"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/MJ</w:t>
            </w:r>
          </w:p>
        </w:tc>
        <w:tc>
          <w:tcPr>
            <w:tcW w:w="709" w:type="dxa"/>
            <w:tcBorders>
              <w:top w:val="outset" w:sz="6" w:space="0" w:color="auto"/>
              <w:left w:val="outset" w:sz="6" w:space="0" w:color="auto"/>
              <w:bottom w:val="outset" w:sz="6" w:space="0" w:color="auto"/>
              <w:right w:val="outset" w:sz="6" w:space="0" w:color="auto"/>
            </w:tcBorders>
            <w:vAlign w:val="center"/>
            <w:hideMark/>
          </w:tcPr>
          <w:p w14:paraId="739D266E"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O/MJ</w:t>
            </w:r>
          </w:p>
        </w:tc>
        <w:tc>
          <w:tcPr>
            <w:tcW w:w="689" w:type="dxa"/>
            <w:tcBorders>
              <w:top w:val="outset" w:sz="6" w:space="0" w:color="auto"/>
              <w:left w:val="outset" w:sz="6" w:space="0" w:color="auto"/>
              <w:bottom w:val="outset" w:sz="6" w:space="0" w:color="auto"/>
              <w:right w:val="outset" w:sz="6" w:space="0" w:color="auto"/>
            </w:tcBorders>
            <w:vAlign w:val="center"/>
            <w:hideMark/>
          </w:tcPr>
          <w:p w14:paraId="6ED8346E"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/MJ</w:t>
            </w:r>
          </w:p>
        </w:tc>
        <w:tc>
          <w:tcPr>
            <w:tcW w:w="935" w:type="dxa"/>
            <w:tcBorders>
              <w:top w:val="outset" w:sz="6" w:space="0" w:color="auto"/>
              <w:left w:val="outset" w:sz="6" w:space="0" w:color="auto"/>
              <w:bottom w:val="outset" w:sz="6" w:space="0" w:color="auto"/>
              <w:right w:val="outset" w:sz="6" w:space="0" w:color="auto"/>
            </w:tcBorders>
            <w:vAlign w:val="center"/>
            <w:hideMark/>
          </w:tcPr>
          <w:p w14:paraId="77606482"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/kg</w:t>
            </w:r>
          </w:p>
        </w:tc>
        <w:tc>
          <w:tcPr>
            <w:tcW w:w="935" w:type="dxa"/>
            <w:tcBorders>
              <w:top w:val="outset" w:sz="6" w:space="0" w:color="auto"/>
              <w:left w:val="outset" w:sz="6" w:space="0" w:color="auto"/>
              <w:bottom w:val="outset" w:sz="6" w:space="0" w:color="auto"/>
              <w:right w:val="outset" w:sz="6" w:space="0" w:color="auto"/>
            </w:tcBorders>
            <w:vAlign w:val="center"/>
            <w:hideMark/>
          </w:tcPr>
          <w:p w14:paraId="47FCB581"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proofErr w:type="spellStart"/>
            <w:r w:rsidRPr="00827721">
              <w:rPr>
                <w:rFonts w:eastAsia="Times New Roman"/>
                <w:b/>
                <w:bCs/>
                <w:sz w:val="20"/>
                <w:szCs w:val="20"/>
                <w:lang w:eastAsia="ro-RO"/>
              </w:rPr>
              <w:t>MJ</w:t>
            </w:r>
            <w:r w:rsidRPr="00827721">
              <w:rPr>
                <w:rFonts w:eastAsia="Times New Roman"/>
                <w:b/>
                <w:bCs/>
                <w:sz w:val="20"/>
                <w:szCs w:val="20"/>
                <w:vertAlign w:val="subscript"/>
                <w:lang w:eastAsia="ro-RO"/>
              </w:rPr>
              <w:t>combustibili</w:t>
            </w:r>
            <w:proofErr w:type="spellEnd"/>
            <w:r w:rsidRPr="00827721">
              <w:rPr>
                <w:rFonts w:eastAsia="Times New Roman"/>
                <w:b/>
                <w:bCs/>
                <w:sz w:val="20"/>
                <w:szCs w:val="20"/>
                <w:vertAlign w:val="subscript"/>
                <w:lang w:eastAsia="ro-RO"/>
              </w:rPr>
              <w:t xml:space="preserve"> fosili</w:t>
            </w:r>
            <w:r w:rsidRPr="00827721">
              <w:rPr>
                <w:rFonts w:eastAsia="Times New Roman"/>
                <w:b/>
                <w:bCs/>
                <w:sz w:val="20"/>
                <w:szCs w:val="20"/>
                <w:lang w:eastAsia="ro-RO"/>
              </w:rPr>
              <w:t>/MJ</w:t>
            </w:r>
          </w:p>
        </w:tc>
        <w:tc>
          <w:tcPr>
            <w:tcW w:w="798" w:type="dxa"/>
            <w:tcBorders>
              <w:top w:val="outset" w:sz="6" w:space="0" w:color="auto"/>
              <w:left w:val="outset" w:sz="6" w:space="0" w:color="auto"/>
              <w:bottom w:val="outset" w:sz="6" w:space="0" w:color="auto"/>
              <w:right w:val="outset" w:sz="6" w:space="0" w:color="auto"/>
            </w:tcBorders>
            <w:vAlign w:val="center"/>
            <w:hideMark/>
          </w:tcPr>
          <w:p w14:paraId="44CBED74" w14:textId="77777777" w:rsidR="008C4F89" w:rsidRPr="00827721" w:rsidRDefault="008C4F89" w:rsidP="005936CD">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(raportat la substanța uscată)</w:t>
            </w:r>
          </w:p>
        </w:tc>
      </w:tr>
      <w:tr w:rsidR="008C4F89" w:rsidRPr="00827721" w14:paraId="2D578A51" w14:textId="77777777" w:rsidTr="005936CD">
        <w:trPr>
          <w:jc w:val="center"/>
        </w:trPr>
        <w:tc>
          <w:tcPr>
            <w:tcW w:w="1205" w:type="dxa"/>
            <w:gridSpan w:val="2"/>
            <w:tcBorders>
              <w:top w:val="outset" w:sz="6" w:space="0" w:color="auto"/>
              <w:left w:val="outset" w:sz="6" w:space="0" w:color="auto"/>
              <w:bottom w:val="outset" w:sz="6" w:space="0" w:color="auto"/>
              <w:right w:val="outset" w:sz="6" w:space="0" w:color="auto"/>
            </w:tcBorders>
            <w:vAlign w:val="center"/>
            <w:hideMark/>
          </w:tcPr>
          <w:p w14:paraId="58F73C7B" w14:textId="77777777" w:rsidR="008C4F89" w:rsidRPr="00827721" w:rsidRDefault="008C4F89" w:rsidP="005936CD">
            <w:pPr>
              <w:spacing w:before="60" w:after="45" w:line="312" w:lineRule="atLeast"/>
              <w:ind w:firstLine="0"/>
              <w:jc w:val="left"/>
              <w:rPr>
                <w:rFonts w:eastAsia="Times New Roman"/>
                <w:b/>
                <w:bCs/>
                <w:sz w:val="20"/>
                <w:szCs w:val="20"/>
                <w:lang w:eastAsia="ro-RO"/>
              </w:rPr>
            </w:pPr>
            <w:r w:rsidRPr="00827721">
              <w:rPr>
                <w:rFonts w:eastAsia="Times New Roman"/>
                <w:b/>
                <w:bCs/>
                <w:i/>
                <w:iCs/>
                <w:sz w:val="20"/>
                <w:szCs w:val="20"/>
                <w:lang w:eastAsia="ro-RO"/>
              </w:rPr>
              <w:t>Materiile prime de conversie</w:t>
            </w:r>
          </w:p>
        </w:tc>
        <w:tc>
          <w:tcPr>
            <w:tcW w:w="772" w:type="dxa"/>
            <w:tcBorders>
              <w:top w:val="outset" w:sz="6" w:space="0" w:color="auto"/>
              <w:left w:val="outset" w:sz="6" w:space="0" w:color="auto"/>
              <w:bottom w:val="outset" w:sz="6" w:space="0" w:color="auto"/>
              <w:right w:val="outset" w:sz="6" w:space="0" w:color="auto"/>
            </w:tcBorders>
            <w:vAlign w:val="center"/>
            <w:hideMark/>
          </w:tcPr>
          <w:p w14:paraId="1FD82409" w14:textId="56A6E978" w:rsidR="008C4F89" w:rsidRPr="00827721" w:rsidRDefault="008C4F89" w:rsidP="005936CD">
            <w:pPr>
              <w:spacing w:line="312" w:lineRule="atLeast"/>
              <w:ind w:firstLine="0"/>
              <w:jc w:val="center"/>
              <w:rPr>
                <w:rFonts w:eastAsia="Times New Roman"/>
                <w:b/>
                <w:bCs/>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1EB2F95" w14:textId="5C5776C3" w:rsidR="008C4F89" w:rsidRPr="00827721" w:rsidRDefault="008C4F89" w:rsidP="005936CD">
            <w:pPr>
              <w:spacing w:line="312" w:lineRule="atLeast"/>
              <w:ind w:firstLine="0"/>
              <w:jc w:val="center"/>
              <w:rPr>
                <w:rFonts w:eastAsia="Times New Roman"/>
                <w:b/>
                <w:bCs/>
                <w:sz w:val="20"/>
                <w:szCs w:val="20"/>
                <w:lang w:eastAsia="ro-RO"/>
              </w:rPr>
            </w:pPr>
          </w:p>
        </w:tc>
        <w:tc>
          <w:tcPr>
            <w:tcW w:w="708" w:type="dxa"/>
            <w:tcBorders>
              <w:top w:val="outset" w:sz="6" w:space="0" w:color="auto"/>
              <w:left w:val="outset" w:sz="6" w:space="0" w:color="auto"/>
              <w:bottom w:val="outset" w:sz="6" w:space="0" w:color="auto"/>
              <w:right w:val="outset" w:sz="6" w:space="0" w:color="auto"/>
            </w:tcBorders>
            <w:vAlign w:val="center"/>
            <w:hideMark/>
          </w:tcPr>
          <w:p w14:paraId="768D3773" w14:textId="2273EC56" w:rsidR="008C4F89" w:rsidRPr="00827721" w:rsidRDefault="008C4F89" w:rsidP="005936CD">
            <w:pPr>
              <w:spacing w:line="312" w:lineRule="atLeast"/>
              <w:ind w:firstLine="0"/>
              <w:jc w:val="center"/>
              <w:rPr>
                <w:rFonts w:eastAsia="Times New Roman"/>
                <w:b/>
                <w:bCs/>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2952C31" w14:textId="543E5C62" w:rsidR="008C4F89" w:rsidRPr="00827721" w:rsidRDefault="008C4F89" w:rsidP="005936CD">
            <w:pPr>
              <w:spacing w:line="312" w:lineRule="atLeast"/>
              <w:ind w:firstLine="0"/>
              <w:jc w:val="center"/>
              <w:rPr>
                <w:rFonts w:eastAsia="Times New Roman"/>
                <w:b/>
                <w:bCs/>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vAlign w:val="center"/>
            <w:hideMark/>
          </w:tcPr>
          <w:p w14:paraId="4FCD1F8D" w14:textId="776AFDD4" w:rsidR="008C4F89" w:rsidRPr="00827721" w:rsidRDefault="008C4F89" w:rsidP="005936CD">
            <w:pPr>
              <w:spacing w:line="312" w:lineRule="atLeast"/>
              <w:ind w:firstLine="0"/>
              <w:jc w:val="center"/>
              <w:rPr>
                <w:rFonts w:eastAsia="Times New Roman"/>
                <w:b/>
                <w:bCs/>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0B405691" w14:textId="5E98B33D" w:rsidR="008C4F89" w:rsidRPr="00827721" w:rsidRDefault="008C4F89" w:rsidP="005936CD">
            <w:pPr>
              <w:spacing w:line="312" w:lineRule="atLeast"/>
              <w:ind w:firstLine="0"/>
              <w:jc w:val="center"/>
              <w:rPr>
                <w:rFonts w:eastAsia="Times New Roman"/>
                <w:b/>
                <w:bCs/>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E45B332" w14:textId="23210381" w:rsidR="008C4F89" w:rsidRPr="00827721" w:rsidRDefault="008C4F89" w:rsidP="005936CD">
            <w:pPr>
              <w:spacing w:line="312" w:lineRule="atLeast"/>
              <w:ind w:firstLine="0"/>
              <w:jc w:val="center"/>
              <w:rPr>
                <w:rFonts w:eastAsia="Times New Roman"/>
                <w:b/>
                <w:bCs/>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12F859B0" w14:textId="116F1E3C" w:rsidR="008C4F89" w:rsidRPr="00827721" w:rsidRDefault="008C4F89" w:rsidP="005936CD">
            <w:pPr>
              <w:spacing w:line="312" w:lineRule="atLeast"/>
              <w:ind w:firstLine="0"/>
              <w:jc w:val="center"/>
              <w:rPr>
                <w:rFonts w:eastAsia="Times New Roman"/>
                <w:b/>
                <w:bCs/>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5C956437" w14:textId="6EE7A0DC" w:rsidR="008C4F89" w:rsidRPr="00827721" w:rsidRDefault="008C4F89" w:rsidP="005936CD">
            <w:pPr>
              <w:spacing w:line="312" w:lineRule="atLeast"/>
              <w:ind w:firstLine="0"/>
              <w:jc w:val="center"/>
              <w:rPr>
                <w:rFonts w:eastAsia="Times New Roman"/>
                <w:b/>
                <w:bCs/>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A32836B" w14:textId="4713198C" w:rsidR="008C4F89" w:rsidRPr="00827721" w:rsidRDefault="008C4F89" w:rsidP="005936CD">
            <w:pPr>
              <w:spacing w:line="312" w:lineRule="atLeast"/>
              <w:ind w:firstLine="0"/>
              <w:jc w:val="center"/>
              <w:rPr>
                <w:rFonts w:eastAsia="Times New Roman"/>
                <w:b/>
                <w:bCs/>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2EE8A03A" w14:textId="42C7F2FD" w:rsidR="008C4F89" w:rsidRPr="00827721" w:rsidRDefault="008C4F89" w:rsidP="005936CD">
            <w:pPr>
              <w:spacing w:line="312" w:lineRule="atLeast"/>
              <w:ind w:firstLine="0"/>
              <w:jc w:val="center"/>
              <w:rPr>
                <w:rFonts w:eastAsia="Times New Roman"/>
                <w:b/>
                <w:bCs/>
                <w:sz w:val="20"/>
                <w:szCs w:val="20"/>
                <w:lang w:eastAsia="ro-RO"/>
              </w:rPr>
            </w:pPr>
          </w:p>
        </w:tc>
      </w:tr>
      <w:tr w:rsidR="008C4F89" w:rsidRPr="00827721" w14:paraId="667CE1C5"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12621694" w14:textId="44902542"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5808D460"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Amoniac</w:t>
            </w:r>
          </w:p>
        </w:tc>
        <w:tc>
          <w:tcPr>
            <w:tcW w:w="772" w:type="dxa"/>
            <w:tcBorders>
              <w:top w:val="outset" w:sz="6" w:space="0" w:color="auto"/>
              <w:left w:val="outset" w:sz="6" w:space="0" w:color="auto"/>
              <w:bottom w:val="outset" w:sz="6" w:space="0" w:color="auto"/>
              <w:right w:val="outset" w:sz="6" w:space="0" w:color="auto"/>
            </w:tcBorders>
            <w:vAlign w:val="center"/>
            <w:hideMark/>
          </w:tcPr>
          <w:p w14:paraId="65C851F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2 350,6</w:t>
            </w:r>
          </w:p>
        </w:tc>
        <w:tc>
          <w:tcPr>
            <w:tcW w:w="709" w:type="dxa"/>
            <w:tcBorders>
              <w:top w:val="outset" w:sz="6" w:space="0" w:color="auto"/>
              <w:left w:val="outset" w:sz="6" w:space="0" w:color="auto"/>
              <w:bottom w:val="outset" w:sz="6" w:space="0" w:color="auto"/>
              <w:right w:val="outset" w:sz="6" w:space="0" w:color="auto"/>
            </w:tcBorders>
            <w:vAlign w:val="center"/>
            <w:hideMark/>
          </w:tcPr>
          <w:p w14:paraId="50FCA06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708" w:type="dxa"/>
            <w:tcBorders>
              <w:top w:val="outset" w:sz="6" w:space="0" w:color="auto"/>
              <w:left w:val="outset" w:sz="6" w:space="0" w:color="auto"/>
              <w:bottom w:val="outset" w:sz="6" w:space="0" w:color="auto"/>
              <w:right w:val="outset" w:sz="6" w:space="0" w:color="auto"/>
            </w:tcBorders>
            <w:vAlign w:val="center"/>
            <w:hideMark/>
          </w:tcPr>
          <w:p w14:paraId="06A29A6A"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0,0022</w:t>
            </w:r>
          </w:p>
        </w:tc>
        <w:tc>
          <w:tcPr>
            <w:tcW w:w="709" w:type="dxa"/>
            <w:tcBorders>
              <w:top w:val="outset" w:sz="6" w:space="0" w:color="auto"/>
              <w:left w:val="outset" w:sz="6" w:space="0" w:color="auto"/>
              <w:bottom w:val="outset" w:sz="6" w:space="0" w:color="auto"/>
              <w:right w:val="outset" w:sz="6" w:space="0" w:color="auto"/>
            </w:tcBorders>
            <w:vAlign w:val="center"/>
            <w:hideMark/>
          </w:tcPr>
          <w:p w14:paraId="270A85D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2 351,3</w:t>
            </w:r>
          </w:p>
        </w:tc>
        <w:tc>
          <w:tcPr>
            <w:tcW w:w="567" w:type="dxa"/>
            <w:tcBorders>
              <w:top w:val="outset" w:sz="6" w:space="0" w:color="auto"/>
              <w:left w:val="outset" w:sz="6" w:space="0" w:color="auto"/>
              <w:bottom w:val="outset" w:sz="6" w:space="0" w:color="auto"/>
              <w:right w:val="outset" w:sz="6" w:space="0" w:color="auto"/>
            </w:tcBorders>
            <w:vAlign w:val="center"/>
            <w:hideMark/>
          </w:tcPr>
          <w:p w14:paraId="59BC43F8" w14:textId="68F2340F"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6885EE8" w14:textId="2EC4108C"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58ADADA4" w14:textId="32BB9052"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19EB51BC" w14:textId="0BC1B9AB"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73AB550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42,50</w:t>
            </w:r>
          </w:p>
        </w:tc>
        <w:tc>
          <w:tcPr>
            <w:tcW w:w="935" w:type="dxa"/>
            <w:tcBorders>
              <w:top w:val="outset" w:sz="6" w:space="0" w:color="auto"/>
              <w:left w:val="outset" w:sz="6" w:space="0" w:color="auto"/>
              <w:bottom w:val="outset" w:sz="6" w:space="0" w:color="auto"/>
              <w:right w:val="outset" w:sz="6" w:space="0" w:color="auto"/>
            </w:tcBorders>
            <w:vAlign w:val="center"/>
            <w:hideMark/>
          </w:tcPr>
          <w:p w14:paraId="0EE94B61" w14:textId="21FC7BDC"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26FD824F" w14:textId="6E287D3D"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7DCD2E2F"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5FEE30EF" w14:textId="609C5BE0"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4FD83004"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Sulfat de amoniu [(NH</w:t>
            </w:r>
            <w:r w:rsidRPr="00827721">
              <w:rPr>
                <w:rFonts w:eastAsia="Times New Roman"/>
                <w:sz w:val="20"/>
                <w:szCs w:val="20"/>
                <w:vertAlign w:val="subscript"/>
                <w:lang w:eastAsia="ro-RO"/>
              </w:rPr>
              <w:t>4</w:t>
            </w:r>
            <w:r w:rsidRPr="00827721">
              <w:rPr>
                <w:rFonts w:eastAsia="Times New Roman"/>
                <w:sz w:val="20"/>
                <w:szCs w:val="20"/>
                <w:lang w:eastAsia="ro-RO"/>
              </w:rPr>
              <w:t>)</w:t>
            </w:r>
            <w:r w:rsidRPr="00827721">
              <w:rPr>
                <w:rFonts w:eastAsia="Times New Roman"/>
                <w:sz w:val="20"/>
                <w:szCs w:val="20"/>
                <w:vertAlign w:val="subscript"/>
                <w:lang w:eastAsia="ro-RO"/>
              </w:rPr>
              <w:t>2</w:t>
            </w:r>
            <w:r w:rsidRPr="00827721">
              <w:rPr>
                <w:rFonts w:eastAsia="Times New Roman"/>
                <w:sz w:val="20"/>
                <w:szCs w:val="20"/>
                <w:lang w:eastAsia="ro-RO"/>
              </w:rPr>
              <w:t>SO</w:t>
            </w:r>
            <w:r w:rsidRPr="00827721">
              <w:rPr>
                <w:rFonts w:eastAsia="Times New Roman"/>
                <w:sz w:val="20"/>
                <w:szCs w:val="20"/>
                <w:vertAlign w:val="subscript"/>
                <w:lang w:eastAsia="ro-RO"/>
              </w:rPr>
              <w:t>4</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33B6F89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420,9</w:t>
            </w:r>
          </w:p>
        </w:tc>
        <w:tc>
          <w:tcPr>
            <w:tcW w:w="709" w:type="dxa"/>
            <w:tcBorders>
              <w:top w:val="outset" w:sz="6" w:space="0" w:color="auto"/>
              <w:left w:val="outset" w:sz="6" w:space="0" w:color="auto"/>
              <w:bottom w:val="outset" w:sz="6" w:space="0" w:color="auto"/>
              <w:right w:val="outset" w:sz="6" w:space="0" w:color="auto"/>
            </w:tcBorders>
            <w:vAlign w:val="center"/>
            <w:hideMark/>
          </w:tcPr>
          <w:p w14:paraId="0D6AE13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1,29</w:t>
            </w:r>
          </w:p>
        </w:tc>
        <w:tc>
          <w:tcPr>
            <w:tcW w:w="708" w:type="dxa"/>
            <w:tcBorders>
              <w:top w:val="outset" w:sz="6" w:space="0" w:color="auto"/>
              <w:left w:val="outset" w:sz="6" w:space="0" w:color="auto"/>
              <w:bottom w:val="outset" w:sz="6" w:space="0" w:color="auto"/>
              <w:right w:val="outset" w:sz="6" w:space="0" w:color="auto"/>
            </w:tcBorders>
            <w:vAlign w:val="center"/>
            <w:hideMark/>
          </w:tcPr>
          <w:p w14:paraId="584DDAB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0,0002</w:t>
            </w:r>
          </w:p>
        </w:tc>
        <w:tc>
          <w:tcPr>
            <w:tcW w:w="709" w:type="dxa"/>
            <w:tcBorders>
              <w:top w:val="outset" w:sz="6" w:space="0" w:color="auto"/>
              <w:left w:val="outset" w:sz="6" w:space="0" w:color="auto"/>
              <w:bottom w:val="outset" w:sz="6" w:space="0" w:color="auto"/>
              <w:right w:val="outset" w:sz="6" w:space="0" w:color="auto"/>
            </w:tcBorders>
            <w:vAlign w:val="center"/>
            <w:hideMark/>
          </w:tcPr>
          <w:p w14:paraId="3DCC3DA7"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453,2</w:t>
            </w:r>
          </w:p>
        </w:tc>
        <w:tc>
          <w:tcPr>
            <w:tcW w:w="567" w:type="dxa"/>
            <w:tcBorders>
              <w:top w:val="outset" w:sz="6" w:space="0" w:color="auto"/>
              <w:left w:val="outset" w:sz="6" w:space="0" w:color="auto"/>
              <w:bottom w:val="outset" w:sz="6" w:space="0" w:color="auto"/>
              <w:right w:val="outset" w:sz="6" w:space="0" w:color="auto"/>
            </w:tcBorders>
            <w:vAlign w:val="center"/>
            <w:hideMark/>
          </w:tcPr>
          <w:p w14:paraId="5F65F8B9" w14:textId="697D8227"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6603AEDE" w14:textId="0EF713F2"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6585670" w14:textId="37C4F578"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75F8CDB7" w14:textId="22597098"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4F8ED2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7,56</w:t>
            </w:r>
          </w:p>
        </w:tc>
        <w:tc>
          <w:tcPr>
            <w:tcW w:w="935" w:type="dxa"/>
            <w:tcBorders>
              <w:top w:val="outset" w:sz="6" w:space="0" w:color="auto"/>
              <w:left w:val="outset" w:sz="6" w:space="0" w:color="auto"/>
              <w:bottom w:val="outset" w:sz="6" w:space="0" w:color="auto"/>
              <w:right w:val="outset" w:sz="6" w:space="0" w:color="auto"/>
            </w:tcBorders>
            <w:vAlign w:val="center"/>
            <w:hideMark/>
          </w:tcPr>
          <w:p w14:paraId="3CAFAF64" w14:textId="5C412C31"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3AE85337" w14:textId="4B493DC0"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30A17CA7"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4371ACAC" w14:textId="1A09CC2C"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7AFA1607"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 xml:space="preserve">Agent antispumant (presupus a fi </w:t>
            </w:r>
            <w:proofErr w:type="spellStart"/>
            <w:r w:rsidRPr="00827721">
              <w:rPr>
                <w:rFonts w:eastAsia="Times New Roman"/>
                <w:sz w:val="20"/>
                <w:szCs w:val="20"/>
                <w:lang w:eastAsia="ro-RO"/>
              </w:rPr>
              <w:t>propilenglicol</w:t>
            </w:r>
            <w:proofErr w:type="spellEnd"/>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672BF8A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3 119,5</w:t>
            </w:r>
          </w:p>
        </w:tc>
        <w:tc>
          <w:tcPr>
            <w:tcW w:w="709" w:type="dxa"/>
            <w:tcBorders>
              <w:top w:val="outset" w:sz="6" w:space="0" w:color="auto"/>
              <w:left w:val="outset" w:sz="6" w:space="0" w:color="auto"/>
              <w:bottom w:val="outset" w:sz="6" w:space="0" w:color="auto"/>
              <w:right w:val="outset" w:sz="6" w:space="0" w:color="auto"/>
            </w:tcBorders>
            <w:vAlign w:val="center"/>
            <w:hideMark/>
          </w:tcPr>
          <w:p w14:paraId="1CF0526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4,96</w:t>
            </w:r>
          </w:p>
        </w:tc>
        <w:tc>
          <w:tcPr>
            <w:tcW w:w="708" w:type="dxa"/>
            <w:tcBorders>
              <w:top w:val="outset" w:sz="6" w:space="0" w:color="auto"/>
              <w:left w:val="outset" w:sz="6" w:space="0" w:color="auto"/>
              <w:bottom w:val="outset" w:sz="6" w:space="0" w:color="auto"/>
              <w:right w:val="outset" w:sz="6" w:space="0" w:color="auto"/>
            </w:tcBorders>
            <w:vAlign w:val="center"/>
            <w:hideMark/>
          </w:tcPr>
          <w:p w14:paraId="4A950FE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0,105</w:t>
            </w:r>
          </w:p>
        </w:tc>
        <w:tc>
          <w:tcPr>
            <w:tcW w:w="709" w:type="dxa"/>
            <w:tcBorders>
              <w:top w:val="outset" w:sz="6" w:space="0" w:color="auto"/>
              <w:left w:val="outset" w:sz="6" w:space="0" w:color="auto"/>
              <w:bottom w:val="outset" w:sz="6" w:space="0" w:color="auto"/>
              <w:right w:val="outset" w:sz="6" w:space="0" w:color="auto"/>
            </w:tcBorders>
            <w:vAlign w:val="center"/>
            <w:hideMark/>
          </w:tcPr>
          <w:p w14:paraId="5390FC3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3 274,8</w:t>
            </w:r>
          </w:p>
        </w:tc>
        <w:tc>
          <w:tcPr>
            <w:tcW w:w="567" w:type="dxa"/>
            <w:tcBorders>
              <w:top w:val="outset" w:sz="6" w:space="0" w:color="auto"/>
              <w:left w:val="outset" w:sz="6" w:space="0" w:color="auto"/>
              <w:bottom w:val="outset" w:sz="6" w:space="0" w:color="auto"/>
              <w:right w:val="outset" w:sz="6" w:space="0" w:color="auto"/>
            </w:tcBorders>
            <w:vAlign w:val="center"/>
            <w:hideMark/>
          </w:tcPr>
          <w:p w14:paraId="7C29CE1B" w14:textId="04EA63B8"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6AD4DE1D" w14:textId="2F003202"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0359E591" w14:textId="358B37FD"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AC895DD" w14:textId="53D2C272"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C29FCE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34,97</w:t>
            </w:r>
          </w:p>
        </w:tc>
        <w:tc>
          <w:tcPr>
            <w:tcW w:w="935" w:type="dxa"/>
            <w:tcBorders>
              <w:top w:val="outset" w:sz="6" w:space="0" w:color="auto"/>
              <w:left w:val="outset" w:sz="6" w:space="0" w:color="auto"/>
              <w:bottom w:val="outset" w:sz="6" w:space="0" w:color="auto"/>
              <w:right w:val="outset" w:sz="6" w:space="0" w:color="auto"/>
            </w:tcBorders>
            <w:vAlign w:val="center"/>
            <w:hideMark/>
          </w:tcPr>
          <w:p w14:paraId="21D7030E" w14:textId="577A6522"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509CF64B" w14:textId="0D869B67"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601DB6E5"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3E37F19A" w14:textId="38EFC6C4"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033C801C"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Alfa-amilază</w:t>
            </w:r>
          </w:p>
        </w:tc>
        <w:tc>
          <w:tcPr>
            <w:tcW w:w="772" w:type="dxa"/>
            <w:tcBorders>
              <w:top w:val="outset" w:sz="6" w:space="0" w:color="auto"/>
              <w:left w:val="outset" w:sz="6" w:space="0" w:color="auto"/>
              <w:bottom w:val="outset" w:sz="6" w:space="0" w:color="auto"/>
              <w:right w:val="outset" w:sz="6" w:space="0" w:color="auto"/>
            </w:tcBorders>
            <w:vAlign w:val="center"/>
            <w:hideMark/>
          </w:tcPr>
          <w:p w14:paraId="430B598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1 000,0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2575B7E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708" w:type="dxa"/>
            <w:tcBorders>
              <w:top w:val="outset" w:sz="6" w:space="0" w:color="auto"/>
              <w:left w:val="outset" w:sz="6" w:space="0" w:color="auto"/>
              <w:bottom w:val="outset" w:sz="6" w:space="0" w:color="auto"/>
              <w:right w:val="outset" w:sz="6" w:space="0" w:color="auto"/>
            </w:tcBorders>
            <w:vAlign w:val="center"/>
            <w:hideMark/>
          </w:tcPr>
          <w:p w14:paraId="301DFEED"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09C99F4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1 000,0</w:t>
            </w:r>
          </w:p>
        </w:tc>
        <w:tc>
          <w:tcPr>
            <w:tcW w:w="567" w:type="dxa"/>
            <w:tcBorders>
              <w:top w:val="outset" w:sz="6" w:space="0" w:color="auto"/>
              <w:left w:val="outset" w:sz="6" w:space="0" w:color="auto"/>
              <w:bottom w:val="outset" w:sz="6" w:space="0" w:color="auto"/>
              <w:right w:val="outset" w:sz="6" w:space="0" w:color="auto"/>
            </w:tcBorders>
            <w:vAlign w:val="center"/>
            <w:hideMark/>
          </w:tcPr>
          <w:p w14:paraId="16F0C7E1" w14:textId="61A92F95"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E30CF17" w14:textId="329353ED"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18582B8" w14:textId="59077B0C"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19F48CC3" w14:textId="00046DED"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55C8C5F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15,00</w:t>
            </w:r>
          </w:p>
        </w:tc>
        <w:tc>
          <w:tcPr>
            <w:tcW w:w="935" w:type="dxa"/>
            <w:tcBorders>
              <w:top w:val="outset" w:sz="6" w:space="0" w:color="auto"/>
              <w:left w:val="outset" w:sz="6" w:space="0" w:color="auto"/>
              <w:bottom w:val="outset" w:sz="6" w:space="0" w:color="auto"/>
              <w:right w:val="outset" w:sz="6" w:space="0" w:color="auto"/>
            </w:tcBorders>
            <w:vAlign w:val="center"/>
            <w:hideMark/>
          </w:tcPr>
          <w:p w14:paraId="1260811C" w14:textId="44F9D6B8"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1B45CEDD" w14:textId="3FAF1E79"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1F4A3EF3"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6EFE5B63" w14:textId="0F084DEF"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2F04C9E5" w14:textId="77777777" w:rsidR="008C4F89" w:rsidRPr="00827721" w:rsidRDefault="008C4F89" w:rsidP="005936CD">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Glucoamilază</w:t>
            </w:r>
            <w:proofErr w:type="spellEnd"/>
          </w:p>
        </w:tc>
        <w:tc>
          <w:tcPr>
            <w:tcW w:w="772" w:type="dxa"/>
            <w:tcBorders>
              <w:top w:val="outset" w:sz="6" w:space="0" w:color="auto"/>
              <w:left w:val="outset" w:sz="6" w:space="0" w:color="auto"/>
              <w:bottom w:val="outset" w:sz="6" w:space="0" w:color="auto"/>
              <w:right w:val="outset" w:sz="6" w:space="0" w:color="auto"/>
            </w:tcBorders>
            <w:vAlign w:val="center"/>
            <w:hideMark/>
          </w:tcPr>
          <w:p w14:paraId="65C2237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7 500,0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63D68A4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708" w:type="dxa"/>
            <w:tcBorders>
              <w:top w:val="outset" w:sz="6" w:space="0" w:color="auto"/>
              <w:left w:val="outset" w:sz="6" w:space="0" w:color="auto"/>
              <w:bottom w:val="outset" w:sz="6" w:space="0" w:color="auto"/>
              <w:right w:val="outset" w:sz="6" w:space="0" w:color="auto"/>
            </w:tcBorders>
            <w:vAlign w:val="center"/>
            <w:hideMark/>
          </w:tcPr>
          <w:p w14:paraId="3884AD8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5501C9B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7 500,0</w:t>
            </w:r>
          </w:p>
        </w:tc>
        <w:tc>
          <w:tcPr>
            <w:tcW w:w="567" w:type="dxa"/>
            <w:tcBorders>
              <w:top w:val="outset" w:sz="6" w:space="0" w:color="auto"/>
              <w:left w:val="outset" w:sz="6" w:space="0" w:color="auto"/>
              <w:bottom w:val="outset" w:sz="6" w:space="0" w:color="auto"/>
              <w:right w:val="outset" w:sz="6" w:space="0" w:color="auto"/>
            </w:tcBorders>
            <w:vAlign w:val="center"/>
            <w:hideMark/>
          </w:tcPr>
          <w:p w14:paraId="40A3673D" w14:textId="4CA283BE"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57BC6421" w14:textId="11A4F987"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715A1F13" w14:textId="010559EF"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9671AFC" w14:textId="3C30D030"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7382EB6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97,00</w:t>
            </w:r>
          </w:p>
        </w:tc>
        <w:tc>
          <w:tcPr>
            <w:tcW w:w="935" w:type="dxa"/>
            <w:tcBorders>
              <w:top w:val="outset" w:sz="6" w:space="0" w:color="auto"/>
              <w:left w:val="outset" w:sz="6" w:space="0" w:color="auto"/>
              <w:bottom w:val="outset" w:sz="6" w:space="0" w:color="auto"/>
              <w:right w:val="outset" w:sz="6" w:space="0" w:color="auto"/>
            </w:tcBorders>
            <w:vAlign w:val="center"/>
            <w:hideMark/>
          </w:tcPr>
          <w:p w14:paraId="008E58B8" w14:textId="37AF9F2C"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6FEE2D3C" w14:textId="677A3DBD"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4BDAD994"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7E5DC1B9" w14:textId="4557C78B"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6DDDC10D"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Clorură de calciu (CaCl</w:t>
            </w:r>
            <w:r w:rsidRPr="00827721">
              <w:rPr>
                <w:rFonts w:eastAsia="Times New Roman"/>
                <w:sz w:val="20"/>
                <w:szCs w:val="20"/>
                <w:vertAlign w:val="subscript"/>
                <w:lang w:eastAsia="ro-RO"/>
              </w:rPr>
              <w:t>2</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6F4410D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38,6</w:t>
            </w:r>
          </w:p>
        </w:tc>
        <w:tc>
          <w:tcPr>
            <w:tcW w:w="709" w:type="dxa"/>
            <w:tcBorders>
              <w:top w:val="outset" w:sz="6" w:space="0" w:color="auto"/>
              <w:left w:val="outset" w:sz="6" w:space="0" w:color="auto"/>
              <w:bottom w:val="outset" w:sz="6" w:space="0" w:color="auto"/>
              <w:right w:val="outset" w:sz="6" w:space="0" w:color="auto"/>
            </w:tcBorders>
            <w:vAlign w:val="center"/>
            <w:hideMark/>
          </w:tcPr>
          <w:p w14:paraId="2146474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w:t>
            </w:r>
          </w:p>
        </w:tc>
        <w:tc>
          <w:tcPr>
            <w:tcW w:w="708" w:type="dxa"/>
            <w:tcBorders>
              <w:top w:val="outset" w:sz="6" w:space="0" w:color="auto"/>
              <w:left w:val="outset" w:sz="6" w:space="0" w:color="auto"/>
              <w:bottom w:val="outset" w:sz="6" w:space="0" w:color="auto"/>
              <w:right w:val="outset" w:sz="6" w:space="0" w:color="auto"/>
            </w:tcBorders>
            <w:vAlign w:val="center"/>
            <w:hideMark/>
          </w:tcPr>
          <w:p w14:paraId="2029DD97"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w:t>
            </w:r>
          </w:p>
        </w:tc>
        <w:tc>
          <w:tcPr>
            <w:tcW w:w="709" w:type="dxa"/>
            <w:tcBorders>
              <w:top w:val="outset" w:sz="6" w:space="0" w:color="auto"/>
              <w:left w:val="outset" w:sz="6" w:space="0" w:color="auto"/>
              <w:bottom w:val="outset" w:sz="6" w:space="0" w:color="auto"/>
              <w:right w:val="outset" w:sz="6" w:space="0" w:color="auto"/>
            </w:tcBorders>
            <w:vAlign w:val="center"/>
            <w:hideMark/>
          </w:tcPr>
          <w:p w14:paraId="0126BF6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38,8</w:t>
            </w:r>
          </w:p>
        </w:tc>
        <w:tc>
          <w:tcPr>
            <w:tcW w:w="567" w:type="dxa"/>
            <w:tcBorders>
              <w:top w:val="outset" w:sz="6" w:space="0" w:color="auto"/>
              <w:left w:val="outset" w:sz="6" w:space="0" w:color="auto"/>
              <w:bottom w:val="outset" w:sz="6" w:space="0" w:color="auto"/>
              <w:right w:val="outset" w:sz="6" w:space="0" w:color="auto"/>
            </w:tcBorders>
            <w:vAlign w:val="center"/>
            <w:hideMark/>
          </w:tcPr>
          <w:p w14:paraId="468A7CB5" w14:textId="538EEF4C"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9DF09DD" w14:textId="2D7F06B6"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0C8A4DFD" w14:textId="7D312E42"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30DE8933" w14:textId="579F64EF"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4423C6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0,50</w:t>
            </w:r>
          </w:p>
        </w:tc>
        <w:tc>
          <w:tcPr>
            <w:tcW w:w="935" w:type="dxa"/>
            <w:tcBorders>
              <w:top w:val="outset" w:sz="6" w:space="0" w:color="auto"/>
              <w:left w:val="outset" w:sz="6" w:space="0" w:color="auto"/>
              <w:bottom w:val="outset" w:sz="6" w:space="0" w:color="auto"/>
              <w:right w:val="outset" w:sz="6" w:space="0" w:color="auto"/>
            </w:tcBorders>
            <w:vAlign w:val="center"/>
            <w:hideMark/>
          </w:tcPr>
          <w:p w14:paraId="5C13EAD9" w14:textId="18F00689"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03255FDA" w14:textId="4B3763DA"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7A0C95E4"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25D9E321" w14:textId="62C89861"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32EB23BC"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Ciclohexan</w:t>
            </w:r>
          </w:p>
        </w:tc>
        <w:tc>
          <w:tcPr>
            <w:tcW w:w="772" w:type="dxa"/>
            <w:tcBorders>
              <w:top w:val="outset" w:sz="6" w:space="0" w:color="auto"/>
              <w:left w:val="outset" w:sz="6" w:space="0" w:color="auto"/>
              <w:bottom w:val="outset" w:sz="6" w:space="0" w:color="auto"/>
              <w:right w:val="outset" w:sz="6" w:space="0" w:color="auto"/>
            </w:tcBorders>
            <w:vAlign w:val="center"/>
            <w:hideMark/>
          </w:tcPr>
          <w:p w14:paraId="01C6A65D"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723,0</w:t>
            </w:r>
          </w:p>
        </w:tc>
        <w:tc>
          <w:tcPr>
            <w:tcW w:w="709" w:type="dxa"/>
            <w:tcBorders>
              <w:top w:val="outset" w:sz="6" w:space="0" w:color="auto"/>
              <w:left w:val="outset" w:sz="6" w:space="0" w:color="auto"/>
              <w:bottom w:val="outset" w:sz="6" w:space="0" w:color="auto"/>
              <w:right w:val="outset" w:sz="6" w:space="0" w:color="auto"/>
            </w:tcBorders>
            <w:vAlign w:val="center"/>
            <w:hideMark/>
          </w:tcPr>
          <w:p w14:paraId="3CE8E0B4"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708" w:type="dxa"/>
            <w:tcBorders>
              <w:top w:val="outset" w:sz="6" w:space="0" w:color="auto"/>
              <w:left w:val="outset" w:sz="6" w:space="0" w:color="auto"/>
              <w:bottom w:val="outset" w:sz="6" w:space="0" w:color="auto"/>
              <w:right w:val="outset" w:sz="6" w:space="0" w:color="auto"/>
            </w:tcBorders>
            <w:vAlign w:val="center"/>
            <w:hideMark/>
          </w:tcPr>
          <w:p w14:paraId="4D01259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400C1EA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723,0</w:t>
            </w:r>
          </w:p>
        </w:tc>
        <w:tc>
          <w:tcPr>
            <w:tcW w:w="567" w:type="dxa"/>
            <w:tcBorders>
              <w:top w:val="outset" w:sz="6" w:space="0" w:color="auto"/>
              <w:left w:val="outset" w:sz="6" w:space="0" w:color="auto"/>
              <w:bottom w:val="outset" w:sz="6" w:space="0" w:color="auto"/>
              <w:right w:val="outset" w:sz="6" w:space="0" w:color="auto"/>
            </w:tcBorders>
            <w:vAlign w:val="center"/>
            <w:hideMark/>
          </w:tcPr>
          <w:p w14:paraId="2C008565" w14:textId="448AAB90"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B0A4B49" w14:textId="16E4837D"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4F6EFF5" w14:textId="57951386"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50606BEF" w14:textId="26FE70DF"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1E19992D"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9,90</w:t>
            </w:r>
          </w:p>
        </w:tc>
        <w:tc>
          <w:tcPr>
            <w:tcW w:w="935" w:type="dxa"/>
            <w:tcBorders>
              <w:top w:val="outset" w:sz="6" w:space="0" w:color="auto"/>
              <w:left w:val="outset" w:sz="6" w:space="0" w:color="auto"/>
              <w:bottom w:val="outset" w:sz="6" w:space="0" w:color="auto"/>
              <w:right w:val="outset" w:sz="6" w:space="0" w:color="auto"/>
            </w:tcBorders>
            <w:vAlign w:val="center"/>
            <w:hideMark/>
          </w:tcPr>
          <w:p w14:paraId="571615A8" w14:textId="0A3CEA37"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0549C4B9" w14:textId="5DF1F33B"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0988D2AD"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4FDF3DDE" w14:textId="0D1ACF9A"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4255592C"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 xml:space="preserve">Fosfat de </w:t>
            </w:r>
            <w:proofErr w:type="spellStart"/>
            <w:r w:rsidRPr="00827721">
              <w:rPr>
                <w:rFonts w:eastAsia="Times New Roman"/>
                <w:sz w:val="20"/>
                <w:szCs w:val="20"/>
                <w:lang w:eastAsia="ro-RO"/>
              </w:rPr>
              <w:t>diamoniu</w:t>
            </w:r>
            <w:proofErr w:type="spellEnd"/>
            <w:r w:rsidRPr="00827721">
              <w:rPr>
                <w:rFonts w:eastAsia="Times New Roman"/>
                <w:sz w:val="20"/>
                <w:szCs w:val="20"/>
                <w:lang w:eastAsia="ro-RO"/>
              </w:rPr>
              <w:t xml:space="preserve"> (DAP)</w:t>
            </w:r>
          </w:p>
        </w:tc>
        <w:tc>
          <w:tcPr>
            <w:tcW w:w="772" w:type="dxa"/>
            <w:tcBorders>
              <w:top w:val="outset" w:sz="6" w:space="0" w:color="auto"/>
              <w:left w:val="outset" w:sz="6" w:space="0" w:color="auto"/>
              <w:bottom w:val="outset" w:sz="6" w:space="0" w:color="auto"/>
              <w:right w:val="outset" w:sz="6" w:space="0" w:color="auto"/>
            </w:tcBorders>
            <w:vAlign w:val="center"/>
            <w:hideMark/>
          </w:tcPr>
          <w:p w14:paraId="5F4AB98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653,2</w:t>
            </w:r>
          </w:p>
        </w:tc>
        <w:tc>
          <w:tcPr>
            <w:tcW w:w="709" w:type="dxa"/>
            <w:tcBorders>
              <w:top w:val="outset" w:sz="6" w:space="0" w:color="auto"/>
              <w:left w:val="outset" w:sz="6" w:space="0" w:color="auto"/>
              <w:bottom w:val="outset" w:sz="6" w:space="0" w:color="auto"/>
              <w:right w:val="outset" w:sz="6" w:space="0" w:color="auto"/>
            </w:tcBorders>
            <w:vAlign w:val="center"/>
            <w:hideMark/>
          </w:tcPr>
          <w:p w14:paraId="50BD9537"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0,81</w:t>
            </w:r>
          </w:p>
        </w:tc>
        <w:tc>
          <w:tcPr>
            <w:tcW w:w="708" w:type="dxa"/>
            <w:tcBorders>
              <w:top w:val="outset" w:sz="6" w:space="0" w:color="auto"/>
              <w:left w:val="outset" w:sz="6" w:space="0" w:color="auto"/>
              <w:bottom w:val="outset" w:sz="6" w:space="0" w:color="auto"/>
              <w:right w:val="outset" w:sz="6" w:space="0" w:color="auto"/>
            </w:tcBorders>
            <w:vAlign w:val="center"/>
            <w:hideMark/>
          </w:tcPr>
          <w:p w14:paraId="141238E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w:t>
            </w:r>
          </w:p>
        </w:tc>
        <w:tc>
          <w:tcPr>
            <w:tcW w:w="709" w:type="dxa"/>
            <w:tcBorders>
              <w:top w:val="outset" w:sz="6" w:space="0" w:color="auto"/>
              <w:left w:val="outset" w:sz="6" w:space="0" w:color="auto"/>
              <w:bottom w:val="outset" w:sz="6" w:space="0" w:color="auto"/>
              <w:right w:val="outset" w:sz="6" w:space="0" w:color="auto"/>
            </w:tcBorders>
            <w:vAlign w:val="center"/>
            <w:hideMark/>
          </w:tcPr>
          <w:p w14:paraId="1A1D81D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674,4</w:t>
            </w:r>
          </w:p>
        </w:tc>
        <w:tc>
          <w:tcPr>
            <w:tcW w:w="567" w:type="dxa"/>
            <w:tcBorders>
              <w:top w:val="outset" w:sz="6" w:space="0" w:color="auto"/>
              <w:left w:val="outset" w:sz="6" w:space="0" w:color="auto"/>
              <w:bottom w:val="outset" w:sz="6" w:space="0" w:color="auto"/>
              <w:right w:val="outset" w:sz="6" w:space="0" w:color="auto"/>
            </w:tcBorders>
            <w:vAlign w:val="center"/>
            <w:hideMark/>
          </w:tcPr>
          <w:p w14:paraId="790A9DA5" w14:textId="589B0B34"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74EB7E8" w14:textId="4F09B5F0"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11F20797" w14:textId="42958F2E"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0D19EA33" w14:textId="260D0191"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363A5ECD"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10,23</w:t>
            </w:r>
          </w:p>
        </w:tc>
        <w:tc>
          <w:tcPr>
            <w:tcW w:w="935" w:type="dxa"/>
            <w:tcBorders>
              <w:top w:val="outset" w:sz="6" w:space="0" w:color="auto"/>
              <w:left w:val="outset" w:sz="6" w:space="0" w:color="auto"/>
              <w:bottom w:val="outset" w:sz="6" w:space="0" w:color="auto"/>
              <w:right w:val="outset" w:sz="6" w:space="0" w:color="auto"/>
            </w:tcBorders>
            <w:vAlign w:val="center"/>
            <w:hideMark/>
          </w:tcPr>
          <w:p w14:paraId="7853A1C1" w14:textId="5C01D710"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3B716DA9" w14:textId="4DA47447"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7A979A07"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6106E800" w14:textId="7EA2AD20"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60FF27D5" w14:textId="77777777" w:rsidR="008C4F89" w:rsidRPr="00827721" w:rsidRDefault="008C4F89" w:rsidP="005936CD">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Fluoridină</w:t>
            </w:r>
            <w:proofErr w:type="spellEnd"/>
          </w:p>
        </w:tc>
        <w:tc>
          <w:tcPr>
            <w:tcW w:w="772" w:type="dxa"/>
            <w:tcBorders>
              <w:top w:val="outset" w:sz="6" w:space="0" w:color="auto"/>
              <w:left w:val="outset" w:sz="6" w:space="0" w:color="auto"/>
              <w:bottom w:val="outset" w:sz="6" w:space="0" w:color="auto"/>
              <w:right w:val="outset" w:sz="6" w:space="0" w:color="auto"/>
            </w:tcBorders>
            <w:vAlign w:val="center"/>
            <w:hideMark/>
          </w:tcPr>
          <w:p w14:paraId="37A7FC6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197,0</w:t>
            </w:r>
          </w:p>
        </w:tc>
        <w:tc>
          <w:tcPr>
            <w:tcW w:w="709" w:type="dxa"/>
            <w:tcBorders>
              <w:top w:val="outset" w:sz="6" w:space="0" w:color="auto"/>
              <w:left w:val="outset" w:sz="6" w:space="0" w:color="auto"/>
              <w:bottom w:val="outset" w:sz="6" w:space="0" w:color="auto"/>
              <w:right w:val="outset" w:sz="6" w:space="0" w:color="auto"/>
            </w:tcBorders>
            <w:vAlign w:val="center"/>
            <w:hideMark/>
          </w:tcPr>
          <w:p w14:paraId="428BF0F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0,04</w:t>
            </w:r>
          </w:p>
        </w:tc>
        <w:tc>
          <w:tcPr>
            <w:tcW w:w="708" w:type="dxa"/>
            <w:tcBorders>
              <w:top w:val="outset" w:sz="6" w:space="0" w:color="auto"/>
              <w:left w:val="outset" w:sz="6" w:space="0" w:color="auto"/>
              <w:bottom w:val="outset" w:sz="6" w:space="0" w:color="auto"/>
              <w:right w:val="outset" w:sz="6" w:space="0" w:color="auto"/>
            </w:tcBorders>
            <w:vAlign w:val="center"/>
            <w:hideMark/>
          </w:tcPr>
          <w:p w14:paraId="0DA6ED0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0,0063</w:t>
            </w:r>
          </w:p>
        </w:tc>
        <w:tc>
          <w:tcPr>
            <w:tcW w:w="709" w:type="dxa"/>
            <w:tcBorders>
              <w:top w:val="outset" w:sz="6" w:space="0" w:color="auto"/>
              <w:left w:val="outset" w:sz="6" w:space="0" w:color="auto"/>
              <w:bottom w:val="outset" w:sz="6" w:space="0" w:color="auto"/>
              <w:right w:val="outset" w:sz="6" w:space="0" w:color="auto"/>
            </w:tcBorders>
            <w:vAlign w:val="center"/>
            <w:hideMark/>
          </w:tcPr>
          <w:p w14:paraId="57DFBDB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199,8</w:t>
            </w:r>
          </w:p>
        </w:tc>
        <w:tc>
          <w:tcPr>
            <w:tcW w:w="567" w:type="dxa"/>
            <w:tcBorders>
              <w:top w:val="outset" w:sz="6" w:space="0" w:color="auto"/>
              <w:left w:val="outset" w:sz="6" w:space="0" w:color="auto"/>
              <w:bottom w:val="outset" w:sz="6" w:space="0" w:color="auto"/>
              <w:right w:val="outset" w:sz="6" w:space="0" w:color="auto"/>
            </w:tcBorders>
            <w:vAlign w:val="center"/>
            <w:hideMark/>
          </w:tcPr>
          <w:p w14:paraId="3D7F1590" w14:textId="41D8A786"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F6B1299" w14:textId="2F9FA61C"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59B556E4" w14:textId="1AB43F44"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1CD34478" w14:textId="390D9E1C"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FF668B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2,54</w:t>
            </w:r>
          </w:p>
        </w:tc>
        <w:tc>
          <w:tcPr>
            <w:tcW w:w="935" w:type="dxa"/>
            <w:tcBorders>
              <w:top w:val="outset" w:sz="6" w:space="0" w:color="auto"/>
              <w:left w:val="outset" w:sz="6" w:space="0" w:color="auto"/>
              <w:bottom w:val="outset" w:sz="6" w:space="0" w:color="auto"/>
              <w:right w:val="outset" w:sz="6" w:space="0" w:color="auto"/>
            </w:tcBorders>
            <w:vAlign w:val="center"/>
            <w:hideMark/>
          </w:tcPr>
          <w:p w14:paraId="5B1B1183" w14:textId="5A777B9A"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387BA5E2" w14:textId="34CD9E35"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4FE3702C"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24FCF0F6" w14:textId="0FEBC4EF"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16B4CEEF"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n-hexan</w:t>
            </w:r>
          </w:p>
        </w:tc>
        <w:tc>
          <w:tcPr>
            <w:tcW w:w="772" w:type="dxa"/>
            <w:tcBorders>
              <w:top w:val="outset" w:sz="6" w:space="0" w:color="auto"/>
              <w:left w:val="outset" w:sz="6" w:space="0" w:color="auto"/>
              <w:bottom w:val="outset" w:sz="6" w:space="0" w:color="auto"/>
              <w:right w:val="outset" w:sz="6" w:space="0" w:color="auto"/>
            </w:tcBorders>
            <w:vAlign w:val="center"/>
            <w:hideMark/>
          </w:tcPr>
          <w:p w14:paraId="317357D4" w14:textId="62EEC543"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0FD31EA" w14:textId="7D127D45" w:rsidR="008C4F89" w:rsidRPr="00827721" w:rsidRDefault="008C4F89" w:rsidP="005936CD">
            <w:pPr>
              <w:spacing w:line="312" w:lineRule="atLeast"/>
              <w:ind w:firstLine="0"/>
              <w:jc w:val="center"/>
              <w:rPr>
                <w:rFonts w:eastAsia="Times New Roman"/>
                <w:sz w:val="20"/>
                <w:szCs w:val="20"/>
                <w:lang w:eastAsia="ro-RO"/>
              </w:rPr>
            </w:pPr>
          </w:p>
        </w:tc>
        <w:tc>
          <w:tcPr>
            <w:tcW w:w="708" w:type="dxa"/>
            <w:tcBorders>
              <w:top w:val="outset" w:sz="6" w:space="0" w:color="auto"/>
              <w:left w:val="outset" w:sz="6" w:space="0" w:color="auto"/>
              <w:bottom w:val="outset" w:sz="6" w:space="0" w:color="auto"/>
              <w:right w:val="outset" w:sz="6" w:space="0" w:color="auto"/>
            </w:tcBorders>
            <w:vAlign w:val="center"/>
            <w:hideMark/>
          </w:tcPr>
          <w:p w14:paraId="7C70A5F0" w14:textId="495CA96A"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089AD06B" w14:textId="02DC3056" w:rsidR="008C4F89" w:rsidRPr="00827721" w:rsidRDefault="008C4F89" w:rsidP="005936CD">
            <w:pPr>
              <w:spacing w:line="312" w:lineRule="atLeast"/>
              <w:ind w:firstLine="0"/>
              <w:jc w:val="center"/>
              <w:rPr>
                <w:rFonts w:eastAsia="Times New Roman"/>
                <w:sz w:val="20"/>
                <w:szCs w:val="20"/>
                <w:lang w:eastAsia="ro-RO"/>
              </w:rPr>
            </w:pPr>
          </w:p>
        </w:tc>
        <w:tc>
          <w:tcPr>
            <w:tcW w:w="567" w:type="dxa"/>
            <w:tcBorders>
              <w:top w:val="outset" w:sz="6" w:space="0" w:color="auto"/>
              <w:left w:val="outset" w:sz="6" w:space="0" w:color="auto"/>
              <w:bottom w:val="outset" w:sz="6" w:space="0" w:color="auto"/>
              <w:right w:val="outset" w:sz="6" w:space="0" w:color="auto"/>
            </w:tcBorders>
            <w:vAlign w:val="center"/>
            <w:hideMark/>
          </w:tcPr>
          <w:p w14:paraId="363A3F7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80,08</w:t>
            </w:r>
          </w:p>
        </w:tc>
        <w:tc>
          <w:tcPr>
            <w:tcW w:w="709" w:type="dxa"/>
            <w:tcBorders>
              <w:top w:val="outset" w:sz="6" w:space="0" w:color="auto"/>
              <w:left w:val="outset" w:sz="6" w:space="0" w:color="auto"/>
              <w:bottom w:val="outset" w:sz="6" w:space="0" w:color="auto"/>
              <w:right w:val="outset" w:sz="6" w:space="0" w:color="auto"/>
            </w:tcBorders>
            <w:vAlign w:val="center"/>
            <w:hideMark/>
          </w:tcPr>
          <w:p w14:paraId="73A15A3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0,0146</w:t>
            </w:r>
          </w:p>
        </w:tc>
        <w:tc>
          <w:tcPr>
            <w:tcW w:w="709" w:type="dxa"/>
            <w:tcBorders>
              <w:top w:val="outset" w:sz="6" w:space="0" w:color="auto"/>
              <w:left w:val="outset" w:sz="6" w:space="0" w:color="auto"/>
              <w:bottom w:val="outset" w:sz="6" w:space="0" w:color="auto"/>
              <w:right w:val="outset" w:sz="6" w:space="0" w:color="auto"/>
            </w:tcBorders>
            <w:vAlign w:val="center"/>
            <w:hideMark/>
          </w:tcPr>
          <w:p w14:paraId="10100E9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0,0003</w:t>
            </w:r>
          </w:p>
        </w:tc>
        <w:tc>
          <w:tcPr>
            <w:tcW w:w="689" w:type="dxa"/>
            <w:tcBorders>
              <w:top w:val="outset" w:sz="6" w:space="0" w:color="auto"/>
              <w:left w:val="outset" w:sz="6" w:space="0" w:color="auto"/>
              <w:bottom w:val="outset" w:sz="6" w:space="0" w:color="auto"/>
              <w:right w:val="outset" w:sz="6" w:space="0" w:color="auto"/>
            </w:tcBorders>
            <w:vAlign w:val="center"/>
            <w:hideMark/>
          </w:tcPr>
          <w:p w14:paraId="530B5E8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80,53</w:t>
            </w:r>
          </w:p>
        </w:tc>
        <w:tc>
          <w:tcPr>
            <w:tcW w:w="935" w:type="dxa"/>
            <w:tcBorders>
              <w:top w:val="outset" w:sz="6" w:space="0" w:color="auto"/>
              <w:left w:val="outset" w:sz="6" w:space="0" w:color="auto"/>
              <w:bottom w:val="outset" w:sz="6" w:space="0" w:color="auto"/>
              <w:right w:val="outset" w:sz="6" w:space="0" w:color="auto"/>
            </w:tcBorders>
            <w:vAlign w:val="center"/>
            <w:hideMark/>
          </w:tcPr>
          <w:p w14:paraId="76369EC2" w14:textId="4F3B3A3C"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2875756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0,3204</w:t>
            </w:r>
          </w:p>
        </w:tc>
        <w:tc>
          <w:tcPr>
            <w:tcW w:w="798" w:type="dxa"/>
            <w:tcBorders>
              <w:top w:val="outset" w:sz="6" w:space="0" w:color="auto"/>
              <w:left w:val="outset" w:sz="6" w:space="0" w:color="auto"/>
              <w:bottom w:val="outset" w:sz="6" w:space="0" w:color="auto"/>
              <w:right w:val="outset" w:sz="6" w:space="0" w:color="auto"/>
            </w:tcBorders>
            <w:vAlign w:val="center"/>
            <w:hideMark/>
          </w:tcPr>
          <w:p w14:paraId="3D2502A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45,1</w:t>
            </w:r>
          </w:p>
        </w:tc>
      </w:tr>
      <w:tr w:rsidR="008C4F89" w:rsidRPr="00827721" w14:paraId="4A209093"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635327F7" w14:textId="54370B23"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083122B9"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Acid clorhidric (</w:t>
            </w:r>
            <w:proofErr w:type="spellStart"/>
            <w:r w:rsidRPr="00827721">
              <w:rPr>
                <w:rFonts w:eastAsia="Times New Roman"/>
                <w:sz w:val="20"/>
                <w:szCs w:val="20"/>
                <w:lang w:eastAsia="ro-RO"/>
              </w:rPr>
              <w:t>HCl</w:t>
            </w:r>
            <w:proofErr w:type="spellEnd"/>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600DCD9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977,1</w:t>
            </w:r>
          </w:p>
        </w:tc>
        <w:tc>
          <w:tcPr>
            <w:tcW w:w="709" w:type="dxa"/>
            <w:tcBorders>
              <w:top w:val="outset" w:sz="6" w:space="0" w:color="auto"/>
              <w:left w:val="outset" w:sz="6" w:space="0" w:color="auto"/>
              <w:bottom w:val="outset" w:sz="6" w:space="0" w:color="auto"/>
              <w:right w:val="outset" w:sz="6" w:space="0" w:color="auto"/>
            </w:tcBorders>
            <w:vAlign w:val="center"/>
            <w:hideMark/>
          </w:tcPr>
          <w:p w14:paraId="0C946D5A"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2,91</w:t>
            </w:r>
          </w:p>
        </w:tc>
        <w:tc>
          <w:tcPr>
            <w:tcW w:w="708" w:type="dxa"/>
            <w:tcBorders>
              <w:top w:val="outset" w:sz="6" w:space="0" w:color="auto"/>
              <w:left w:val="outset" w:sz="6" w:space="0" w:color="auto"/>
              <w:bottom w:val="outset" w:sz="6" w:space="0" w:color="auto"/>
              <w:right w:val="outset" w:sz="6" w:space="0" w:color="auto"/>
            </w:tcBorders>
            <w:vAlign w:val="center"/>
            <w:hideMark/>
          </w:tcPr>
          <w:p w14:paraId="3533CD3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0,0376</w:t>
            </w:r>
          </w:p>
        </w:tc>
        <w:tc>
          <w:tcPr>
            <w:tcW w:w="709" w:type="dxa"/>
            <w:tcBorders>
              <w:top w:val="outset" w:sz="6" w:space="0" w:color="auto"/>
              <w:left w:val="outset" w:sz="6" w:space="0" w:color="auto"/>
              <w:bottom w:val="outset" w:sz="6" w:space="0" w:color="auto"/>
              <w:right w:val="outset" w:sz="6" w:space="0" w:color="auto"/>
            </w:tcBorders>
            <w:vAlign w:val="center"/>
            <w:hideMark/>
          </w:tcPr>
          <w:p w14:paraId="1F54A7AD"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1 061,1</w:t>
            </w:r>
          </w:p>
        </w:tc>
        <w:tc>
          <w:tcPr>
            <w:tcW w:w="567" w:type="dxa"/>
            <w:tcBorders>
              <w:top w:val="outset" w:sz="6" w:space="0" w:color="auto"/>
              <w:left w:val="outset" w:sz="6" w:space="0" w:color="auto"/>
              <w:bottom w:val="outset" w:sz="6" w:space="0" w:color="auto"/>
              <w:right w:val="outset" w:sz="6" w:space="0" w:color="auto"/>
            </w:tcBorders>
            <w:vAlign w:val="center"/>
            <w:hideMark/>
          </w:tcPr>
          <w:p w14:paraId="0DB15285" w14:textId="5EB32AE3"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66B77468" w14:textId="1A8129E6"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6F9AD8C" w14:textId="68311174"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53839FB0" w14:textId="2E35E79D"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7B91F5E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14,84</w:t>
            </w:r>
          </w:p>
        </w:tc>
        <w:tc>
          <w:tcPr>
            <w:tcW w:w="935" w:type="dxa"/>
            <w:tcBorders>
              <w:top w:val="outset" w:sz="6" w:space="0" w:color="auto"/>
              <w:left w:val="outset" w:sz="6" w:space="0" w:color="auto"/>
              <w:bottom w:val="outset" w:sz="6" w:space="0" w:color="auto"/>
              <w:right w:val="outset" w:sz="6" w:space="0" w:color="auto"/>
            </w:tcBorders>
            <w:vAlign w:val="center"/>
            <w:hideMark/>
          </w:tcPr>
          <w:p w14:paraId="2992BBDD" w14:textId="65034760"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7D3DE253" w14:textId="49D629CE"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6536C4E9"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5E572C25" w14:textId="3D77721F"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514571FD"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Lubrifianți</w:t>
            </w:r>
          </w:p>
        </w:tc>
        <w:tc>
          <w:tcPr>
            <w:tcW w:w="772" w:type="dxa"/>
            <w:tcBorders>
              <w:top w:val="outset" w:sz="6" w:space="0" w:color="auto"/>
              <w:left w:val="outset" w:sz="6" w:space="0" w:color="auto"/>
              <w:bottom w:val="outset" w:sz="6" w:space="0" w:color="auto"/>
              <w:right w:val="outset" w:sz="6" w:space="0" w:color="auto"/>
            </w:tcBorders>
            <w:vAlign w:val="center"/>
            <w:hideMark/>
          </w:tcPr>
          <w:p w14:paraId="7032DBF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947,0</w:t>
            </w:r>
          </w:p>
        </w:tc>
        <w:tc>
          <w:tcPr>
            <w:tcW w:w="709" w:type="dxa"/>
            <w:tcBorders>
              <w:top w:val="outset" w:sz="6" w:space="0" w:color="auto"/>
              <w:left w:val="outset" w:sz="6" w:space="0" w:color="auto"/>
              <w:bottom w:val="outset" w:sz="6" w:space="0" w:color="auto"/>
              <w:right w:val="outset" w:sz="6" w:space="0" w:color="auto"/>
            </w:tcBorders>
            <w:vAlign w:val="center"/>
            <w:hideMark/>
          </w:tcPr>
          <w:p w14:paraId="6A2E540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708" w:type="dxa"/>
            <w:tcBorders>
              <w:top w:val="outset" w:sz="6" w:space="0" w:color="auto"/>
              <w:left w:val="outset" w:sz="6" w:space="0" w:color="auto"/>
              <w:bottom w:val="outset" w:sz="6" w:space="0" w:color="auto"/>
              <w:right w:val="outset" w:sz="6" w:space="0" w:color="auto"/>
            </w:tcBorders>
            <w:vAlign w:val="center"/>
            <w:hideMark/>
          </w:tcPr>
          <w:p w14:paraId="0E5A3F3A"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709" w:type="dxa"/>
            <w:tcBorders>
              <w:top w:val="outset" w:sz="6" w:space="0" w:color="auto"/>
              <w:left w:val="outset" w:sz="6" w:space="0" w:color="auto"/>
              <w:bottom w:val="outset" w:sz="6" w:space="0" w:color="auto"/>
              <w:right w:val="outset" w:sz="6" w:space="0" w:color="auto"/>
            </w:tcBorders>
            <w:vAlign w:val="center"/>
            <w:hideMark/>
          </w:tcPr>
          <w:p w14:paraId="37384DC4"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947,0</w:t>
            </w:r>
          </w:p>
        </w:tc>
        <w:tc>
          <w:tcPr>
            <w:tcW w:w="567" w:type="dxa"/>
            <w:tcBorders>
              <w:top w:val="outset" w:sz="6" w:space="0" w:color="auto"/>
              <w:left w:val="outset" w:sz="6" w:space="0" w:color="auto"/>
              <w:bottom w:val="outset" w:sz="6" w:space="0" w:color="auto"/>
              <w:right w:val="outset" w:sz="6" w:space="0" w:color="auto"/>
            </w:tcBorders>
            <w:vAlign w:val="center"/>
            <w:hideMark/>
          </w:tcPr>
          <w:p w14:paraId="060C2CCD" w14:textId="2A61E714"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1C1F6AB9" w14:textId="08EABF9D"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7C4E0229" w14:textId="30C5993E"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57B5DF9F" w14:textId="380EAE4F"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7750B2F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53,28</w:t>
            </w:r>
          </w:p>
        </w:tc>
        <w:tc>
          <w:tcPr>
            <w:tcW w:w="935" w:type="dxa"/>
            <w:tcBorders>
              <w:top w:val="outset" w:sz="6" w:space="0" w:color="auto"/>
              <w:left w:val="outset" w:sz="6" w:space="0" w:color="auto"/>
              <w:bottom w:val="outset" w:sz="6" w:space="0" w:color="auto"/>
              <w:right w:val="outset" w:sz="6" w:space="0" w:color="auto"/>
            </w:tcBorders>
            <w:vAlign w:val="center"/>
            <w:hideMark/>
          </w:tcPr>
          <w:p w14:paraId="6DEFD17A" w14:textId="2641EAD0"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24442471" w14:textId="49D9E66F"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33463300"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012D11E3" w14:textId="2794A3A3"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3913F2E1"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Sulfat de magneziu (MgSO</w:t>
            </w:r>
            <w:r w:rsidRPr="00827721">
              <w:rPr>
                <w:rFonts w:eastAsia="Times New Roman"/>
                <w:sz w:val="20"/>
                <w:szCs w:val="20"/>
                <w:vertAlign w:val="subscript"/>
                <w:lang w:eastAsia="ro-RO"/>
              </w:rPr>
              <w:t>4</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4D596B2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191,4</w:t>
            </w:r>
          </w:p>
        </w:tc>
        <w:tc>
          <w:tcPr>
            <w:tcW w:w="709" w:type="dxa"/>
            <w:tcBorders>
              <w:top w:val="outset" w:sz="6" w:space="0" w:color="auto"/>
              <w:left w:val="outset" w:sz="6" w:space="0" w:color="auto"/>
              <w:bottom w:val="outset" w:sz="6" w:space="0" w:color="auto"/>
              <w:right w:val="outset" w:sz="6" w:space="0" w:color="auto"/>
            </w:tcBorders>
            <w:vAlign w:val="center"/>
            <w:hideMark/>
          </w:tcPr>
          <w:p w14:paraId="7A71363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0,04</w:t>
            </w:r>
          </w:p>
        </w:tc>
        <w:tc>
          <w:tcPr>
            <w:tcW w:w="708" w:type="dxa"/>
            <w:tcBorders>
              <w:top w:val="outset" w:sz="6" w:space="0" w:color="auto"/>
              <w:left w:val="outset" w:sz="6" w:space="0" w:color="auto"/>
              <w:bottom w:val="outset" w:sz="6" w:space="0" w:color="auto"/>
              <w:right w:val="outset" w:sz="6" w:space="0" w:color="auto"/>
            </w:tcBorders>
            <w:vAlign w:val="center"/>
            <w:hideMark/>
          </w:tcPr>
          <w:p w14:paraId="643A0E3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w:t>
            </w:r>
          </w:p>
        </w:tc>
        <w:tc>
          <w:tcPr>
            <w:tcW w:w="709" w:type="dxa"/>
            <w:tcBorders>
              <w:top w:val="outset" w:sz="6" w:space="0" w:color="auto"/>
              <w:left w:val="outset" w:sz="6" w:space="0" w:color="auto"/>
              <w:bottom w:val="outset" w:sz="6" w:space="0" w:color="auto"/>
              <w:right w:val="outset" w:sz="6" w:space="0" w:color="auto"/>
            </w:tcBorders>
            <w:vAlign w:val="center"/>
            <w:hideMark/>
          </w:tcPr>
          <w:p w14:paraId="2240F26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191,8</w:t>
            </w:r>
          </w:p>
        </w:tc>
        <w:tc>
          <w:tcPr>
            <w:tcW w:w="567" w:type="dxa"/>
            <w:tcBorders>
              <w:top w:val="outset" w:sz="6" w:space="0" w:color="auto"/>
              <w:left w:val="outset" w:sz="6" w:space="0" w:color="auto"/>
              <w:bottom w:val="outset" w:sz="6" w:space="0" w:color="auto"/>
              <w:right w:val="outset" w:sz="6" w:space="0" w:color="auto"/>
            </w:tcBorders>
            <w:vAlign w:val="center"/>
            <w:hideMark/>
          </w:tcPr>
          <w:p w14:paraId="30A14F9C" w14:textId="0C565BF7"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777F1DC" w14:textId="6812CB99"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0F8644C4" w14:textId="3419A79E"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D08BD64" w14:textId="476A04FE"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435662E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-3,24</w:t>
            </w:r>
          </w:p>
        </w:tc>
        <w:tc>
          <w:tcPr>
            <w:tcW w:w="935" w:type="dxa"/>
            <w:tcBorders>
              <w:top w:val="outset" w:sz="6" w:space="0" w:color="auto"/>
              <w:left w:val="outset" w:sz="6" w:space="0" w:color="auto"/>
              <w:bottom w:val="outset" w:sz="6" w:space="0" w:color="auto"/>
              <w:right w:val="outset" w:sz="6" w:space="0" w:color="auto"/>
            </w:tcBorders>
            <w:vAlign w:val="center"/>
            <w:hideMark/>
          </w:tcPr>
          <w:p w14:paraId="641DB70C" w14:textId="494E67DA"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630433DB" w14:textId="5FF2FF65"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6E0C4A3E"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271F43B2" w14:textId="5740159D"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7574BC15"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 xml:space="preserve">Fosfat </w:t>
            </w:r>
            <w:proofErr w:type="spellStart"/>
            <w:r w:rsidRPr="00827721">
              <w:rPr>
                <w:rFonts w:eastAsia="Times New Roman"/>
                <w:sz w:val="20"/>
                <w:szCs w:val="20"/>
                <w:lang w:eastAsia="ro-RO"/>
              </w:rPr>
              <w:t>monopotasic</w:t>
            </w:r>
            <w:proofErr w:type="spellEnd"/>
            <w:r w:rsidRPr="00827721">
              <w:rPr>
                <w:rFonts w:eastAsia="Times New Roman"/>
                <w:sz w:val="20"/>
                <w:szCs w:val="20"/>
                <w:lang w:eastAsia="ro-RO"/>
              </w:rPr>
              <w:t xml:space="preserve"> (KH</w:t>
            </w:r>
            <w:r w:rsidRPr="00827721">
              <w:rPr>
                <w:rFonts w:eastAsia="Times New Roman"/>
                <w:sz w:val="20"/>
                <w:szCs w:val="20"/>
                <w:vertAlign w:val="subscript"/>
                <w:lang w:eastAsia="ro-RO"/>
              </w:rPr>
              <w:t>2</w:t>
            </w:r>
            <w:r w:rsidRPr="00827721">
              <w:rPr>
                <w:rFonts w:eastAsia="Times New Roman"/>
                <w:sz w:val="20"/>
                <w:szCs w:val="20"/>
                <w:lang w:eastAsia="ro-RO"/>
              </w:rPr>
              <w:t>PO</w:t>
            </w:r>
            <w:r w:rsidRPr="00827721">
              <w:rPr>
                <w:rFonts w:eastAsia="Times New Roman"/>
                <w:sz w:val="20"/>
                <w:szCs w:val="20"/>
                <w:vertAlign w:val="subscript"/>
                <w:lang w:eastAsia="ro-RO"/>
              </w:rPr>
              <w:t>4</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1A60693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238,7</w:t>
            </w:r>
          </w:p>
        </w:tc>
        <w:tc>
          <w:tcPr>
            <w:tcW w:w="709" w:type="dxa"/>
            <w:tcBorders>
              <w:top w:val="outset" w:sz="6" w:space="0" w:color="auto"/>
              <w:left w:val="outset" w:sz="6" w:space="0" w:color="auto"/>
              <w:bottom w:val="outset" w:sz="6" w:space="0" w:color="auto"/>
              <w:right w:val="outset" w:sz="6" w:space="0" w:color="auto"/>
            </w:tcBorders>
            <w:vAlign w:val="center"/>
            <w:hideMark/>
          </w:tcPr>
          <w:p w14:paraId="7FB138E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0,91</w:t>
            </w:r>
          </w:p>
        </w:tc>
        <w:tc>
          <w:tcPr>
            <w:tcW w:w="708" w:type="dxa"/>
            <w:tcBorders>
              <w:top w:val="outset" w:sz="6" w:space="0" w:color="auto"/>
              <w:left w:val="outset" w:sz="6" w:space="0" w:color="auto"/>
              <w:bottom w:val="outset" w:sz="6" w:space="0" w:color="auto"/>
              <w:right w:val="outset" w:sz="6" w:space="0" w:color="auto"/>
            </w:tcBorders>
            <w:vAlign w:val="center"/>
            <w:hideMark/>
          </w:tcPr>
          <w:p w14:paraId="4CE19CA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0,012</w:t>
            </w:r>
          </w:p>
        </w:tc>
        <w:tc>
          <w:tcPr>
            <w:tcW w:w="709" w:type="dxa"/>
            <w:tcBorders>
              <w:top w:val="outset" w:sz="6" w:space="0" w:color="auto"/>
              <w:left w:val="outset" w:sz="6" w:space="0" w:color="auto"/>
              <w:bottom w:val="outset" w:sz="6" w:space="0" w:color="auto"/>
              <w:right w:val="outset" w:sz="6" w:space="0" w:color="auto"/>
            </w:tcBorders>
            <w:vAlign w:val="center"/>
            <w:hideMark/>
          </w:tcPr>
          <w:p w14:paraId="0644D59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264,9</w:t>
            </w:r>
          </w:p>
        </w:tc>
        <w:tc>
          <w:tcPr>
            <w:tcW w:w="567" w:type="dxa"/>
            <w:tcBorders>
              <w:top w:val="outset" w:sz="6" w:space="0" w:color="auto"/>
              <w:left w:val="outset" w:sz="6" w:space="0" w:color="auto"/>
              <w:bottom w:val="outset" w:sz="6" w:space="0" w:color="auto"/>
              <w:right w:val="outset" w:sz="6" w:space="0" w:color="auto"/>
            </w:tcBorders>
            <w:vAlign w:val="center"/>
            <w:hideMark/>
          </w:tcPr>
          <w:p w14:paraId="19C2F0E7" w14:textId="508A113C"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66A088BC" w14:textId="5BC40589"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7AA84B1" w14:textId="0A153157"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3B13F76" w14:textId="083CA06F"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1DC5E7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4,43</w:t>
            </w:r>
          </w:p>
        </w:tc>
        <w:tc>
          <w:tcPr>
            <w:tcW w:w="935" w:type="dxa"/>
            <w:tcBorders>
              <w:top w:val="outset" w:sz="6" w:space="0" w:color="auto"/>
              <w:left w:val="outset" w:sz="6" w:space="0" w:color="auto"/>
              <w:bottom w:val="outset" w:sz="6" w:space="0" w:color="auto"/>
              <w:right w:val="outset" w:sz="6" w:space="0" w:color="auto"/>
            </w:tcBorders>
            <w:vAlign w:val="center"/>
            <w:hideMark/>
          </w:tcPr>
          <w:p w14:paraId="5E200751" w14:textId="18E37487"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0DC58858" w14:textId="68FA2D57"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5F929798"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68892827" w14:textId="6A127E8A"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70D65547"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Azot</w:t>
            </w:r>
          </w:p>
        </w:tc>
        <w:tc>
          <w:tcPr>
            <w:tcW w:w="772" w:type="dxa"/>
            <w:tcBorders>
              <w:top w:val="outset" w:sz="6" w:space="0" w:color="auto"/>
              <w:left w:val="outset" w:sz="6" w:space="0" w:color="auto"/>
              <w:bottom w:val="outset" w:sz="6" w:space="0" w:color="auto"/>
              <w:right w:val="outset" w:sz="6" w:space="0" w:color="auto"/>
            </w:tcBorders>
            <w:vAlign w:val="center"/>
            <w:hideMark/>
          </w:tcPr>
          <w:p w14:paraId="6992815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52,6</w:t>
            </w:r>
          </w:p>
        </w:tc>
        <w:tc>
          <w:tcPr>
            <w:tcW w:w="709" w:type="dxa"/>
            <w:tcBorders>
              <w:top w:val="outset" w:sz="6" w:space="0" w:color="auto"/>
              <w:left w:val="outset" w:sz="6" w:space="0" w:color="auto"/>
              <w:bottom w:val="outset" w:sz="6" w:space="0" w:color="auto"/>
              <w:right w:val="outset" w:sz="6" w:space="0" w:color="auto"/>
            </w:tcBorders>
            <w:vAlign w:val="center"/>
            <w:hideMark/>
          </w:tcPr>
          <w:p w14:paraId="347822C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0,12</w:t>
            </w:r>
          </w:p>
        </w:tc>
        <w:tc>
          <w:tcPr>
            <w:tcW w:w="708" w:type="dxa"/>
            <w:tcBorders>
              <w:top w:val="outset" w:sz="6" w:space="0" w:color="auto"/>
              <w:left w:val="outset" w:sz="6" w:space="0" w:color="auto"/>
              <w:bottom w:val="outset" w:sz="6" w:space="0" w:color="auto"/>
              <w:right w:val="outset" w:sz="6" w:space="0" w:color="auto"/>
            </w:tcBorders>
            <w:vAlign w:val="center"/>
            <w:hideMark/>
          </w:tcPr>
          <w:p w14:paraId="7FDBB72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0,0024</w:t>
            </w:r>
          </w:p>
        </w:tc>
        <w:tc>
          <w:tcPr>
            <w:tcW w:w="709" w:type="dxa"/>
            <w:tcBorders>
              <w:top w:val="outset" w:sz="6" w:space="0" w:color="auto"/>
              <w:left w:val="outset" w:sz="6" w:space="0" w:color="auto"/>
              <w:bottom w:val="outset" w:sz="6" w:space="0" w:color="auto"/>
              <w:right w:val="outset" w:sz="6" w:space="0" w:color="auto"/>
            </w:tcBorders>
            <w:vAlign w:val="center"/>
            <w:hideMark/>
          </w:tcPr>
          <w:p w14:paraId="2B0F866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56,4</w:t>
            </w:r>
          </w:p>
        </w:tc>
        <w:tc>
          <w:tcPr>
            <w:tcW w:w="567" w:type="dxa"/>
            <w:tcBorders>
              <w:top w:val="outset" w:sz="6" w:space="0" w:color="auto"/>
              <w:left w:val="outset" w:sz="6" w:space="0" w:color="auto"/>
              <w:bottom w:val="outset" w:sz="6" w:space="0" w:color="auto"/>
              <w:right w:val="outset" w:sz="6" w:space="0" w:color="auto"/>
            </w:tcBorders>
            <w:vAlign w:val="center"/>
            <w:hideMark/>
          </w:tcPr>
          <w:p w14:paraId="0DA4E349" w14:textId="628D6D37"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09B01947" w14:textId="66A3C533"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3C65D48" w14:textId="33D116C9"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BF57E9B" w14:textId="60AA5BB0"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0406C5E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1,08</w:t>
            </w:r>
          </w:p>
        </w:tc>
        <w:tc>
          <w:tcPr>
            <w:tcW w:w="935" w:type="dxa"/>
            <w:tcBorders>
              <w:top w:val="outset" w:sz="6" w:space="0" w:color="auto"/>
              <w:left w:val="outset" w:sz="6" w:space="0" w:color="auto"/>
              <w:bottom w:val="outset" w:sz="6" w:space="0" w:color="auto"/>
              <w:right w:val="outset" w:sz="6" w:space="0" w:color="auto"/>
            </w:tcBorders>
            <w:vAlign w:val="center"/>
            <w:hideMark/>
          </w:tcPr>
          <w:p w14:paraId="12E39866" w14:textId="028C5D29"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405A343B" w14:textId="5DDEA8C9"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333A8E49"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15CE8C18" w14:textId="7763EE04"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2FE14172"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Acid fosforic (H</w:t>
            </w:r>
            <w:r w:rsidRPr="00827721">
              <w:rPr>
                <w:rFonts w:eastAsia="Times New Roman"/>
                <w:sz w:val="20"/>
                <w:szCs w:val="20"/>
                <w:vertAlign w:val="subscript"/>
                <w:lang w:eastAsia="ro-RO"/>
              </w:rPr>
              <w:t>3</w:t>
            </w:r>
            <w:r w:rsidRPr="00827721">
              <w:rPr>
                <w:rFonts w:eastAsia="Times New Roman"/>
                <w:sz w:val="20"/>
                <w:szCs w:val="20"/>
                <w:lang w:eastAsia="ro-RO"/>
              </w:rPr>
              <w:t>PO</w:t>
            </w:r>
            <w:r w:rsidRPr="00827721">
              <w:rPr>
                <w:rFonts w:eastAsia="Times New Roman"/>
                <w:sz w:val="20"/>
                <w:szCs w:val="20"/>
                <w:vertAlign w:val="subscript"/>
                <w:lang w:eastAsia="ro-RO"/>
              </w:rPr>
              <w:t>4</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6F988C4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2 808,9</w:t>
            </w:r>
          </w:p>
        </w:tc>
        <w:tc>
          <w:tcPr>
            <w:tcW w:w="709" w:type="dxa"/>
            <w:tcBorders>
              <w:top w:val="outset" w:sz="6" w:space="0" w:color="auto"/>
              <w:left w:val="outset" w:sz="6" w:space="0" w:color="auto"/>
              <w:bottom w:val="outset" w:sz="6" w:space="0" w:color="auto"/>
              <w:right w:val="outset" w:sz="6" w:space="0" w:color="auto"/>
            </w:tcBorders>
            <w:vAlign w:val="center"/>
            <w:hideMark/>
          </w:tcPr>
          <w:p w14:paraId="4A496B4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11,36</w:t>
            </w:r>
          </w:p>
        </w:tc>
        <w:tc>
          <w:tcPr>
            <w:tcW w:w="708" w:type="dxa"/>
            <w:tcBorders>
              <w:top w:val="outset" w:sz="6" w:space="0" w:color="auto"/>
              <w:left w:val="outset" w:sz="6" w:space="0" w:color="auto"/>
              <w:bottom w:val="outset" w:sz="6" w:space="0" w:color="auto"/>
              <w:right w:val="outset" w:sz="6" w:space="0" w:color="auto"/>
            </w:tcBorders>
            <w:vAlign w:val="center"/>
            <w:hideMark/>
          </w:tcPr>
          <w:p w14:paraId="7DA5A90E"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0,1067</w:t>
            </w:r>
          </w:p>
        </w:tc>
        <w:tc>
          <w:tcPr>
            <w:tcW w:w="709" w:type="dxa"/>
            <w:tcBorders>
              <w:top w:val="outset" w:sz="6" w:space="0" w:color="auto"/>
              <w:left w:val="outset" w:sz="6" w:space="0" w:color="auto"/>
              <w:bottom w:val="outset" w:sz="6" w:space="0" w:color="auto"/>
              <w:right w:val="outset" w:sz="6" w:space="0" w:color="auto"/>
            </w:tcBorders>
            <w:vAlign w:val="center"/>
            <w:hideMark/>
          </w:tcPr>
          <w:p w14:paraId="5753809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3 124,7</w:t>
            </w:r>
          </w:p>
        </w:tc>
        <w:tc>
          <w:tcPr>
            <w:tcW w:w="567" w:type="dxa"/>
            <w:tcBorders>
              <w:top w:val="outset" w:sz="6" w:space="0" w:color="auto"/>
              <w:left w:val="outset" w:sz="6" w:space="0" w:color="auto"/>
              <w:bottom w:val="outset" w:sz="6" w:space="0" w:color="auto"/>
              <w:right w:val="outset" w:sz="6" w:space="0" w:color="auto"/>
            </w:tcBorders>
            <w:vAlign w:val="center"/>
            <w:hideMark/>
          </w:tcPr>
          <w:p w14:paraId="3979CAB2" w14:textId="4FAEF6DB"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1061E955" w14:textId="0640FC84"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17410D1E" w14:textId="0623F5F9"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35A0E3F5" w14:textId="41FE1E62"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7856005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28,61</w:t>
            </w:r>
          </w:p>
        </w:tc>
        <w:tc>
          <w:tcPr>
            <w:tcW w:w="935" w:type="dxa"/>
            <w:tcBorders>
              <w:top w:val="outset" w:sz="6" w:space="0" w:color="auto"/>
              <w:left w:val="outset" w:sz="6" w:space="0" w:color="auto"/>
              <w:bottom w:val="outset" w:sz="6" w:space="0" w:color="auto"/>
              <w:right w:val="outset" w:sz="6" w:space="0" w:color="auto"/>
            </w:tcBorders>
            <w:vAlign w:val="center"/>
            <w:hideMark/>
          </w:tcPr>
          <w:p w14:paraId="16584813" w14:textId="4CE06DA4"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53D1D08D" w14:textId="58DB16D3"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7BA123C3"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687150EC" w14:textId="2CA016C4"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5E3A55BC"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Hidroxid de potasiu (KOH)</w:t>
            </w:r>
          </w:p>
        </w:tc>
        <w:tc>
          <w:tcPr>
            <w:tcW w:w="772" w:type="dxa"/>
            <w:tcBorders>
              <w:top w:val="outset" w:sz="6" w:space="0" w:color="auto"/>
              <w:left w:val="outset" w:sz="6" w:space="0" w:color="auto"/>
              <w:bottom w:val="outset" w:sz="6" w:space="0" w:color="auto"/>
              <w:right w:val="outset" w:sz="6" w:space="0" w:color="auto"/>
            </w:tcBorders>
            <w:vAlign w:val="center"/>
            <w:hideMark/>
          </w:tcPr>
          <w:p w14:paraId="7EF7EBA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403,0</w:t>
            </w:r>
          </w:p>
        </w:tc>
        <w:tc>
          <w:tcPr>
            <w:tcW w:w="709" w:type="dxa"/>
            <w:tcBorders>
              <w:top w:val="outset" w:sz="6" w:space="0" w:color="auto"/>
              <w:left w:val="outset" w:sz="6" w:space="0" w:color="auto"/>
              <w:bottom w:val="outset" w:sz="6" w:space="0" w:color="auto"/>
              <w:right w:val="outset" w:sz="6" w:space="0" w:color="auto"/>
            </w:tcBorders>
            <w:vAlign w:val="center"/>
            <w:hideMark/>
          </w:tcPr>
          <w:p w14:paraId="081773A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0,40</w:t>
            </w:r>
          </w:p>
        </w:tc>
        <w:tc>
          <w:tcPr>
            <w:tcW w:w="708" w:type="dxa"/>
            <w:tcBorders>
              <w:top w:val="outset" w:sz="6" w:space="0" w:color="auto"/>
              <w:left w:val="outset" w:sz="6" w:space="0" w:color="auto"/>
              <w:bottom w:val="outset" w:sz="6" w:space="0" w:color="auto"/>
              <w:right w:val="outset" w:sz="6" w:space="0" w:color="auto"/>
            </w:tcBorders>
            <w:vAlign w:val="center"/>
            <w:hideMark/>
          </w:tcPr>
          <w:p w14:paraId="06BBAFF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0,0208</w:t>
            </w:r>
          </w:p>
        </w:tc>
        <w:tc>
          <w:tcPr>
            <w:tcW w:w="709" w:type="dxa"/>
            <w:tcBorders>
              <w:top w:val="outset" w:sz="6" w:space="0" w:color="auto"/>
              <w:left w:val="outset" w:sz="6" w:space="0" w:color="auto"/>
              <w:bottom w:val="outset" w:sz="6" w:space="0" w:color="auto"/>
              <w:right w:val="outset" w:sz="6" w:space="0" w:color="auto"/>
            </w:tcBorders>
            <w:vAlign w:val="center"/>
            <w:hideMark/>
          </w:tcPr>
          <w:p w14:paraId="6959A33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419,1</w:t>
            </w:r>
          </w:p>
        </w:tc>
        <w:tc>
          <w:tcPr>
            <w:tcW w:w="567" w:type="dxa"/>
            <w:tcBorders>
              <w:top w:val="outset" w:sz="6" w:space="0" w:color="auto"/>
              <w:left w:val="outset" w:sz="6" w:space="0" w:color="auto"/>
              <w:bottom w:val="outset" w:sz="6" w:space="0" w:color="auto"/>
              <w:right w:val="outset" w:sz="6" w:space="0" w:color="auto"/>
            </w:tcBorders>
            <w:vAlign w:val="center"/>
            <w:hideMark/>
          </w:tcPr>
          <w:p w14:paraId="2ED66532" w14:textId="149637B8"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71F4F332" w14:textId="61E45181"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5D22C2AB" w14:textId="0F179C88"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1992FD8E" w14:textId="68078C38"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3715E57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11,47</w:t>
            </w:r>
          </w:p>
        </w:tc>
        <w:tc>
          <w:tcPr>
            <w:tcW w:w="935" w:type="dxa"/>
            <w:tcBorders>
              <w:top w:val="outset" w:sz="6" w:space="0" w:color="auto"/>
              <w:left w:val="outset" w:sz="6" w:space="0" w:color="auto"/>
              <w:bottom w:val="outset" w:sz="6" w:space="0" w:color="auto"/>
              <w:right w:val="outset" w:sz="6" w:space="0" w:color="auto"/>
            </w:tcBorders>
            <w:vAlign w:val="center"/>
            <w:hideMark/>
          </w:tcPr>
          <w:p w14:paraId="5E11A907" w14:textId="049B2BF2"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668E495B" w14:textId="4FF19018"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31DA2A1A"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6FE5EBC5" w14:textId="17DCB8A5"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6292CF30" w14:textId="77777777" w:rsidR="008C4F89" w:rsidRPr="00827721" w:rsidRDefault="008C4F89" w:rsidP="005936CD">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CaO</w:t>
            </w:r>
            <w:proofErr w:type="spellEnd"/>
            <w:r w:rsidRPr="00827721">
              <w:rPr>
                <w:rFonts w:eastAsia="Times New Roman"/>
                <w:sz w:val="20"/>
                <w:szCs w:val="20"/>
                <w:lang w:eastAsia="ro-RO"/>
              </w:rPr>
              <w:t xml:space="preserve"> pur pentru procese</w:t>
            </w:r>
          </w:p>
        </w:tc>
        <w:tc>
          <w:tcPr>
            <w:tcW w:w="772" w:type="dxa"/>
            <w:tcBorders>
              <w:top w:val="outset" w:sz="6" w:space="0" w:color="auto"/>
              <w:left w:val="outset" w:sz="6" w:space="0" w:color="auto"/>
              <w:bottom w:val="outset" w:sz="6" w:space="0" w:color="auto"/>
              <w:right w:val="outset" w:sz="6" w:space="0" w:color="auto"/>
            </w:tcBorders>
            <w:vAlign w:val="center"/>
            <w:hideMark/>
          </w:tcPr>
          <w:p w14:paraId="3523508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1 188,5</w:t>
            </w:r>
          </w:p>
        </w:tc>
        <w:tc>
          <w:tcPr>
            <w:tcW w:w="709" w:type="dxa"/>
            <w:tcBorders>
              <w:top w:val="outset" w:sz="6" w:space="0" w:color="auto"/>
              <w:left w:val="outset" w:sz="6" w:space="0" w:color="auto"/>
              <w:bottom w:val="outset" w:sz="6" w:space="0" w:color="auto"/>
              <w:right w:val="outset" w:sz="6" w:space="0" w:color="auto"/>
            </w:tcBorders>
            <w:vAlign w:val="center"/>
            <w:hideMark/>
          </w:tcPr>
          <w:p w14:paraId="26D65BE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w:t>
            </w:r>
          </w:p>
        </w:tc>
        <w:tc>
          <w:tcPr>
            <w:tcW w:w="708" w:type="dxa"/>
            <w:tcBorders>
              <w:top w:val="outset" w:sz="6" w:space="0" w:color="auto"/>
              <w:left w:val="outset" w:sz="6" w:space="0" w:color="auto"/>
              <w:bottom w:val="outset" w:sz="6" w:space="0" w:color="auto"/>
              <w:right w:val="outset" w:sz="6" w:space="0" w:color="auto"/>
            </w:tcBorders>
            <w:vAlign w:val="center"/>
            <w:hideMark/>
          </w:tcPr>
          <w:p w14:paraId="0890CAF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0,0080</w:t>
            </w:r>
          </w:p>
        </w:tc>
        <w:tc>
          <w:tcPr>
            <w:tcW w:w="709" w:type="dxa"/>
            <w:tcBorders>
              <w:top w:val="outset" w:sz="6" w:space="0" w:color="auto"/>
              <w:left w:val="outset" w:sz="6" w:space="0" w:color="auto"/>
              <w:bottom w:val="outset" w:sz="6" w:space="0" w:color="auto"/>
              <w:right w:val="outset" w:sz="6" w:space="0" w:color="auto"/>
            </w:tcBorders>
            <w:vAlign w:val="center"/>
            <w:hideMark/>
          </w:tcPr>
          <w:p w14:paraId="35C65C76"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1 193,2</w:t>
            </w:r>
          </w:p>
        </w:tc>
        <w:tc>
          <w:tcPr>
            <w:tcW w:w="567" w:type="dxa"/>
            <w:tcBorders>
              <w:top w:val="outset" w:sz="6" w:space="0" w:color="auto"/>
              <w:left w:val="outset" w:sz="6" w:space="0" w:color="auto"/>
              <w:bottom w:val="outset" w:sz="6" w:space="0" w:color="auto"/>
              <w:right w:val="outset" w:sz="6" w:space="0" w:color="auto"/>
            </w:tcBorders>
            <w:vAlign w:val="center"/>
            <w:hideMark/>
          </w:tcPr>
          <w:p w14:paraId="15D5FDB3" w14:textId="09A43E01"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D7285E8" w14:textId="7CEB5858"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D87F2DE" w14:textId="6BA919B5"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37D0378" w14:textId="0131D6DE"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0DFADDC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7,87</w:t>
            </w:r>
          </w:p>
        </w:tc>
        <w:tc>
          <w:tcPr>
            <w:tcW w:w="935" w:type="dxa"/>
            <w:tcBorders>
              <w:top w:val="outset" w:sz="6" w:space="0" w:color="auto"/>
              <w:left w:val="outset" w:sz="6" w:space="0" w:color="auto"/>
              <w:bottom w:val="outset" w:sz="6" w:space="0" w:color="auto"/>
              <w:right w:val="outset" w:sz="6" w:space="0" w:color="auto"/>
            </w:tcBorders>
            <w:vAlign w:val="center"/>
            <w:hideMark/>
          </w:tcPr>
          <w:p w14:paraId="6C19C957" w14:textId="700CB692"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344E1075" w14:textId="32C4FA86"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2270D40A"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198DF9DE" w14:textId="514C2AC4"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76B78BFE"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Carbonat de sodiu (Na</w:t>
            </w:r>
            <w:r w:rsidRPr="00827721">
              <w:rPr>
                <w:rFonts w:eastAsia="Times New Roman"/>
                <w:sz w:val="20"/>
                <w:szCs w:val="20"/>
                <w:vertAlign w:val="subscript"/>
                <w:lang w:eastAsia="ro-RO"/>
              </w:rPr>
              <w:t>2</w:t>
            </w:r>
            <w:r w:rsidRPr="00827721">
              <w:rPr>
                <w:rFonts w:eastAsia="Times New Roman"/>
                <w:sz w:val="20"/>
                <w:szCs w:val="20"/>
                <w:lang w:eastAsia="ro-RO"/>
              </w:rPr>
              <w:t>CO</w:t>
            </w:r>
            <w:r w:rsidRPr="00827721">
              <w:rPr>
                <w:rFonts w:eastAsia="Times New Roman"/>
                <w:sz w:val="20"/>
                <w:szCs w:val="20"/>
                <w:vertAlign w:val="subscript"/>
                <w:lang w:eastAsia="ro-RO"/>
              </w:rPr>
              <w:t>3</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7A82810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1 133,5</w:t>
            </w:r>
          </w:p>
        </w:tc>
        <w:tc>
          <w:tcPr>
            <w:tcW w:w="709" w:type="dxa"/>
            <w:tcBorders>
              <w:top w:val="outset" w:sz="6" w:space="0" w:color="auto"/>
              <w:left w:val="outset" w:sz="6" w:space="0" w:color="auto"/>
              <w:bottom w:val="outset" w:sz="6" w:space="0" w:color="auto"/>
              <w:right w:val="outset" w:sz="6" w:space="0" w:color="auto"/>
            </w:tcBorders>
            <w:vAlign w:val="center"/>
            <w:hideMark/>
          </w:tcPr>
          <w:p w14:paraId="7B9C461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4,39</w:t>
            </w:r>
          </w:p>
        </w:tc>
        <w:tc>
          <w:tcPr>
            <w:tcW w:w="708" w:type="dxa"/>
            <w:tcBorders>
              <w:top w:val="outset" w:sz="6" w:space="0" w:color="auto"/>
              <w:left w:val="outset" w:sz="6" w:space="0" w:color="auto"/>
              <w:bottom w:val="outset" w:sz="6" w:space="0" w:color="auto"/>
              <w:right w:val="outset" w:sz="6" w:space="0" w:color="auto"/>
            </w:tcBorders>
            <w:vAlign w:val="center"/>
            <w:hideMark/>
          </w:tcPr>
          <w:p w14:paraId="353A309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0,0060</w:t>
            </w:r>
          </w:p>
        </w:tc>
        <w:tc>
          <w:tcPr>
            <w:tcW w:w="709" w:type="dxa"/>
            <w:tcBorders>
              <w:top w:val="outset" w:sz="6" w:space="0" w:color="auto"/>
              <w:left w:val="outset" w:sz="6" w:space="0" w:color="auto"/>
              <w:bottom w:val="outset" w:sz="6" w:space="0" w:color="auto"/>
              <w:right w:val="outset" w:sz="6" w:space="0" w:color="auto"/>
            </w:tcBorders>
            <w:vAlign w:val="center"/>
            <w:hideMark/>
          </w:tcPr>
          <w:p w14:paraId="14669594"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1 245,1</w:t>
            </w:r>
          </w:p>
        </w:tc>
        <w:tc>
          <w:tcPr>
            <w:tcW w:w="567" w:type="dxa"/>
            <w:tcBorders>
              <w:top w:val="outset" w:sz="6" w:space="0" w:color="auto"/>
              <w:left w:val="outset" w:sz="6" w:space="0" w:color="auto"/>
              <w:bottom w:val="outset" w:sz="6" w:space="0" w:color="auto"/>
              <w:right w:val="outset" w:sz="6" w:space="0" w:color="auto"/>
            </w:tcBorders>
            <w:vAlign w:val="center"/>
            <w:hideMark/>
          </w:tcPr>
          <w:p w14:paraId="3E851340" w14:textId="72117E56"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124058D7" w14:textId="2428A0FB"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99CFABC" w14:textId="45B47AD9"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64BD4D7" w14:textId="49CBB2E2"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46310E14"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14,92</w:t>
            </w:r>
          </w:p>
        </w:tc>
        <w:tc>
          <w:tcPr>
            <w:tcW w:w="935" w:type="dxa"/>
            <w:tcBorders>
              <w:top w:val="outset" w:sz="6" w:space="0" w:color="auto"/>
              <w:left w:val="outset" w:sz="6" w:space="0" w:color="auto"/>
              <w:bottom w:val="outset" w:sz="6" w:space="0" w:color="auto"/>
              <w:right w:val="outset" w:sz="6" w:space="0" w:color="auto"/>
            </w:tcBorders>
            <w:vAlign w:val="center"/>
            <w:hideMark/>
          </w:tcPr>
          <w:p w14:paraId="62F5E42A" w14:textId="269A5787"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0E3F035E" w14:textId="0A1C9E34"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160EA18B"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5D834186" w14:textId="37D9C37B"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0F758CDF"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Clorură de sodiu (</w:t>
            </w:r>
            <w:proofErr w:type="spellStart"/>
            <w:r w:rsidRPr="00827721">
              <w:rPr>
                <w:rFonts w:eastAsia="Times New Roman"/>
                <w:sz w:val="20"/>
                <w:szCs w:val="20"/>
                <w:lang w:eastAsia="ro-RO"/>
              </w:rPr>
              <w:t>NaCl</w:t>
            </w:r>
            <w:proofErr w:type="spellEnd"/>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2BA9FCA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12,7</w:t>
            </w:r>
          </w:p>
        </w:tc>
        <w:tc>
          <w:tcPr>
            <w:tcW w:w="709" w:type="dxa"/>
            <w:tcBorders>
              <w:top w:val="outset" w:sz="6" w:space="0" w:color="auto"/>
              <w:left w:val="outset" w:sz="6" w:space="0" w:color="auto"/>
              <w:bottom w:val="outset" w:sz="6" w:space="0" w:color="auto"/>
              <w:right w:val="outset" w:sz="6" w:space="0" w:color="auto"/>
            </w:tcBorders>
            <w:vAlign w:val="center"/>
            <w:hideMark/>
          </w:tcPr>
          <w:p w14:paraId="334EBB5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0,02</w:t>
            </w:r>
          </w:p>
        </w:tc>
        <w:tc>
          <w:tcPr>
            <w:tcW w:w="708" w:type="dxa"/>
            <w:tcBorders>
              <w:top w:val="outset" w:sz="6" w:space="0" w:color="auto"/>
              <w:left w:val="outset" w:sz="6" w:space="0" w:color="auto"/>
              <w:bottom w:val="outset" w:sz="6" w:space="0" w:color="auto"/>
              <w:right w:val="outset" w:sz="6" w:space="0" w:color="auto"/>
            </w:tcBorders>
            <w:vAlign w:val="center"/>
            <w:hideMark/>
          </w:tcPr>
          <w:p w14:paraId="6E7580D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w:t>
            </w:r>
          </w:p>
        </w:tc>
        <w:tc>
          <w:tcPr>
            <w:tcW w:w="709" w:type="dxa"/>
            <w:tcBorders>
              <w:top w:val="outset" w:sz="6" w:space="0" w:color="auto"/>
              <w:left w:val="outset" w:sz="6" w:space="0" w:color="auto"/>
              <w:bottom w:val="outset" w:sz="6" w:space="0" w:color="auto"/>
              <w:right w:val="outset" w:sz="6" w:space="0" w:color="auto"/>
            </w:tcBorders>
            <w:vAlign w:val="center"/>
            <w:hideMark/>
          </w:tcPr>
          <w:p w14:paraId="2CDCDDE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13,3</w:t>
            </w:r>
          </w:p>
        </w:tc>
        <w:tc>
          <w:tcPr>
            <w:tcW w:w="567" w:type="dxa"/>
            <w:tcBorders>
              <w:top w:val="outset" w:sz="6" w:space="0" w:color="auto"/>
              <w:left w:val="outset" w:sz="6" w:space="0" w:color="auto"/>
              <w:bottom w:val="outset" w:sz="6" w:space="0" w:color="auto"/>
              <w:right w:val="outset" w:sz="6" w:space="0" w:color="auto"/>
            </w:tcBorders>
            <w:vAlign w:val="center"/>
            <w:hideMark/>
          </w:tcPr>
          <w:p w14:paraId="303A7F87" w14:textId="382D07B2"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F3B1AE2" w14:textId="328D127A"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9833CD3" w14:textId="690AB1DA"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AC133A2" w14:textId="06EDE14C"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50E6A48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0,23</w:t>
            </w:r>
          </w:p>
        </w:tc>
        <w:tc>
          <w:tcPr>
            <w:tcW w:w="935" w:type="dxa"/>
            <w:tcBorders>
              <w:top w:val="outset" w:sz="6" w:space="0" w:color="auto"/>
              <w:left w:val="outset" w:sz="6" w:space="0" w:color="auto"/>
              <w:bottom w:val="outset" w:sz="6" w:space="0" w:color="auto"/>
              <w:right w:val="outset" w:sz="6" w:space="0" w:color="auto"/>
            </w:tcBorders>
            <w:vAlign w:val="center"/>
            <w:hideMark/>
          </w:tcPr>
          <w:p w14:paraId="3B434868" w14:textId="6EE8E11F"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1F3D8471" w14:textId="77114B29"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3583246E"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4A5817B4" w14:textId="5A55E8BC"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309235CC"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Hidroxid de sodiu (</w:t>
            </w:r>
            <w:proofErr w:type="spellStart"/>
            <w:r w:rsidRPr="00827721">
              <w:rPr>
                <w:rFonts w:eastAsia="Times New Roman"/>
                <w:sz w:val="20"/>
                <w:szCs w:val="20"/>
                <w:lang w:eastAsia="ro-RO"/>
              </w:rPr>
              <w:t>NaOH</w:t>
            </w:r>
            <w:proofErr w:type="spellEnd"/>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7426B20A"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485,5</w:t>
            </w:r>
          </w:p>
        </w:tc>
        <w:tc>
          <w:tcPr>
            <w:tcW w:w="709" w:type="dxa"/>
            <w:tcBorders>
              <w:top w:val="outset" w:sz="6" w:space="0" w:color="auto"/>
              <w:left w:val="outset" w:sz="6" w:space="0" w:color="auto"/>
              <w:bottom w:val="outset" w:sz="6" w:space="0" w:color="auto"/>
              <w:right w:val="outset" w:sz="6" w:space="0" w:color="auto"/>
            </w:tcBorders>
            <w:vAlign w:val="center"/>
            <w:hideMark/>
          </w:tcPr>
          <w:p w14:paraId="0B892F2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1,45</w:t>
            </w:r>
          </w:p>
        </w:tc>
        <w:tc>
          <w:tcPr>
            <w:tcW w:w="708" w:type="dxa"/>
            <w:tcBorders>
              <w:top w:val="outset" w:sz="6" w:space="0" w:color="auto"/>
              <w:left w:val="outset" w:sz="6" w:space="0" w:color="auto"/>
              <w:bottom w:val="outset" w:sz="6" w:space="0" w:color="auto"/>
              <w:right w:val="outset" w:sz="6" w:space="0" w:color="auto"/>
            </w:tcBorders>
            <w:vAlign w:val="center"/>
            <w:hideMark/>
          </w:tcPr>
          <w:p w14:paraId="28E2DF6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0,0271</w:t>
            </w:r>
          </w:p>
        </w:tc>
        <w:tc>
          <w:tcPr>
            <w:tcW w:w="709" w:type="dxa"/>
            <w:tcBorders>
              <w:top w:val="outset" w:sz="6" w:space="0" w:color="auto"/>
              <w:left w:val="outset" w:sz="6" w:space="0" w:color="auto"/>
              <w:bottom w:val="outset" w:sz="6" w:space="0" w:color="auto"/>
              <w:right w:val="outset" w:sz="6" w:space="0" w:color="auto"/>
            </w:tcBorders>
            <w:vAlign w:val="center"/>
            <w:hideMark/>
          </w:tcPr>
          <w:p w14:paraId="22A081E1"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529,7</w:t>
            </w:r>
          </w:p>
        </w:tc>
        <w:tc>
          <w:tcPr>
            <w:tcW w:w="567" w:type="dxa"/>
            <w:tcBorders>
              <w:top w:val="outset" w:sz="6" w:space="0" w:color="auto"/>
              <w:left w:val="outset" w:sz="6" w:space="0" w:color="auto"/>
              <w:bottom w:val="outset" w:sz="6" w:space="0" w:color="auto"/>
              <w:right w:val="outset" w:sz="6" w:space="0" w:color="auto"/>
            </w:tcBorders>
            <w:vAlign w:val="center"/>
            <w:hideMark/>
          </w:tcPr>
          <w:p w14:paraId="02A34EF6" w14:textId="2CCE6DC2"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4E18EC03" w14:textId="06556FD1"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D231539" w14:textId="16AF4B38"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35F1E5ED" w14:textId="6D7D491F"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1C0E941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10,16</w:t>
            </w:r>
          </w:p>
        </w:tc>
        <w:tc>
          <w:tcPr>
            <w:tcW w:w="935" w:type="dxa"/>
            <w:tcBorders>
              <w:top w:val="outset" w:sz="6" w:space="0" w:color="auto"/>
              <w:left w:val="outset" w:sz="6" w:space="0" w:color="auto"/>
              <w:bottom w:val="outset" w:sz="6" w:space="0" w:color="auto"/>
              <w:right w:val="outset" w:sz="6" w:space="0" w:color="auto"/>
            </w:tcBorders>
            <w:vAlign w:val="center"/>
            <w:hideMark/>
          </w:tcPr>
          <w:p w14:paraId="7654B5EF" w14:textId="7A6B1362"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2AD481C5" w14:textId="78D390CE"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5C970B2B"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03195CD7" w14:textId="5DE54FDA"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7F0B6584" w14:textId="77777777" w:rsidR="008C4F89" w:rsidRPr="00827721" w:rsidRDefault="008C4F89" w:rsidP="005936CD">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Metoxid</w:t>
            </w:r>
            <w:proofErr w:type="spellEnd"/>
            <w:r w:rsidRPr="00827721">
              <w:rPr>
                <w:rFonts w:eastAsia="Times New Roman"/>
                <w:sz w:val="20"/>
                <w:szCs w:val="20"/>
                <w:lang w:eastAsia="ro-RO"/>
              </w:rPr>
              <w:t xml:space="preserve"> de sodiu [Na(CH</w:t>
            </w:r>
            <w:r w:rsidRPr="00827721">
              <w:rPr>
                <w:rFonts w:eastAsia="Times New Roman"/>
                <w:sz w:val="20"/>
                <w:szCs w:val="20"/>
                <w:vertAlign w:val="subscript"/>
                <w:lang w:eastAsia="ro-RO"/>
              </w:rPr>
              <w:t>3</w:t>
            </w:r>
            <w:r w:rsidRPr="00827721">
              <w:rPr>
                <w:rFonts w:eastAsia="Times New Roman"/>
                <w:sz w:val="20"/>
                <w:szCs w:val="20"/>
                <w:lang w:eastAsia="ro-RO"/>
              </w:rPr>
              <w:t>O)]</w:t>
            </w:r>
          </w:p>
        </w:tc>
        <w:tc>
          <w:tcPr>
            <w:tcW w:w="772" w:type="dxa"/>
            <w:tcBorders>
              <w:top w:val="outset" w:sz="6" w:space="0" w:color="auto"/>
              <w:left w:val="outset" w:sz="6" w:space="0" w:color="auto"/>
              <w:bottom w:val="outset" w:sz="6" w:space="0" w:color="auto"/>
              <w:right w:val="outset" w:sz="6" w:space="0" w:color="auto"/>
            </w:tcBorders>
            <w:vAlign w:val="center"/>
            <w:hideMark/>
          </w:tcPr>
          <w:p w14:paraId="734268BF"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2 207,7</w:t>
            </w:r>
          </w:p>
        </w:tc>
        <w:tc>
          <w:tcPr>
            <w:tcW w:w="709" w:type="dxa"/>
            <w:tcBorders>
              <w:top w:val="outset" w:sz="6" w:space="0" w:color="auto"/>
              <w:left w:val="outset" w:sz="6" w:space="0" w:color="auto"/>
              <w:bottom w:val="outset" w:sz="6" w:space="0" w:color="auto"/>
              <w:right w:val="outset" w:sz="6" w:space="0" w:color="auto"/>
            </w:tcBorders>
            <w:vAlign w:val="center"/>
            <w:hideMark/>
          </w:tcPr>
          <w:p w14:paraId="55B9589A"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7,56</w:t>
            </w:r>
          </w:p>
        </w:tc>
        <w:tc>
          <w:tcPr>
            <w:tcW w:w="708" w:type="dxa"/>
            <w:tcBorders>
              <w:top w:val="outset" w:sz="6" w:space="0" w:color="auto"/>
              <w:left w:val="outset" w:sz="6" w:space="0" w:color="auto"/>
              <w:bottom w:val="outset" w:sz="6" w:space="0" w:color="auto"/>
              <w:right w:val="outset" w:sz="6" w:space="0" w:color="auto"/>
            </w:tcBorders>
            <w:vAlign w:val="center"/>
            <w:hideMark/>
          </w:tcPr>
          <w:p w14:paraId="4288F77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0,0965</w:t>
            </w:r>
          </w:p>
        </w:tc>
        <w:tc>
          <w:tcPr>
            <w:tcW w:w="709" w:type="dxa"/>
            <w:tcBorders>
              <w:top w:val="outset" w:sz="6" w:space="0" w:color="auto"/>
              <w:left w:val="outset" w:sz="6" w:space="0" w:color="auto"/>
              <w:bottom w:val="outset" w:sz="6" w:space="0" w:color="auto"/>
              <w:right w:val="outset" w:sz="6" w:space="0" w:color="auto"/>
            </w:tcBorders>
            <w:vAlign w:val="center"/>
            <w:hideMark/>
          </w:tcPr>
          <w:p w14:paraId="1B8A832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2 425,5</w:t>
            </w:r>
          </w:p>
        </w:tc>
        <w:tc>
          <w:tcPr>
            <w:tcW w:w="567" w:type="dxa"/>
            <w:tcBorders>
              <w:top w:val="outset" w:sz="6" w:space="0" w:color="auto"/>
              <w:left w:val="outset" w:sz="6" w:space="0" w:color="auto"/>
              <w:bottom w:val="outset" w:sz="6" w:space="0" w:color="auto"/>
              <w:right w:val="outset" w:sz="6" w:space="0" w:color="auto"/>
            </w:tcBorders>
            <w:vAlign w:val="center"/>
            <w:hideMark/>
          </w:tcPr>
          <w:p w14:paraId="2BD6FAE3" w14:textId="413533FD"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7163B060" w14:textId="311849ED"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187251E2" w14:textId="0BD8DAD9"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74BBFA14" w14:textId="676738ED"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6A75CD3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45,64</w:t>
            </w:r>
          </w:p>
        </w:tc>
        <w:tc>
          <w:tcPr>
            <w:tcW w:w="935" w:type="dxa"/>
            <w:tcBorders>
              <w:top w:val="outset" w:sz="6" w:space="0" w:color="auto"/>
              <w:left w:val="outset" w:sz="6" w:space="0" w:color="auto"/>
              <w:bottom w:val="outset" w:sz="6" w:space="0" w:color="auto"/>
              <w:right w:val="outset" w:sz="6" w:space="0" w:color="auto"/>
            </w:tcBorders>
            <w:vAlign w:val="center"/>
            <w:hideMark/>
          </w:tcPr>
          <w:p w14:paraId="444DE1C9" w14:textId="7DFFD34E"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7ADBC810" w14:textId="5A5A572A"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5BD18A87"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2994461E" w14:textId="195070D4"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3852AA0A"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SO</w:t>
            </w:r>
            <w:r w:rsidRPr="00827721">
              <w:rPr>
                <w:rFonts w:eastAsia="Times New Roman"/>
                <w:sz w:val="20"/>
                <w:szCs w:val="20"/>
                <w:vertAlign w:val="subscript"/>
                <w:lang w:eastAsia="ro-RO"/>
              </w:rPr>
              <w:t>2</w:t>
            </w:r>
          </w:p>
        </w:tc>
        <w:tc>
          <w:tcPr>
            <w:tcW w:w="772" w:type="dxa"/>
            <w:tcBorders>
              <w:top w:val="outset" w:sz="6" w:space="0" w:color="auto"/>
              <w:left w:val="outset" w:sz="6" w:space="0" w:color="auto"/>
              <w:bottom w:val="outset" w:sz="6" w:space="0" w:color="auto"/>
              <w:right w:val="outset" w:sz="6" w:space="0" w:color="auto"/>
            </w:tcBorders>
            <w:vAlign w:val="center"/>
            <w:hideMark/>
          </w:tcPr>
          <w:p w14:paraId="565223DD"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52,0</w:t>
            </w:r>
          </w:p>
        </w:tc>
        <w:tc>
          <w:tcPr>
            <w:tcW w:w="709" w:type="dxa"/>
            <w:tcBorders>
              <w:top w:val="outset" w:sz="6" w:space="0" w:color="auto"/>
              <w:left w:val="outset" w:sz="6" w:space="0" w:color="auto"/>
              <w:bottom w:val="outset" w:sz="6" w:space="0" w:color="auto"/>
              <w:right w:val="outset" w:sz="6" w:space="0" w:color="auto"/>
            </w:tcBorders>
            <w:vAlign w:val="center"/>
            <w:hideMark/>
          </w:tcPr>
          <w:p w14:paraId="2836B425"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0,03</w:t>
            </w:r>
          </w:p>
        </w:tc>
        <w:tc>
          <w:tcPr>
            <w:tcW w:w="708" w:type="dxa"/>
            <w:tcBorders>
              <w:top w:val="outset" w:sz="6" w:space="0" w:color="auto"/>
              <w:left w:val="outset" w:sz="6" w:space="0" w:color="auto"/>
              <w:bottom w:val="outset" w:sz="6" w:space="0" w:color="auto"/>
              <w:right w:val="outset" w:sz="6" w:space="0" w:color="auto"/>
            </w:tcBorders>
            <w:vAlign w:val="center"/>
            <w:hideMark/>
          </w:tcPr>
          <w:p w14:paraId="55A9C7A2"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w:t>
            </w:r>
          </w:p>
        </w:tc>
        <w:tc>
          <w:tcPr>
            <w:tcW w:w="709" w:type="dxa"/>
            <w:tcBorders>
              <w:top w:val="outset" w:sz="6" w:space="0" w:color="auto"/>
              <w:left w:val="outset" w:sz="6" w:space="0" w:color="auto"/>
              <w:bottom w:val="outset" w:sz="6" w:space="0" w:color="auto"/>
              <w:right w:val="outset" w:sz="6" w:space="0" w:color="auto"/>
            </w:tcBorders>
            <w:vAlign w:val="center"/>
            <w:hideMark/>
          </w:tcPr>
          <w:p w14:paraId="6D5C63A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53,3</w:t>
            </w:r>
          </w:p>
        </w:tc>
        <w:tc>
          <w:tcPr>
            <w:tcW w:w="567" w:type="dxa"/>
            <w:tcBorders>
              <w:top w:val="outset" w:sz="6" w:space="0" w:color="auto"/>
              <w:left w:val="outset" w:sz="6" w:space="0" w:color="auto"/>
              <w:bottom w:val="outset" w:sz="6" w:space="0" w:color="auto"/>
              <w:right w:val="outset" w:sz="6" w:space="0" w:color="auto"/>
            </w:tcBorders>
            <w:vAlign w:val="center"/>
            <w:hideMark/>
          </w:tcPr>
          <w:p w14:paraId="0C68A4D0" w14:textId="3E053F1F"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2587859F" w14:textId="6A535463"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5B1DF83B" w14:textId="19D948C9"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27C8D69D" w14:textId="56CEBB9A"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5EDDFD14"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0,78</w:t>
            </w:r>
          </w:p>
        </w:tc>
        <w:tc>
          <w:tcPr>
            <w:tcW w:w="935" w:type="dxa"/>
            <w:tcBorders>
              <w:top w:val="outset" w:sz="6" w:space="0" w:color="auto"/>
              <w:left w:val="outset" w:sz="6" w:space="0" w:color="auto"/>
              <w:bottom w:val="outset" w:sz="6" w:space="0" w:color="auto"/>
              <w:right w:val="outset" w:sz="6" w:space="0" w:color="auto"/>
            </w:tcBorders>
            <w:vAlign w:val="center"/>
            <w:hideMark/>
          </w:tcPr>
          <w:p w14:paraId="0542E360" w14:textId="53FFD883"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72199E0F" w14:textId="19220411"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03167ABE"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10BC383C" w14:textId="3FCA134C"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1FC60B73"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Acid sulfuric (H</w:t>
            </w:r>
            <w:r w:rsidRPr="00827721">
              <w:rPr>
                <w:rFonts w:eastAsia="Times New Roman"/>
                <w:sz w:val="20"/>
                <w:szCs w:val="20"/>
                <w:vertAlign w:val="subscript"/>
                <w:lang w:eastAsia="ro-RO"/>
              </w:rPr>
              <w:t>2</w:t>
            </w:r>
            <w:r w:rsidRPr="00827721">
              <w:rPr>
                <w:rFonts w:eastAsia="Times New Roman"/>
                <w:sz w:val="20"/>
                <w:szCs w:val="20"/>
                <w:lang w:eastAsia="ro-RO"/>
              </w:rPr>
              <w:t>SO</w:t>
            </w:r>
            <w:r w:rsidRPr="00827721">
              <w:rPr>
                <w:rFonts w:eastAsia="Times New Roman"/>
                <w:sz w:val="20"/>
                <w:szCs w:val="20"/>
                <w:vertAlign w:val="subscript"/>
                <w:lang w:eastAsia="ro-RO"/>
              </w:rPr>
              <w:t>4</w:t>
            </w:r>
            <w:r w:rsidRPr="00827721">
              <w:rPr>
                <w:rFonts w:eastAsia="Times New Roman"/>
                <w:sz w:val="20"/>
                <w:szCs w:val="20"/>
                <w:lang w:eastAsia="ro-RO"/>
              </w:rPr>
              <w:t>)</w:t>
            </w:r>
          </w:p>
        </w:tc>
        <w:tc>
          <w:tcPr>
            <w:tcW w:w="772" w:type="dxa"/>
            <w:tcBorders>
              <w:top w:val="outset" w:sz="6" w:space="0" w:color="auto"/>
              <w:left w:val="outset" w:sz="6" w:space="0" w:color="auto"/>
              <w:bottom w:val="outset" w:sz="6" w:space="0" w:color="auto"/>
              <w:right w:val="outset" w:sz="6" w:space="0" w:color="auto"/>
            </w:tcBorders>
            <w:vAlign w:val="center"/>
            <w:hideMark/>
          </w:tcPr>
          <w:p w14:paraId="0BB1F05B"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210,2</w:t>
            </w:r>
          </w:p>
        </w:tc>
        <w:tc>
          <w:tcPr>
            <w:tcW w:w="709" w:type="dxa"/>
            <w:tcBorders>
              <w:top w:val="outset" w:sz="6" w:space="0" w:color="auto"/>
              <w:left w:val="outset" w:sz="6" w:space="0" w:color="auto"/>
              <w:bottom w:val="outset" w:sz="6" w:space="0" w:color="auto"/>
              <w:right w:val="outset" w:sz="6" w:space="0" w:color="auto"/>
            </w:tcBorders>
            <w:vAlign w:val="center"/>
            <w:hideMark/>
          </w:tcPr>
          <w:p w14:paraId="445E81AA"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c>
          <w:tcPr>
            <w:tcW w:w="708" w:type="dxa"/>
            <w:tcBorders>
              <w:top w:val="outset" w:sz="6" w:space="0" w:color="auto"/>
              <w:left w:val="outset" w:sz="6" w:space="0" w:color="auto"/>
              <w:bottom w:val="outset" w:sz="6" w:space="0" w:color="auto"/>
              <w:right w:val="outset" w:sz="6" w:space="0" w:color="auto"/>
            </w:tcBorders>
            <w:vAlign w:val="center"/>
            <w:hideMark/>
          </w:tcPr>
          <w:p w14:paraId="78A12FD8"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0,0046</w:t>
            </w:r>
          </w:p>
        </w:tc>
        <w:tc>
          <w:tcPr>
            <w:tcW w:w="709" w:type="dxa"/>
            <w:tcBorders>
              <w:top w:val="outset" w:sz="6" w:space="0" w:color="auto"/>
              <w:left w:val="outset" w:sz="6" w:space="0" w:color="auto"/>
              <w:bottom w:val="outset" w:sz="6" w:space="0" w:color="auto"/>
              <w:right w:val="outset" w:sz="6" w:space="0" w:color="auto"/>
            </w:tcBorders>
            <w:vAlign w:val="center"/>
            <w:hideMark/>
          </w:tcPr>
          <w:p w14:paraId="5AB5708C"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217,5</w:t>
            </w:r>
          </w:p>
        </w:tc>
        <w:tc>
          <w:tcPr>
            <w:tcW w:w="567" w:type="dxa"/>
            <w:tcBorders>
              <w:top w:val="outset" w:sz="6" w:space="0" w:color="auto"/>
              <w:left w:val="outset" w:sz="6" w:space="0" w:color="auto"/>
              <w:bottom w:val="outset" w:sz="6" w:space="0" w:color="auto"/>
              <w:right w:val="outset" w:sz="6" w:space="0" w:color="auto"/>
            </w:tcBorders>
            <w:vAlign w:val="center"/>
            <w:hideMark/>
          </w:tcPr>
          <w:p w14:paraId="7DAB8718" w14:textId="46532100"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86A9490" w14:textId="7E25E765"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6BD22111" w14:textId="0F2B0B33"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774B7153" w14:textId="4902B7EC"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2447699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4,02</w:t>
            </w:r>
          </w:p>
        </w:tc>
        <w:tc>
          <w:tcPr>
            <w:tcW w:w="935" w:type="dxa"/>
            <w:tcBorders>
              <w:top w:val="outset" w:sz="6" w:space="0" w:color="auto"/>
              <w:left w:val="outset" w:sz="6" w:space="0" w:color="auto"/>
              <w:bottom w:val="outset" w:sz="6" w:space="0" w:color="auto"/>
              <w:right w:val="outset" w:sz="6" w:space="0" w:color="auto"/>
            </w:tcBorders>
            <w:vAlign w:val="center"/>
            <w:hideMark/>
          </w:tcPr>
          <w:p w14:paraId="62A9FFF2" w14:textId="0856B7F9"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2ECCD50F" w14:textId="01DC79C4" w:rsidR="008C4F89" w:rsidRPr="00827721" w:rsidRDefault="008C4F89" w:rsidP="005936CD">
            <w:pPr>
              <w:spacing w:line="312" w:lineRule="atLeast"/>
              <w:ind w:firstLine="0"/>
              <w:jc w:val="center"/>
              <w:rPr>
                <w:rFonts w:eastAsia="Times New Roman"/>
                <w:sz w:val="20"/>
                <w:szCs w:val="20"/>
                <w:lang w:eastAsia="ro-RO"/>
              </w:rPr>
            </w:pPr>
          </w:p>
        </w:tc>
      </w:tr>
      <w:tr w:rsidR="008C4F89" w:rsidRPr="00827721" w14:paraId="4B2F9AC5" w14:textId="77777777" w:rsidTr="005936CD">
        <w:trPr>
          <w:jc w:val="center"/>
        </w:trPr>
        <w:tc>
          <w:tcPr>
            <w:tcW w:w="80" w:type="dxa"/>
            <w:tcBorders>
              <w:top w:val="outset" w:sz="6" w:space="0" w:color="auto"/>
              <w:left w:val="outset" w:sz="6" w:space="0" w:color="auto"/>
              <w:bottom w:val="outset" w:sz="6" w:space="0" w:color="auto"/>
              <w:right w:val="outset" w:sz="6" w:space="0" w:color="auto"/>
            </w:tcBorders>
            <w:vAlign w:val="center"/>
            <w:hideMark/>
          </w:tcPr>
          <w:p w14:paraId="106F79C8" w14:textId="01596099" w:rsidR="008C4F89" w:rsidRPr="00827721" w:rsidRDefault="008C4F89" w:rsidP="005936CD">
            <w:pPr>
              <w:spacing w:line="312" w:lineRule="atLeast"/>
              <w:ind w:firstLine="0"/>
              <w:jc w:val="left"/>
              <w:rPr>
                <w:rFonts w:eastAsia="Times New Roman"/>
                <w:sz w:val="20"/>
                <w:szCs w:val="20"/>
                <w:lang w:eastAsia="ro-RO"/>
              </w:rPr>
            </w:pPr>
          </w:p>
        </w:tc>
        <w:tc>
          <w:tcPr>
            <w:tcW w:w="1125" w:type="dxa"/>
            <w:tcBorders>
              <w:top w:val="outset" w:sz="6" w:space="0" w:color="auto"/>
              <w:left w:val="outset" w:sz="6" w:space="0" w:color="auto"/>
              <w:bottom w:val="outset" w:sz="6" w:space="0" w:color="auto"/>
              <w:right w:val="outset" w:sz="6" w:space="0" w:color="auto"/>
            </w:tcBorders>
            <w:vAlign w:val="center"/>
            <w:hideMark/>
          </w:tcPr>
          <w:p w14:paraId="1F9FAE53" w14:textId="77777777" w:rsidR="008C4F89" w:rsidRPr="00827721" w:rsidRDefault="008C4F89" w:rsidP="005936CD">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Uree</w:t>
            </w:r>
          </w:p>
        </w:tc>
        <w:tc>
          <w:tcPr>
            <w:tcW w:w="772" w:type="dxa"/>
            <w:tcBorders>
              <w:top w:val="outset" w:sz="6" w:space="0" w:color="auto"/>
              <w:left w:val="outset" w:sz="6" w:space="0" w:color="auto"/>
              <w:bottom w:val="outset" w:sz="6" w:space="0" w:color="auto"/>
              <w:right w:val="outset" w:sz="6" w:space="0" w:color="auto"/>
            </w:tcBorders>
            <w:vAlign w:val="center"/>
            <w:hideMark/>
          </w:tcPr>
          <w:p w14:paraId="4BEF6744"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1 790,9</w:t>
            </w:r>
          </w:p>
        </w:tc>
        <w:tc>
          <w:tcPr>
            <w:tcW w:w="709" w:type="dxa"/>
            <w:tcBorders>
              <w:top w:val="outset" w:sz="6" w:space="0" w:color="auto"/>
              <w:left w:val="outset" w:sz="6" w:space="0" w:color="auto"/>
              <w:bottom w:val="outset" w:sz="6" w:space="0" w:color="auto"/>
              <w:right w:val="outset" w:sz="6" w:space="0" w:color="auto"/>
            </w:tcBorders>
            <w:vAlign w:val="center"/>
            <w:hideMark/>
          </w:tcPr>
          <w:p w14:paraId="3A596FA0"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1,92</w:t>
            </w:r>
          </w:p>
        </w:tc>
        <w:tc>
          <w:tcPr>
            <w:tcW w:w="708" w:type="dxa"/>
            <w:tcBorders>
              <w:top w:val="outset" w:sz="6" w:space="0" w:color="auto"/>
              <w:left w:val="outset" w:sz="6" w:space="0" w:color="auto"/>
              <w:bottom w:val="outset" w:sz="6" w:space="0" w:color="auto"/>
              <w:right w:val="outset" w:sz="6" w:space="0" w:color="auto"/>
            </w:tcBorders>
            <w:vAlign w:val="center"/>
            <w:hideMark/>
          </w:tcPr>
          <w:p w14:paraId="141C1163"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0,027</w:t>
            </w:r>
          </w:p>
        </w:tc>
        <w:tc>
          <w:tcPr>
            <w:tcW w:w="709" w:type="dxa"/>
            <w:tcBorders>
              <w:top w:val="outset" w:sz="6" w:space="0" w:color="auto"/>
              <w:left w:val="outset" w:sz="6" w:space="0" w:color="auto"/>
              <w:bottom w:val="outset" w:sz="6" w:space="0" w:color="auto"/>
              <w:right w:val="outset" w:sz="6" w:space="0" w:color="auto"/>
            </w:tcBorders>
            <w:vAlign w:val="center"/>
            <w:hideMark/>
          </w:tcPr>
          <w:p w14:paraId="13D3C8A7"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1 846,6</w:t>
            </w:r>
          </w:p>
        </w:tc>
        <w:tc>
          <w:tcPr>
            <w:tcW w:w="567" w:type="dxa"/>
            <w:tcBorders>
              <w:top w:val="outset" w:sz="6" w:space="0" w:color="auto"/>
              <w:left w:val="outset" w:sz="6" w:space="0" w:color="auto"/>
              <w:bottom w:val="outset" w:sz="6" w:space="0" w:color="auto"/>
              <w:right w:val="outset" w:sz="6" w:space="0" w:color="auto"/>
            </w:tcBorders>
            <w:vAlign w:val="center"/>
            <w:hideMark/>
          </w:tcPr>
          <w:p w14:paraId="3EC55F4C" w14:textId="5CDB827B"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34E5BC07" w14:textId="6C298BAA" w:rsidR="008C4F89" w:rsidRPr="00827721" w:rsidRDefault="008C4F89" w:rsidP="005936CD">
            <w:pPr>
              <w:spacing w:line="312" w:lineRule="atLeast"/>
              <w:ind w:firstLine="0"/>
              <w:jc w:val="center"/>
              <w:rPr>
                <w:rFonts w:eastAsia="Times New Roman"/>
                <w:sz w:val="20"/>
                <w:szCs w:val="20"/>
                <w:lang w:eastAsia="ro-RO"/>
              </w:rPr>
            </w:pPr>
          </w:p>
        </w:tc>
        <w:tc>
          <w:tcPr>
            <w:tcW w:w="709" w:type="dxa"/>
            <w:tcBorders>
              <w:top w:val="outset" w:sz="6" w:space="0" w:color="auto"/>
              <w:left w:val="outset" w:sz="6" w:space="0" w:color="auto"/>
              <w:bottom w:val="outset" w:sz="6" w:space="0" w:color="auto"/>
              <w:right w:val="outset" w:sz="6" w:space="0" w:color="auto"/>
            </w:tcBorders>
            <w:vAlign w:val="center"/>
            <w:hideMark/>
          </w:tcPr>
          <w:p w14:paraId="6C6B3514" w14:textId="10DFDC0A" w:rsidR="008C4F89" w:rsidRPr="00827721" w:rsidRDefault="008C4F89" w:rsidP="005936CD">
            <w:pPr>
              <w:spacing w:line="312" w:lineRule="atLeast"/>
              <w:ind w:firstLine="0"/>
              <w:jc w:val="center"/>
              <w:rPr>
                <w:rFonts w:eastAsia="Times New Roman"/>
                <w:sz w:val="20"/>
                <w:szCs w:val="20"/>
                <w:lang w:eastAsia="ro-RO"/>
              </w:rPr>
            </w:pPr>
          </w:p>
        </w:tc>
        <w:tc>
          <w:tcPr>
            <w:tcW w:w="689" w:type="dxa"/>
            <w:tcBorders>
              <w:top w:val="outset" w:sz="6" w:space="0" w:color="auto"/>
              <w:left w:val="outset" w:sz="6" w:space="0" w:color="auto"/>
              <w:bottom w:val="outset" w:sz="6" w:space="0" w:color="auto"/>
              <w:right w:val="outset" w:sz="6" w:space="0" w:color="auto"/>
            </w:tcBorders>
            <w:vAlign w:val="center"/>
            <w:hideMark/>
          </w:tcPr>
          <w:p w14:paraId="67E0269E" w14:textId="0238116C" w:rsidR="008C4F89" w:rsidRPr="00827721" w:rsidRDefault="008C4F89" w:rsidP="005936CD">
            <w:pPr>
              <w:spacing w:line="312" w:lineRule="atLeast"/>
              <w:ind w:firstLine="0"/>
              <w:jc w:val="center"/>
              <w:rPr>
                <w:rFonts w:eastAsia="Times New Roman"/>
                <w:sz w:val="20"/>
                <w:szCs w:val="20"/>
                <w:lang w:eastAsia="ro-RO"/>
              </w:rPr>
            </w:pPr>
          </w:p>
        </w:tc>
        <w:tc>
          <w:tcPr>
            <w:tcW w:w="935" w:type="dxa"/>
            <w:tcBorders>
              <w:top w:val="outset" w:sz="6" w:space="0" w:color="auto"/>
              <w:left w:val="outset" w:sz="6" w:space="0" w:color="auto"/>
              <w:bottom w:val="outset" w:sz="6" w:space="0" w:color="auto"/>
              <w:right w:val="outset" w:sz="6" w:space="0" w:color="auto"/>
            </w:tcBorders>
            <w:vAlign w:val="center"/>
            <w:hideMark/>
          </w:tcPr>
          <w:p w14:paraId="1D365A09" w14:textId="77777777" w:rsidR="008C4F89" w:rsidRPr="00827721" w:rsidRDefault="008C4F89" w:rsidP="005936CD">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31,71</w:t>
            </w:r>
          </w:p>
        </w:tc>
        <w:tc>
          <w:tcPr>
            <w:tcW w:w="935" w:type="dxa"/>
            <w:tcBorders>
              <w:top w:val="outset" w:sz="6" w:space="0" w:color="auto"/>
              <w:left w:val="outset" w:sz="6" w:space="0" w:color="auto"/>
              <w:bottom w:val="outset" w:sz="6" w:space="0" w:color="auto"/>
              <w:right w:val="outset" w:sz="6" w:space="0" w:color="auto"/>
            </w:tcBorders>
            <w:vAlign w:val="center"/>
            <w:hideMark/>
          </w:tcPr>
          <w:p w14:paraId="4928CE8E" w14:textId="3C011F13" w:rsidR="008C4F89" w:rsidRPr="00827721" w:rsidRDefault="008C4F89" w:rsidP="005936CD">
            <w:pPr>
              <w:spacing w:line="312" w:lineRule="atLeast"/>
              <w:ind w:firstLine="0"/>
              <w:jc w:val="center"/>
              <w:rPr>
                <w:rFonts w:eastAsia="Times New Roman"/>
                <w:sz w:val="20"/>
                <w:szCs w:val="20"/>
                <w:lang w:eastAsia="ro-RO"/>
              </w:rPr>
            </w:pPr>
          </w:p>
        </w:tc>
        <w:tc>
          <w:tcPr>
            <w:tcW w:w="798" w:type="dxa"/>
            <w:tcBorders>
              <w:top w:val="outset" w:sz="6" w:space="0" w:color="auto"/>
              <w:left w:val="outset" w:sz="6" w:space="0" w:color="auto"/>
              <w:bottom w:val="outset" w:sz="6" w:space="0" w:color="auto"/>
              <w:right w:val="outset" w:sz="6" w:space="0" w:color="auto"/>
            </w:tcBorders>
            <w:vAlign w:val="center"/>
            <w:hideMark/>
          </w:tcPr>
          <w:p w14:paraId="3D88FBC5" w14:textId="1211E747" w:rsidR="008C4F89" w:rsidRPr="00827721" w:rsidRDefault="008C4F89" w:rsidP="005936CD">
            <w:pPr>
              <w:spacing w:line="312" w:lineRule="atLeast"/>
              <w:ind w:firstLine="0"/>
              <w:jc w:val="center"/>
              <w:rPr>
                <w:rFonts w:eastAsia="Times New Roman"/>
                <w:sz w:val="20"/>
                <w:szCs w:val="20"/>
                <w:lang w:eastAsia="ro-RO"/>
              </w:rPr>
            </w:pPr>
          </w:p>
        </w:tc>
      </w:tr>
    </w:tbl>
    <w:p w14:paraId="5548647D" w14:textId="77777777" w:rsidR="008C4F89" w:rsidRPr="00827721" w:rsidRDefault="008C4F89" w:rsidP="00CF38FE">
      <w:pPr>
        <w:ind w:left="431" w:firstLine="0"/>
        <w:rPr>
          <w:lang w:eastAsia="ro-RO"/>
        </w:rPr>
      </w:pP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
        <w:gridCol w:w="4859"/>
        <w:gridCol w:w="1762"/>
        <w:gridCol w:w="1357"/>
        <w:gridCol w:w="1357"/>
      </w:tblGrid>
      <w:tr w:rsidR="008C4F89" w:rsidRPr="00827721" w14:paraId="5E2CEA4B" w14:textId="77777777" w:rsidTr="00B41759">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43F53D" w14:textId="77777777" w:rsidR="008C4F89" w:rsidRPr="00827721" w:rsidRDefault="008C4F89" w:rsidP="00B41759">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3F93B" w14:textId="77777777" w:rsidR="008C4F89" w:rsidRPr="00827721" w:rsidRDefault="008C4F89" w:rsidP="00B41759">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Eficiența consumului de combustibil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1D1EA2" w14:textId="77777777" w:rsidR="008C4F89" w:rsidRPr="00827721" w:rsidRDefault="008C4F89" w:rsidP="00B41759">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Emisiile de gaze de evacuare generate de transporturi</w:t>
            </w:r>
          </w:p>
        </w:tc>
      </w:tr>
      <w:tr w:rsidR="008C4F89" w:rsidRPr="00827721" w14:paraId="486AE91C" w14:textId="77777777" w:rsidTr="00B41759">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2516FC" w14:textId="77777777" w:rsidR="008C4F89" w:rsidRPr="00827721" w:rsidRDefault="008C4F89" w:rsidP="00B41759">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FB649" w14:textId="77777777" w:rsidR="008C4F89" w:rsidRPr="00827721" w:rsidRDefault="008C4F89" w:rsidP="00B41759">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MJ/t.km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0E85C" w14:textId="77777777" w:rsidR="008C4F89" w:rsidRPr="00827721" w:rsidRDefault="008C4F89" w:rsidP="00B41759">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EE319" w14:textId="77777777" w:rsidR="008C4F89" w:rsidRPr="00827721" w:rsidRDefault="008C4F89" w:rsidP="00B41759">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O/t.km</w:t>
            </w:r>
          </w:p>
        </w:tc>
      </w:tr>
      <w:tr w:rsidR="008C4F89" w:rsidRPr="00827721" w14:paraId="47A7A0F4" w14:textId="77777777" w:rsidTr="00B41759">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7DA566"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Eficiența transporturilor – camioane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F05CF" w14:textId="6864BCE3"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EA22D" w14:textId="7BAF3697"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30793A" w14:textId="0BCE2ECD"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69E7DA1D"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4D6864A"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A6999"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 (40 de tone) pentru produse uscate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1EC93"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D7CA6"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E3BD75"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0,0015</w:t>
            </w:r>
          </w:p>
        </w:tc>
      </w:tr>
      <w:tr w:rsidR="008C4F89" w:rsidRPr="00827721" w14:paraId="1F70E841"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7EA7759B"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7AACC"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 (40 de tone) pentru așchii (și produse uscate de dimensiuni similare)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05F1A"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D4030"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43FD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0,0016</w:t>
            </w:r>
          </w:p>
        </w:tc>
      </w:tr>
      <w:tr w:rsidR="008C4F89" w:rsidRPr="00827721" w14:paraId="3293D4C8"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498AC959"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B3CF6"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 (40 de tone) pentru lichide și pelete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E9D36"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1CD34"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9FA4A"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0,0016</w:t>
            </w:r>
          </w:p>
        </w:tc>
      </w:tr>
      <w:tr w:rsidR="008C4F89" w:rsidRPr="00827721" w14:paraId="25B5E1F2"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C56C5B5"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BB4C7"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 (40 de tone) pentru gunoi de grajd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3123C"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F3667"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6E683"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0,0016</w:t>
            </w:r>
          </w:p>
        </w:tc>
      </w:tr>
      <w:tr w:rsidR="008C4F89" w:rsidRPr="00827721" w14:paraId="74271AC1"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4DA9B6C9"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D62DDE"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 xml:space="preserve">Camion (40 de tonă) pentru </w:t>
            </w:r>
            <w:proofErr w:type="spellStart"/>
            <w:r w:rsidRPr="00827721">
              <w:rPr>
                <w:rFonts w:eastAsia="Times New Roman"/>
                <w:sz w:val="20"/>
                <w:szCs w:val="20"/>
                <w:lang w:eastAsia="ro-RO"/>
              </w:rPr>
              <w:t>biodeșeuri</w:t>
            </w:r>
            <w:proofErr w:type="spellEnd"/>
            <w:r w:rsidRPr="00827721">
              <w:rPr>
                <w:rFonts w:eastAsia="Times New Roman"/>
                <w:sz w:val="20"/>
                <w:szCs w:val="20"/>
                <w:lang w:eastAsia="ro-RO"/>
              </w:rPr>
              <w:t xml:space="preserve">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A3FE3"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1E80C"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FD339"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0,0016</w:t>
            </w:r>
          </w:p>
        </w:tc>
      </w:tr>
      <w:tr w:rsidR="008C4F89" w:rsidRPr="00827721" w14:paraId="6CD61FA4"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1B3A5148"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CF1AD"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 (40 de tone) pentru transportul trestiei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04E5E"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B41C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7D3D3"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0,0039</w:t>
            </w:r>
          </w:p>
        </w:tc>
      </w:tr>
      <w:tr w:rsidR="008C4F89" w:rsidRPr="00827721" w14:paraId="043E4C11"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D88B62F"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22096"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 (12 tone) pentru transportul ciorchinilor de fructe proaspete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8E98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4452D"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E945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0,0015</w:t>
            </w:r>
          </w:p>
        </w:tc>
      </w:tr>
      <w:tr w:rsidR="008C4F89" w:rsidRPr="00827721" w14:paraId="4D3415B8"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4F8D5F4"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4F12B"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Camion-container MB2213 pentru transportul nămolului de filtrare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4DE4E"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12E74"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FE2FF"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r>
      <w:tr w:rsidR="008C4F89" w:rsidRPr="00827721" w14:paraId="345C6373"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2321FD0"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B64F3"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Camion-cisternă MB2318 pentru transportul vinasei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C97D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90916"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E7ADE"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r>
      <w:tr w:rsidR="008C4F89" w:rsidRPr="00827721" w14:paraId="4915F994"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57601395"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C2F0C"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Camion-cisternă MB2318 pentru transportul semințelor de trestie de zahăr</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592C2"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C0D8C"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06B02"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r>
      <w:tr w:rsidR="008C4F89" w:rsidRPr="00827721" w14:paraId="3A289AE5"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B14720A"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7CA38"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Camion-cisternă cu tunuri de apă pentru transportul vinasei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57F10"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875E9" w14:textId="7FE63055"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C0311A" w14:textId="3CD9201F"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11B01615" w14:textId="77777777" w:rsidTr="00B41759">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CB251F"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Eficiența transporturilor – nave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BFF9D" w14:textId="70B206D2"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69EC5A" w14:textId="78BCA404"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9CE2A9" w14:textId="77ED25DC"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0CED37A8"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2B4BEF4F"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86EB6"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Handymax</w:t>
            </w:r>
            <w:proofErr w:type="spellEnd"/>
            <w:r w:rsidRPr="00827721">
              <w:rPr>
                <w:rFonts w:eastAsia="Times New Roman"/>
                <w:sz w:val="20"/>
                <w:szCs w:val="20"/>
                <w:lang w:eastAsia="ro-RO"/>
              </w:rPr>
              <w:t>” (păcură) – Cereale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BFAC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FB89F" w14:textId="5FD2653A"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A8500" w14:textId="25824919"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6E600178"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37CD5AB"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DA5FC"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Handysize</w:t>
            </w:r>
            <w:proofErr w:type="spellEnd"/>
            <w:r w:rsidRPr="00827721">
              <w:rPr>
                <w:rFonts w:eastAsia="Times New Roman"/>
                <w:sz w:val="20"/>
                <w:szCs w:val="20"/>
                <w:lang w:eastAsia="ro-RO"/>
              </w:rPr>
              <w:t>” (păcură) – așchii de lemn cu densitate în vrac de 221 kg/m</w:t>
            </w:r>
            <w:r w:rsidRPr="00827721">
              <w:rPr>
                <w:rFonts w:eastAsia="Times New Roman"/>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59C78"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0A552" w14:textId="123B148F"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D33334" w14:textId="7F906892"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39BCE556"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74253F8B"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3A783"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Supramax</w:t>
            </w:r>
            <w:proofErr w:type="spellEnd"/>
            <w:r w:rsidRPr="00827721">
              <w:rPr>
                <w:rFonts w:eastAsia="Times New Roman"/>
                <w:sz w:val="20"/>
                <w:szCs w:val="20"/>
                <w:lang w:eastAsia="ro-RO"/>
              </w:rPr>
              <w:t>” (păcură) – așchii de lemn cu densitate în vrac de 221 kg/m</w:t>
            </w:r>
            <w:r w:rsidRPr="00827721">
              <w:rPr>
                <w:rFonts w:eastAsia="Times New Roman"/>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E3BB6"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576E8" w14:textId="620892D6"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2F6830" w14:textId="7DF607DC"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71593F67"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1EB6DD4D"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48A45"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Handysize</w:t>
            </w:r>
            <w:proofErr w:type="spellEnd"/>
            <w:r w:rsidRPr="00827721">
              <w:rPr>
                <w:rFonts w:eastAsia="Times New Roman"/>
                <w:sz w:val="20"/>
                <w:szCs w:val="20"/>
                <w:lang w:eastAsia="ro-RO"/>
              </w:rPr>
              <w:t>” (păcură) – pelete cu densitate în vrac de 650 kg/m</w:t>
            </w:r>
            <w:r w:rsidRPr="00827721">
              <w:rPr>
                <w:rFonts w:eastAsia="Times New Roman"/>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954D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91C98" w14:textId="6298873E"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DAAE30" w14:textId="10894D56"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42112BB0"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7E235B4"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2E16F"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Supramax</w:t>
            </w:r>
            <w:proofErr w:type="spellEnd"/>
            <w:r w:rsidRPr="00827721">
              <w:rPr>
                <w:rFonts w:eastAsia="Times New Roman"/>
                <w:sz w:val="20"/>
                <w:szCs w:val="20"/>
                <w:lang w:eastAsia="ro-RO"/>
              </w:rPr>
              <w:t>’” (păcură) – pelete cu densitate în vrac de 650 kg/m</w:t>
            </w:r>
            <w:r w:rsidRPr="00827721">
              <w:rPr>
                <w:rFonts w:eastAsia="Times New Roman"/>
                <w:sz w:val="20"/>
                <w:szCs w:val="20"/>
                <w:vertAlign w:val="superscript"/>
                <w:lang w:eastAsia="ro-RO"/>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F04C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78C54" w14:textId="7E68A0B9"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7F4F47" w14:textId="0EEADA29"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1461B1A8"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27C5D110"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20948"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Handysize</w:t>
            </w:r>
            <w:proofErr w:type="spellEnd"/>
            <w:r w:rsidRPr="00827721">
              <w:rPr>
                <w:rFonts w:eastAsia="Times New Roman"/>
                <w:sz w:val="20"/>
                <w:szCs w:val="20"/>
                <w:lang w:eastAsia="ro-RO"/>
              </w:rPr>
              <w:t>” (păcură) – reziduuri agricole cu densitate în vrac redusă (125 kg/m</w:t>
            </w:r>
            <w:r w:rsidRPr="00827721">
              <w:rPr>
                <w:rFonts w:eastAsia="Times New Roman"/>
                <w:sz w:val="20"/>
                <w:szCs w:val="20"/>
                <w:vertAlign w:val="superscript"/>
                <w:lang w:eastAsia="ro-RO"/>
              </w:rPr>
              <w:t>3</w:t>
            </w: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B116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6AAC0" w14:textId="62C02199"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172E6" w14:textId="7FD5C817"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2700CD77"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2E9342E"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37A63"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Supramax</w:t>
            </w:r>
            <w:proofErr w:type="spellEnd"/>
            <w:r w:rsidRPr="00827721">
              <w:rPr>
                <w:rFonts w:eastAsia="Times New Roman"/>
                <w:sz w:val="20"/>
                <w:szCs w:val="20"/>
                <w:lang w:eastAsia="ro-RO"/>
              </w:rPr>
              <w:t>” (păcură) – reziduuri agricole cu densitate în vrac redusă (125 kg/m</w:t>
            </w:r>
            <w:r w:rsidRPr="00827721">
              <w:rPr>
                <w:rFonts w:eastAsia="Times New Roman"/>
                <w:sz w:val="20"/>
                <w:szCs w:val="20"/>
                <w:vertAlign w:val="superscript"/>
                <w:lang w:eastAsia="ro-RO"/>
              </w:rPr>
              <w:t>3</w:t>
            </w: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B1238"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6A830" w14:textId="476A0E92"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9F1BF8" w14:textId="4ABDC663"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178A0650"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4D715EF"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16B82"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Handysize</w:t>
            </w:r>
            <w:proofErr w:type="spellEnd"/>
            <w:r w:rsidRPr="00827721">
              <w:rPr>
                <w:rFonts w:eastAsia="Times New Roman"/>
                <w:sz w:val="20"/>
                <w:szCs w:val="20"/>
                <w:lang w:eastAsia="ro-RO"/>
              </w:rPr>
              <w:t>” (păcură) – reziduuri agricole cu densitate în vrac ridicată (300 kg/m</w:t>
            </w:r>
            <w:r w:rsidRPr="00827721">
              <w:rPr>
                <w:rFonts w:eastAsia="Times New Roman"/>
                <w:sz w:val="20"/>
                <w:szCs w:val="20"/>
                <w:vertAlign w:val="superscript"/>
                <w:lang w:eastAsia="ro-RO"/>
              </w:rPr>
              <w:t>3</w:t>
            </w: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63377"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142E2" w14:textId="6D70AB83"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4FAC18" w14:textId="1670C1D8"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4565BEEF"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2520ECA0"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28D7D"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Supramax</w:t>
            </w:r>
            <w:proofErr w:type="spellEnd"/>
            <w:r w:rsidRPr="00827721">
              <w:rPr>
                <w:rFonts w:eastAsia="Times New Roman"/>
                <w:sz w:val="20"/>
                <w:szCs w:val="20"/>
                <w:lang w:eastAsia="ro-RO"/>
              </w:rPr>
              <w:t>” (păcură) – reziduuri agricole cu densitate în vrac ridicată (300 kg/m</w:t>
            </w:r>
            <w:r w:rsidRPr="00827721">
              <w:rPr>
                <w:rFonts w:eastAsia="Times New Roman"/>
                <w:sz w:val="20"/>
                <w:szCs w:val="20"/>
                <w:vertAlign w:val="superscript"/>
                <w:lang w:eastAsia="ro-RO"/>
              </w:rPr>
              <w:t>3</w:t>
            </w: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AECA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64A7E" w14:textId="7EC93BAE"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148CAF" w14:textId="0903759B"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14868612"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B5ABADA"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F29D8"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Handysize</w:t>
            </w:r>
            <w:proofErr w:type="spellEnd"/>
            <w:r w:rsidRPr="00827721">
              <w:rPr>
                <w:rFonts w:eastAsia="Times New Roman"/>
                <w:sz w:val="20"/>
                <w:szCs w:val="20"/>
                <w:lang w:eastAsia="ro-RO"/>
              </w:rPr>
              <w:t>” (păcură) – făină de sâmburi de palmier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505A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5DA3E" w14:textId="64C3644B"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B22D73" w14:textId="36EB78CC"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43492605"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7D22C98"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584B5"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w:t>
            </w:r>
            <w:proofErr w:type="spellStart"/>
            <w:r w:rsidRPr="00827721">
              <w:rPr>
                <w:rFonts w:eastAsia="Times New Roman"/>
                <w:sz w:val="20"/>
                <w:szCs w:val="20"/>
                <w:lang w:eastAsia="ro-RO"/>
              </w:rPr>
              <w:t>Supramax</w:t>
            </w:r>
            <w:proofErr w:type="spellEnd"/>
            <w:r w:rsidRPr="00827721">
              <w:rPr>
                <w:rFonts w:eastAsia="Times New Roman"/>
                <w:sz w:val="20"/>
                <w:szCs w:val="20"/>
                <w:lang w:eastAsia="ro-RO"/>
              </w:rPr>
              <w:t>” (păcură) – făină de sâmburi de palmier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0E426"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D8231" w14:textId="02860500"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7832FE" w14:textId="6A7A9123"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15BDF412"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68446F4C"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E9C84"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Autocisternă pentru substanțe chimice/produse, 12,617 kt (păcură)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728A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E7690" w14:textId="7B1ED823"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F7567D" w14:textId="6956A130"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2527B00E"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3349175A"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1B61C"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Autocisternă pentru substanțe chimice/produse, 15 kt (păcură) pentru transportul etanolului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3FE8E"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951C6" w14:textId="3B728C9F"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2D7A6" w14:textId="348995F7"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59DD66B3"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7E99DE20"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B780B"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Autocisternă pentru substanțe chimice/produse, 15 kt (păcură) pentru transportul esterilor metilici ai acizilor grași și al uleiului vegetal hidrogenat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9391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08511" w14:textId="1D4AF548"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BDC939" w14:textId="5FB088BF"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556864D4"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1DB9B673"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90FF3"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Autocisternă pentru substanțe chimice/produse, 22,56 kt (păcură)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5C3A2"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ED620" w14:textId="127AED11"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D94CE9" w14:textId="10E56B50"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2488BD51"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20F0FF38"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BD7E4" w14:textId="77777777" w:rsidR="008C4F89" w:rsidRPr="00827721" w:rsidRDefault="008C4F89" w:rsidP="00B41759">
            <w:pPr>
              <w:spacing w:before="60" w:after="60" w:line="312" w:lineRule="atLeast"/>
              <w:ind w:firstLine="0"/>
              <w:jc w:val="left"/>
              <w:rPr>
                <w:rFonts w:eastAsia="Times New Roman"/>
                <w:sz w:val="20"/>
                <w:szCs w:val="20"/>
                <w:lang w:eastAsia="ro-RO"/>
              </w:rPr>
            </w:pPr>
            <w:proofErr w:type="spellStart"/>
            <w:r w:rsidRPr="00827721">
              <w:rPr>
                <w:rFonts w:eastAsia="Times New Roman"/>
                <w:sz w:val="20"/>
                <w:szCs w:val="20"/>
                <w:lang w:eastAsia="ro-RO"/>
              </w:rPr>
              <w:t>Vrachier</w:t>
            </w:r>
            <w:proofErr w:type="spellEnd"/>
            <w:r w:rsidRPr="00827721">
              <w:rPr>
                <w:rFonts w:eastAsia="Times New Roman"/>
                <w:sz w:val="20"/>
                <w:szCs w:val="20"/>
                <w:lang w:eastAsia="ro-RO"/>
              </w:rPr>
              <w:t xml:space="preserve"> pentru navigație pe căile navigabile interioare, 8,8 kt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629C9"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DC355"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B8061"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0,0004</w:t>
            </w:r>
          </w:p>
        </w:tc>
      </w:tr>
      <w:tr w:rsidR="008C4F89" w:rsidRPr="00827721" w14:paraId="0E3B275B"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2CD3891F"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022AF"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Navă pentru navigație pe căile navigabile interioare pentru transportul petrolului, 1,2 kt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F64CD"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ABC0D"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D25AD" w14:textId="4C529023"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699EC956" w14:textId="77777777" w:rsidTr="00B41759">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E6188CE"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Eficiența transporturilor – conducte și căi ferate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A09E5" w14:textId="167071C6"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EA85D6" w14:textId="72C97159"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D2EF2" w14:textId="350E5AEB" w:rsidR="008C4F89" w:rsidRPr="00827721" w:rsidRDefault="008C4F89" w:rsidP="00B41759">
            <w:pPr>
              <w:spacing w:line="312" w:lineRule="atLeast"/>
              <w:ind w:firstLine="0"/>
              <w:jc w:val="center"/>
              <w:rPr>
                <w:rFonts w:eastAsia="Times New Roman"/>
                <w:sz w:val="20"/>
                <w:szCs w:val="20"/>
                <w:lang w:eastAsia="ro-RO"/>
              </w:rPr>
            </w:pPr>
          </w:p>
        </w:tc>
      </w:tr>
      <w:tr w:rsidR="008C4F89" w:rsidRPr="00827721" w14:paraId="036330A1"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B9ED6C4"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1CD9B"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Conductă locală (10 km)</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9A2F"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CE5FA"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F66AF"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r>
      <w:tr w:rsidR="008C4F89" w:rsidRPr="00827721" w14:paraId="79338AB1"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0F4D36EE"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102E8"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Tren de marfă SUA (motorină)</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94BD4"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F0424"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ECA4B"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r>
      <w:tr w:rsidR="008C4F89" w:rsidRPr="00827721" w14:paraId="4756F70F" w14:textId="77777777" w:rsidTr="00B41759">
        <w:trPr>
          <w:jc w:val="center"/>
        </w:trPr>
        <w:tc>
          <w:tcPr>
            <w:tcW w:w="0" w:type="auto"/>
            <w:tcBorders>
              <w:top w:val="outset" w:sz="6" w:space="0" w:color="auto"/>
              <w:left w:val="outset" w:sz="6" w:space="0" w:color="auto"/>
              <w:bottom w:val="outset" w:sz="6" w:space="0" w:color="auto"/>
              <w:right w:val="outset" w:sz="6" w:space="0" w:color="auto"/>
            </w:tcBorders>
            <w:hideMark/>
          </w:tcPr>
          <w:p w14:paraId="495C9446" w14:textId="77777777" w:rsidR="008C4F89" w:rsidRPr="00827721" w:rsidRDefault="008C4F89" w:rsidP="008C4F89">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11186" w14:textId="77777777" w:rsidR="008C4F89" w:rsidRPr="00827721" w:rsidRDefault="008C4F89" w:rsidP="00B41759">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Căi ferate (electrice, tensiune medie)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A488D" w14:textId="77777777" w:rsidR="008C4F89" w:rsidRPr="00827721" w:rsidRDefault="008C4F89" w:rsidP="00B41759">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E2144" w14:textId="02C2BF51" w:rsidR="008C4F89" w:rsidRPr="00827721" w:rsidRDefault="008C4F89" w:rsidP="00B41759">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0EF197" w14:textId="04324705" w:rsidR="008C4F89" w:rsidRPr="00827721" w:rsidRDefault="008C4F89" w:rsidP="00B41759">
            <w:pPr>
              <w:spacing w:line="312" w:lineRule="atLeast"/>
              <w:ind w:firstLine="0"/>
              <w:jc w:val="center"/>
              <w:rPr>
                <w:rFonts w:eastAsia="Times New Roman"/>
                <w:sz w:val="20"/>
                <w:szCs w:val="20"/>
                <w:lang w:eastAsia="ro-RO"/>
              </w:rPr>
            </w:pPr>
          </w:p>
        </w:tc>
      </w:tr>
    </w:tbl>
    <w:p w14:paraId="1F8F89A3" w14:textId="7777B2F4" w:rsidR="00F62B17" w:rsidRPr="00827721" w:rsidRDefault="008C4F89" w:rsidP="000E211F">
      <w:pPr>
        <w:pStyle w:val="Sectiune"/>
        <w:rPr>
          <w:lang w:eastAsia="ro-RO"/>
        </w:rPr>
      </w:pPr>
      <w:r w:rsidRPr="00827721">
        <w:rPr>
          <w:rFonts w:eastAsia="Arial Unicode MS"/>
          <w:lang w:eastAsia="ro-RO"/>
        </w:rPr>
        <w:t>Intensitatea carbonului pentru energia electrică produsă și consumată în UE în 2019 [g CO</w:t>
      </w:r>
      <w:r w:rsidRPr="00827721">
        <w:rPr>
          <w:rFonts w:eastAsia="Arial Unicode MS"/>
          <w:sz w:val="15"/>
          <w:szCs w:val="15"/>
          <w:vertAlign w:val="subscript"/>
          <w:lang w:eastAsia="ro-RO"/>
        </w:rPr>
        <w:t>2</w:t>
      </w:r>
      <w:r w:rsidRPr="00827721">
        <w:rPr>
          <w:rFonts w:eastAsia="Arial Unicode MS"/>
          <w:lang w:eastAsia="ro-RO"/>
        </w:rPr>
        <w:t> echivalent/kWh]</w:t>
      </w:r>
      <w:r w:rsidR="00E22DDC" w:rsidRPr="00827721">
        <w:rPr>
          <w:rFonts w:eastAsia="Arial Unicode MS"/>
          <w:lang w:eastAsia="ro-RO"/>
        </w:rPr>
        <w:t xml:space="preserve"> cu</w:t>
      </w:r>
      <w:r w:rsidRPr="00827721">
        <w:rPr>
          <w:rFonts w:eastAsia="Arial Unicode MS"/>
          <w:lang w:eastAsia="ro-RO"/>
        </w:rPr>
        <w:t xml:space="preserve"> emisii în amonte, fără emisii provenite din construcții</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00"/>
        <w:gridCol w:w="1953"/>
        <w:gridCol w:w="2099"/>
        <w:gridCol w:w="2103"/>
        <w:gridCol w:w="2090"/>
      </w:tblGrid>
      <w:tr w:rsidR="00F62B17" w:rsidRPr="00827721" w14:paraId="12C0851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9FF307" w14:textId="77777777" w:rsidR="00F62B17" w:rsidRPr="00827721" w:rsidRDefault="00F62B17" w:rsidP="000E211F">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B31F3"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Intensitatea carbonului pentru producția netă de energie electrică</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83263"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Intensitatea carbonului pentru energia electrică de înaltă tensiune utilizată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1C43A"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Intensitatea carbonului pentru energia electrică de medie tensiune utilizată</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1AAC2"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Intensitatea carbonului pentru energia electrică de joasă tensiune utilizată</w:t>
            </w:r>
          </w:p>
        </w:tc>
      </w:tr>
      <w:tr w:rsidR="00F62B17" w:rsidRPr="00827721" w14:paraId="3F125968"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BF3239"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Austria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F6B79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E9BB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960C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17D5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245</w:t>
            </w:r>
          </w:p>
        </w:tc>
      </w:tr>
      <w:tr w:rsidR="00F62B17" w:rsidRPr="00827721" w14:paraId="6EF8FA2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FCCCB7"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Belgia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64B7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9FCE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8209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7A95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219</w:t>
            </w:r>
          </w:p>
        </w:tc>
      </w:tr>
      <w:tr w:rsidR="00F62B17" w:rsidRPr="00827721" w14:paraId="31AED87D"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A25C53"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Bulgaria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BD2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6B2968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5ACC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34D0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532</w:t>
            </w:r>
          </w:p>
        </w:tc>
      </w:tr>
      <w:tr w:rsidR="00F62B17" w:rsidRPr="00827721" w14:paraId="4E41AD96"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4104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Cipru</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01CB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BBFC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805F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986B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787</w:t>
            </w:r>
          </w:p>
        </w:tc>
      </w:tr>
      <w:tr w:rsidR="00F62B17" w:rsidRPr="00827721" w14:paraId="46FCA9E7"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AD398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Cehia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57DE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D1E0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4E09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8944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549</w:t>
            </w:r>
          </w:p>
        </w:tc>
      </w:tr>
      <w:tr w:rsidR="00F62B17" w:rsidRPr="00827721" w14:paraId="79E81849"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0EDB68"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Germania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4127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5A92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777B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9727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398</w:t>
            </w:r>
          </w:p>
        </w:tc>
      </w:tr>
      <w:tr w:rsidR="00F62B17" w:rsidRPr="00827721" w14:paraId="12B474FB"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F8B469"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Danemarca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DFEC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401F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B58E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DCA3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139</w:t>
            </w:r>
          </w:p>
        </w:tc>
      </w:tr>
      <w:tr w:rsidR="00F62B17" w:rsidRPr="00827721" w14:paraId="0C22937F"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F88D76"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Estonia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7BE4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AD46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23E0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202D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485</w:t>
            </w:r>
          </w:p>
        </w:tc>
      </w:tr>
      <w:tr w:rsidR="00F62B17" w:rsidRPr="00827721" w14:paraId="5DBE8ECA"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812FE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Grecia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67BD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8D9C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8048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3A43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610</w:t>
            </w:r>
          </w:p>
        </w:tc>
      </w:tr>
      <w:tr w:rsidR="00F62B17" w:rsidRPr="00827721" w14:paraId="46347467"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278D4EA"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Spania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D06A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5E37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3B35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4783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263</w:t>
            </w:r>
          </w:p>
        </w:tc>
      </w:tr>
      <w:tr w:rsidR="00F62B17" w:rsidRPr="00827721" w14:paraId="42A59945"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626384"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Finlanda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09F7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249E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1A338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B19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130</w:t>
            </w:r>
          </w:p>
        </w:tc>
      </w:tr>
      <w:tr w:rsidR="00F62B17" w:rsidRPr="00827721" w14:paraId="695C98A5"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F5BF9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Franța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4B1D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E6793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5081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48E1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86</w:t>
            </w:r>
          </w:p>
        </w:tc>
      </w:tr>
      <w:tr w:rsidR="00F62B17" w:rsidRPr="00827721" w14:paraId="2FEE773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58CEEE"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Croația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743E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4945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A9F0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37A7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349</w:t>
            </w:r>
          </w:p>
        </w:tc>
      </w:tr>
      <w:tr w:rsidR="00F62B17" w:rsidRPr="00827721" w14:paraId="541D7695"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60F543"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Ungaria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DFB9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960B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0214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A522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322</w:t>
            </w:r>
          </w:p>
        </w:tc>
      </w:tr>
      <w:tr w:rsidR="00F62B17" w:rsidRPr="00827721" w14:paraId="36C9E99E"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5B0D9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Irlanda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637E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C243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1BE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C5E4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374</w:t>
            </w:r>
          </w:p>
        </w:tc>
      </w:tr>
      <w:tr w:rsidR="00F62B17" w:rsidRPr="00827721" w14:paraId="06A8C347"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1416BB"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Italia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8F6F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69B3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DB67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DEEA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343</w:t>
            </w:r>
          </w:p>
        </w:tc>
      </w:tr>
      <w:tr w:rsidR="00F62B17" w:rsidRPr="00827721" w14:paraId="33E92B6F"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582907"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Letonia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AA7C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3DDB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0D1CC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4F43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325</w:t>
            </w:r>
          </w:p>
        </w:tc>
      </w:tr>
      <w:tr w:rsidR="00F62B17" w:rsidRPr="00827721" w14:paraId="1928961E"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34122D"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Lituania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9FB7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03FF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2FB1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76DB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305</w:t>
            </w:r>
          </w:p>
        </w:tc>
      </w:tr>
      <w:tr w:rsidR="00F62B17" w:rsidRPr="00827721" w14:paraId="79AC2058"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13BCD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Luxemburg</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F4F1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9921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6AF2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9945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316</w:t>
            </w:r>
          </w:p>
        </w:tc>
      </w:tr>
      <w:tr w:rsidR="00F62B17" w:rsidRPr="00827721" w14:paraId="5771834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61DB42"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Malta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5669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D931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1745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9C96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454</w:t>
            </w:r>
          </w:p>
        </w:tc>
      </w:tr>
      <w:tr w:rsidR="00F62B17" w:rsidRPr="00827721" w14:paraId="77F1E0A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C5764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Țările de Jos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88DC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4571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E365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6B24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426</w:t>
            </w:r>
          </w:p>
        </w:tc>
      </w:tr>
      <w:tr w:rsidR="00F62B17" w:rsidRPr="00827721" w14:paraId="0AB76C0A"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451DF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Polonia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C8EB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AC19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28F6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46DD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741</w:t>
            </w:r>
          </w:p>
        </w:tc>
      </w:tr>
      <w:tr w:rsidR="00F62B17" w:rsidRPr="00827721" w14:paraId="7DF5A2F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86A51"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Portugalia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36A9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E38F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C487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4531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299</w:t>
            </w:r>
          </w:p>
        </w:tc>
      </w:tr>
      <w:tr w:rsidR="00F62B17" w:rsidRPr="00827721" w14:paraId="3E6CAE3B"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794A8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România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DC9E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6A19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20A9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C98B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454</w:t>
            </w:r>
          </w:p>
        </w:tc>
      </w:tr>
      <w:tr w:rsidR="00F62B17" w:rsidRPr="00827721" w14:paraId="6CB9B3A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64D4FD"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Slovacia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BD9A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9E38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9FE7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502C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329</w:t>
            </w:r>
          </w:p>
        </w:tc>
      </w:tr>
      <w:tr w:rsidR="00F62B17" w:rsidRPr="00827721" w14:paraId="10A33C7B"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B2D63D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Slovenia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CBB4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949C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0B0A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61AE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291</w:t>
            </w:r>
          </w:p>
        </w:tc>
      </w:tr>
      <w:tr w:rsidR="00F62B17" w:rsidRPr="00827721" w14:paraId="7CF30694"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53FA5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Suedia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8F77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B3C3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2FB7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55E6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26</w:t>
            </w:r>
          </w:p>
        </w:tc>
      </w:tr>
      <w:tr w:rsidR="00F62B17" w:rsidRPr="00827721" w14:paraId="6DACC548"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505D52"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b/>
                <w:bCs/>
                <w:sz w:val="20"/>
                <w:szCs w:val="20"/>
                <w:lang w:eastAsia="ro-RO"/>
              </w:rPr>
              <w:t>UE-27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8C88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12C7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4D4F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BA10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b/>
                <w:bCs/>
                <w:sz w:val="20"/>
                <w:szCs w:val="20"/>
                <w:lang w:eastAsia="ro-RO"/>
              </w:rPr>
              <w:t>308</w:t>
            </w:r>
          </w:p>
        </w:tc>
      </w:tr>
      <w:tr w:rsidR="00F62B17" w:rsidRPr="00827721" w14:paraId="076396EA"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194927"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Islanda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8298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DB0A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FC32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D7A2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w:t>
            </w:r>
          </w:p>
        </w:tc>
      </w:tr>
      <w:tr w:rsidR="00F62B17" w:rsidRPr="00827721" w14:paraId="17446E76"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A14EC6"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Norvegia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7CB8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7224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BC94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5727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w:t>
            </w:r>
          </w:p>
        </w:tc>
      </w:tr>
      <w:tr w:rsidR="00F62B17" w:rsidRPr="00827721" w14:paraId="34BFBB0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4E5FB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Elveția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9ACF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D6B4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8693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848D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112</w:t>
            </w:r>
          </w:p>
        </w:tc>
      </w:tr>
      <w:tr w:rsidR="00F62B17" w:rsidRPr="00827721" w14:paraId="08F79B0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78BC2"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Regatul Unit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9677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43AB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C840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2A1D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292</w:t>
            </w:r>
          </w:p>
        </w:tc>
      </w:tr>
      <w:tr w:rsidR="00F62B17" w:rsidRPr="00827721" w14:paraId="33EB76BF"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0276C4"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Albania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30B4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486F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AD2A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116F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332</w:t>
            </w:r>
          </w:p>
        </w:tc>
      </w:tr>
      <w:tr w:rsidR="00F62B17" w:rsidRPr="00827721" w14:paraId="2FE1996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3755E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Bosnia și Herțegovina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601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0696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79C1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BB66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818</w:t>
            </w:r>
          </w:p>
        </w:tc>
      </w:tr>
      <w:tr w:rsidR="00F62B17" w:rsidRPr="00827721" w14:paraId="65D88580"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C62A2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Kosovo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B128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1367B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DBB2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2B14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1 224</w:t>
            </w:r>
          </w:p>
        </w:tc>
      </w:tr>
      <w:tr w:rsidR="00F62B17" w:rsidRPr="00827721" w14:paraId="64DB7348"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8677F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Moldova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5DB6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E1A7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A153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D55A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476</w:t>
            </w:r>
          </w:p>
        </w:tc>
      </w:tr>
      <w:tr w:rsidR="00F62B17" w:rsidRPr="00827721" w14:paraId="0F1F1AE1"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E27F4D"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Muntenegru</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A874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3EA7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6718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E3EE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646</w:t>
            </w:r>
          </w:p>
        </w:tc>
      </w:tr>
      <w:tr w:rsidR="00F62B17" w:rsidRPr="00827721" w14:paraId="40799C7F"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56D4B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Macedonia de Nord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C874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E1A6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81EC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0F8E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831</w:t>
            </w:r>
          </w:p>
        </w:tc>
      </w:tr>
      <w:tr w:rsidR="00F62B17" w:rsidRPr="00827721" w14:paraId="1C9E203B"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75812A"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Serbia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8F79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FDCD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8BEF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2B17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892</w:t>
            </w:r>
          </w:p>
        </w:tc>
      </w:tr>
      <w:tr w:rsidR="00F62B17" w:rsidRPr="00827721" w14:paraId="54FC5107"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474BA6"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Turcia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E25C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D051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9E2A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8241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546</w:t>
            </w:r>
          </w:p>
        </w:tc>
      </w:tr>
      <w:tr w:rsidR="00F62B17" w:rsidRPr="00827721" w14:paraId="273D8851"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BD63DD"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Belarus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0BD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B5EE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518F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A989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479</w:t>
            </w:r>
          </w:p>
        </w:tc>
      </w:tr>
      <w:tr w:rsidR="00F62B17" w:rsidRPr="00827721" w14:paraId="388313F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A357A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Rusia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58AE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EFB2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6510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F3A0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496</w:t>
            </w:r>
          </w:p>
        </w:tc>
      </w:tr>
      <w:tr w:rsidR="00F62B17" w:rsidRPr="00827721" w14:paraId="330AF28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A28FC7"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Ucraina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287F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774F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FC85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6189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439</w:t>
            </w:r>
          </w:p>
        </w:tc>
      </w:tr>
    </w:tbl>
    <w:p w14:paraId="46065D43" w14:textId="77777777" w:rsidR="00F62B17" w:rsidRPr="00827721" w:rsidRDefault="00F62B17" w:rsidP="00CF38FE">
      <w:pPr>
        <w:ind w:left="431" w:firstLine="0"/>
        <w:rPr>
          <w:lang w:eastAsia="ro-RO"/>
        </w:rPr>
      </w:pPr>
    </w:p>
    <w:tbl>
      <w:tblPr>
        <w:tblW w:w="94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
        <w:gridCol w:w="6340"/>
        <w:gridCol w:w="856"/>
        <w:gridCol w:w="856"/>
        <w:gridCol w:w="1283"/>
      </w:tblGrid>
      <w:tr w:rsidR="00F62B17" w:rsidRPr="00827721" w14:paraId="6EFE2709"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8D35028" w14:textId="77777777" w:rsidR="00F62B17" w:rsidRPr="00827721" w:rsidRDefault="00F62B17" w:rsidP="00F62B17">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700A7" w14:textId="77777777" w:rsidR="00F62B17" w:rsidRPr="00827721" w:rsidRDefault="00F62B17" w:rsidP="000E211F">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parametru:</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A0AC48"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r>
      <w:tr w:rsidR="00F62B17" w:rsidRPr="00827721" w14:paraId="5E49BA72"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272C7F27" w14:textId="77777777" w:rsidR="00F62B17" w:rsidRPr="00827721" w:rsidRDefault="00F62B17" w:rsidP="00F62B17">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6D0CF" w14:textId="77777777" w:rsidR="00F62B17" w:rsidRPr="00827721" w:rsidRDefault="00F62B17" w:rsidP="000E211F">
            <w:pPr>
              <w:spacing w:before="60" w:after="60" w:line="312" w:lineRule="atLeast"/>
              <w:ind w:firstLine="0"/>
              <w:jc w:val="left"/>
              <w:rPr>
                <w:rFonts w:eastAsia="Times New Roman"/>
                <w:b/>
                <w:bCs/>
                <w:sz w:val="20"/>
                <w:szCs w:val="20"/>
                <w:lang w:eastAsia="ro-RO"/>
              </w:rPr>
            </w:pPr>
            <w:r w:rsidRPr="00827721">
              <w:rPr>
                <w:rFonts w:eastAsia="Times New Roman"/>
                <w:b/>
                <w:bCs/>
                <w:sz w:val="20"/>
                <w:szCs w:val="20"/>
                <w:lang w:eastAsia="ro-RO"/>
              </w:rPr>
              <w:t>unitatea:</w:t>
            </w:r>
          </w:p>
        </w:tc>
        <w:tc>
          <w:tcPr>
            <w:tcW w:w="856" w:type="dxa"/>
            <w:tcBorders>
              <w:top w:val="outset" w:sz="6" w:space="0" w:color="auto"/>
              <w:left w:val="outset" w:sz="6" w:space="0" w:color="auto"/>
              <w:bottom w:val="outset" w:sz="6" w:space="0" w:color="auto"/>
              <w:right w:val="outset" w:sz="6" w:space="0" w:color="auto"/>
            </w:tcBorders>
            <w:vAlign w:val="center"/>
            <w:hideMark/>
          </w:tcPr>
          <w:p w14:paraId="135586A5"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/MJ</w:t>
            </w:r>
          </w:p>
        </w:tc>
        <w:tc>
          <w:tcPr>
            <w:tcW w:w="856" w:type="dxa"/>
            <w:tcBorders>
              <w:top w:val="outset" w:sz="6" w:space="0" w:color="auto"/>
              <w:left w:val="outset" w:sz="6" w:space="0" w:color="auto"/>
              <w:bottom w:val="outset" w:sz="6" w:space="0" w:color="auto"/>
              <w:right w:val="outset" w:sz="6" w:space="0" w:color="auto"/>
            </w:tcBorders>
            <w:vAlign w:val="center"/>
            <w:hideMark/>
          </w:tcPr>
          <w:p w14:paraId="531B1BB7"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O/MJ</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32906" w14:textId="77777777" w:rsidR="00F62B17" w:rsidRPr="00827721" w:rsidRDefault="00F62B17" w:rsidP="000E211F">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/MJ</w:t>
            </w:r>
          </w:p>
        </w:tc>
      </w:tr>
      <w:tr w:rsidR="00F62B17" w:rsidRPr="00827721" w14:paraId="0D5E25E1" w14:textId="77777777" w:rsidTr="000E211F">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829D8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Emisii provenite din exploatarea mașinilor, inclusiv deșeuri lemnoase (</w:t>
            </w:r>
            <w:r w:rsidRPr="00827721">
              <w:rPr>
                <w:rFonts w:eastAsia="Times New Roman"/>
                <w:sz w:val="20"/>
                <w:szCs w:val="20"/>
                <w:lang w:eastAsia="ro-RO"/>
              </w:rPr>
              <w:t> </w:t>
            </w:r>
            <w:r w:rsidRPr="00827721">
              <w:rPr>
                <w:rFonts w:eastAsia="Times New Roman"/>
                <w:b/>
                <w:bCs/>
                <w:sz w:val="20"/>
                <w:szCs w:val="20"/>
                <w:lang w:eastAsia="ro-RO"/>
              </w:rPr>
              <w:t>per MJ de motorină</w:t>
            </w:r>
            <w:r w:rsidRPr="00827721">
              <w:rPr>
                <w:rFonts w:eastAsia="Times New Roman"/>
                <w:sz w:val="20"/>
                <w:szCs w:val="20"/>
                <w:lang w:eastAsia="ro-RO"/>
              </w:rPr>
              <w:t>)</w:t>
            </w:r>
          </w:p>
        </w:tc>
        <w:tc>
          <w:tcPr>
            <w:tcW w:w="856" w:type="dxa"/>
            <w:tcBorders>
              <w:top w:val="outset" w:sz="6" w:space="0" w:color="auto"/>
              <w:left w:val="outset" w:sz="6" w:space="0" w:color="auto"/>
              <w:bottom w:val="outset" w:sz="6" w:space="0" w:color="auto"/>
              <w:right w:val="outset" w:sz="6" w:space="0" w:color="auto"/>
            </w:tcBorders>
            <w:vAlign w:val="center"/>
            <w:hideMark/>
          </w:tcPr>
          <w:p w14:paraId="26E11B88" w14:textId="32FFAF9F" w:rsidR="00F62B17" w:rsidRPr="00827721" w:rsidRDefault="00F62B17" w:rsidP="000E211F">
            <w:pPr>
              <w:spacing w:line="312" w:lineRule="atLeast"/>
              <w:ind w:firstLine="0"/>
              <w:jc w:val="center"/>
              <w:rPr>
                <w:rFonts w:eastAsia="Times New Roman"/>
                <w:sz w:val="20"/>
                <w:szCs w:val="20"/>
                <w:lang w:eastAsia="ro-RO"/>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24E9F6B1" w14:textId="160125A1" w:rsidR="00F62B17" w:rsidRPr="00827721" w:rsidRDefault="00F62B17" w:rsidP="000E211F">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A9A650" w14:textId="450D542D" w:rsidR="00F62B17" w:rsidRPr="00827721" w:rsidRDefault="00F62B17" w:rsidP="000E211F">
            <w:pPr>
              <w:spacing w:line="312" w:lineRule="atLeast"/>
              <w:ind w:firstLine="0"/>
              <w:jc w:val="center"/>
              <w:rPr>
                <w:rFonts w:eastAsia="Times New Roman"/>
                <w:sz w:val="20"/>
                <w:szCs w:val="20"/>
                <w:lang w:eastAsia="ro-RO"/>
              </w:rPr>
            </w:pPr>
          </w:p>
        </w:tc>
      </w:tr>
      <w:tr w:rsidR="00F62B17" w:rsidRPr="00827721" w14:paraId="6CF01F41"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FDFE1E8"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A71D2"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din utilizarea motorinei (transporturi)</w:t>
            </w:r>
          </w:p>
        </w:tc>
        <w:tc>
          <w:tcPr>
            <w:tcW w:w="856" w:type="dxa"/>
            <w:tcBorders>
              <w:top w:val="outset" w:sz="6" w:space="0" w:color="auto"/>
              <w:left w:val="outset" w:sz="6" w:space="0" w:color="auto"/>
              <w:bottom w:val="outset" w:sz="6" w:space="0" w:color="auto"/>
              <w:right w:val="outset" w:sz="6" w:space="0" w:color="auto"/>
            </w:tcBorders>
            <w:vAlign w:val="center"/>
            <w:hideMark/>
          </w:tcPr>
          <w:p w14:paraId="0F1D7EE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0,0008</w:t>
            </w:r>
          </w:p>
        </w:tc>
        <w:tc>
          <w:tcPr>
            <w:tcW w:w="856" w:type="dxa"/>
            <w:tcBorders>
              <w:top w:val="outset" w:sz="6" w:space="0" w:color="auto"/>
              <w:left w:val="outset" w:sz="6" w:space="0" w:color="auto"/>
              <w:bottom w:val="outset" w:sz="6" w:space="0" w:color="auto"/>
              <w:right w:val="outset" w:sz="6" w:space="0" w:color="auto"/>
            </w:tcBorders>
            <w:vAlign w:val="center"/>
            <w:hideMark/>
          </w:tcPr>
          <w:p w14:paraId="799A0FE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0DC4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0,97</w:t>
            </w:r>
          </w:p>
        </w:tc>
      </w:tr>
      <w:tr w:rsidR="00F62B17" w:rsidRPr="00827721" w14:paraId="47EF1E35"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52EC0409"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3BE3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din utilizarea motorinei (silvicultură)</w:t>
            </w:r>
          </w:p>
        </w:tc>
        <w:tc>
          <w:tcPr>
            <w:tcW w:w="856" w:type="dxa"/>
            <w:tcBorders>
              <w:top w:val="outset" w:sz="6" w:space="0" w:color="auto"/>
              <w:left w:val="outset" w:sz="6" w:space="0" w:color="auto"/>
              <w:bottom w:val="outset" w:sz="6" w:space="0" w:color="auto"/>
              <w:right w:val="outset" w:sz="6" w:space="0" w:color="auto"/>
            </w:tcBorders>
            <w:vAlign w:val="center"/>
            <w:hideMark/>
          </w:tcPr>
          <w:p w14:paraId="6484070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0,0008</w:t>
            </w:r>
          </w:p>
        </w:tc>
        <w:tc>
          <w:tcPr>
            <w:tcW w:w="856" w:type="dxa"/>
            <w:tcBorders>
              <w:top w:val="outset" w:sz="6" w:space="0" w:color="auto"/>
              <w:left w:val="outset" w:sz="6" w:space="0" w:color="auto"/>
              <w:bottom w:val="outset" w:sz="6" w:space="0" w:color="auto"/>
              <w:right w:val="outset" w:sz="6" w:space="0" w:color="auto"/>
            </w:tcBorders>
            <w:vAlign w:val="center"/>
            <w:hideMark/>
          </w:tcPr>
          <w:p w14:paraId="380DD42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1DD9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0,97</w:t>
            </w:r>
          </w:p>
        </w:tc>
      </w:tr>
      <w:tr w:rsidR="00F62B17" w:rsidRPr="00827721" w14:paraId="7E8C5F14"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3B66B91C"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8498D"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din utilizarea motorinei (agricultură)</w:t>
            </w:r>
          </w:p>
        </w:tc>
        <w:tc>
          <w:tcPr>
            <w:tcW w:w="856" w:type="dxa"/>
            <w:tcBorders>
              <w:top w:val="outset" w:sz="6" w:space="0" w:color="auto"/>
              <w:left w:val="outset" w:sz="6" w:space="0" w:color="auto"/>
              <w:bottom w:val="outset" w:sz="6" w:space="0" w:color="auto"/>
              <w:right w:val="outset" w:sz="6" w:space="0" w:color="auto"/>
            </w:tcBorders>
            <w:vAlign w:val="center"/>
            <w:hideMark/>
          </w:tcPr>
          <w:p w14:paraId="7A8A930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0,0013</w:t>
            </w:r>
          </w:p>
        </w:tc>
        <w:tc>
          <w:tcPr>
            <w:tcW w:w="856" w:type="dxa"/>
            <w:tcBorders>
              <w:top w:val="outset" w:sz="6" w:space="0" w:color="auto"/>
              <w:left w:val="outset" w:sz="6" w:space="0" w:color="auto"/>
              <w:bottom w:val="outset" w:sz="6" w:space="0" w:color="auto"/>
              <w:right w:val="outset" w:sz="6" w:space="0" w:color="auto"/>
            </w:tcBorders>
            <w:vAlign w:val="center"/>
            <w:hideMark/>
          </w:tcPr>
          <w:p w14:paraId="3136F6C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58FD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0,97</w:t>
            </w:r>
          </w:p>
        </w:tc>
      </w:tr>
      <w:tr w:rsidR="00F62B17" w:rsidRPr="00827721" w14:paraId="62F2F9B1" w14:textId="77777777" w:rsidTr="000E211F">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288E01"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Emisiile provenite de la cazane sau instalații de cogenerare (</w:t>
            </w:r>
            <w:r w:rsidRPr="00827721">
              <w:rPr>
                <w:rFonts w:eastAsia="Times New Roman"/>
                <w:sz w:val="20"/>
                <w:szCs w:val="20"/>
                <w:lang w:eastAsia="ro-RO"/>
              </w:rPr>
              <w:t> </w:t>
            </w:r>
            <w:r w:rsidRPr="00827721">
              <w:rPr>
                <w:rFonts w:eastAsia="Times New Roman"/>
                <w:b/>
                <w:bCs/>
                <w:sz w:val="20"/>
                <w:szCs w:val="20"/>
                <w:lang w:eastAsia="ro-RO"/>
              </w:rPr>
              <w:t>per MJ de materii prime</w:t>
            </w:r>
            <w:r w:rsidRPr="00827721">
              <w:rPr>
                <w:rFonts w:eastAsia="Times New Roman"/>
                <w:sz w:val="20"/>
                <w:szCs w:val="20"/>
                <w:lang w:eastAsia="ro-RO"/>
              </w:rPr>
              <w:t>)</w:t>
            </w:r>
          </w:p>
        </w:tc>
        <w:tc>
          <w:tcPr>
            <w:tcW w:w="856" w:type="dxa"/>
            <w:tcBorders>
              <w:top w:val="outset" w:sz="6" w:space="0" w:color="auto"/>
              <w:left w:val="outset" w:sz="6" w:space="0" w:color="auto"/>
              <w:bottom w:val="outset" w:sz="6" w:space="0" w:color="auto"/>
              <w:right w:val="outset" w:sz="6" w:space="0" w:color="auto"/>
            </w:tcBorders>
            <w:vAlign w:val="center"/>
            <w:hideMark/>
          </w:tcPr>
          <w:p w14:paraId="30DCB36D" w14:textId="2B630F27" w:rsidR="00F62B17" w:rsidRPr="00827721" w:rsidRDefault="00F62B17" w:rsidP="000E211F">
            <w:pPr>
              <w:spacing w:line="312" w:lineRule="atLeast"/>
              <w:ind w:firstLine="0"/>
              <w:jc w:val="center"/>
              <w:rPr>
                <w:rFonts w:eastAsia="Times New Roman"/>
                <w:sz w:val="20"/>
                <w:szCs w:val="20"/>
                <w:lang w:eastAsia="ro-RO"/>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1DDC2821" w14:textId="1249059D" w:rsidR="00F62B17" w:rsidRPr="00827721" w:rsidRDefault="00F62B17" w:rsidP="000E211F">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FC3110" w14:textId="16692597" w:rsidR="00F62B17" w:rsidRPr="00827721" w:rsidRDefault="00F62B17" w:rsidP="000E211F">
            <w:pPr>
              <w:spacing w:line="312" w:lineRule="atLeast"/>
              <w:ind w:firstLine="0"/>
              <w:jc w:val="center"/>
              <w:rPr>
                <w:rFonts w:eastAsia="Times New Roman"/>
                <w:sz w:val="20"/>
                <w:szCs w:val="20"/>
                <w:lang w:eastAsia="ro-RO"/>
              </w:rPr>
            </w:pPr>
          </w:p>
        </w:tc>
      </w:tr>
      <w:tr w:rsidR="00F62B17" w:rsidRPr="00827721" w14:paraId="53180D7A"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1E61F510"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320A9"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reziduuri agricole</w:t>
            </w:r>
          </w:p>
        </w:tc>
        <w:tc>
          <w:tcPr>
            <w:tcW w:w="856" w:type="dxa"/>
            <w:tcBorders>
              <w:top w:val="outset" w:sz="6" w:space="0" w:color="auto"/>
              <w:left w:val="outset" w:sz="6" w:space="0" w:color="auto"/>
              <w:bottom w:val="outset" w:sz="6" w:space="0" w:color="auto"/>
              <w:right w:val="outset" w:sz="6" w:space="0" w:color="auto"/>
            </w:tcBorders>
            <w:vAlign w:val="center"/>
            <w:hideMark/>
          </w:tcPr>
          <w:p w14:paraId="2608AF9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3643FBA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B304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r>
      <w:tr w:rsidR="00F62B17" w:rsidRPr="00827721" w14:paraId="1CD9DEB6"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5CC9DA8F"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2869A"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reziduuri agricole</w:t>
            </w:r>
          </w:p>
        </w:tc>
        <w:tc>
          <w:tcPr>
            <w:tcW w:w="856" w:type="dxa"/>
            <w:tcBorders>
              <w:top w:val="outset" w:sz="6" w:space="0" w:color="auto"/>
              <w:left w:val="outset" w:sz="6" w:space="0" w:color="auto"/>
              <w:bottom w:val="outset" w:sz="6" w:space="0" w:color="auto"/>
              <w:right w:val="outset" w:sz="6" w:space="0" w:color="auto"/>
            </w:tcBorders>
            <w:vAlign w:val="center"/>
            <w:hideMark/>
          </w:tcPr>
          <w:p w14:paraId="158295F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4DBF09C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6FF3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r>
      <w:tr w:rsidR="00F62B17" w:rsidRPr="00827721" w14:paraId="17D4307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D41BE03"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36763"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reziduuri rezultate din prelucrarea trestiei de zahăr</w:t>
            </w:r>
          </w:p>
        </w:tc>
        <w:tc>
          <w:tcPr>
            <w:tcW w:w="856" w:type="dxa"/>
            <w:tcBorders>
              <w:top w:val="outset" w:sz="6" w:space="0" w:color="auto"/>
              <w:left w:val="outset" w:sz="6" w:space="0" w:color="auto"/>
              <w:bottom w:val="outset" w:sz="6" w:space="0" w:color="auto"/>
              <w:right w:val="outset" w:sz="6" w:space="0" w:color="auto"/>
            </w:tcBorders>
            <w:vAlign w:val="center"/>
            <w:hideMark/>
          </w:tcPr>
          <w:p w14:paraId="7F4202D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0,0025</w:t>
            </w:r>
          </w:p>
        </w:tc>
        <w:tc>
          <w:tcPr>
            <w:tcW w:w="856" w:type="dxa"/>
            <w:tcBorders>
              <w:top w:val="outset" w:sz="6" w:space="0" w:color="auto"/>
              <w:left w:val="outset" w:sz="6" w:space="0" w:color="auto"/>
              <w:bottom w:val="outset" w:sz="6" w:space="0" w:color="auto"/>
              <w:right w:val="outset" w:sz="6" w:space="0" w:color="auto"/>
            </w:tcBorders>
            <w:vAlign w:val="center"/>
            <w:hideMark/>
          </w:tcPr>
          <w:p w14:paraId="22734BE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351C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0,43</w:t>
            </w:r>
          </w:p>
        </w:tc>
      </w:tr>
      <w:tr w:rsidR="00F62B17" w:rsidRPr="00827721" w14:paraId="74097CF9"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4254B095"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70C0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reziduuri rezultate din prelucrarea trestiei de zahăr</w:t>
            </w:r>
          </w:p>
        </w:tc>
        <w:tc>
          <w:tcPr>
            <w:tcW w:w="856" w:type="dxa"/>
            <w:tcBorders>
              <w:top w:val="outset" w:sz="6" w:space="0" w:color="auto"/>
              <w:left w:val="outset" w:sz="6" w:space="0" w:color="auto"/>
              <w:bottom w:val="outset" w:sz="6" w:space="0" w:color="auto"/>
              <w:right w:val="outset" w:sz="6" w:space="0" w:color="auto"/>
            </w:tcBorders>
            <w:vAlign w:val="center"/>
            <w:hideMark/>
          </w:tcPr>
          <w:p w14:paraId="176683A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0,0025</w:t>
            </w:r>
          </w:p>
        </w:tc>
        <w:tc>
          <w:tcPr>
            <w:tcW w:w="856" w:type="dxa"/>
            <w:tcBorders>
              <w:top w:val="outset" w:sz="6" w:space="0" w:color="auto"/>
              <w:left w:val="outset" w:sz="6" w:space="0" w:color="auto"/>
              <w:bottom w:val="outset" w:sz="6" w:space="0" w:color="auto"/>
              <w:right w:val="outset" w:sz="6" w:space="0" w:color="auto"/>
            </w:tcBorders>
            <w:vAlign w:val="center"/>
            <w:hideMark/>
          </w:tcPr>
          <w:p w14:paraId="52D650B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3B0F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0,43</w:t>
            </w:r>
          </w:p>
        </w:tc>
      </w:tr>
      <w:tr w:rsidR="00F62B17" w:rsidRPr="00827721" w14:paraId="44360B51"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2B0C5CF7"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7278E"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motoarele pe gaz ale instalațiilor de cogenerare pe bază de biogaz</w:t>
            </w:r>
          </w:p>
        </w:tc>
        <w:tc>
          <w:tcPr>
            <w:tcW w:w="856" w:type="dxa"/>
            <w:tcBorders>
              <w:top w:val="outset" w:sz="6" w:space="0" w:color="auto"/>
              <w:left w:val="outset" w:sz="6" w:space="0" w:color="auto"/>
              <w:bottom w:val="outset" w:sz="6" w:space="0" w:color="auto"/>
              <w:right w:val="outset" w:sz="6" w:space="0" w:color="auto"/>
            </w:tcBorders>
            <w:vAlign w:val="center"/>
            <w:hideMark/>
          </w:tcPr>
          <w:p w14:paraId="6E95326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0,3400</w:t>
            </w:r>
          </w:p>
        </w:tc>
        <w:tc>
          <w:tcPr>
            <w:tcW w:w="856" w:type="dxa"/>
            <w:tcBorders>
              <w:top w:val="outset" w:sz="6" w:space="0" w:color="auto"/>
              <w:left w:val="outset" w:sz="6" w:space="0" w:color="auto"/>
              <w:bottom w:val="outset" w:sz="6" w:space="0" w:color="auto"/>
              <w:right w:val="outset" w:sz="6" w:space="0" w:color="auto"/>
            </w:tcBorders>
            <w:vAlign w:val="center"/>
            <w:hideMark/>
          </w:tcPr>
          <w:p w14:paraId="6CBC502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B7F7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8,92</w:t>
            </w:r>
          </w:p>
        </w:tc>
      </w:tr>
      <w:tr w:rsidR="00F62B17" w:rsidRPr="00827721" w14:paraId="5D0AA202"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85CEB67"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FCB79"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cu biogaz</w:t>
            </w:r>
          </w:p>
        </w:tc>
        <w:tc>
          <w:tcPr>
            <w:tcW w:w="856" w:type="dxa"/>
            <w:tcBorders>
              <w:top w:val="outset" w:sz="6" w:space="0" w:color="auto"/>
              <w:left w:val="outset" w:sz="6" w:space="0" w:color="auto"/>
              <w:bottom w:val="outset" w:sz="6" w:space="0" w:color="auto"/>
              <w:right w:val="outset" w:sz="6" w:space="0" w:color="auto"/>
            </w:tcBorders>
            <w:vAlign w:val="center"/>
            <w:hideMark/>
          </w:tcPr>
          <w:p w14:paraId="0BEDC0D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0,0025</w:t>
            </w:r>
          </w:p>
        </w:tc>
        <w:tc>
          <w:tcPr>
            <w:tcW w:w="856" w:type="dxa"/>
            <w:tcBorders>
              <w:top w:val="outset" w:sz="6" w:space="0" w:color="auto"/>
              <w:left w:val="outset" w:sz="6" w:space="0" w:color="auto"/>
              <w:bottom w:val="outset" w:sz="6" w:space="0" w:color="auto"/>
              <w:right w:val="outset" w:sz="6" w:space="0" w:color="auto"/>
            </w:tcBorders>
            <w:vAlign w:val="center"/>
            <w:hideMark/>
          </w:tcPr>
          <w:p w14:paraId="3B0CCB4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0543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0,36</w:t>
            </w:r>
          </w:p>
        </w:tc>
      </w:tr>
      <w:tr w:rsidR="00F62B17" w:rsidRPr="00827721" w14:paraId="54D75F71"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7BF60834"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5BF28"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antracit</w:t>
            </w:r>
          </w:p>
        </w:tc>
        <w:tc>
          <w:tcPr>
            <w:tcW w:w="856" w:type="dxa"/>
            <w:tcBorders>
              <w:top w:val="outset" w:sz="6" w:space="0" w:color="auto"/>
              <w:left w:val="outset" w:sz="6" w:space="0" w:color="auto"/>
              <w:bottom w:val="outset" w:sz="6" w:space="0" w:color="auto"/>
              <w:right w:val="outset" w:sz="6" w:space="0" w:color="auto"/>
            </w:tcBorders>
            <w:vAlign w:val="center"/>
            <w:hideMark/>
          </w:tcPr>
          <w:p w14:paraId="79A33C9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0,0018</w:t>
            </w:r>
          </w:p>
        </w:tc>
        <w:tc>
          <w:tcPr>
            <w:tcW w:w="856" w:type="dxa"/>
            <w:tcBorders>
              <w:top w:val="outset" w:sz="6" w:space="0" w:color="auto"/>
              <w:left w:val="outset" w:sz="6" w:space="0" w:color="auto"/>
              <w:bottom w:val="outset" w:sz="6" w:space="0" w:color="auto"/>
              <w:right w:val="outset" w:sz="6" w:space="0" w:color="auto"/>
            </w:tcBorders>
            <w:vAlign w:val="center"/>
            <w:hideMark/>
          </w:tcPr>
          <w:p w14:paraId="06577B1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AEBD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1,53</w:t>
            </w:r>
          </w:p>
        </w:tc>
      </w:tr>
      <w:tr w:rsidR="00F62B17" w:rsidRPr="00827721" w14:paraId="0D499B4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57549F1"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27ED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lignit</w:t>
            </w:r>
          </w:p>
        </w:tc>
        <w:tc>
          <w:tcPr>
            <w:tcW w:w="856" w:type="dxa"/>
            <w:tcBorders>
              <w:top w:val="outset" w:sz="6" w:space="0" w:color="auto"/>
              <w:left w:val="outset" w:sz="6" w:space="0" w:color="auto"/>
              <w:bottom w:val="outset" w:sz="6" w:space="0" w:color="auto"/>
              <w:right w:val="outset" w:sz="6" w:space="0" w:color="auto"/>
            </w:tcBorders>
            <w:vAlign w:val="center"/>
            <w:hideMark/>
          </w:tcPr>
          <w:p w14:paraId="77E9B5B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856" w:type="dxa"/>
            <w:tcBorders>
              <w:top w:val="outset" w:sz="6" w:space="0" w:color="auto"/>
              <w:left w:val="outset" w:sz="6" w:space="0" w:color="auto"/>
              <w:bottom w:val="outset" w:sz="6" w:space="0" w:color="auto"/>
              <w:right w:val="outset" w:sz="6" w:space="0" w:color="auto"/>
            </w:tcBorders>
            <w:vAlign w:val="center"/>
            <w:hideMark/>
          </w:tcPr>
          <w:p w14:paraId="5BEDB1C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A206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0,86</w:t>
            </w:r>
          </w:p>
        </w:tc>
      </w:tr>
      <w:tr w:rsidR="00F62B17" w:rsidRPr="00827721" w14:paraId="4D790EE7"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5BD60146"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BD384"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gaze naturale</w:t>
            </w:r>
          </w:p>
        </w:tc>
        <w:tc>
          <w:tcPr>
            <w:tcW w:w="856" w:type="dxa"/>
            <w:tcBorders>
              <w:top w:val="outset" w:sz="6" w:space="0" w:color="auto"/>
              <w:left w:val="outset" w:sz="6" w:space="0" w:color="auto"/>
              <w:bottom w:val="outset" w:sz="6" w:space="0" w:color="auto"/>
              <w:right w:val="outset" w:sz="6" w:space="0" w:color="auto"/>
            </w:tcBorders>
            <w:vAlign w:val="center"/>
            <w:hideMark/>
          </w:tcPr>
          <w:p w14:paraId="46EE36C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0,0025</w:t>
            </w:r>
          </w:p>
        </w:tc>
        <w:tc>
          <w:tcPr>
            <w:tcW w:w="856" w:type="dxa"/>
            <w:tcBorders>
              <w:top w:val="outset" w:sz="6" w:space="0" w:color="auto"/>
              <w:left w:val="outset" w:sz="6" w:space="0" w:color="auto"/>
              <w:bottom w:val="outset" w:sz="6" w:space="0" w:color="auto"/>
              <w:right w:val="outset" w:sz="6" w:space="0" w:color="auto"/>
            </w:tcBorders>
            <w:vAlign w:val="center"/>
            <w:hideMark/>
          </w:tcPr>
          <w:p w14:paraId="3BB9847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B4D8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0,36</w:t>
            </w:r>
          </w:p>
        </w:tc>
      </w:tr>
      <w:tr w:rsidR="00F62B17" w:rsidRPr="00827721" w14:paraId="1999B5B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383D80DF"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5B365"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gaze naturale</w:t>
            </w:r>
          </w:p>
        </w:tc>
        <w:tc>
          <w:tcPr>
            <w:tcW w:w="856" w:type="dxa"/>
            <w:tcBorders>
              <w:top w:val="outset" w:sz="6" w:space="0" w:color="auto"/>
              <w:left w:val="outset" w:sz="6" w:space="0" w:color="auto"/>
              <w:bottom w:val="outset" w:sz="6" w:space="0" w:color="auto"/>
              <w:right w:val="outset" w:sz="6" w:space="0" w:color="auto"/>
            </w:tcBorders>
            <w:vAlign w:val="center"/>
            <w:hideMark/>
          </w:tcPr>
          <w:p w14:paraId="663FEF0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0,0042</w:t>
            </w:r>
          </w:p>
        </w:tc>
        <w:tc>
          <w:tcPr>
            <w:tcW w:w="856" w:type="dxa"/>
            <w:tcBorders>
              <w:top w:val="outset" w:sz="6" w:space="0" w:color="auto"/>
              <w:left w:val="outset" w:sz="6" w:space="0" w:color="auto"/>
              <w:bottom w:val="outset" w:sz="6" w:space="0" w:color="auto"/>
              <w:right w:val="outset" w:sz="6" w:space="0" w:color="auto"/>
            </w:tcBorders>
            <w:vAlign w:val="center"/>
            <w:hideMark/>
          </w:tcPr>
          <w:p w14:paraId="3DC0AD8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D649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0,36</w:t>
            </w:r>
          </w:p>
        </w:tc>
      </w:tr>
      <w:tr w:rsidR="00F62B17" w:rsidRPr="00827721" w14:paraId="3F565DB6"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38DC65A0"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37D8B"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motoarele pe bază de gaze naturale</w:t>
            </w:r>
          </w:p>
        </w:tc>
        <w:tc>
          <w:tcPr>
            <w:tcW w:w="856" w:type="dxa"/>
            <w:tcBorders>
              <w:top w:val="outset" w:sz="6" w:space="0" w:color="auto"/>
              <w:left w:val="outset" w:sz="6" w:space="0" w:color="auto"/>
              <w:bottom w:val="outset" w:sz="6" w:space="0" w:color="auto"/>
              <w:right w:val="outset" w:sz="6" w:space="0" w:color="auto"/>
            </w:tcBorders>
            <w:vAlign w:val="center"/>
            <w:hideMark/>
          </w:tcPr>
          <w:p w14:paraId="2464363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0,0030</w:t>
            </w:r>
          </w:p>
        </w:tc>
        <w:tc>
          <w:tcPr>
            <w:tcW w:w="856" w:type="dxa"/>
            <w:tcBorders>
              <w:top w:val="outset" w:sz="6" w:space="0" w:color="auto"/>
              <w:left w:val="outset" w:sz="6" w:space="0" w:color="auto"/>
              <w:bottom w:val="outset" w:sz="6" w:space="0" w:color="auto"/>
              <w:right w:val="outset" w:sz="6" w:space="0" w:color="auto"/>
            </w:tcBorders>
            <w:vAlign w:val="center"/>
            <w:hideMark/>
          </w:tcPr>
          <w:p w14:paraId="33805AB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4A83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0,10</w:t>
            </w:r>
          </w:p>
        </w:tc>
      </w:tr>
      <w:tr w:rsidR="00F62B17" w:rsidRPr="00827721" w14:paraId="5971139D"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F55E223"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13C72"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coji și fibre de palmier</w:t>
            </w:r>
          </w:p>
        </w:tc>
        <w:tc>
          <w:tcPr>
            <w:tcW w:w="856" w:type="dxa"/>
            <w:tcBorders>
              <w:top w:val="outset" w:sz="6" w:space="0" w:color="auto"/>
              <w:left w:val="outset" w:sz="6" w:space="0" w:color="auto"/>
              <w:bottom w:val="outset" w:sz="6" w:space="0" w:color="auto"/>
              <w:right w:val="outset" w:sz="6" w:space="0" w:color="auto"/>
            </w:tcBorders>
            <w:vAlign w:val="center"/>
            <w:hideMark/>
          </w:tcPr>
          <w:p w14:paraId="1208B24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0,0030</w:t>
            </w:r>
          </w:p>
        </w:tc>
        <w:tc>
          <w:tcPr>
            <w:tcW w:w="856" w:type="dxa"/>
            <w:tcBorders>
              <w:top w:val="outset" w:sz="6" w:space="0" w:color="auto"/>
              <w:left w:val="outset" w:sz="6" w:space="0" w:color="auto"/>
              <w:bottom w:val="outset" w:sz="6" w:space="0" w:color="auto"/>
              <w:right w:val="outset" w:sz="6" w:space="0" w:color="auto"/>
            </w:tcBorders>
            <w:vAlign w:val="center"/>
            <w:hideMark/>
          </w:tcPr>
          <w:p w14:paraId="72AB8DC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BED08"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1,27</w:t>
            </w:r>
          </w:p>
        </w:tc>
      </w:tr>
      <w:tr w:rsidR="00F62B17" w:rsidRPr="00827721" w14:paraId="4D2B2264"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20A415B"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A194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coji și fibre de palmier</w:t>
            </w:r>
          </w:p>
        </w:tc>
        <w:tc>
          <w:tcPr>
            <w:tcW w:w="856" w:type="dxa"/>
            <w:tcBorders>
              <w:top w:val="outset" w:sz="6" w:space="0" w:color="auto"/>
              <w:left w:val="outset" w:sz="6" w:space="0" w:color="auto"/>
              <w:bottom w:val="outset" w:sz="6" w:space="0" w:color="auto"/>
              <w:right w:val="outset" w:sz="6" w:space="0" w:color="auto"/>
            </w:tcBorders>
            <w:vAlign w:val="center"/>
            <w:hideMark/>
          </w:tcPr>
          <w:p w14:paraId="6D295F4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0,0030</w:t>
            </w:r>
          </w:p>
        </w:tc>
        <w:tc>
          <w:tcPr>
            <w:tcW w:w="856" w:type="dxa"/>
            <w:tcBorders>
              <w:top w:val="outset" w:sz="6" w:space="0" w:color="auto"/>
              <w:left w:val="outset" w:sz="6" w:space="0" w:color="auto"/>
              <w:bottom w:val="outset" w:sz="6" w:space="0" w:color="auto"/>
              <w:right w:val="outset" w:sz="6" w:space="0" w:color="auto"/>
            </w:tcBorders>
            <w:vAlign w:val="center"/>
            <w:hideMark/>
          </w:tcPr>
          <w:p w14:paraId="6738615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AEB8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1,27</w:t>
            </w:r>
          </w:p>
        </w:tc>
      </w:tr>
      <w:tr w:rsidR="00F62B17" w:rsidRPr="00827721" w14:paraId="3F52210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0AD32994"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EBEAC"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făină de sâmburi de palmier</w:t>
            </w:r>
          </w:p>
        </w:tc>
        <w:tc>
          <w:tcPr>
            <w:tcW w:w="856" w:type="dxa"/>
            <w:tcBorders>
              <w:top w:val="outset" w:sz="6" w:space="0" w:color="auto"/>
              <w:left w:val="outset" w:sz="6" w:space="0" w:color="auto"/>
              <w:bottom w:val="outset" w:sz="6" w:space="0" w:color="auto"/>
              <w:right w:val="outset" w:sz="6" w:space="0" w:color="auto"/>
            </w:tcBorders>
            <w:vAlign w:val="center"/>
            <w:hideMark/>
          </w:tcPr>
          <w:p w14:paraId="1F15B74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1F24329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5E65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r>
      <w:tr w:rsidR="00F62B17" w:rsidRPr="00827721" w14:paraId="3D4D621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4CCA9EDA"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CF4B4"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făină de sâmburi de palmier</w:t>
            </w:r>
          </w:p>
        </w:tc>
        <w:tc>
          <w:tcPr>
            <w:tcW w:w="856" w:type="dxa"/>
            <w:tcBorders>
              <w:top w:val="outset" w:sz="6" w:space="0" w:color="auto"/>
              <w:left w:val="outset" w:sz="6" w:space="0" w:color="auto"/>
              <w:bottom w:val="outset" w:sz="6" w:space="0" w:color="auto"/>
              <w:right w:val="outset" w:sz="6" w:space="0" w:color="auto"/>
            </w:tcBorders>
            <w:vAlign w:val="center"/>
            <w:hideMark/>
          </w:tcPr>
          <w:p w14:paraId="0184594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4D6117D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C44F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r>
      <w:tr w:rsidR="00F62B17" w:rsidRPr="00827721" w14:paraId="4957EDF4"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5CB9AB7B"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46952"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rumeguș</w:t>
            </w:r>
          </w:p>
        </w:tc>
        <w:tc>
          <w:tcPr>
            <w:tcW w:w="856" w:type="dxa"/>
            <w:tcBorders>
              <w:top w:val="outset" w:sz="6" w:space="0" w:color="auto"/>
              <w:left w:val="outset" w:sz="6" w:space="0" w:color="auto"/>
              <w:bottom w:val="outset" w:sz="6" w:space="0" w:color="auto"/>
              <w:right w:val="outset" w:sz="6" w:space="0" w:color="auto"/>
            </w:tcBorders>
            <w:vAlign w:val="center"/>
            <w:hideMark/>
          </w:tcPr>
          <w:p w14:paraId="10794E4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0,0049</w:t>
            </w:r>
          </w:p>
        </w:tc>
        <w:tc>
          <w:tcPr>
            <w:tcW w:w="856" w:type="dxa"/>
            <w:tcBorders>
              <w:top w:val="outset" w:sz="6" w:space="0" w:color="auto"/>
              <w:left w:val="outset" w:sz="6" w:space="0" w:color="auto"/>
              <w:bottom w:val="outset" w:sz="6" w:space="0" w:color="auto"/>
              <w:right w:val="outset" w:sz="6" w:space="0" w:color="auto"/>
            </w:tcBorders>
            <w:vAlign w:val="center"/>
            <w:hideMark/>
          </w:tcPr>
          <w:p w14:paraId="18BBB07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D7615"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0,41</w:t>
            </w:r>
          </w:p>
        </w:tc>
      </w:tr>
      <w:tr w:rsidR="00F62B17" w:rsidRPr="00827721" w14:paraId="76EC8DD9"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4D5079E3"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0E7E9"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pelete de paie</w:t>
            </w:r>
          </w:p>
        </w:tc>
        <w:tc>
          <w:tcPr>
            <w:tcW w:w="856" w:type="dxa"/>
            <w:tcBorders>
              <w:top w:val="outset" w:sz="6" w:space="0" w:color="auto"/>
              <w:left w:val="outset" w:sz="6" w:space="0" w:color="auto"/>
              <w:bottom w:val="outset" w:sz="6" w:space="0" w:color="auto"/>
              <w:right w:val="outset" w:sz="6" w:space="0" w:color="auto"/>
            </w:tcBorders>
            <w:vAlign w:val="center"/>
            <w:hideMark/>
          </w:tcPr>
          <w:p w14:paraId="57ADA57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3BB0CB0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A73E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r>
      <w:tr w:rsidR="00F62B17" w:rsidRPr="00827721" w14:paraId="14992DFC"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C0ABB7C"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77569"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pelete de paie</w:t>
            </w:r>
          </w:p>
        </w:tc>
        <w:tc>
          <w:tcPr>
            <w:tcW w:w="856" w:type="dxa"/>
            <w:tcBorders>
              <w:top w:val="outset" w:sz="6" w:space="0" w:color="auto"/>
              <w:left w:val="outset" w:sz="6" w:space="0" w:color="auto"/>
              <w:bottom w:val="outset" w:sz="6" w:space="0" w:color="auto"/>
              <w:right w:val="outset" w:sz="6" w:space="0" w:color="auto"/>
            </w:tcBorders>
            <w:vAlign w:val="center"/>
            <w:hideMark/>
          </w:tcPr>
          <w:p w14:paraId="68F0369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626B9CB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8127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0,24</w:t>
            </w:r>
          </w:p>
        </w:tc>
      </w:tr>
      <w:tr w:rsidR="00F62B17" w:rsidRPr="00827721" w14:paraId="03860405"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5385CC5A"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D6E3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așchii de lemn</w:t>
            </w:r>
          </w:p>
        </w:tc>
        <w:tc>
          <w:tcPr>
            <w:tcW w:w="856" w:type="dxa"/>
            <w:tcBorders>
              <w:top w:val="outset" w:sz="6" w:space="0" w:color="auto"/>
              <w:left w:val="outset" w:sz="6" w:space="0" w:color="auto"/>
              <w:bottom w:val="outset" w:sz="6" w:space="0" w:color="auto"/>
              <w:right w:val="outset" w:sz="6" w:space="0" w:color="auto"/>
            </w:tcBorders>
            <w:vAlign w:val="center"/>
            <w:hideMark/>
          </w:tcPr>
          <w:p w14:paraId="6B790AF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0,0049</w:t>
            </w:r>
          </w:p>
        </w:tc>
        <w:tc>
          <w:tcPr>
            <w:tcW w:w="856" w:type="dxa"/>
            <w:tcBorders>
              <w:top w:val="outset" w:sz="6" w:space="0" w:color="auto"/>
              <w:left w:val="outset" w:sz="6" w:space="0" w:color="auto"/>
              <w:bottom w:val="outset" w:sz="6" w:space="0" w:color="auto"/>
              <w:right w:val="outset" w:sz="6" w:space="0" w:color="auto"/>
            </w:tcBorders>
            <w:vAlign w:val="center"/>
            <w:hideMark/>
          </w:tcPr>
          <w:p w14:paraId="1DA5A1C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C549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0,41</w:t>
            </w:r>
          </w:p>
        </w:tc>
      </w:tr>
      <w:tr w:rsidR="00F62B17" w:rsidRPr="00827721" w14:paraId="40E15868"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4754DB4E"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E0E9D"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așchii de lemn</w:t>
            </w:r>
          </w:p>
        </w:tc>
        <w:tc>
          <w:tcPr>
            <w:tcW w:w="856" w:type="dxa"/>
            <w:tcBorders>
              <w:top w:val="outset" w:sz="6" w:space="0" w:color="auto"/>
              <w:left w:val="outset" w:sz="6" w:space="0" w:color="auto"/>
              <w:bottom w:val="outset" w:sz="6" w:space="0" w:color="auto"/>
              <w:right w:val="outset" w:sz="6" w:space="0" w:color="auto"/>
            </w:tcBorders>
            <w:vAlign w:val="center"/>
            <w:hideMark/>
          </w:tcPr>
          <w:p w14:paraId="2233574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0,0049</w:t>
            </w:r>
          </w:p>
        </w:tc>
        <w:tc>
          <w:tcPr>
            <w:tcW w:w="856" w:type="dxa"/>
            <w:tcBorders>
              <w:top w:val="outset" w:sz="6" w:space="0" w:color="auto"/>
              <w:left w:val="outset" w:sz="6" w:space="0" w:color="auto"/>
              <w:bottom w:val="outset" w:sz="6" w:space="0" w:color="auto"/>
              <w:right w:val="outset" w:sz="6" w:space="0" w:color="auto"/>
            </w:tcBorders>
            <w:vAlign w:val="center"/>
            <w:hideMark/>
          </w:tcPr>
          <w:p w14:paraId="26A737A0"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DB4E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0,41</w:t>
            </w:r>
          </w:p>
        </w:tc>
      </w:tr>
      <w:tr w:rsidR="00F62B17" w:rsidRPr="00827721" w14:paraId="07EDD53F"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20097602"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0F79B"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pelete de lemn</w:t>
            </w:r>
          </w:p>
        </w:tc>
        <w:tc>
          <w:tcPr>
            <w:tcW w:w="856" w:type="dxa"/>
            <w:tcBorders>
              <w:top w:val="outset" w:sz="6" w:space="0" w:color="auto"/>
              <w:left w:val="outset" w:sz="6" w:space="0" w:color="auto"/>
              <w:bottom w:val="outset" w:sz="6" w:space="0" w:color="auto"/>
              <w:right w:val="outset" w:sz="6" w:space="0" w:color="auto"/>
            </w:tcBorders>
            <w:vAlign w:val="center"/>
            <w:hideMark/>
          </w:tcPr>
          <w:p w14:paraId="0E27B6B9"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0,0030</w:t>
            </w:r>
          </w:p>
        </w:tc>
        <w:tc>
          <w:tcPr>
            <w:tcW w:w="856" w:type="dxa"/>
            <w:tcBorders>
              <w:top w:val="outset" w:sz="6" w:space="0" w:color="auto"/>
              <w:left w:val="outset" w:sz="6" w:space="0" w:color="auto"/>
              <w:bottom w:val="outset" w:sz="6" w:space="0" w:color="auto"/>
              <w:right w:val="outset" w:sz="6" w:space="0" w:color="auto"/>
            </w:tcBorders>
            <w:vAlign w:val="center"/>
            <w:hideMark/>
          </w:tcPr>
          <w:p w14:paraId="2499A0A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4675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0,25</w:t>
            </w:r>
          </w:p>
        </w:tc>
      </w:tr>
      <w:tr w:rsidR="00F62B17" w:rsidRPr="00827721" w14:paraId="380F1123"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4A1A746E"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16FAF"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instalațiile de cogenerare pe bază de pelete de lemn</w:t>
            </w:r>
          </w:p>
        </w:tc>
        <w:tc>
          <w:tcPr>
            <w:tcW w:w="856" w:type="dxa"/>
            <w:tcBorders>
              <w:top w:val="outset" w:sz="6" w:space="0" w:color="auto"/>
              <w:left w:val="outset" w:sz="6" w:space="0" w:color="auto"/>
              <w:bottom w:val="outset" w:sz="6" w:space="0" w:color="auto"/>
              <w:right w:val="outset" w:sz="6" w:space="0" w:color="auto"/>
            </w:tcBorders>
            <w:vAlign w:val="center"/>
            <w:hideMark/>
          </w:tcPr>
          <w:p w14:paraId="1056709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0,0030</w:t>
            </w:r>
          </w:p>
        </w:tc>
        <w:tc>
          <w:tcPr>
            <w:tcW w:w="856" w:type="dxa"/>
            <w:tcBorders>
              <w:top w:val="outset" w:sz="6" w:space="0" w:color="auto"/>
              <w:left w:val="outset" w:sz="6" w:space="0" w:color="auto"/>
              <w:bottom w:val="outset" w:sz="6" w:space="0" w:color="auto"/>
              <w:right w:val="outset" w:sz="6" w:space="0" w:color="auto"/>
            </w:tcBorders>
            <w:vAlign w:val="center"/>
            <w:hideMark/>
          </w:tcPr>
          <w:p w14:paraId="5F2AB0AA"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8591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0,25</w:t>
            </w:r>
          </w:p>
        </w:tc>
      </w:tr>
      <w:tr w:rsidR="00F62B17" w:rsidRPr="00827721" w14:paraId="46D9A0AB"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35114BA0"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EFFC8"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cazanele pe bază de combustibili lichizi</w:t>
            </w:r>
          </w:p>
        </w:tc>
        <w:tc>
          <w:tcPr>
            <w:tcW w:w="856" w:type="dxa"/>
            <w:tcBorders>
              <w:top w:val="outset" w:sz="6" w:space="0" w:color="auto"/>
              <w:left w:val="outset" w:sz="6" w:space="0" w:color="auto"/>
              <w:bottom w:val="outset" w:sz="6" w:space="0" w:color="auto"/>
              <w:right w:val="outset" w:sz="6" w:space="0" w:color="auto"/>
            </w:tcBorders>
            <w:vAlign w:val="center"/>
            <w:hideMark/>
          </w:tcPr>
          <w:p w14:paraId="4FF7808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0,0009</w:t>
            </w:r>
          </w:p>
        </w:tc>
        <w:tc>
          <w:tcPr>
            <w:tcW w:w="856" w:type="dxa"/>
            <w:tcBorders>
              <w:top w:val="outset" w:sz="6" w:space="0" w:color="auto"/>
              <w:left w:val="outset" w:sz="6" w:space="0" w:color="auto"/>
              <w:bottom w:val="outset" w:sz="6" w:space="0" w:color="auto"/>
              <w:right w:val="outset" w:sz="6" w:space="0" w:color="auto"/>
            </w:tcBorders>
            <w:vAlign w:val="center"/>
            <w:hideMark/>
          </w:tcPr>
          <w:p w14:paraId="6509E7F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41E42"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0,14</w:t>
            </w:r>
          </w:p>
        </w:tc>
      </w:tr>
      <w:tr w:rsidR="00F62B17" w:rsidRPr="00827721" w14:paraId="625B512B"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25F5A008"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9199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din arderea în amestec a peletelor de lemn (centrală pe cărbune cu pat fluidizat)</w:t>
            </w:r>
          </w:p>
        </w:tc>
        <w:tc>
          <w:tcPr>
            <w:tcW w:w="856" w:type="dxa"/>
            <w:tcBorders>
              <w:top w:val="outset" w:sz="6" w:space="0" w:color="auto"/>
              <w:left w:val="outset" w:sz="6" w:space="0" w:color="auto"/>
              <w:bottom w:val="outset" w:sz="6" w:space="0" w:color="auto"/>
              <w:right w:val="outset" w:sz="6" w:space="0" w:color="auto"/>
            </w:tcBorders>
            <w:vAlign w:val="center"/>
            <w:hideMark/>
          </w:tcPr>
          <w:p w14:paraId="07268E2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0,0010</w:t>
            </w:r>
          </w:p>
        </w:tc>
        <w:tc>
          <w:tcPr>
            <w:tcW w:w="856" w:type="dxa"/>
            <w:tcBorders>
              <w:top w:val="outset" w:sz="6" w:space="0" w:color="auto"/>
              <w:left w:val="outset" w:sz="6" w:space="0" w:color="auto"/>
              <w:bottom w:val="outset" w:sz="6" w:space="0" w:color="auto"/>
              <w:right w:val="outset" w:sz="6" w:space="0" w:color="auto"/>
            </w:tcBorders>
            <w:vAlign w:val="center"/>
            <w:hideMark/>
          </w:tcPr>
          <w:p w14:paraId="6D28CDD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D1F6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18,20</w:t>
            </w:r>
          </w:p>
        </w:tc>
      </w:tr>
      <w:tr w:rsidR="00F62B17" w:rsidRPr="00827721" w14:paraId="4FEEF09A"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6445BDC7"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E6F5B"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din arderea în amestec a peletelor de lemn (centrală pe cărbune pulverizat)</w:t>
            </w:r>
          </w:p>
        </w:tc>
        <w:tc>
          <w:tcPr>
            <w:tcW w:w="856" w:type="dxa"/>
            <w:tcBorders>
              <w:top w:val="outset" w:sz="6" w:space="0" w:color="auto"/>
              <w:left w:val="outset" w:sz="6" w:space="0" w:color="auto"/>
              <w:bottom w:val="outset" w:sz="6" w:space="0" w:color="auto"/>
              <w:right w:val="outset" w:sz="6" w:space="0" w:color="auto"/>
            </w:tcBorders>
            <w:vAlign w:val="center"/>
            <w:hideMark/>
          </w:tcPr>
          <w:p w14:paraId="0D52DDC3"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0,0009</w:t>
            </w:r>
          </w:p>
        </w:tc>
        <w:tc>
          <w:tcPr>
            <w:tcW w:w="856" w:type="dxa"/>
            <w:tcBorders>
              <w:top w:val="outset" w:sz="6" w:space="0" w:color="auto"/>
              <w:left w:val="outset" w:sz="6" w:space="0" w:color="auto"/>
              <w:bottom w:val="outset" w:sz="6" w:space="0" w:color="auto"/>
              <w:right w:val="outset" w:sz="6" w:space="0" w:color="auto"/>
            </w:tcBorders>
            <w:vAlign w:val="center"/>
            <w:hideMark/>
          </w:tcPr>
          <w:p w14:paraId="3F12444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31C3C"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0,44</w:t>
            </w:r>
          </w:p>
        </w:tc>
      </w:tr>
      <w:tr w:rsidR="00F62B17" w:rsidRPr="00827721" w14:paraId="563A0BCD"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1C9136BD"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DAEA1" w14:textId="77777777" w:rsidR="00F62B17" w:rsidRPr="00827721" w:rsidRDefault="00F62B17" w:rsidP="000E211F">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856" w:type="dxa"/>
            <w:tcBorders>
              <w:top w:val="outset" w:sz="6" w:space="0" w:color="auto"/>
              <w:left w:val="outset" w:sz="6" w:space="0" w:color="auto"/>
              <w:bottom w:val="outset" w:sz="6" w:space="0" w:color="auto"/>
              <w:right w:val="outset" w:sz="6" w:space="0" w:color="auto"/>
            </w:tcBorders>
            <w:vAlign w:val="center"/>
            <w:hideMark/>
          </w:tcPr>
          <w:p w14:paraId="7E511247" w14:textId="5AD3C541" w:rsidR="00F62B17" w:rsidRPr="00827721" w:rsidRDefault="00F62B17" w:rsidP="000E211F">
            <w:pPr>
              <w:spacing w:line="312" w:lineRule="atLeast"/>
              <w:ind w:firstLine="0"/>
              <w:jc w:val="center"/>
              <w:rPr>
                <w:rFonts w:eastAsia="Times New Roman"/>
                <w:sz w:val="20"/>
                <w:szCs w:val="20"/>
                <w:lang w:eastAsia="ro-RO"/>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07372C0D" w14:textId="09433FAF" w:rsidR="00F62B17" w:rsidRPr="00827721" w:rsidRDefault="00F62B17" w:rsidP="000E211F">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A1A4BE" w14:textId="73EED3B8" w:rsidR="00F62B17" w:rsidRPr="00827721" w:rsidRDefault="00F62B17" w:rsidP="000E211F">
            <w:pPr>
              <w:spacing w:line="312" w:lineRule="atLeast"/>
              <w:ind w:firstLine="0"/>
              <w:jc w:val="center"/>
              <w:rPr>
                <w:rFonts w:eastAsia="Times New Roman"/>
                <w:sz w:val="20"/>
                <w:szCs w:val="20"/>
                <w:lang w:eastAsia="ro-RO"/>
              </w:rPr>
            </w:pPr>
          </w:p>
        </w:tc>
      </w:tr>
      <w:tr w:rsidR="00F62B17" w:rsidRPr="00827721" w14:paraId="2AA5D47B" w14:textId="77777777" w:rsidTr="000E211F">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E39E34" w14:textId="0E45DFD3"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 xml:space="preserve">Emisii rezultate din depozitarea </w:t>
            </w:r>
            <w:proofErr w:type="spellStart"/>
            <w:r w:rsidRPr="00827721">
              <w:rPr>
                <w:rFonts w:eastAsia="Times New Roman"/>
                <w:i/>
                <w:iCs/>
                <w:sz w:val="20"/>
                <w:szCs w:val="20"/>
                <w:lang w:eastAsia="ro-RO"/>
              </w:rPr>
              <w:t>digestatului</w:t>
            </w:r>
            <w:proofErr w:type="spellEnd"/>
            <w:r w:rsidRPr="00827721">
              <w:rPr>
                <w:rFonts w:eastAsia="Times New Roman"/>
                <w:i/>
                <w:iCs/>
                <w:sz w:val="20"/>
                <w:szCs w:val="20"/>
                <w:lang w:eastAsia="ro-RO"/>
              </w:rPr>
              <w:t xml:space="preserve"> (</w:t>
            </w:r>
            <w:r w:rsidRPr="00827721">
              <w:rPr>
                <w:rFonts w:eastAsia="Times New Roman"/>
                <w:b/>
                <w:bCs/>
                <w:sz w:val="20"/>
                <w:szCs w:val="20"/>
                <w:lang w:eastAsia="ro-RO"/>
              </w:rPr>
              <w:t>per MJ de biogaz</w:t>
            </w:r>
            <w:r w:rsidRPr="00827721">
              <w:rPr>
                <w:rFonts w:eastAsia="Times New Roman"/>
                <w:sz w:val="20"/>
                <w:szCs w:val="20"/>
                <w:lang w:eastAsia="ro-RO"/>
              </w:rPr>
              <w:t>)</w:t>
            </w:r>
          </w:p>
        </w:tc>
        <w:tc>
          <w:tcPr>
            <w:tcW w:w="856" w:type="dxa"/>
            <w:tcBorders>
              <w:top w:val="outset" w:sz="6" w:space="0" w:color="auto"/>
              <w:left w:val="outset" w:sz="6" w:space="0" w:color="auto"/>
              <w:bottom w:val="outset" w:sz="6" w:space="0" w:color="auto"/>
              <w:right w:val="outset" w:sz="6" w:space="0" w:color="auto"/>
            </w:tcBorders>
            <w:vAlign w:val="center"/>
            <w:hideMark/>
          </w:tcPr>
          <w:p w14:paraId="3638E57E" w14:textId="2C3D2E0F" w:rsidR="00F62B17" w:rsidRPr="00827721" w:rsidRDefault="00F62B17" w:rsidP="000E211F">
            <w:pPr>
              <w:spacing w:line="312" w:lineRule="atLeast"/>
              <w:ind w:firstLine="0"/>
              <w:jc w:val="center"/>
              <w:rPr>
                <w:rFonts w:eastAsia="Times New Roman"/>
                <w:sz w:val="20"/>
                <w:szCs w:val="20"/>
                <w:lang w:eastAsia="ro-RO"/>
              </w:rPr>
            </w:pPr>
          </w:p>
        </w:tc>
        <w:tc>
          <w:tcPr>
            <w:tcW w:w="856" w:type="dxa"/>
            <w:tcBorders>
              <w:top w:val="outset" w:sz="6" w:space="0" w:color="auto"/>
              <w:left w:val="outset" w:sz="6" w:space="0" w:color="auto"/>
              <w:bottom w:val="outset" w:sz="6" w:space="0" w:color="auto"/>
              <w:right w:val="outset" w:sz="6" w:space="0" w:color="auto"/>
            </w:tcBorders>
            <w:vAlign w:val="center"/>
            <w:hideMark/>
          </w:tcPr>
          <w:p w14:paraId="3FC8D9E1" w14:textId="421CC4CC" w:rsidR="00F62B17" w:rsidRPr="00827721" w:rsidRDefault="00F62B17" w:rsidP="000E211F">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5B750B" w14:textId="64B6ADA9" w:rsidR="00F62B17" w:rsidRPr="00827721" w:rsidRDefault="00F62B17" w:rsidP="000E211F">
            <w:pPr>
              <w:spacing w:line="312" w:lineRule="atLeast"/>
              <w:ind w:firstLine="0"/>
              <w:jc w:val="center"/>
              <w:rPr>
                <w:rFonts w:eastAsia="Times New Roman"/>
                <w:sz w:val="20"/>
                <w:szCs w:val="20"/>
                <w:lang w:eastAsia="ro-RO"/>
              </w:rPr>
            </w:pPr>
          </w:p>
        </w:tc>
      </w:tr>
      <w:tr w:rsidR="00F62B17" w:rsidRPr="00827721" w14:paraId="0DEB81A8"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36D52FFA"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E53A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 xml:space="preserve">O rezultate din depozitarea în mediu deschis a </w:t>
            </w:r>
            <w:proofErr w:type="spellStart"/>
            <w:r w:rsidRPr="00827721">
              <w:rPr>
                <w:rFonts w:eastAsia="Times New Roman"/>
                <w:sz w:val="20"/>
                <w:szCs w:val="20"/>
                <w:lang w:eastAsia="ro-RO"/>
              </w:rPr>
              <w:t>digestatului</w:t>
            </w:r>
            <w:proofErr w:type="spellEnd"/>
            <w:r w:rsidRPr="00827721">
              <w:rPr>
                <w:rFonts w:eastAsia="Times New Roman"/>
                <w:sz w:val="20"/>
                <w:szCs w:val="20"/>
                <w:lang w:eastAsia="ro-RO"/>
              </w:rPr>
              <w:t xml:space="preserve"> de </w:t>
            </w:r>
            <w:proofErr w:type="spellStart"/>
            <w:r w:rsidRPr="00827721">
              <w:rPr>
                <w:rFonts w:eastAsia="Times New Roman"/>
                <w:sz w:val="20"/>
                <w:szCs w:val="20"/>
                <w:lang w:eastAsia="ro-RO"/>
              </w:rPr>
              <w:t>biodeșeuri</w:t>
            </w:r>
            <w:proofErr w:type="spellEnd"/>
          </w:p>
        </w:tc>
        <w:tc>
          <w:tcPr>
            <w:tcW w:w="856" w:type="dxa"/>
            <w:tcBorders>
              <w:top w:val="outset" w:sz="6" w:space="0" w:color="auto"/>
              <w:left w:val="outset" w:sz="6" w:space="0" w:color="auto"/>
              <w:bottom w:val="outset" w:sz="6" w:space="0" w:color="auto"/>
              <w:right w:val="outset" w:sz="6" w:space="0" w:color="auto"/>
            </w:tcBorders>
            <w:vAlign w:val="center"/>
            <w:hideMark/>
          </w:tcPr>
          <w:p w14:paraId="73FAF7BD"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0,4930</w:t>
            </w:r>
          </w:p>
        </w:tc>
        <w:tc>
          <w:tcPr>
            <w:tcW w:w="856" w:type="dxa"/>
            <w:tcBorders>
              <w:top w:val="outset" w:sz="6" w:space="0" w:color="auto"/>
              <w:left w:val="outset" w:sz="6" w:space="0" w:color="auto"/>
              <w:bottom w:val="outset" w:sz="6" w:space="0" w:color="auto"/>
              <w:right w:val="outset" w:sz="6" w:space="0" w:color="auto"/>
            </w:tcBorders>
            <w:vAlign w:val="center"/>
            <w:hideMark/>
          </w:tcPr>
          <w:p w14:paraId="7DFF0CF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12A96"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21,82</w:t>
            </w:r>
          </w:p>
        </w:tc>
      </w:tr>
      <w:tr w:rsidR="00F62B17" w:rsidRPr="00827721" w14:paraId="15C67BCA"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1ED9B03F"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B2CCB"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 xml:space="preserve">O rezultate din depozitarea în mediu deschis a </w:t>
            </w:r>
            <w:proofErr w:type="spellStart"/>
            <w:r w:rsidRPr="00827721">
              <w:rPr>
                <w:rFonts w:eastAsia="Times New Roman"/>
                <w:sz w:val="20"/>
                <w:szCs w:val="20"/>
                <w:lang w:eastAsia="ro-RO"/>
              </w:rPr>
              <w:t>digestatului</w:t>
            </w:r>
            <w:proofErr w:type="spellEnd"/>
            <w:r w:rsidRPr="00827721">
              <w:rPr>
                <w:rFonts w:eastAsia="Times New Roman"/>
                <w:sz w:val="20"/>
                <w:szCs w:val="20"/>
                <w:lang w:eastAsia="ro-RO"/>
              </w:rPr>
              <w:t xml:space="preserve"> de porumb</w:t>
            </w:r>
          </w:p>
        </w:tc>
        <w:tc>
          <w:tcPr>
            <w:tcW w:w="856" w:type="dxa"/>
            <w:tcBorders>
              <w:top w:val="outset" w:sz="6" w:space="0" w:color="auto"/>
              <w:left w:val="outset" w:sz="6" w:space="0" w:color="auto"/>
              <w:bottom w:val="outset" w:sz="6" w:space="0" w:color="auto"/>
              <w:right w:val="outset" w:sz="6" w:space="0" w:color="auto"/>
            </w:tcBorders>
            <w:vAlign w:val="center"/>
            <w:hideMark/>
          </w:tcPr>
          <w:p w14:paraId="7F021B4B"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0,4422</w:t>
            </w:r>
          </w:p>
        </w:tc>
        <w:tc>
          <w:tcPr>
            <w:tcW w:w="856" w:type="dxa"/>
            <w:tcBorders>
              <w:top w:val="outset" w:sz="6" w:space="0" w:color="auto"/>
              <w:left w:val="outset" w:sz="6" w:space="0" w:color="auto"/>
              <w:bottom w:val="outset" w:sz="6" w:space="0" w:color="auto"/>
              <w:right w:val="outset" w:sz="6" w:space="0" w:color="auto"/>
            </w:tcBorders>
            <w:vAlign w:val="center"/>
            <w:hideMark/>
          </w:tcPr>
          <w:p w14:paraId="0EDE0B41"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26B97"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13,51</w:t>
            </w:r>
          </w:p>
        </w:tc>
      </w:tr>
      <w:tr w:rsidR="00F62B17" w:rsidRPr="00827721" w14:paraId="3FD31720" w14:textId="77777777" w:rsidTr="000E211F">
        <w:trPr>
          <w:jc w:val="center"/>
        </w:trPr>
        <w:tc>
          <w:tcPr>
            <w:tcW w:w="0" w:type="auto"/>
            <w:tcBorders>
              <w:top w:val="outset" w:sz="6" w:space="0" w:color="auto"/>
              <w:left w:val="outset" w:sz="6" w:space="0" w:color="auto"/>
              <w:bottom w:val="outset" w:sz="6" w:space="0" w:color="auto"/>
              <w:right w:val="outset" w:sz="6" w:space="0" w:color="auto"/>
            </w:tcBorders>
            <w:hideMark/>
          </w:tcPr>
          <w:p w14:paraId="7A87B8A4" w14:textId="77777777" w:rsidR="00F62B17" w:rsidRPr="00827721" w:rsidRDefault="00F62B17" w:rsidP="00F62B17">
            <w:pPr>
              <w:spacing w:line="312" w:lineRule="atLeast"/>
              <w:ind w:firstLine="0"/>
              <w:jc w:val="left"/>
              <w:rPr>
                <w:rFonts w:eastAsia="Times New Roman"/>
                <w:sz w:val="20"/>
                <w:szCs w:val="20"/>
                <w:lang w:eastAsia="ro-RO"/>
              </w:rPr>
            </w:pPr>
            <w:r w:rsidRPr="00827721">
              <w:rPr>
                <w:rFonts w:eastAsia="Times New Roman"/>
                <w:sz w:val="20"/>
                <w:szCs w:val="20"/>
                <w:lang w:eastAsia="ro-RO"/>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357A0" w14:textId="77777777" w:rsidR="00F62B17" w:rsidRPr="00827721" w:rsidRDefault="00F62B17" w:rsidP="000E211F">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Emisiile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 xml:space="preserve">O rezultate din depozitarea în mediu deschis a </w:t>
            </w:r>
            <w:proofErr w:type="spellStart"/>
            <w:r w:rsidRPr="00827721">
              <w:rPr>
                <w:rFonts w:eastAsia="Times New Roman"/>
                <w:sz w:val="20"/>
                <w:szCs w:val="20"/>
                <w:lang w:eastAsia="ro-RO"/>
              </w:rPr>
              <w:t>digestatului</w:t>
            </w:r>
            <w:proofErr w:type="spellEnd"/>
            <w:r w:rsidRPr="00827721">
              <w:rPr>
                <w:rFonts w:eastAsia="Times New Roman"/>
                <w:sz w:val="20"/>
                <w:szCs w:val="20"/>
                <w:lang w:eastAsia="ro-RO"/>
              </w:rPr>
              <w:t xml:space="preserve"> de gunoi de grajd</w:t>
            </w:r>
          </w:p>
        </w:tc>
        <w:tc>
          <w:tcPr>
            <w:tcW w:w="856" w:type="dxa"/>
            <w:tcBorders>
              <w:top w:val="outset" w:sz="6" w:space="0" w:color="auto"/>
              <w:left w:val="outset" w:sz="6" w:space="0" w:color="auto"/>
              <w:bottom w:val="outset" w:sz="6" w:space="0" w:color="auto"/>
              <w:right w:val="outset" w:sz="6" w:space="0" w:color="auto"/>
            </w:tcBorders>
            <w:vAlign w:val="center"/>
            <w:hideMark/>
          </w:tcPr>
          <w:p w14:paraId="38056C44"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1,9917</w:t>
            </w:r>
          </w:p>
        </w:tc>
        <w:tc>
          <w:tcPr>
            <w:tcW w:w="856" w:type="dxa"/>
            <w:tcBorders>
              <w:top w:val="outset" w:sz="6" w:space="0" w:color="auto"/>
              <w:left w:val="outset" w:sz="6" w:space="0" w:color="auto"/>
              <w:bottom w:val="outset" w:sz="6" w:space="0" w:color="auto"/>
              <w:right w:val="outset" w:sz="6" w:space="0" w:color="auto"/>
            </w:tcBorders>
            <w:vAlign w:val="center"/>
            <w:hideMark/>
          </w:tcPr>
          <w:p w14:paraId="4317500F"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723BE" w14:textId="77777777" w:rsidR="00F62B17" w:rsidRPr="00827721" w:rsidRDefault="00F62B17" w:rsidP="000E211F">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69,56</w:t>
            </w:r>
          </w:p>
        </w:tc>
      </w:tr>
    </w:tbl>
    <w:p w14:paraId="202AFE12" w14:textId="77777777" w:rsidR="00F62B17" w:rsidRPr="00827721" w:rsidRDefault="00F62B17" w:rsidP="00CF38FE">
      <w:pPr>
        <w:ind w:left="431" w:firstLine="0"/>
        <w:rPr>
          <w:lang w:eastAsia="ro-RO"/>
        </w:rPr>
      </w:pPr>
    </w:p>
    <w:tbl>
      <w:tblPr>
        <w:tblW w:w="94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5"/>
        <w:gridCol w:w="2564"/>
        <w:gridCol w:w="731"/>
        <w:gridCol w:w="731"/>
        <w:gridCol w:w="731"/>
        <w:gridCol w:w="1034"/>
        <w:gridCol w:w="809"/>
        <w:gridCol w:w="809"/>
        <w:gridCol w:w="809"/>
        <w:gridCol w:w="1112"/>
      </w:tblGrid>
      <w:tr w:rsidR="00F62B17" w:rsidRPr="00827721" w14:paraId="4EE4A50B" w14:textId="77777777" w:rsidTr="00CF38FE">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EB88CF" w14:textId="77777777" w:rsidR="00F62B17" w:rsidRPr="00827721" w:rsidRDefault="00F62B17" w:rsidP="00CF38FE">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BEC2F70"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Coeficientul emisiilor de GES</w:t>
            </w:r>
          </w:p>
        </w:tc>
      </w:tr>
      <w:tr w:rsidR="00F62B17" w:rsidRPr="00827721" w14:paraId="770A1597" w14:textId="77777777" w:rsidTr="00CF38FE">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9C6A2B" w14:textId="77777777" w:rsidR="00F62B17" w:rsidRPr="00827721" w:rsidRDefault="00F62B17" w:rsidP="00CF38FE">
            <w:pPr>
              <w:spacing w:line="312" w:lineRule="atLeast"/>
              <w:ind w:firstLine="0"/>
              <w:jc w:val="left"/>
              <w:rPr>
                <w:rFonts w:eastAsia="Times New Roman"/>
                <w:b/>
                <w:bCs/>
                <w:sz w:val="20"/>
                <w:szCs w:val="20"/>
                <w:lang w:eastAsia="ro-RO"/>
              </w:rPr>
            </w:pPr>
            <w:r w:rsidRPr="00827721">
              <w:rPr>
                <w:rFonts w:eastAsia="Times New Roman"/>
                <w:b/>
                <w:bCs/>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1BEEC"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652A1"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CBDBB"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O/kg</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A791"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/kg</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45099"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4DF23"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CH</w:t>
            </w:r>
            <w:r w:rsidRPr="00827721">
              <w:rPr>
                <w:rFonts w:eastAsia="Times New Roman"/>
                <w:b/>
                <w:bCs/>
                <w:sz w:val="20"/>
                <w:szCs w:val="20"/>
                <w:vertAlign w:val="subscript"/>
                <w:lang w:eastAsia="ro-RO"/>
              </w:rPr>
              <w:t>4</w:t>
            </w:r>
            <w:r w:rsidRPr="00827721">
              <w:rPr>
                <w:rFonts w:eastAsia="Times New Roman"/>
                <w:b/>
                <w:bCs/>
                <w:sz w:val="20"/>
                <w:szCs w:val="20"/>
                <w:lang w:eastAsia="ro-RO"/>
              </w:rPr>
              <w:t>/MJ</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12E95"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N</w:t>
            </w:r>
            <w:r w:rsidRPr="00827721">
              <w:rPr>
                <w:rFonts w:eastAsia="Times New Roman"/>
                <w:b/>
                <w:bCs/>
                <w:sz w:val="20"/>
                <w:szCs w:val="20"/>
                <w:vertAlign w:val="subscript"/>
                <w:lang w:eastAsia="ro-RO"/>
              </w:rPr>
              <w:t>2</w:t>
            </w:r>
            <w:r w:rsidRPr="00827721">
              <w:rPr>
                <w:rFonts w:eastAsia="Times New Roman"/>
                <w:b/>
                <w:bCs/>
                <w:sz w:val="20"/>
                <w:szCs w:val="20"/>
                <w:lang w:eastAsia="ro-RO"/>
              </w:rPr>
              <w:t>O/MJ</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50769" w14:textId="77777777" w:rsidR="00F62B17" w:rsidRPr="00827721" w:rsidRDefault="00F62B17" w:rsidP="00CF38FE">
            <w:pPr>
              <w:spacing w:before="60" w:after="60" w:line="312" w:lineRule="atLeast"/>
              <w:ind w:firstLine="0"/>
              <w:jc w:val="center"/>
              <w:rPr>
                <w:rFonts w:eastAsia="Times New Roman"/>
                <w:b/>
                <w:bCs/>
                <w:sz w:val="20"/>
                <w:szCs w:val="20"/>
                <w:lang w:eastAsia="ro-RO"/>
              </w:rPr>
            </w:pPr>
            <w:r w:rsidRPr="00827721">
              <w:rPr>
                <w:rFonts w:eastAsia="Times New Roman"/>
                <w:b/>
                <w:bCs/>
                <w:sz w:val="20"/>
                <w:szCs w:val="20"/>
                <w:lang w:eastAsia="ro-RO"/>
              </w:rPr>
              <w:t>g CO</w:t>
            </w:r>
            <w:r w:rsidRPr="00827721">
              <w:rPr>
                <w:rFonts w:eastAsia="Times New Roman"/>
                <w:b/>
                <w:bCs/>
                <w:sz w:val="20"/>
                <w:szCs w:val="20"/>
                <w:vertAlign w:val="subscript"/>
                <w:lang w:eastAsia="ro-RO"/>
              </w:rPr>
              <w:t>2 echivalent</w:t>
            </w:r>
            <w:r w:rsidRPr="00827721">
              <w:rPr>
                <w:rFonts w:eastAsia="Times New Roman"/>
                <w:b/>
                <w:bCs/>
                <w:sz w:val="20"/>
                <w:szCs w:val="20"/>
                <w:lang w:eastAsia="ro-RO"/>
              </w:rPr>
              <w:t>/MJ</w:t>
            </w:r>
          </w:p>
        </w:tc>
      </w:tr>
      <w:tr w:rsidR="00F62B17" w:rsidRPr="00827721" w14:paraId="6289B2F3" w14:textId="77777777" w:rsidTr="00CF38FE">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EB48E0" w14:textId="77777777" w:rsidR="00F62B17" w:rsidRPr="00827721" w:rsidRDefault="00F62B17" w:rsidP="00CF38FE">
            <w:pPr>
              <w:spacing w:before="60" w:after="60" w:line="312" w:lineRule="atLeast"/>
              <w:ind w:firstLine="0"/>
              <w:jc w:val="left"/>
              <w:rPr>
                <w:rFonts w:eastAsia="Times New Roman"/>
                <w:sz w:val="20"/>
                <w:szCs w:val="20"/>
                <w:lang w:eastAsia="ro-RO"/>
              </w:rPr>
            </w:pPr>
            <w:r w:rsidRPr="00827721">
              <w:rPr>
                <w:rFonts w:eastAsia="Times New Roman"/>
                <w:i/>
                <w:iCs/>
                <w:sz w:val="20"/>
                <w:szCs w:val="20"/>
                <w:lang w:eastAsia="ro-RO"/>
              </w:rPr>
              <w:t>Credite de reducere a emisiilor de metan provenit de la gunoiul de grajd (</w:t>
            </w:r>
            <w:r w:rsidRPr="00827721">
              <w:rPr>
                <w:rFonts w:eastAsia="Times New Roman"/>
                <w:sz w:val="20"/>
                <w:szCs w:val="20"/>
                <w:lang w:eastAsia="ro-RO"/>
              </w:rPr>
              <w:t> </w:t>
            </w:r>
            <w:r w:rsidRPr="00827721">
              <w:rPr>
                <w:rFonts w:eastAsia="Times New Roman"/>
                <w:b/>
                <w:bCs/>
                <w:sz w:val="20"/>
                <w:szCs w:val="20"/>
                <w:lang w:eastAsia="ro-RO"/>
              </w:rPr>
              <w:t>per MJ de biogaz</w:t>
            </w:r>
            <w:r w:rsidRPr="00827721">
              <w:rPr>
                <w:rFonts w:eastAsia="Times New Roman"/>
                <w:sz w:val="20"/>
                <w:szCs w:val="20"/>
                <w:lang w:eastAsia="ro-RO"/>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79F80" w14:textId="1B22C63B"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8EE172" w14:textId="201B95C2"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B9421" w14:textId="5D4D0286"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1E74ED" w14:textId="6E66C0B8"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78981D" w14:textId="76FC3E37"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07FA8" w14:textId="45EBA90F"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DE11E4" w14:textId="7CC17FA2"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14B11" w14:textId="264A6C3B" w:rsidR="00F62B17" w:rsidRPr="00827721" w:rsidRDefault="00F62B17" w:rsidP="00CF38FE">
            <w:pPr>
              <w:spacing w:line="312" w:lineRule="atLeast"/>
              <w:ind w:firstLine="0"/>
              <w:jc w:val="center"/>
              <w:rPr>
                <w:rFonts w:eastAsia="Times New Roman"/>
                <w:sz w:val="20"/>
                <w:szCs w:val="20"/>
                <w:lang w:eastAsia="ro-RO"/>
              </w:rPr>
            </w:pPr>
          </w:p>
        </w:tc>
      </w:tr>
      <w:tr w:rsidR="00F62B17" w:rsidRPr="00827721" w14:paraId="31FF7584" w14:textId="77777777" w:rsidTr="00CF38F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A30412" w14:textId="77777777" w:rsidR="00F62B17" w:rsidRPr="00827721" w:rsidRDefault="00F62B17" w:rsidP="00CF38FE">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000AE" w14:textId="77777777" w:rsidR="00F62B17" w:rsidRPr="00827721" w:rsidRDefault="00F62B17" w:rsidP="00CF38FE">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Creditele de reducere a emisiilor de CH</w:t>
            </w:r>
            <w:r w:rsidRPr="00827721">
              <w:rPr>
                <w:rFonts w:eastAsia="Times New Roman"/>
                <w:sz w:val="20"/>
                <w:szCs w:val="20"/>
                <w:vertAlign w:val="subscript"/>
                <w:lang w:eastAsia="ro-RO"/>
              </w:rPr>
              <w:t>4</w:t>
            </w:r>
            <w:r w:rsidRPr="00827721">
              <w:rPr>
                <w:rFonts w:eastAsia="Times New Roman"/>
                <w:sz w:val="20"/>
                <w:szCs w:val="20"/>
                <w:lang w:eastAsia="ro-RO"/>
              </w:rPr>
              <w:t> și N</w:t>
            </w:r>
            <w:r w:rsidRPr="00827721">
              <w:rPr>
                <w:rFonts w:eastAsia="Times New Roman"/>
                <w:sz w:val="20"/>
                <w:szCs w:val="20"/>
                <w:vertAlign w:val="subscript"/>
                <w:lang w:eastAsia="ro-RO"/>
              </w:rPr>
              <w:t>2</w:t>
            </w:r>
            <w:r w:rsidRPr="00827721">
              <w:rPr>
                <w:rFonts w:eastAsia="Times New Roman"/>
                <w:sz w:val="20"/>
                <w:szCs w:val="20"/>
                <w:lang w:eastAsia="ro-RO"/>
              </w:rPr>
              <w:t>O provenite de la gunoiul de grajd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6DA64" w14:textId="1026C903"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751D99" w14:textId="3AFA26B2"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FD464E" w14:textId="29AB53C1"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7F025D" w14:textId="2CB8EBD4"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8A9682" w14:textId="4D3C0040"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CC249"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1,4700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621D1"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0,0279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C2AB7"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45,05</w:t>
            </w:r>
          </w:p>
        </w:tc>
      </w:tr>
      <w:tr w:rsidR="00F62B17" w:rsidRPr="00827721" w14:paraId="6AD8AF7D" w14:textId="77777777" w:rsidTr="00CF38F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4C03EC" w14:textId="77777777" w:rsidR="00F62B17" w:rsidRPr="00827721" w:rsidRDefault="00F62B17" w:rsidP="00CF38FE">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F4CB3" w14:textId="77777777" w:rsidR="00F62B17" w:rsidRPr="00827721" w:rsidRDefault="00F62B17" w:rsidP="00CF38FE">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E524E" w14:textId="11E28818"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586E1A" w14:textId="3A8BC953"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84A746" w14:textId="1FB74F5E"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11FB61" w14:textId="566C974C"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E56EA4" w14:textId="1EF529C2"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D2381B" w14:textId="3E4FC793"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BF5C4B" w14:textId="15A832EA" w:rsidR="00F62B17" w:rsidRPr="00827721" w:rsidRDefault="00F62B17" w:rsidP="00CF38FE">
            <w:pPr>
              <w:spacing w:line="312" w:lineRule="atLeast"/>
              <w:ind w:firstLine="0"/>
              <w:jc w:val="center"/>
              <w:rPr>
                <w:rFonts w:eastAsia="Times New Roman"/>
                <w:sz w:val="20"/>
                <w:szCs w:val="20"/>
                <w:lang w:eastAsia="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448616" w14:textId="70B5ECAF" w:rsidR="00F62B17" w:rsidRPr="00827721" w:rsidRDefault="00F62B17" w:rsidP="00CF38FE">
            <w:pPr>
              <w:spacing w:line="312" w:lineRule="atLeast"/>
              <w:ind w:firstLine="0"/>
              <w:jc w:val="center"/>
              <w:rPr>
                <w:rFonts w:eastAsia="Times New Roman"/>
                <w:sz w:val="20"/>
                <w:szCs w:val="20"/>
                <w:lang w:eastAsia="ro-RO"/>
              </w:rPr>
            </w:pPr>
          </w:p>
        </w:tc>
      </w:tr>
      <w:tr w:rsidR="00F62B17" w:rsidRPr="00827721" w14:paraId="5E1F451B" w14:textId="77777777" w:rsidTr="00CF38F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D142C7" w14:textId="77777777" w:rsidR="00F62B17" w:rsidRPr="00827721" w:rsidRDefault="00F62B17" w:rsidP="00CF38FE">
            <w:pPr>
              <w:spacing w:line="312" w:lineRule="atLeast"/>
              <w:ind w:firstLine="0"/>
              <w:jc w:val="left"/>
              <w:rPr>
                <w:rFonts w:eastAsia="Times New Roman"/>
                <w:sz w:val="20"/>
                <w:szCs w:val="20"/>
                <w:lang w:eastAsia="ro-RO"/>
              </w:rPr>
            </w:pPr>
            <w:r w:rsidRPr="00827721">
              <w:rPr>
                <w:rFonts w:eastAsia="Times New Roman"/>
                <w:sz w:val="20"/>
                <w:szCs w:val="20"/>
                <w:lang w:eastAsia="ro-RO"/>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B8338" w14:textId="77777777" w:rsidR="00F62B17" w:rsidRPr="00827721" w:rsidRDefault="00F62B17" w:rsidP="00CF38FE">
            <w:pPr>
              <w:spacing w:before="60" w:after="60" w:line="312" w:lineRule="atLeast"/>
              <w:ind w:firstLine="0"/>
              <w:jc w:val="left"/>
              <w:rPr>
                <w:rFonts w:eastAsia="Times New Roman"/>
                <w:sz w:val="20"/>
                <w:szCs w:val="20"/>
                <w:lang w:eastAsia="ro-RO"/>
              </w:rPr>
            </w:pPr>
            <w:r w:rsidRPr="00827721">
              <w:rPr>
                <w:rFonts w:eastAsia="Times New Roman"/>
                <w:sz w:val="20"/>
                <w:szCs w:val="20"/>
                <w:lang w:eastAsia="ro-RO"/>
              </w:rPr>
              <w:t>Fără emisii</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5B44B"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25685"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E0BC6"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69480"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BF028"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8F975"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6EFEB"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EF238" w14:textId="77777777" w:rsidR="00F62B17" w:rsidRPr="00827721" w:rsidRDefault="00F62B17" w:rsidP="00CF38FE">
            <w:pPr>
              <w:spacing w:before="60" w:after="60" w:line="312" w:lineRule="atLeast"/>
              <w:ind w:firstLine="0"/>
              <w:jc w:val="center"/>
              <w:rPr>
                <w:rFonts w:eastAsia="Times New Roman"/>
                <w:sz w:val="20"/>
                <w:szCs w:val="20"/>
                <w:lang w:eastAsia="ro-RO"/>
              </w:rPr>
            </w:pPr>
            <w:r w:rsidRPr="00827721">
              <w:rPr>
                <w:rFonts w:eastAsia="Times New Roman"/>
                <w:sz w:val="20"/>
                <w:szCs w:val="20"/>
                <w:lang w:eastAsia="ro-RO"/>
              </w:rPr>
              <w:t>0,00</w:t>
            </w:r>
          </w:p>
        </w:tc>
      </w:tr>
    </w:tbl>
    <w:p w14:paraId="70AAF2D3" w14:textId="77777777" w:rsidR="00F62B17" w:rsidRPr="00827721" w:rsidRDefault="00F62B17" w:rsidP="00F62B17">
      <w:pPr>
        <w:shd w:val="clear" w:color="auto" w:fill="FFFFFF"/>
        <w:spacing w:line="312" w:lineRule="atLeast"/>
        <w:ind w:firstLine="0"/>
        <w:jc w:val="left"/>
        <w:rPr>
          <w:rFonts w:ascii="Arial Unicode MS" w:eastAsia="Arial Unicode MS" w:hAnsi="Arial Unicode MS" w:cs="Arial Unicode MS"/>
          <w:sz w:val="21"/>
          <w:szCs w:val="21"/>
          <w:lang w:eastAsia="ro-RO"/>
        </w:rPr>
      </w:pPr>
    </w:p>
    <w:p w14:paraId="5A769EC2" w14:textId="31750F44" w:rsidR="00FB1EDE" w:rsidRPr="00827721" w:rsidRDefault="00FB1EDE">
      <w:pPr>
        <w:rPr>
          <w:rFonts w:eastAsia="Times New Roman"/>
          <w:lang w:eastAsia="ro-RO"/>
        </w:rPr>
      </w:pPr>
      <w:r w:rsidRPr="00827721">
        <w:rPr>
          <w:rFonts w:eastAsia="Times New Roman"/>
          <w:lang w:eastAsia="ro-RO"/>
        </w:rPr>
        <w:br w:type="page"/>
      </w:r>
    </w:p>
    <w:p w14:paraId="777506F6" w14:textId="4586E4A0" w:rsidR="00FB1EDE" w:rsidRPr="00827721" w:rsidRDefault="00FB1EDE" w:rsidP="00FB1EDE">
      <w:pPr>
        <w:jc w:val="right"/>
      </w:pPr>
      <w:r w:rsidRPr="00827721">
        <w:lastRenderedPageBreak/>
        <w:t>Anexa nr. 10</w:t>
      </w:r>
    </w:p>
    <w:p w14:paraId="0AA8F108" w14:textId="0E48FF9F" w:rsidR="00FB1EDE" w:rsidRPr="00827721" w:rsidRDefault="00FB1EDE"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72D75F1E" w14:textId="3F17E5B2" w:rsidR="008C4F89" w:rsidRPr="00827721" w:rsidRDefault="0099730B" w:rsidP="0099730B">
      <w:pPr>
        <w:pStyle w:val="Capitol"/>
        <w:rPr>
          <w:rFonts w:eastAsia="Times New Roman"/>
          <w:lang w:eastAsia="ro-RO"/>
        </w:rPr>
      </w:pPr>
      <w:r w:rsidRPr="00827721">
        <w:rPr>
          <w:rFonts w:eastAsia="Times New Roman"/>
          <w:lang w:eastAsia="ro-RO"/>
        </w:rPr>
        <w:t xml:space="preserve">Metodologia de stabilire a ponderii </w:t>
      </w:r>
      <w:r w:rsidR="008A23DF" w:rsidRPr="00827721">
        <w:rPr>
          <w:rFonts w:eastAsia="Times New Roman"/>
          <w:lang w:eastAsia="ro-RO"/>
        </w:rPr>
        <w:t>biocarburanților</w:t>
      </w:r>
      <w:r w:rsidRPr="00827721">
        <w:rPr>
          <w:rFonts w:eastAsia="Times New Roman"/>
          <w:lang w:eastAsia="ro-RO"/>
        </w:rPr>
        <w:t xml:space="preserve"> și a biogazului pentru transporturi rezultând din prelucrarea biomasei împreună cu combustibili fosili în cadrul unui proces comun</w:t>
      </w:r>
    </w:p>
    <w:p w14:paraId="68A5E837" w14:textId="174C3227" w:rsidR="00CB2BE2" w:rsidRPr="00827721" w:rsidRDefault="00CB2BE2" w:rsidP="00CB2BE2">
      <w:pPr>
        <w:pStyle w:val="Capitol"/>
      </w:pPr>
      <w:r w:rsidRPr="00827721">
        <w:rPr>
          <w:caps w:val="0"/>
        </w:rPr>
        <w:t xml:space="preserve">Capitolul </w:t>
      </w:r>
      <w:r w:rsidRPr="00827721">
        <w:t>I</w:t>
      </w:r>
    </w:p>
    <w:p w14:paraId="3FCA8356" w14:textId="12D3A752" w:rsidR="00CB2BE2" w:rsidRPr="00827721" w:rsidRDefault="00CB2BE2" w:rsidP="00CB2BE2">
      <w:pPr>
        <w:pStyle w:val="Capitol"/>
      </w:pPr>
      <w:r w:rsidRPr="00827721">
        <w:t xml:space="preserve">METODE DE STABILIRE A PONDERII </w:t>
      </w:r>
      <w:r w:rsidR="008A23DF" w:rsidRPr="00827721">
        <w:t>BIOCARBURANȚILOR</w:t>
      </w:r>
      <w:r w:rsidRPr="00827721">
        <w:t xml:space="preserve"> ȘI A BIOGAZULUI PENTRU TRANSPORTURI REZULTÂND DIN PRELUCRAREA BIOMASEI ÎMPREUNĂ CU COMBUSTIBILI FOSILI ÎN CADRUL UNUI PROCES COMUN</w:t>
      </w:r>
    </w:p>
    <w:p w14:paraId="6E44ED9A" w14:textId="0AD31E80" w:rsidR="00CB2BE2" w:rsidRPr="00827721" w:rsidRDefault="00CB2BE2" w:rsidP="00CB2BE2">
      <w:pPr>
        <w:pStyle w:val="Sectiune"/>
      </w:pPr>
      <w:r w:rsidRPr="00827721">
        <w:t>Secțiunea 1</w:t>
      </w:r>
    </w:p>
    <w:p w14:paraId="4BB4916D" w14:textId="23B21A7D" w:rsidR="00CB2BE2" w:rsidRPr="00827721" w:rsidRDefault="00CB2BE2" w:rsidP="00CB2BE2">
      <w:pPr>
        <w:pStyle w:val="Sectiune"/>
      </w:pPr>
      <w:r w:rsidRPr="00827721">
        <w:t>Abordarea generală și aplicarea metodelor eligibile</w:t>
      </w:r>
    </w:p>
    <w:p w14:paraId="3E94E195" w14:textId="501BA27B" w:rsidR="0001516A" w:rsidRPr="00827721" w:rsidRDefault="0001516A" w:rsidP="009A0C40">
      <w:pPr>
        <w:pStyle w:val="Anexapct1"/>
        <w:numPr>
          <w:ilvl w:val="0"/>
          <w:numId w:val="62"/>
        </w:numPr>
      </w:pPr>
      <w:r w:rsidRPr="00827721">
        <w:t xml:space="preserve">Operatorii economici care </w:t>
      </w:r>
      <w:proofErr w:type="spellStart"/>
      <w:r w:rsidRPr="00827721">
        <w:t>coprelucrează</w:t>
      </w:r>
      <w:proofErr w:type="spellEnd"/>
      <w:r w:rsidRPr="00827721">
        <w:t xml:space="preserve"> biomasa pot elabora și utiliza o metodă de testare specifică întreprinderii sau procesului pentru a stabili ponderea pe bază de carbon a </w:t>
      </w:r>
      <w:proofErr w:type="spellStart"/>
      <w:r w:rsidRPr="00827721">
        <w:t>bioconținutului</w:t>
      </w:r>
      <w:proofErr w:type="spellEnd"/>
      <w:r w:rsidRPr="00827721">
        <w:t xml:space="preserve">, adaptată la modelul lor specific de fabrică și la mixul lor de materii prime. Această metodă principală de testare se bazează fie pe metoda bilanțului </w:t>
      </w:r>
      <w:proofErr w:type="spellStart"/>
      <w:r w:rsidRPr="00827721">
        <w:t>masic</w:t>
      </w:r>
      <w:proofErr w:type="spellEnd"/>
      <w:r w:rsidRPr="00827721">
        <w:t xml:space="preserve"> sau energetic, fie pe metode de randament fie pe testarea cu radiocarbon (</w:t>
      </w:r>
      <w:r w:rsidRPr="00827721">
        <w:rPr>
          <w:vertAlign w:val="superscript"/>
        </w:rPr>
        <w:t>14</w:t>
      </w:r>
      <w:r w:rsidRPr="00827721">
        <w:t>C)</w:t>
      </w:r>
      <w:r w:rsidR="0007363A" w:rsidRPr="00827721">
        <w:t>. Această din urmă</w:t>
      </w:r>
      <w:r w:rsidRPr="00827721">
        <w:t xml:space="preserve"> </w:t>
      </w:r>
      <w:r w:rsidR="0007363A" w:rsidRPr="00827721">
        <w:t xml:space="preserve">constă în </w:t>
      </w:r>
      <w:r w:rsidRPr="00827721">
        <w:t xml:space="preserve">detectarea radiocarbonului prin spectrometrie de masă cu ioni accelerați </w:t>
      </w:r>
      <w:r w:rsidR="0007363A" w:rsidRPr="00827721">
        <w:t>„</w:t>
      </w:r>
      <w:r w:rsidRPr="00827721">
        <w:t xml:space="preserve">Accelerator Mass </w:t>
      </w:r>
      <w:proofErr w:type="spellStart"/>
      <w:r w:rsidRPr="00827721">
        <w:t>Spectrometry</w:t>
      </w:r>
      <w:proofErr w:type="spellEnd"/>
      <w:r w:rsidR="0007363A" w:rsidRPr="00827721">
        <w:t xml:space="preserve">” (în continuare </w:t>
      </w:r>
      <w:r w:rsidRPr="00827721">
        <w:t xml:space="preserve">– AMS) sau prin metoda numărării prin scintilație lichidă </w:t>
      </w:r>
      <w:r w:rsidR="0007363A" w:rsidRPr="00827721">
        <w:t>„</w:t>
      </w:r>
      <w:proofErr w:type="spellStart"/>
      <w:r w:rsidRPr="00827721">
        <w:t>Liquid</w:t>
      </w:r>
      <w:proofErr w:type="spellEnd"/>
      <w:r w:rsidRPr="00827721">
        <w:t xml:space="preserve"> </w:t>
      </w:r>
      <w:proofErr w:type="spellStart"/>
      <w:r w:rsidRPr="00827721">
        <w:t>Scintillation</w:t>
      </w:r>
      <w:proofErr w:type="spellEnd"/>
      <w:r w:rsidRPr="00827721">
        <w:t xml:space="preserve"> </w:t>
      </w:r>
      <w:proofErr w:type="spellStart"/>
      <w:r w:rsidRPr="00827721">
        <w:t>Counting</w:t>
      </w:r>
      <w:proofErr w:type="spellEnd"/>
      <w:r w:rsidR="0007363A" w:rsidRPr="00827721">
        <w:t>”</w:t>
      </w:r>
      <w:r w:rsidRPr="00827721">
        <w:t xml:space="preserve"> </w:t>
      </w:r>
      <w:r w:rsidR="0007363A" w:rsidRPr="00827721">
        <w:t xml:space="preserve">(în continuare </w:t>
      </w:r>
      <w:r w:rsidRPr="00827721">
        <w:t>– LSC)</w:t>
      </w:r>
      <w:r w:rsidR="0007363A" w:rsidRPr="00827721">
        <w:t xml:space="preserve">, </w:t>
      </w:r>
      <w:r w:rsidRPr="00827721">
        <w:t xml:space="preserve"> </w:t>
      </w:r>
      <w:r w:rsidR="00FB2583" w:rsidRPr="00827721">
        <w:t>aplicată asupra</w:t>
      </w:r>
      <w:r w:rsidR="00FB2583" w:rsidRPr="00827721" w:rsidDel="00FB2583">
        <w:t xml:space="preserve"> </w:t>
      </w:r>
      <w:r w:rsidRPr="00827721">
        <w:t>rezultatelor producției.</w:t>
      </w:r>
    </w:p>
    <w:p w14:paraId="5506D865" w14:textId="4F352299" w:rsidR="0001516A" w:rsidRPr="00827721" w:rsidRDefault="0001516A" w:rsidP="000526EA">
      <w:pPr>
        <w:pStyle w:val="Anexapct1"/>
        <w:rPr>
          <w:rFonts w:eastAsia="Times New Roman"/>
          <w:lang w:eastAsia="ro-RO"/>
        </w:rPr>
      </w:pPr>
      <w:r w:rsidRPr="00827721">
        <w:t xml:space="preserve">Operatorii economici consideră că întreaga rafinărie, instalația care tratează biolichidele și petrolul fosil sau instalația care </w:t>
      </w:r>
      <w:proofErr w:type="spellStart"/>
      <w:r w:rsidRPr="00827721">
        <w:t>coprelucrează</w:t>
      </w:r>
      <w:proofErr w:type="spellEnd"/>
      <w:r w:rsidRPr="00827721">
        <w:t xml:space="preserve"> fluxurile de deșeuri care intră la tratare sunt limite ale sistemului, independent de metoda de testare utilizată. Amestecarea combustibililor </w:t>
      </w:r>
      <w:proofErr w:type="spellStart"/>
      <w:r w:rsidRPr="00827721">
        <w:t>coprelucrați</w:t>
      </w:r>
      <w:proofErr w:type="spellEnd"/>
      <w:r w:rsidRPr="00827721">
        <w:t xml:space="preserve"> cu alți combustibili este considerată ca fiind în afara limitelor sistemului. Testarea cu radiocarbon (</w:t>
      </w:r>
      <w:r w:rsidRPr="00827721">
        <w:rPr>
          <w:vertAlign w:val="superscript"/>
        </w:rPr>
        <w:t>14</w:t>
      </w:r>
      <w:r w:rsidRPr="00827721">
        <w:t xml:space="preserve">C) se efectuează înainte ca combustibilii produși prin </w:t>
      </w:r>
      <w:proofErr w:type="spellStart"/>
      <w:r w:rsidRPr="00827721">
        <w:t>coprelucrare</w:t>
      </w:r>
      <w:proofErr w:type="spellEnd"/>
      <w:r w:rsidRPr="00827721">
        <w:t xml:space="preserve"> să fie amestecați și cu alți combustibili fosili sau </w:t>
      </w:r>
      <w:r w:rsidR="008A23DF" w:rsidRPr="00827721">
        <w:t>biocarburanți</w:t>
      </w:r>
      <w:r w:rsidRPr="00827721">
        <w:t xml:space="preserve"> care nu au făcut parte din procesul de </w:t>
      </w:r>
      <w:proofErr w:type="spellStart"/>
      <w:r w:rsidRPr="00827721">
        <w:t>coprelucrare</w:t>
      </w:r>
      <w:proofErr w:type="spellEnd"/>
      <w:r w:rsidRPr="00827721">
        <w:t xml:space="preserve"> propriu-zis.</w:t>
      </w:r>
    </w:p>
    <w:p w14:paraId="02A8834C" w14:textId="0F49FFFB" w:rsidR="0001516A" w:rsidRPr="00827721" w:rsidRDefault="0001516A" w:rsidP="009A0C40">
      <w:pPr>
        <w:pStyle w:val="Anexapct1"/>
        <w:rPr>
          <w:rFonts w:eastAsia="Times New Roman"/>
          <w:lang w:eastAsia="ro-RO"/>
        </w:rPr>
      </w:pPr>
      <w:r w:rsidRPr="00827721">
        <w:rPr>
          <w:rFonts w:eastAsia="Times New Roman"/>
          <w:lang w:eastAsia="ro-RO"/>
        </w:rPr>
        <w:t xml:space="preserve">Atunci când raportează rezultatele </w:t>
      </w:r>
      <w:proofErr w:type="spellStart"/>
      <w:r w:rsidRPr="00827721">
        <w:rPr>
          <w:rFonts w:eastAsia="Times New Roman"/>
          <w:lang w:eastAsia="ro-RO"/>
        </w:rPr>
        <w:t>coprelucrării</w:t>
      </w:r>
      <w:proofErr w:type="spellEnd"/>
      <w:r w:rsidRPr="00827721">
        <w:rPr>
          <w:rFonts w:eastAsia="Times New Roman"/>
          <w:lang w:eastAsia="ro-RO"/>
        </w:rPr>
        <w:t>, operatorii economici furnizează detalii cu privire la acuratețea și precizia metodei de testare utilizate.</w:t>
      </w:r>
      <w:r w:rsidR="009A0C40" w:rsidRPr="00827721">
        <w:rPr>
          <w:rFonts w:eastAsia="Times New Roman"/>
          <w:lang w:eastAsia="ro-RO"/>
        </w:rPr>
        <w:t xml:space="preserve"> </w:t>
      </w:r>
      <w:r w:rsidRPr="00827721">
        <w:rPr>
          <w:rFonts w:eastAsia="Times New Roman"/>
          <w:lang w:eastAsia="ro-RO"/>
        </w:rPr>
        <w:t xml:space="preserve">Operatorii economici contabilizează și raportează orice inexactități în măsurarea </w:t>
      </w:r>
      <w:r w:rsidRPr="00827721">
        <w:rPr>
          <w:rFonts w:eastAsia="Times New Roman"/>
          <w:lang w:eastAsia="ro-RO"/>
        </w:rPr>
        <w:lastRenderedPageBreak/>
        <w:t xml:space="preserve">debitelor sau a puterii calorifice ca parte a metodei lor principale de testare. Operatorii economici aplică aceeași metodă de testare diferitelor unități de prelucrare ale aceleiași rafinării, instalației care tratează biolichidele și uleiul fosil sau instalației de </w:t>
      </w:r>
      <w:proofErr w:type="spellStart"/>
      <w:r w:rsidRPr="00827721">
        <w:rPr>
          <w:rFonts w:eastAsia="Times New Roman"/>
          <w:lang w:eastAsia="ro-RO"/>
        </w:rPr>
        <w:t>coprelucrare</w:t>
      </w:r>
      <w:proofErr w:type="spellEnd"/>
      <w:r w:rsidRPr="00827721">
        <w:rPr>
          <w:rFonts w:eastAsia="Times New Roman"/>
          <w:lang w:eastAsia="ro-RO"/>
        </w:rPr>
        <w:t xml:space="preserve"> a fluxurilor de deșeuri care intră la tratare. Dacă aceste unități nu sunt conectate și nu există fluxuri între ele, operatorii economici pot aplica metode de testare diferite. În cazul instalațiilor de </w:t>
      </w:r>
      <w:proofErr w:type="spellStart"/>
      <w:r w:rsidRPr="00827721">
        <w:rPr>
          <w:rFonts w:eastAsia="Times New Roman"/>
          <w:lang w:eastAsia="ro-RO"/>
        </w:rPr>
        <w:t>coprelucrare</w:t>
      </w:r>
      <w:proofErr w:type="spellEnd"/>
      <w:r w:rsidRPr="00827721">
        <w:rPr>
          <w:rFonts w:eastAsia="Times New Roman"/>
          <w:lang w:eastAsia="ro-RO"/>
        </w:rPr>
        <w:t xml:space="preserve"> a materiilor prime pe bază de deșeuri, această metodologie și verificare prin testarea cu radiocarbon (</w:t>
      </w:r>
      <w:r w:rsidRPr="00827721">
        <w:rPr>
          <w:rFonts w:eastAsia="Times New Roman"/>
          <w:vertAlign w:val="superscript"/>
          <w:lang w:eastAsia="ro-RO"/>
        </w:rPr>
        <w:t>14</w:t>
      </w:r>
      <w:r w:rsidRPr="00827721">
        <w:rPr>
          <w:rFonts w:eastAsia="Times New Roman"/>
          <w:lang w:eastAsia="ro-RO"/>
        </w:rPr>
        <w:t>C) pot fi aplicate numai dacă se prelev</w:t>
      </w:r>
      <w:r w:rsidR="000176EF" w:rsidRPr="00827721">
        <w:rPr>
          <w:rFonts w:eastAsia="Times New Roman"/>
          <w:lang w:eastAsia="ro-RO"/>
        </w:rPr>
        <w:t>ă</w:t>
      </w:r>
      <w:r w:rsidRPr="00827721">
        <w:rPr>
          <w:rFonts w:eastAsia="Times New Roman"/>
          <w:lang w:eastAsia="ro-RO"/>
        </w:rPr>
        <w:t xml:space="preserve"> un set fiabil și reprezentativ de eșantioane la nivelul materiilor prime, care să permită stabilirea </w:t>
      </w:r>
      <w:proofErr w:type="spellStart"/>
      <w:r w:rsidRPr="00827721">
        <w:rPr>
          <w:rFonts w:eastAsia="Times New Roman"/>
          <w:lang w:eastAsia="ro-RO"/>
        </w:rPr>
        <w:t>bioconținutului</w:t>
      </w:r>
      <w:proofErr w:type="spellEnd"/>
      <w:r w:rsidRPr="00827721">
        <w:rPr>
          <w:rFonts w:eastAsia="Times New Roman"/>
          <w:lang w:eastAsia="ro-RO"/>
        </w:rPr>
        <w:t xml:space="preserve"> în totalul acestora.</w:t>
      </w:r>
    </w:p>
    <w:p w14:paraId="3FC7F01E" w14:textId="46C3077C" w:rsidR="0001516A" w:rsidRPr="00827721" w:rsidRDefault="0001516A" w:rsidP="008F6D8D">
      <w:pPr>
        <w:pStyle w:val="Anexapct1"/>
        <w:rPr>
          <w:rFonts w:eastAsia="Times New Roman"/>
          <w:lang w:eastAsia="ro-RO"/>
        </w:rPr>
      </w:pPr>
      <w:r w:rsidRPr="00827721">
        <w:rPr>
          <w:rFonts w:eastAsia="Times New Roman"/>
          <w:lang w:eastAsia="ro-RO"/>
        </w:rPr>
        <w:t xml:space="preserve">Operatorii economici se asigură că limita de detecție a metodei de testare selectate </w:t>
      </w:r>
      <w:r w:rsidR="00330CEF" w:rsidRPr="00827721">
        <w:rPr>
          <w:rFonts w:eastAsia="Times New Roman"/>
          <w:lang w:eastAsia="ro-RO"/>
        </w:rPr>
        <w:t xml:space="preserve">se </w:t>
      </w:r>
      <w:r w:rsidRPr="00827721">
        <w:rPr>
          <w:rFonts w:eastAsia="Times New Roman"/>
          <w:lang w:eastAsia="ro-RO"/>
        </w:rPr>
        <w:t>măs</w:t>
      </w:r>
      <w:r w:rsidR="00330CEF" w:rsidRPr="00827721">
        <w:rPr>
          <w:rFonts w:eastAsia="Times New Roman"/>
          <w:lang w:eastAsia="ro-RO"/>
        </w:rPr>
        <w:t>oa</w:t>
      </w:r>
      <w:r w:rsidRPr="00827721">
        <w:rPr>
          <w:rFonts w:eastAsia="Times New Roman"/>
          <w:lang w:eastAsia="ro-RO"/>
        </w:rPr>
        <w:t>r</w:t>
      </w:r>
      <w:r w:rsidR="00330CEF" w:rsidRPr="00827721">
        <w:rPr>
          <w:rFonts w:eastAsia="Times New Roman"/>
          <w:lang w:eastAsia="ro-RO"/>
        </w:rPr>
        <w:t>ă</w:t>
      </w:r>
      <w:r w:rsidRPr="00827721">
        <w:rPr>
          <w:rFonts w:eastAsia="Times New Roman"/>
          <w:lang w:eastAsia="ro-RO"/>
        </w:rPr>
        <w:t xml:space="preserve"> în mod eficace ponderea preconizată a </w:t>
      </w:r>
      <w:r w:rsidR="008A23DF" w:rsidRPr="00827721">
        <w:rPr>
          <w:rFonts w:eastAsia="Times New Roman"/>
          <w:lang w:eastAsia="ro-RO"/>
        </w:rPr>
        <w:t>biocarburanților</w:t>
      </w:r>
      <w:r w:rsidRPr="00827721">
        <w:rPr>
          <w:rFonts w:eastAsia="Times New Roman"/>
          <w:lang w:eastAsia="ro-RO"/>
        </w:rPr>
        <w:t xml:space="preserve"> sau a biogazului în cadrul procesului.</w:t>
      </w:r>
    </w:p>
    <w:p w14:paraId="44F65DB8" w14:textId="5EF059EA" w:rsidR="0001516A" w:rsidRPr="00827721" w:rsidRDefault="0001516A" w:rsidP="008F6D8D">
      <w:pPr>
        <w:pStyle w:val="Anexapct1"/>
        <w:rPr>
          <w:rFonts w:eastAsia="Times New Roman"/>
          <w:lang w:eastAsia="ro-RO"/>
        </w:rPr>
      </w:pPr>
      <w:r w:rsidRPr="00827721">
        <w:rPr>
          <w:rFonts w:eastAsia="Times New Roman"/>
          <w:lang w:eastAsia="ro-RO"/>
        </w:rPr>
        <w:t xml:space="preserve">Atunci când operatorii economici raportează rezultatele </w:t>
      </w:r>
      <w:proofErr w:type="spellStart"/>
      <w:r w:rsidRPr="00827721">
        <w:rPr>
          <w:rFonts w:eastAsia="Times New Roman"/>
          <w:lang w:eastAsia="ro-RO"/>
        </w:rPr>
        <w:t>coprelucrării</w:t>
      </w:r>
      <w:proofErr w:type="spellEnd"/>
      <w:r w:rsidRPr="00827721">
        <w:rPr>
          <w:rFonts w:eastAsia="Times New Roman"/>
          <w:lang w:eastAsia="ro-RO"/>
        </w:rPr>
        <w:t xml:space="preserve"> utilizând o metodă principală de testare diferită de cea bazată pe testarea cu radiocarbon (</w:t>
      </w:r>
      <w:r w:rsidRPr="00827721">
        <w:rPr>
          <w:rFonts w:eastAsia="Times New Roman"/>
          <w:vertAlign w:val="superscript"/>
          <w:lang w:eastAsia="ro-RO"/>
        </w:rPr>
        <w:t>14</w:t>
      </w:r>
      <w:r w:rsidRPr="00827721">
        <w:rPr>
          <w:rFonts w:eastAsia="Times New Roman"/>
          <w:lang w:eastAsia="ro-RO"/>
        </w:rPr>
        <w:t>C), aceștia utilizează testarea cu radiocarbon (</w:t>
      </w:r>
      <w:r w:rsidRPr="00827721">
        <w:rPr>
          <w:rFonts w:eastAsia="Times New Roman"/>
          <w:vertAlign w:val="superscript"/>
          <w:lang w:eastAsia="ro-RO"/>
        </w:rPr>
        <w:t>14</w:t>
      </w:r>
      <w:r w:rsidRPr="00827721">
        <w:rPr>
          <w:rFonts w:eastAsia="Times New Roman"/>
          <w:lang w:eastAsia="ro-RO"/>
        </w:rPr>
        <w:t>C) a rezultatelor producției ca modalitate regulată de verificare a corectitudinii performanței sistemului lor și a rezultatelor metodei principale de testare utilizate. Verificarea prin testare cu radiocarbon (</w:t>
      </w:r>
      <w:r w:rsidRPr="00827721">
        <w:rPr>
          <w:rFonts w:eastAsia="Times New Roman"/>
          <w:vertAlign w:val="superscript"/>
          <w:lang w:eastAsia="ro-RO"/>
        </w:rPr>
        <w:t>14</w:t>
      </w:r>
      <w:r w:rsidRPr="00827721">
        <w:rPr>
          <w:rFonts w:eastAsia="Times New Roman"/>
          <w:lang w:eastAsia="ro-RO"/>
        </w:rPr>
        <w:t xml:space="preserve">C) este necesară pentru toate rezultatele producției în care se declară existența unui </w:t>
      </w:r>
      <w:proofErr w:type="spellStart"/>
      <w:r w:rsidRPr="00827721">
        <w:rPr>
          <w:rFonts w:eastAsia="Times New Roman"/>
          <w:lang w:eastAsia="ro-RO"/>
        </w:rPr>
        <w:t>bioconținut</w:t>
      </w:r>
      <w:proofErr w:type="spellEnd"/>
      <w:r w:rsidRPr="00827721">
        <w:rPr>
          <w:rFonts w:eastAsia="Times New Roman"/>
          <w:lang w:eastAsia="ro-RO"/>
        </w:rPr>
        <w:t xml:space="preserve"> pe bază de carbon.</w:t>
      </w:r>
    </w:p>
    <w:p w14:paraId="2FA917F1" w14:textId="3E272A23" w:rsidR="00CB2BE2" w:rsidRPr="00827721" w:rsidRDefault="0001516A" w:rsidP="00433406">
      <w:pPr>
        <w:pStyle w:val="Anexapct1"/>
        <w:rPr>
          <w:rFonts w:eastAsia="Times New Roman"/>
          <w:lang w:eastAsia="ro-RO"/>
        </w:rPr>
      </w:pPr>
      <w:r w:rsidRPr="00827721">
        <w:rPr>
          <w:rFonts w:eastAsia="Times New Roman"/>
          <w:lang w:eastAsia="ro-RO"/>
        </w:rPr>
        <w:t xml:space="preserve">Operatorii economici documentează detaliat cantitățile și tipurile de biomasă care intră în procesul comun în care este prelucrată biomasa cu combustibili fosili, precum și cantitățile de </w:t>
      </w:r>
      <w:r w:rsidR="008A23DF" w:rsidRPr="00827721">
        <w:rPr>
          <w:rFonts w:eastAsia="Times New Roman"/>
          <w:lang w:eastAsia="ro-RO"/>
        </w:rPr>
        <w:t>biocarburanți</w:t>
      </w:r>
      <w:r w:rsidRPr="00827721">
        <w:rPr>
          <w:rFonts w:eastAsia="Times New Roman"/>
          <w:lang w:eastAsia="ro-RO"/>
        </w:rPr>
        <w:t xml:space="preserve"> și biogaz care sunt produse din biomasa respectivă. </w:t>
      </w:r>
      <w:r w:rsidR="00373DB8" w:rsidRPr="00827721">
        <w:rPr>
          <w:rFonts w:eastAsia="Times New Roman"/>
          <w:lang w:eastAsia="ro-RO"/>
        </w:rPr>
        <w:t>O</w:t>
      </w:r>
      <w:r w:rsidRPr="00827721">
        <w:rPr>
          <w:rFonts w:eastAsia="Times New Roman"/>
          <w:lang w:eastAsia="ro-RO"/>
        </w:rPr>
        <w:t xml:space="preserve">peratorii economici susțin informațiile respective cu dovezi, inclusiv rezultatele metodei principale de testare de control prevăzute la </w:t>
      </w:r>
      <w:r w:rsidR="00285652" w:rsidRPr="00827721">
        <w:rPr>
          <w:rFonts w:eastAsia="Times New Roman"/>
          <w:lang w:eastAsia="ro-RO"/>
        </w:rPr>
        <w:t xml:space="preserve">pct. </w:t>
      </w:r>
      <w:r w:rsidRPr="00827721">
        <w:rPr>
          <w:rFonts w:eastAsia="Times New Roman"/>
          <w:lang w:eastAsia="ro-RO"/>
        </w:rPr>
        <w:t xml:space="preserve">1 și rezultatele metodei de verificare prevăzute la </w:t>
      </w:r>
      <w:r w:rsidR="00285652" w:rsidRPr="00827721">
        <w:rPr>
          <w:rFonts w:eastAsia="Times New Roman"/>
          <w:lang w:eastAsia="ro-RO"/>
        </w:rPr>
        <w:t xml:space="preserve">pct. </w:t>
      </w:r>
      <w:r w:rsidRPr="00827721">
        <w:rPr>
          <w:rFonts w:eastAsia="Times New Roman"/>
          <w:lang w:eastAsia="ro-RO"/>
        </w:rPr>
        <w:t xml:space="preserve">5 sau la </w:t>
      </w:r>
      <w:r w:rsidR="00285652" w:rsidRPr="00827721">
        <w:rPr>
          <w:rFonts w:eastAsia="Times New Roman"/>
          <w:lang w:eastAsia="ro-RO"/>
        </w:rPr>
        <w:t xml:space="preserve">secțiunea a </w:t>
      </w:r>
      <w:r w:rsidRPr="00827721">
        <w:rPr>
          <w:rFonts w:eastAsia="Times New Roman"/>
          <w:lang w:eastAsia="ro-RO"/>
        </w:rPr>
        <w:t>5</w:t>
      </w:r>
      <w:r w:rsidR="00285652" w:rsidRPr="00827721">
        <w:rPr>
          <w:rFonts w:eastAsia="Times New Roman"/>
          <w:lang w:eastAsia="ro-RO"/>
        </w:rPr>
        <w:t>-a</w:t>
      </w:r>
      <w:r w:rsidRPr="00827721">
        <w:rPr>
          <w:rFonts w:eastAsia="Times New Roman"/>
          <w:lang w:eastAsia="ro-RO"/>
        </w:rPr>
        <w:t xml:space="preserve"> în cazul stabilirii proporției de hidrogen de origine biologică.</w:t>
      </w:r>
    </w:p>
    <w:p w14:paraId="4282E0AC" w14:textId="77777777" w:rsidR="006F6FCC" w:rsidRPr="00827721" w:rsidRDefault="006F6FCC" w:rsidP="006F6FCC">
      <w:pPr>
        <w:pStyle w:val="Sectiune"/>
        <w:rPr>
          <w:rFonts w:eastAsia="Times New Roman"/>
          <w:lang w:eastAsia="ro-RO"/>
        </w:rPr>
      </w:pPr>
      <w:r w:rsidRPr="00827721">
        <w:rPr>
          <w:rFonts w:eastAsia="Times New Roman"/>
          <w:lang w:eastAsia="ro-RO"/>
        </w:rPr>
        <w:t>Secțiunea a 2-a</w:t>
      </w:r>
    </w:p>
    <w:p w14:paraId="2C681585" w14:textId="557F61E4" w:rsidR="006F6FCC" w:rsidRPr="00827721" w:rsidRDefault="006F6FCC" w:rsidP="006F6FCC">
      <w:pPr>
        <w:pStyle w:val="Sectiune"/>
        <w:rPr>
          <w:rFonts w:eastAsia="Times New Roman"/>
          <w:lang w:eastAsia="ro-RO"/>
        </w:rPr>
      </w:pPr>
      <w:r w:rsidRPr="00827721">
        <w:rPr>
          <w:rFonts w:eastAsia="Times New Roman"/>
          <w:lang w:eastAsia="ro-RO"/>
        </w:rPr>
        <w:t xml:space="preserve">Metoda bilanțului </w:t>
      </w:r>
      <w:proofErr w:type="spellStart"/>
      <w:r w:rsidRPr="00827721">
        <w:rPr>
          <w:rFonts w:eastAsia="Times New Roman"/>
          <w:lang w:eastAsia="ro-RO"/>
        </w:rPr>
        <w:t>masic</w:t>
      </w:r>
      <w:proofErr w:type="spellEnd"/>
    </w:p>
    <w:p w14:paraId="300E5454" w14:textId="19C2E717" w:rsidR="006F6FCC" w:rsidRPr="00827721" w:rsidRDefault="006F6FCC" w:rsidP="006F6FCC">
      <w:pPr>
        <w:pStyle w:val="Anexapct1"/>
        <w:rPr>
          <w:rFonts w:eastAsia="Times New Roman"/>
          <w:lang w:eastAsia="ro-RO"/>
        </w:rPr>
      </w:pPr>
      <w:r w:rsidRPr="00827721">
        <w:rPr>
          <w:rFonts w:eastAsia="Times New Roman"/>
          <w:lang w:eastAsia="ro-RO"/>
        </w:rPr>
        <w:t xml:space="preserve">În cazul în care se utilizează metoda bilanțului </w:t>
      </w:r>
      <w:proofErr w:type="spellStart"/>
      <w:r w:rsidRPr="00827721">
        <w:rPr>
          <w:rFonts w:eastAsia="Times New Roman"/>
          <w:lang w:eastAsia="ro-RO"/>
        </w:rPr>
        <w:t>masic</w:t>
      </w:r>
      <w:proofErr w:type="spellEnd"/>
      <w:r w:rsidRPr="00827721">
        <w:rPr>
          <w:rFonts w:eastAsia="Times New Roman"/>
          <w:lang w:eastAsia="ro-RO"/>
        </w:rPr>
        <w:t xml:space="preserve">, operatorul economic efectuează analiza bilanțului </w:t>
      </w:r>
      <w:proofErr w:type="spellStart"/>
      <w:r w:rsidRPr="00827721">
        <w:rPr>
          <w:rFonts w:eastAsia="Times New Roman"/>
          <w:lang w:eastAsia="ro-RO"/>
        </w:rPr>
        <w:t>masic</w:t>
      </w:r>
      <w:proofErr w:type="spellEnd"/>
      <w:r w:rsidRPr="00827721">
        <w:rPr>
          <w:rFonts w:eastAsia="Times New Roman"/>
          <w:lang w:eastAsia="ro-RO"/>
        </w:rPr>
        <w:t xml:space="preserve"> complet al masei totale a materiilor prime și a rezultatelor producției. Metoda bilanțului </w:t>
      </w:r>
      <w:proofErr w:type="spellStart"/>
      <w:r w:rsidRPr="00827721">
        <w:rPr>
          <w:rFonts w:eastAsia="Times New Roman"/>
          <w:lang w:eastAsia="ro-RO"/>
        </w:rPr>
        <w:t>masic</w:t>
      </w:r>
      <w:proofErr w:type="spellEnd"/>
      <w:r w:rsidRPr="00827721">
        <w:rPr>
          <w:rFonts w:eastAsia="Times New Roman"/>
          <w:lang w:eastAsia="ro-RO"/>
        </w:rPr>
        <w:t xml:space="preserve"> asigură faptul că </w:t>
      </w:r>
      <w:proofErr w:type="spellStart"/>
      <w:r w:rsidRPr="00827721">
        <w:rPr>
          <w:rFonts w:eastAsia="Times New Roman"/>
          <w:lang w:eastAsia="ro-RO"/>
        </w:rPr>
        <w:t>bioconținutul</w:t>
      </w:r>
      <w:proofErr w:type="spellEnd"/>
      <w:r w:rsidRPr="00827721">
        <w:rPr>
          <w:rFonts w:eastAsia="Times New Roman"/>
          <w:lang w:eastAsia="ro-RO"/>
        </w:rPr>
        <w:t xml:space="preserve"> tuturor rezultatelor producției este proporțional cu </w:t>
      </w:r>
      <w:proofErr w:type="spellStart"/>
      <w:r w:rsidRPr="00827721">
        <w:rPr>
          <w:rFonts w:eastAsia="Times New Roman"/>
          <w:lang w:eastAsia="ro-RO"/>
        </w:rPr>
        <w:t>bioconținutul</w:t>
      </w:r>
      <w:proofErr w:type="spellEnd"/>
      <w:r w:rsidRPr="00827721">
        <w:rPr>
          <w:rFonts w:eastAsia="Times New Roman"/>
          <w:lang w:eastAsia="ro-RO"/>
        </w:rPr>
        <w:t xml:space="preserve"> materiilor prime și că ponderea materialului </w:t>
      </w:r>
      <w:proofErr w:type="spellStart"/>
      <w:r w:rsidRPr="00827721">
        <w:rPr>
          <w:rFonts w:eastAsia="Times New Roman"/>
          <w:lang w:eastAsia="ro-RO"/>
        </w:rPr>
        <w:t>biogenic</w:t>
      </w:r>
      <w:proofErr w:type="spellEnd"/>
      <w:r w:rsidRPr="00827721">
        <w:rPr>
          <w:rFonts w:eastAsia="Times New Roman"/>
          <w:lang w:eastAsia="ro-RO"/>
        </w:rPr>
        <w:t xml:space="preserve"> identificat cu ajutorul rezultatelor testelor cu radiocarbon </w:t>
      </w:r>
      <w:r w:rsidRPr="00827721">
        <w:rPr>
          <w:rFonts w:eastAsia="Times New Roman"/>
          <w:vertAlign w:val="superscript"/>
          <w:lang w:eastAsia="ro-RO"/>
        </w:rPr>
        <w:t>14</w:t>
      </w:r>
      <w:r w:rsidRPr="00827721">
        <w:rPr>
          <w:rFonts w:eastAsia="Times New Roman"/>
          <w:lang w:eastAsia="ro-RO"/>
        </w:rPr>
        <w:t xml:space="preserve">C este alocată fiecărui rezultat al producției. Pentru fiecare rezultat al producției se aplică diferiți factori de conversie care corespund cel mai bine </w:t>
      </w:r>
      <w:proofErr w:type="spellStart"/>
      <w:r w:rsidRPr="00827721">
        <w:rPr>
          <w:rFonts w:eastAsia="Times New Roman"/>
          <w:lang w:eastAsia="ro-RO"/>
        </w:rPr>
        <w:t>bioconținutului</w:t>
      </w:r>
      <w:proofErr w:type="spellEnd"/>
      <w:r w:rsidRPr="00827721">
        <w:rPr>
          <w:rFonts w:eastAsia="Times New Roman"/>
          <w:lang w:eastAsia="ro-RO"/>
        </w:rPr>
        <w:t xml:space="preserve"> măsurat cu ajutorul rezultatelor testelor cu radiocarbon </w:t>
      </w:r>
      <w:r w:rsidRPr="00827721">
        <w:rPr>
          <w:rFonts w:eastAsia="Times New Roman"/>
          <w:vertAlign w:val="superscript"/>
          <w:lang w:eastAsia="ro-RO"/>
        </w:rPr>
        <w:t>14</w:t>
      </w:r>
      <w:r w:rsidRPr="00827721">
        <w:rPr>
          <w:rFonts w:eastAsia="Times New Roman"/>
          <w:lang w:eastAsia="ro-RO"/>
        </w:rPr>
        <w:t xml:space="preserve">C. </w:t>
      </w:r>
      <w:r w:rsidRPr="00827721">
        <w:rPr>
          <w:rFonts w:eastAsia="Times New Roman"/>
          <w:lang w:eastAsia="ro-RO"/>
        </w:rPr>
        <w:lastRenderedPageBreak/>
        <w:t xml:space="preserve">Rezultatul producției ia în considerare masa pierdută în efluenții gazoși, în reziduurile lichide din apele uzate industriale și în reziduurile solide. Metoda bilanțului </w:t>
      </w:r>
      <w:proofErr w:type="spellStart"/>
      <w:r w:rsidRPr="00827721">
        <w:rPr>
          <w:rFonts w:eastAsia="Times New Roman"/>
          <w:lang w:eastAsia="ro-RO"/>
        </w:rPr>
        <w:t>masic</w:t>
      </w:r>
      <w:proofErr w:type="spellEnd"/>
      <w:r w:rsidRPr="00827721">
        <w:rPr>
          <w:rFonts w:eastAsia="Times New Roman"/>
          <w:lang w:eastAsia="ro-RO"/>
        </w:rPr>
        <w:t xml:space="preserve"> include caracterizarea analitică suplimentară a materiilor prime și a produselor, cum ar fi analiza elementară și analiza de orientare pentru debitele </w:t>
      </w:r>
      <w:proofErr w:type="spellStart"/>
      <w:r w:rsidRPr="00827721">
        <w:rPr>
          <w:rFonts w:eastAsia="Times New Roman"/>
          <w:lang w:eastAsia="ro-RO"/>
        </w:rPr>
        <w:t>masice</w:t>
      </w:r>
      <w:proofErr w:type="spellEnd"/>
      <w:r w:rsidRPr="00827721">
        <w:rPr>
          <w:rFonts w:eastAsia="Times New Roman"/>
          <w:lang w:eastAsia="ro-RO"/>
        </w:rPr>
        <w:t xml:space="preserve"> ale sistemului.</w:t>
      </w:r>
    </w:p>
    <w:p w14:paraId="7FB57102" w14:textId="4111516E" w:rsidR="006F6FCC" w:rsidRPr="00827721" w:rsidRDefault="006F6FCC" w:rsidP="00B022F3">
      <w:pPr>
        <w:pStyle w:val="Anexapct1"/>
        <w:rPr>
          <w:rFonts w:eastAsia="Times New Roman"/>
          <w:lang w:eastAsia="ro-RO"/>
        </w:rPr>
      </w:pPr>
      <w:r w:rsidRPr="00827721">
        <w:rPr>
          <w:rFonts w:eastAsia="Times New Roman"/>
          <w:lang w:eastAsia="ro-RO"/>
        </w:rPr>
        <w:t xml:space="preserve">În cazul în care metoda bilanțului </w:t>
      </w:r>
      <w:proofErr w:type="spellStart"/>
      <w:r w:rsidRPr="00827721">
        <w:rPr>
          <w:rFonts w:eastAsia="Times New Roman"/>
          <w:lang w:eastAsia="ro-RO"/>
        </w:rPr>
        <w:t>masic</w:t>
      </w:r>
      <w:proofErr w:type="spellEnd"/>
      <w:r w:rsidRPr="00827721">
        <w:rPr>
          <w:rFonts w:eastAsia="Times New Roman"/>
          <w:lang w:eastAsia="ro-RO"/>
        </w:rPr>
        <w:t xml:space="preserve"> este utilizată ca metodă principală, operatorii economici iau în considerare în calcul umiditatea și alte impurități neinerente combustibililor din materiile lor prime, precum și din rezultatele procesului lor de producție.</w:t>
      </w:r>
    </w:p>
    <w:p w14:paraId="6FF5B953" w14:textId="00440DC9" w:rsidR="00B022F3" w:rsidRPr="00827721" w:rsidRDefault="00045C40" w:rsidP="00B022F3">
      <w:pPr>
        <w:pStyle w:val="Sectiune"/>
        <w:rPr>
          <w:rFonts w:eastAsia="Times New Roman"/>
          <w:lang w:eastAsia="ro-RO"/>
        </w:rPr>
      </w:pPr>
      <w:r w:rsidRPr="00827721">
        <w:rPr>
          <w:rFonts w:eastAsia="Times New Roman"/>
          <w:lang w:eastAsia="ro-RO"/>
        </w:rPr>
        <w:t>Secțiunea a</w:t>
      </w:r>
      <w:r w:rsidR="006F6FCC" w:rsidRPr="00827721">
        <w:rPr>
          <w:rFonts w:eastAsia="Times New Roman"/>
          <w:lang w:eastAsia="ro-RO"/>
        </w:rPr>
        <w:t xml:space="preserve"> 3</w:t>
      </w:r>
      <w:r w:rsidRPr="00827721">
        <w:rPr>
          <w:rFonts w:eastAsia="Times New Roman"/>
          <w:lang w:eastAsia="ro-RO"/>
        </w:rPr>
        <w:t>-a</w:t>
      </w:r>
    </w:p>
    <w:p w14:paraId="24D5A6E7" w14:textId="25603630" w:rsidR="006F6FCC" w:rsidRPr="00827721" w:rsidRDefault="006F6FCC" w:rsidP="00B022F3">
      <w:pPr>
        <w:pStyle w:val="Sectiune"/>
        <w:rPr>
          <w:rFonts w:eastAsia="Times New Roman"/>
          <w:lang w:eastAsia="ro-RO"/>
        </w:rPr>
      </w:pPr>
      <w:r w:rsidRPr="00827721">
        <w:rPr>
          <w:rFonts w:eastAsia="Times New Roman"/>
          <w:lang w:eastAsia="ro-RO"/>
        </w:rPr>
        <w:t>Metoda bilanțului energetic</w:t>
      </w:r>
    </w:p>
    <w:p w14:paraId="05D5D261" w14:textId="2A860197" w:rsidR="006F6FCC" w:rsidRPr="00827721" w:rsidRDefault="006F6FCC" w:rsidP="00B022F3">
      <w:pPr>
        <w:pStyle w:val="Anexapct1"/>
        <w:rPr>
          <w:rFonts w:eastAsia="Times New Roman"/>
          <w:lang w:eastAsia="ro-RO"/>
        </w:rPr>
      </w:pPr>
      <w:r w:rsidRPr="00827721">
        <w:t>În</w:t>
      </w:r>
      <w:r w:rsidRPr="00827721">
        <w:rPr>
          <w:rFonts w:eastAsia="Times New Roman"/>
          <w:lang w:eastAsia="ro-RO"/>
        </w:rPr>
        <w:t xml:space="preserve"> cazul în care se utilizează metoda bilanțului energetic, ponderea energetică a conținutului </w:t>
      </w:r>
      <w:proofErr w:type="spellStart"/>
      <w:r w:rsidRPr="00827721">
        <w:rPr>
          <w:rFonts w:eastAsia="Times New Roman"/>
          <w:lang w:eastAsia="ro-RO"/>
        </w:rPr>
        <w:t>biogenic</w:t>
      </w:r>
      <w:proofErr w:type="spellEnd"/>
      <w:r w:rsidRPr="00827721">
        <w:rPr>
          <w:rFonts w:eastAsia="Times New Roman"/>
          <w:lang w:eastAsia="ro-RO"/>
        </w:rPr>
        <w:t xml:space="preserve"> în toate rezultatele producției dintr-o etapă de </w:t>
      </w:r>
      <w:proofErr w:type="spellStart"/>
      <w:r w:rsidRPr="00827721">
        <w:rPr>
          <w:rFonts w:eastAsia="Times New Roman"/>
          <w:lang w:eastAsia="ro-RO"/>
        </w:rPr>
        <w:t>coprelucrare</w:t>
      </w:r>
      <w:proofErr w:type="spellEnd"/>
      <w:r w:rsidRPr="00827721">
        <w:rPr>
          <w:rFonts w:eastAsia="Times New Roman"/>
          <w:lang w:eastAsia="ro-RO"/>
        </w:rPr>
        <w:t xml:space="preserve"> într-o rafinărie de petrol se determină ca fiind egală cu ponderea energetică a conținutului </w:t>
      </w:r>
      <w:proofErr w:type="spellStart"/>
      <w:r w:rsidRPr="00827721">
        <w:rPr>
          <w:rFonts w:eastAsia="Times New Roman"/>
          <w:lang w:eastAsia="ro-RO"/>
        </w:rPr>
        <w:t>biogenic</w:t>
      </w:r>
      <w:proofErr w:type="spellEnd"/>
      <w:r w:rsidRPr="00827721">
        <w:rPr>
          <w:rFonts w:eastAsia="Times New Roman"/>
          <w:lang w:eastAsia="ro-RO"/>
        </w:rPr>
        <w:t xml:space="preserve"> în materiile prime ale rafinăriei. Metoda bilanțului energetic înregistrează conținutul energetic al materiilor prime de biomasă și fosile, precum și energia de proces care intră în instalația de </w:t>
      </w:r>
      <w:proofErr w:type="spellStart"/>
      <w:r w:rsidRPr="00827721">
        <w:rPr>
          <w:rFonts w:eastAsia="Times New Roman"/>
          <w:lang w:eastAsia="ro-RO"/>
        </w:rPr>
        <w:t>coprelucrare</w:t>
      </w:r>
      <w:proofErr w:type="spellEnd"/>
      <w:r w:rsidRPr="00827721">
        <w:rPr>
          <w:rFonts w:eastAsia="Times New Roman"/>
          <w:lang w:eastAsia="ro-RO"/>
        </w:rPr>
        <w:t xml:space="preserve">. Conținutul energetic atât al materiilor prime de biomasă, cât și al celor fosile se calculează utilizând masa materiilor prime și puterea calorifică inferioară </w:t>
      </w:r>
      <w:r w:rsidR="00B022F3" w:rsidRPr="00827721">
        <w:rPr>
          <w:rFonts w:eastAsia="Times New Roman"/>
          <w:lang w:eastAsia="ro-RO"/>
        </w:rPr>
        <w:t>„</w:t>
      </w:r>
      <w:proofErr w:type="spellStart"/>
      <w:r w:rsidRPr="00827721">
        <w:rPr>
          <w:rFonts w:eastAsia="Times New Roman"/>
          <w:lang w:eastAsia="ro-RO"/>
        </w:rPr>
        <w:t>Lower</w:t>
      </w:r>
      <w:proofErr w:type="spellEnd"/>
      <w:r w:rsidRPr="00827721">
        <w:rPr>
          <w:rFonts w:eastAsia="Times New Roman"/>
          <w:lang w:eastAsia="ro-RO"/>
        </w:rPr>
        <w:t xml:space="preserve"> </w:t>
      </w:r>
      <w:proofErr w:type="spellStart"/>
      <w:r w:rsidRPr="00827721">
        <w:rPr>
          <w:rFonts w:eastAsia="Times New Roman"/>
          <w:lang w:eastAsia="ro-RO"/>
        </w:rPr>
        <w:t>heating</w:t>
      </w:r>
      <w:proofErr w:type="spellEnd"/>
      <w:r w:rsidRPr="00827721">
        <w:rPr>
          <w:rFonts w:eastAsia="Times New Roman"/>
          <w:lang w:eastAsia="ro-RO"/>
        </w:rPr>
        <w:t xml:space="preserve"> </w:t>
      </w:r>
      <w:proofErr w:type="spellStart"/>
      <w:r w:rsidRPr="00827721">
        <w:rPr>
          <w:rFonts w:eastAsia="Times New Roman"/>
          <w:lang w:eastAsia="ro-RO"/>
        </w:rPr>
        <w:t>value</w:t>
      </w:r>
      <w:proofErr w:type="spellEnd"/>
      <w:r w:rsidR="00B022F3" w:rsidRPr="00827721">
        <w:rPr>
          <w:rFonts w:eastAsia="Times New Roman"/>
          <w:lang w:eastAsia="ro-RO"/>
        </w:rPr>
        <w:t xml:space="preserve">” (în continuare – </w:t>
      </w:r>
      <w:r w:rsidR="00B022F3" w:rsidRPr="00827721">
        <w:rPr>
          <w:rFonts w:eastAsia="Times New Roman"/>
          <w:i/>
          <w:lang w:eastAsia="ro-RO"/>
        </w:rPr>
        <w:t>LHV</w:t>
      </w:r>
      <w:r w:rsidR="00B022F3" w:rsidRPr="00827721">
        <w:rPr>
          <w:rFonts w:eastAsia="Times New Roman"/>
          <w:lang w:eastAsia="ro-RO"/>
        </w:rPr>
        <w:t>) măsurată în MJ/kg</w:t>
      </w:r>
      <w:r w:rsidRPr="00827721">
        <w:rPr>
          <w:rFonts w:eastAsia="Times New Roman"/>
          <w:lang w:eastAsia="ro-RO"/>
        </w:rPr>
        <w:t xml:space="preserve">. </w:t>
      </w:r>
      <w:proofErr w:type="spellStart"/>
      <w:r w:rsidRPr="00827721">
        <w:rPr>
          <w:rFonts w:eastAsia="Times New Roman"/>
          <w:lang w:eastAsia="ro-RO"/>
        </w:rPr>
        <w:t>Biofracția</w:t>
      </w:r>
      <w:proofErr w:type="spellEnd"/>
      <w:r w:rsidRPr="00827721">
        <w:rPr>
          <w:rFonts w:eastAsia="Times New Roman"/>
          <w:lang w:eastAsia="ro-RO"/>
        </w:rPr>
        <w:t xml:space="preserve">, calculată ca bioenergie de intrare împărțită la energia totală de intrare, se aplică tuturor combustibililor obținuți în urma </w:t>
      </w:r>
      <w:proofErr w:type="spellStart"/>
      <w:r w:rsidRPr="00827721">
        <w:rPr>
          <w:rFonts w:eastAsia="Times New Roman"/>
          <w:lang w:eastAsia="ro-RO"/>
        </w:rPr>
        <w:t>coprelucrării</w:t>
      </w:r>
      <w:proofErr w:type="spellEnd"/>
      <w:r w:rsidRPr="00827721">
        <w:rPr>
          <w:rFonts w:eastAsia="Times New Roman"/>
          <w:lang w:eastAsia="ro-RO"/>
        </w:rPr>
        <w:t xml:space="preserve">, pentru a stabili </w:t>
      </w:r>
      <w:proofErr w:type="spellStart"/>
      <w:r w:rsidRPr="00827721">
        <w:rPr>
          <w:rFonts w:eastAsia="Times New Roman"/>
          <w:lang w:eastAsia="ro-RO"/>
        </w:rPr>
        <w:t>bioconținutul</w:t>
      </w:r>
      <w:proofErr w:type="spellEnd"/>
      <w:r w:rsidRPr="00827721">
        <w:rPr>
          <w:rFonts w:eastAsia="Times New Roman"/>
          <w:lang w:eastAsia="ro-RO"/>
        </w:rPr>
        <w:t xml:space="preserve"> combustibililor finali produși. Pentru fiecare rezultat al producției se aplică diferiți factori de conversie care corespund cel mai bine </w:t>
      </w:r>
      <w:proofErr w:type="spellStart"/>
      <w:r w:rsidRPr="00827721">
        <w:rPr>
          <w:rFonts w:eastAsia="Times New Roman"/>
          <w:lang w:eastAsia="ro-RO"/>
        </w:rPr>
        <w:t>bioconținutului</w:t>
      </w:r>
      <w:proofErr w:type="spellEnd"/>
      <w:r w:rsidRPr="00827721">
        <w:rPr>
          <w:rFonts w:eastAsia="Times New Roman"/>
          <w:lang w:eastAsia="ro-RO"/>
        </w:rPr>
        <w:t xml:space="preserve"> măsurat cu ajutorul rezultatelor testelor cu radiocarbon </w:t>
      </w:r>
      <w:r w:rsidRPr="00827721">
        <w:rPr>
          <w:rFonts w:eastAsia="Times New Roman"/>
          <w:vertAlign w:val="superscript"/>
          <w:lang w:eastAsia="ro-RO"/>
        </w:rPr>
        <w:t>14</w:t>
      </w:r>
      <w:r w:rsidRPr="00827721">
        <w:rPr>
          <w:rFonts w:eastAsia="Times New Roman"/>
          <w:lang w:eastAsia="ro-RO"/>
        </w:rPr>
        <w:t>C.</w:t>
      </w:r>
    </w:p>
    <w:p w14:paraId="1F67DA91" w14:textId="0C79F75C" w:rsidR="006F6FCC" w:rsidRPr="00827721" w:rsidRDefault="00045C40" w:rsidP="00B022F3">
      <w:pPr>
        <w:pStyle w:val="Sectiune"/>
        <w:rPr>
          <w:rFonts w:eastAsia="Times New Roman"/>
          <w:lang w:eastAsia="ro-RO"/>
        </w:rPr>
      </w:pPr>
      <w:r w:rsidRPr="00827721">
        <w:rPr>
          <w:rFonts w:eastAsia="Times New Roman"/>
          <w:lang w:eastAsia="ro-RO"/>
        </w:rPr>
        <w:t xml:space="preserve">Secțiunea a </w:t>
      </w:r>
      <w:r w:rsidR="006F6FCC" w:rsidRPr="00827721">
        <w:rPr>
          <w:rFonts w:eastAsia="Times New Roman"/>
          <w:lang w:eastAsia="ro-RO"/>
        </w:rPr>
        <w:t>4</w:t>
      </w:r>
      <w:r w:rsidRPr="00827721">
        <w:rPr>
          <w:rFonts w:eastAsia="Times New Roman"/>
          <w:lang w:eastAsia="ro-RO"/>
        </w:rPr>
        <w:t>-a</w:t>
      </w:r>
    </w:p>
    <w:p w14:paraId="0F98307F" w14:textId="0B4093E0" w:rsidR="006F6FCC" w:rsidRPr="00827721" w:rsidRDefault="006F6FCC" w:rsidP="00B022F3">
      <w:pPr>
        <w:pStyle w:val="Sectiune"/>
        <w:rPr>
          <w:rFonts w:eastAsia="Times New Roman"/>
          <w:lang w:eastAsia="ro-RO"/>
        </w:rPr>
      </w:pPr>
      <w:r w:rsidRPr="00827721">
        <w:rPr>
          <w:rFonts w:eastAsia="Times New Roman"/>
          <w:lang w:eastAsia="ro-RO"/>
        </w:rPr>
        <w:t>Metode privind randamentul</w:t>
      </w:r>
    </w:p>
    <w:p w14:paraId="33CAB72E" w14:textId="2C1E02A7" w:rsidR="006F6FCC" w:rsidRPr="00827721" w:rsidRDefault="006F6FCC" w:rsidP="004002E0">
      <w:pPr>
        <w:pStyle w:val="Anexapct1"/>
        <w:rPr>
          <w:rFonts w:eastAsia="Times New Roman"/>
          <w:lang w:eastAsia="ro-RO"/>
        </w:rPr>
      </w:pPr>
      <w:r w:rsidRPr="00827721">
        <w:rPr>
          <w:rFonts w:eastAsia="Times New Roman"/>
          <w:lang w:eastAsia="ro-RO"/>
        </w:rPr>
        <w:t>În cazul în care se utilizează o metodă a randamentului, operatorii economici pot utiliza una dintre cele două metode descrise mai jos pentru a obține un factor de randament care să fie aplicat procesului comun de producție a combustibilului:</w:t>
      </w:r>
    </w:p>
    <w:p w14:paraId="02E22912" w14:textId="07E398F9" w:rsidR="006F6FCC" w:rsidRPr="00827721" w:rsidRDefault="006F6FCC" w:rsidP="004002E0">
      <w:pPr>
        <w:pStyle w:val="Anexapct11"/>
        <w:rPr>
          <w:rFonts w:eastAsia="Times New Roman"/>
          <w:lang w:eastAsia="ro-RO"/>
        </w:rPr>
      </w:pPr>
      <w:r w:rsidRPr="00827721">
        <w:rPr>
          <w:rFonts w:eastAsia="Times New Roman"/>
          <w:lang w:eastAsia="ro-RO"/>
        </w:rPr>
        <w:t xml:space="preserve">Metoda randamentului A. Randamentele diferitelor produse se observă și se înregistrează mai întâi atunci când unitățile de prelucrare funcționează numai cu materii prime fosile pure sau, pentru aplicații specifice (de exemplu, concentrații limitate), pe unități la scară pilot reprezentative pentru cele la scară comercială. </w:t>
      </w:r>
      <w:r w:rsidR="00E9026E" w:rsidRPr="00827721">
        <w:rPr>
          <w:rFonts w:eastAsia="Times New Roman"/>
          <w:lang w:eastAsia="ro-RO"/>
        </w:rPr>
        <w:t>Ulterior</w:t>
      </w:r>
      <w:r w:rsidRPr="00827721">
        <w:rPr>
          <w:rFonts w:eastAsia="Times New Roman"/>
          <w:lang w:eastAsia="ro-RO"/>
        </w:rPr>
        <w:t xml:space="preserve">, la fluxul de intrare se adaugă o anumită proporție de materii prime de biomasă, observându-se și înregistrându-se efectul incremental asupra randamentelor. </w:t>
      </w:r>
      <w:proofErr w:type="spellStart"/>
      <w:r w:rsidRPr="00827721">
        <w:rPr>
          <w:rFonts w:eastAsia="Times New Roman"/>
          <w:lang w:eastAsia="ro-RO"/>
        </w:rPr>
        <w:t>Bioconținutul</w:t>
      </w:r>
      <w:proofErr w:type="spellEnd"/>
      <w:r w:rsidRPr="00827721">
        <w:rPr>
          <w:rFonts w:eastAsia="Times New Roman"/>
          <w:lang w:eastAsia="ro-RO"/>
        </w:rPr>
        <w:t xml:space="preserve"> se atribuie </w:t>
      </w:r>
      <w:r w:rsidR="003E63A2" w:rsidRPr="00827721">
        <w:rPr>
          <w:rFonts w:eastAsia="Times New Roman"/>
          <w:lang w:eastAsia="ro-RO"/>
        </w:rPr>
        <w:t xml:space="preserve">ulterior </w:t>
      </w:r>
      <w:r w:rsidRPr="00827721">
        <w:rPr>
          <w:rFonts w:eastAsia="Times New Roman"/>
          <w:lang w:eastAsia="ro-RO"/>
        </w:rPr>
        <w:t xml:space="preserve">fiecărui produs proporțional cu creșterea producției </w:t>
      </w:r>
      <w:r w:rsidR="003F3C82" w:rsidRPr="00827721">
        <w:rPr>
          <w:rFonts w:eastAsia="Times New Roman"/>
          <w:lang w:eastAsia="ro-RO"/>
        </w:rPr>
        <w:t>acestuia</w:t>
      </w:r>
      <w:r w:rsidRPr="00827721">
        <w:rPr>
          <w:rFonts w:eastAsia="Times New Roman"/>
          <w:lang w:eastAsia="ro-RO"/>
        </w:rPr>
        <w:t xml:space="preserve">. Fiecare factor de randament este valabil numai pentru </w:t>
      </w:r>
      <w:r w:rsidRPr="00827721">
        <w:rPr>
          <w:rFonts w:eastAsia="Times New Roman"/>
          <w:lang w:eastAsia="ro-RO"/>
        </w:rPr>
        <w:lastRenderedPageBreak/>
        <w:t xml:space="preserve">materiile prime și condițiile de proces de referință pentru care a fost stabilit. Operatorii economici pot defini factori de randament diferiți pentru a viza procese și condiții de funcționare diferite. </w:t>
      </w:r>
      <w:r w:rsidR="008E5D5D">
        <w:rPr>
          <w:rFonts w:eastAsia="Times New Roman"/>
          <w:lang w:eastAsia="ro-RO"/>
        </w:rPr>
        <w:t>Grupul de lucru</w:t>
      </w:r>
      <w:r w:rsidRPr="00827721">
        <w:rPr>
          <w:rFonts w:eastAsia="Times New Roman"/>
          <w:lang w:eastAsia="ro-RO"/>
        </w:rPr>
        <w:t xml:space="preserve">, în conformitate </w:t>
      </w:r>
      <w:r w:rsidR="00314A83" w:rsidRPr="00827721">
        <w:rPr>
          <w:rFonts w:eastAsia="Times New Roman"/>
          <w:lang w:eastAsia="ro-RO"/>
        </w:rPr>
        <w:t>cu prevederile</w:t>
      </w:r>
      <w:r w:rsidRPr="00827721">
        <w:rPr>
          <w:rFonts w:eastAsia="Times New Roman"/>
          <w:lang w:eastAsia="ro-RO"/>
        </w:rPr>
        <w:t xml:space="preserve"> prezent</w:t>
      </w:r>
      <w:r w:rsidR="00951F8B" w:rsidRPr="00827721">
        <w:rPr>
          <w:rFonts w:eastAsia="Times New Roman"/>
          <w:lang w:eastAsia="ro-RO"/>
        </w:rPr>
        <w:t>ei</w:t>
      </w:r>
      <w:r w:rsidRPr="00827721">
        <w:rPr>
          <w:rFonts w:eastAsia="Times New Roman"/>
          <w:lang w:eastAsia="ro-RO"/>
        </w:rPr>
        <w:t xml:space="preserve"> </w:t>
      </w:r>
      <w:r w:rsidR="00951F8B" w:rsidRPr="00827721">
        <w:rPr>
          <w:rFonts w:eastAsia="Times New Roman"/>
          <w:lang w:eastAsia="ro-RO"/>
        </w:rPr>
        <w:t>anexe</w:t>
      </w:r>
      <w:r w:rsidRPr="00827721">
        <w:rPr>
          <w:rFonts w:eastAsia="Times New Roman"/>
          <w:lang w:eastAsia="ro-RO"/>
        </w:rPr>
        <w:t>, po</w:t>
      </w:r>
      <w:r w:rsidR="006E194A" w:rsidRPr="00827721">
        <w:rPr>
          <w:rFonts w:eastAsia="Times New Roman"/>
          <w:lang w:eastAsia="ro-RO"/>
        </w:rPr>
        <w:t>a</w:t>
      </w:r>
      <w:r w:rsidRPr="00827721">
        <w:rPr>
          <w:rFonts w:eastAsia="Times New Roman"/>
          <w:lang w:eastAsia="ro-RO"/>
        </w:rPr>
        <w:t>t</w:t>
      </w:r>
      <w:r w:rsidR="006E194A" w:rsidRPr="00827721">
        <w:rPr>
          <w:rFonts w:eastAsia="Times New Roman"/>
          <w:lang w:eastAsia="ro-RO"/>
        </w:rPr>
        <w:t>e</w:t>
      </w:r>
      <w:r w:rsidRPr="00827721">
        <w:rPr>
          <w:rFonts w:eastAsia="Times New Roman"/>
          <w:lang w:eastAsia="ro-RO"/>
        </w:rPr>
        <w:t xml:space="preserve"> defini factorii de randament pe care operatorii economici trebuie să îi utilizeze. În cazul în care se utilizează factori de randament diferiți, se efectuează un test cu radiocarbon </w:t>
      </w:r>
      <w:r w:rsidRPr="00827721">
        <w:rPr>
          <w:rFonts w:eastAsia="Times New Roman"/>
          <w:vertAlign w:val="superscript"/>
          <w:lang w:eastAsia="ro-RO"/>
        </w:rPr>
        <w:t>14</w:t>
      </w:r>
      <w:r w:rsidRPr="00827721">
        <w:rPr>
          <w:rFonts w:eastAsia="Times New Roman"/>
          <w:lang w:eastAsia="ro-RO"/>
        </w:rPr>
        <w:t>C de fiecare dată când se utilizează un nou factor de randament și se verifică și, dacă este necesar, se actualizează corelația dintre materiile prime și condițiile de proces de referință.</w:t>
      </w:r>
    </w:p>
    <w:p w14:paraId="1C74458F" w14:textId="65A0D700" w:rsidR="006F6FCC" w:rsidRPr="00827721" w:rsidRDefault="006F6FCC" w:rsidP="00F70B14">
      <w:pPr>
        <w:pStyle w:val="Anexapct11"/>
        <w:rPr>
          <w:rFonts w:eastAsia="Times New Roman"/>
          <w:lang w:eastAsia="ro-RO"/>
        </w:rPr>
      </w:pPr>
      <w:r w:rsidRPr="00827721">
        <w:rPr>
          <w:rFonts w:eastAsia="Times New Roman"/>
          <w:lang w:eastAsia="ro-RO"/>
        </w:rPr>
        <w:t xml:space="preserve">Metoda de randament B. Această metodă stabilește o relație între materiile prime cu conținut </w:t>
      </w:r>
      <w:proofErr w:type="spellStart"/>
      <w:r w:rsidRPr="00827721">
        <w:rPr>
          <w:rFonts w:eastAsia="Times New Roman"/>
          <w:lang w:eastAsia="ro-RO"/>
        </w:rPr>
        <w:t>biogenic</w:t>
      </w:r>
      <w:proofErr w:type="spellEnd"/>
      <w:r w:rsidRPr="00827721">
        <w:rPr>
          <w:rFonts w:eastAsia="Times New Roman"/>
          <w:lang w:eastAsia="ro-RO"/>
        </w:rPr>
        <w:t xml:space="preserve"> și rezultatele producției cu conținut </w:t>
      </w:r>
      <w:proofErr w:type="spellStart"/>
      <w:r w:rsidRPr="00827721">
        <w:rPr>
          <w:rFonts w:eastAsia="Times New Roman"/>
          <w:lang w:eastAsia="ro-RO"/>
        </w:rPr>
        <w:t>biogenic</w:t>
      </w:r>
      <w:proofErr w:type="spellEnd"/>
      <w:r w:rsidRPr="00827721">
        <w:rPr>
          <w:rFonts w:eastAsia="Times New Roman"/>
          <w:lang w:eastAsia="ro-RO"/>
        </w:rPr>
        <w:t xml:space="preserve"> ale unei unități de </w:t>
      </w:r>
      <w:proofErr w:type="spellStart"/>
      <w:r w:rsidRPr="00827721">
        <w:rPr>
          <w:rFonts w:eastAsia="Times New Roman"/>
          <w:lang w:eastAsia="ro-RO"/>
        </w:rPr>
        <w:t>coprelucrare</w:t>
      </w:r>
      <w:proofErr w:type="spellEnd"/>
      <w:r w:rsidRPr="00827721">
        <w:rPr>
          <w:rFonts w:eastAsia="Times New Roman"/>
          <w:lang w:eastAsia="ro-RO"/>
        </w:rPr>
        <w:t xml:space="preserve">. Factorul de conversie se determină prin supunerea mai multor loturi de materii prime la condițiile cunoscute de </w:t>
      </w:r>
      <w:proofErr w:type="spellStart"/>
      <w:r w:rsidRPr="00827721">
        <w:rPr>
          <w:rFonts w:eastAsia="Times New Roman"/>
          <w:lang w:eastAsia="ro-RO"/>
        </w:rPr>
        <w:t>coprelucrare</w:t>
      </w:r>
      <w:proofErr w:type="spellEnd"/>
      <w:r w:rsidRPr="00827721">
        <w:rPr>
          <w:rFonts w:eastAsia="Times New Roman"/>
          <w:lang w:eastAsia="ro-RO"/>
        </w:rPr>
        <w:t xml:space="preserve">, inclusiv o caracterizare completă a materiilor prime și a rezultatelor producției ale sistemului. După ce s-a stabilit această corelație a factorului de randament, </w:t>
      </w:r>
      <w:r w:rsidR="00823A0B" w:rsidRPr="00827721">
        <w:rPr>
          <w:rFonts w:eastAsia="Times New Roman"/>
          <w:lang w:eastAsia="ro-RO"/>
        </w:rPr>
        <w:t xml:space="preserve">aceasta </w:t>
      </w:r>
      <w:r w:rsidRPr="00827721">
        <w:rPr>
          <w:rFonts w:eastAsia="Times New Roman"/>
          <w:lang w:eastAsia="ro-RO"/>
        </w:rPr>
        <w:t xml:space="preserve">poate fi aplicată materiilor prime </w:t>
      </w:r>
      <w:proofErr w:type="spellStart"/>
      <w:r w:rsidRPr="00827721">
        <w:rPr>
          <w:rFonts w:eastAsia="Times New Roman"/>
          <w:lang w:eastAsia="ro-RO"/>
        </w:rPr>
        <w:t>biogenice</w:t>
      </w:r>
      <w:proofErr w:type="spellEnd"/>
      <w:r w:rsidRPr="00827721">
        <w:rPr>
          <w:rFonts w:eastAsia="Times New Roman"/>
          <w:lang w:eastAsia="ro-RO"/>
        </w:rPr>
        <w:t xml:space="preserve"> de același tip și de aceeași calitate care sunt utilizate în aceeași unitate de </w:t>
      </w:r>
      <w:proofErr w:type="spellStart"/>
      <w:r w:rsidRPr="00827721">
        <w:rPr>
          <w:rFonts w:eastAsia="Times New Roman"/>
          <w:lang w:eastAsia="ro-RO"/>
        </w:rPr>
        <w:t>coprelucrare</w:t>
      </w:r>
      <w:proofErr w:type="spellEnd"/>
      <w:r w:rsidRPr="00827721">
        <w:rPr>
          <w:rFonts w:eastAsia="Times New Roman"/>
          <w:lang w:eastAsia="ro-RO"/>
        </w:rPr>
        <w:t xml:space="preserve"> care funcționează în aceleași condiții.</w:t>
      </w:r>
    </w:p>
    <w:p w14:paraId="339D4349" w14:textId="4A370C19" w:rsidR="006F6FCC" w:rsidRPr="00827721" w:rsidRDefault="006F6FCC" w:rsidP="00F70B14">
      <w:pPr>
        <w:pStyle w:val="Anexapct1"/>
        <w:rPr>
          <w:rFonts w:eastAsia="Times New Roman"/>
          <w:lang w:eastAsia="ro-RO"/>
        </w:rPr>
      </w:pPr>
      <w:r w:rsidRPr="00827721">
        <w:rPr>
          <w:rFonts w:eastAsia="Times New Roman"/>
          <w:lang w:eastAsia="ro-RO"/>
        </w:rPr>
        <w:t xml:space="preserve">Operatorii economici </w:t>
      </w:r>
      <w:r w:rsidR="005601F7" w:rsidRPr="00827721">
        <w:rPr>
          <w:rFonts w:eastAsia="Times New Roman"/>
          <w:lang w:eastAsia="ro-RO"/>
        </w:rPr>
        <w:t>utilizează</w:t>
      </w:r>
      <w:r w:rsidRPr="00827721">
        <w:rPr>
          <w:rFonts w:eastAsia="Times New Roman"/>
          <w:lang w:eastAsia="ro-RO"/>
        </w:rPr>
        <w:t xml:space="preserve"> metode de randament ca metodă principală numai dacă sistemul este menținut în condițiile de funcționare de referință definite de aceștia, inclusiv pentru calitatea materiilor prime. În cazul în care utilizează o metodă de randament, operatorii economici utilizează testarea cu radiocarbon </w:t>
      </w:r>
      <w:r w:rsidRPr="00827721">
        <w:rPr>
          <w:rFonts w:eastAsia="Times New Roman"/>
          <w:vertAlign w:val="superscript"/>
          <w:lang w:eastAsia="ro-RO"/>
        </w:rPr>
        <w:t>14</w:t>
      </w:r>
      <w:r w:rsidRPr="00827721">
        <w:rPr>
          <w:rFonts w:eastAsia="Times New Roman"/>
          <w:lang w:eastAsia="ro-RO"/>
        </w:rPr>
        <w:t xml:space="preserve">C ca metodă de control pentru a verifica factorul său de randament cel puțin ori de câte ori aduc modificări la nivelul condițiilor de funcționare de referință și în conformitate cu </w:t>
      </w:r>
      <w:r w:rsidR="00767E9D" w:rsidRPr="00827721">
        <w:rPr>
          <w:rFonts w:eastAsia="Times New Roman"/>
          <w:lang w:eastAsia="ro-RO"/>
        </w:rPr>
        <w:t xml:space="preserve">secțiunea a </w:t>
      </w:r>
      <w:r w:rsidRPr="00827721">
        <w:rPr>
          <w:rFonts w:eastAsia="Times New Roman"/>
          <w:lang w:eastAsia="ro-RO"/>
        </w:rPr>
        <w:t>6</w:t>
      </w:r>
      <w:r w:rsidR="00767E9D" w:rsidRPr="00827721">
        <w:rPr>
          <w:rFonts w:eastAsia="Times New Roman"/>
          <w:lang w:eastAsia="ro-RO"/>
        </w:rPr>
        <w:t>-a</w:t>
      </w:r>
      <w:r w:rsidRPr="00827721">
        <w:rPr>
          <w:rFonts w:eastAsia="Times New Roman"/>
          <w:lang w:eastAsia="ro-RO"/>
        </w:rPr>
        <w:t>.</w:t>
      </w:r>
    </w:p>
    <w:p w14:paraId="186AEB02" w14:textId="6F053E85" w:rsidR="006F6FCC" w:rsidRPr="00827721" w:rsidRDefault="006F6FCC" w:rsidP="00045C40">
      <w:pPr>
        <w:pStyle w:val="Anexapct1"/>
        <w:rPr>
          <w:rFonts w:eastAsia="Times New Roman"/>
          <w:lang w:eastAsia="ro-RO"/>
        </w:rPr>
      </w:pPr>
      <w:r w:rsidRPr="00827721">
        <w:rPr>
          <w:rFonts w:eastAsia="Times New Roman"/>
          <w:lang w:eastAsia="ro-RO"/>
        </w:rPr>
        <w:t xml:space="preserve">Operatorul economic demonstrează funcționarea continuă a instalației în condițiile cunoscute de </w:t>
      </w:r>
      <w:proofErr w:type="spellStart"/>
      <w:r w:rsidRPr="00827721">
        <w:rPr>
          <w:rFonts w:eastAsia="Times New Roman"/>
          <w:lang w:eastAsia="ro-RO"/>
        </w:rPr>
        <w:t>coprelucrare</w:t>
      </w:r>
      <w:proofErr w:type="spellEnd"/>
      <w:r w:rsidRPr="00827721">
        <w:rPr>
          <w:rFonts w:eastAsia="Times New Roman"/>
          <w:lang w:eastAsia="ro-RO"/>
        </w:rPr>
        <w:t xml:space="preserve">, supunând fiecare materie primă specifică cu conținut </w:t>
      </w:r>
      <w:proofErr w:type="spellStart"/>
      <w:r w:rsidRPr="00827721">
        <w:rPr>
          <w:rFonts w:eastAsia="Times New Roman"/>
          <w:lang w:eastAsia="ro-RO"/>
        </w:rPr>
        <w:t>biogenic</w:t>
      </w:r>
      <w:proofErr w:type="spellEnd"/>
      <w:r w:rsidRPr="00827721">
        <w:rPr>
          <w:rFonts w:eastAsia="Times New Roman"/>
          <w:lang w:eastAsia="ro-RO"/>
        </w:rPr>
        <w:t xml:space="preserve"> testării </w:t>
      </w:r>
      <w:r w:rsidRPr="00827721">
        <w:rPr>
          <w:rFonts w:eastAsia="Times New Roman"/>
          <w:vertAlign w:val="superscript"/>
          <w:lang w:eastAsia="ro-RO"/>
        </w:rPr>
        <w:t>14</w:t>
      </w:r>
      <w:r w:rsidRPr="00827721">
        <w:rPr>
          <w:rFonts w:eastAsia="Times New Roman"/>
          <w:lang w:eastAsia="ro-RO"/>
        </w:rPr>
        <w:t>C, pentru calcularea factorului său de conversie specific.</w:t>
      </w:r>
    </w:p>
    <w:p w14:paraId="58C65B91" w14:textId="77777777" w:rsidR="006F6FCC" w:rsidRPr="00827721" w:rsidRDefault="006F6FCC" w:rsidP="00045C40">
      <w:pPr>
        <w:pStyle w:val="Anexapct1"/>
        <w:numPr>
          <w:ilvl w:val="0"/>
          <w:numId w:val="0"/>
        </w:numPr>
        <w:rPr>
          <w:rFonts w:eastAsia="Times New Roman"/>
          <w:lang w:eastAsia="ro-RO"/>
        </w:rPr>
      </w:pPr>
    </w:p>
    <w:p w14:paraId="4CB3B5D6" w14:textId="6FC65C52" w:rsidR="006F6FCC" w:rsidRPr="00827721" w:rsidRDefault="00045C40" w:rsidP="00045C40">
      <w:pPr>
        <w:pStyle w:val="Sectiune"/>
        <w:rPr>
          <w:rFonts w:eastAsia="Times New Roman"/>
          <w:lang w:eastAsia="ro-RO"/>
        </w:rPr>
      </w:pPr>
      <w:r w:rsidRPr="00827721">
        <w:rPr>
          <w:rFonts w:eastAsia="Times New Roman"/>
          <w:lang w:eastAsia="ro-RO"/>
        </w:rPr>
        <w:t xml:space="preserve">Secțiunea a </w:t>
      </w:r>
      <w:r w:rsidR="006F6FCC" w:rsidRPr="00827721">
        <w:rPr>
          <w:rFonts w:eastAsia="Times New Roman"/>
          <w:lang w:eastAsia="ro-RO"/>
        </w:rPr>
        <w:t>5</w:t>
      </w:r>
      <w:r w:rsidRPr="00827721">
        <w:rPr>
          <w:rFonts w:eastAsia="Times New Roman"/>
          <w:lang w:eastAsia="ro-RO"/>
        </w:rPr>
        <w:t>-a</w:t>
      </w:r>
    </w:p>
    <w:p w14:paraId="5279F1CF" w14:textId="2775A0F3" w:rsidR="006F6FCC" w:rsidRPr="00827721" w:rsidRDefault="006F6FCC" w:rsidP="00045C40">
      <w:pPr>
        <w:pStyle w:val="Sectiune"/>
        <w:rPr>
          <w:rFonts w:eastAsia="Times New Roman"/>
          <w:lang w:eastAsia="ro-RO"/>
        </w:rPr>
      </w:pPr>
      <w:r w:rsidRPr="00827721">
        <w:rPr>
          <w:rFonts w:eastAsia="Times New Roman"/>
          <w:lang w:eastAsia="ro-RO"/>
        </w:rPr>
        <w:t>Stabilirea ponderii hidrogenului de origine biologică</w:t>
      </w:r>
    </w:p>
    <w:p w14:paraId="7D0837AF" w14:textId="77777777" w:rsidR="00045C40" w:rsidRPr="00827721" w:rsidRDefault="006F6FCC" w:rsidP="00045C40">
      <w:pPr>
        <w:pStyle w:val="Anexapct1"/>
        <w:rPr>
          <w:rFonts w:eastAsia="Times New Roman"/>
          <w:lang w:eastAsia="ro-RO"/>
        </w:rPr>
      </w:pPr>
      <w:r w:rsidRPr="00827721">
        <w:rPr>
          <w:rFonts w:eastAsia="Times New Roman"/>
          <w:lang w:eastAsia="ro-RO"/>
        </w:rPr>
        <w:t xml:space="preserve">În cazul în care sistemul de producție </w:t>
      </w:r>
      <w:proofErr w:type="spellStart"/>
      <w:r w:rsidRPr="00827721">
        <w:rPr>
          <w:rFonts w:eastAsia="Times New Roman"/>
          <w:lang w:eastAsia="ro-RO"/>
        </w:rPr>
        <w:t>coprelucrează</w:t>
      </w:r>
      <w:proofErr w:type="spellEnd"/>
      <w:r w:rsidRPr="00827721">
        <w:rPr>
          <w:rFonts w:eastAsia="Times New Roman"/>
          <w:lang w:eastAsia="ro-RO"/>
        </w:rPr>
        <w:t xml:space="preserve"> hidrogen de origine biologică din surse regenerabile, operatorii economici documentează și furnizează dovezi cu privire la originea hidrogenului, precum și o dovadă că hidrogenul care intră în unitatea de </w:t>
      </w:r>
      <w:proofErr w:type="spellStart"/>
      <w:r w:rsidRPr="00827721">
        <w:rPr>
          <w:rFonts w:eastAsia="Times New Roman"/>
          <w:lang w:eastAsia="ro-RO"/>
        </w:rPr>
        <w:t>hidrotratare</w:t>
      </w:r>
      <w:proofErr w:type="spellEnd"/>
      <w:r w:rsidRPr="00827721">
        <w:rPr>
          <w:rFonts w:eastAsia="Times New Roman"/>
          <w:lang w:eastAsia="ro-RO"/>
        </w:rPr>
        <w:t xml:space="preserve"> sau în altă unitate de </w:t>
      </w:r>
      <w:proofErr w:type="spellStart"/>
      <w:r w:rsidRPr="00827721">
        <w:rPr>
          <w:rFonts w:eastAsia="Times New Roman"/>
          <w:lang w:eastAsia="ro-RO"/>
        </w:rPr>
        <w:t>coprelucrare</w:t>
      </w:r>
      <w:proofErr w:type="spellEnd"/>
      <w:r w:rsidRPr="00827721">
        <w:rPr>
          <w:rFonts w:eastAsia="Times New Roman"/>
          <w:lang w:eastAsia="ro-RO"/>
        </w:rPr>
        <w:t>:</w:t>
      </w:r>
    </w:p>
    <w:p w14:paraId="58279EFF" w14:textId="3CD7E543" w:rsidR="006F6FCC" w:rsidRPr="00827721" w:rsidRDefault="006F6FCC" w:rsidP="00045C40">
      <w:pPr>
        <w:pStyle w:val="Anexapct11"/>
        <w:rPr>
          <w:rFonts w:eastAsia="Times New Roman"/>
          <w:lang w:eastAsia="ro-RO"/>
        </w:rPr>
      </w:pPr>
      <w:r w:rsidRPr="00827721">
        <w:rPr>
          <w:rFonts w:eastAsia="Times New Roman"/>
          <w:lang w:eastAsia="ro-RO"/>
        </w:rPr>
        <w:t>nu a fost contorizat ca energie din surse regenerabile în altă parte, pentru a se evita dubla contabilizare</w:t>
      </w:r>
      <w:r w:rsidR="00045C40" w:rsidRPr="00827721">
        <w:rPr>
          <w:rFonts w:eastAsia="Times New Roman"/>
          <w:lang w:eastAsia="ro-RO"/>
        </w:rPr>
        <w:t>;</w:t>
      </w:r>
      <w:r w:rsidRPr="00827721">
        <w:rPr>
          <w:rFonts w:eastAsia="Times New Roman"/>
          <w:lang w:eastAsia="ro-RO"/>
        </w:rPr>
        <w:t xml:space="preserve"> și</w:t>
      </w:r>
    </w:p>
    <w:p w14:paraId="6C621A3F" w14:textId="555D9ED5" w:rsidR="006F6FCC" w:rsidRPr="00827721" w:rsidRDefault="006F6FCC" w:rsidP="00045C40">
      <w:pPr>
        <w:pStyle w:val="Anexapct11"/>
        <w:rPr>
          <w:rFonts w:eastAsia="Times New Roman"/>
          <w:lang w:eastAsia="ro-RO"/>
        </w:rPr>
      </w:pPr>
      <w:r w:rsidRPr="00827721">
        <w:rPr>
          <w:rFonts w:eastAsia="Times New Roman"/>
          <w:lang w:eastAsia="ro-RO"/>
        </w:rPr>
        <w:lastRenderedPageBreak/>
        <w:t>a fost încorporat în combustibilul final, și nu doar utilizat pentru a elimina impuritățile.</w:t>
      </w:r>
    </w:p>
    <w:p w14:paraId="0A427192" w14:textId="669A92D3" w:rsidR="006F6FCC" w:rsidRPr="00827721" w:rsidRDefault="006F6FCC" w:rsidP="00045C40">
      <w:pPr>
        <w:pStyle w:val="Anexapct1"/>
        <w:rPr>
          <w:rFonts w:eastAsia="Times New Roman"/>
          <w:lang w:eastAsia="ro-RO"/>
        </w:rPr>
      </w:pPr>
      <w:r w:rsidRPr="00827721">
        <w:t>Operatorii</w:t>
      </w:r>
      <w:r w:rsidRPr="00827721">
        <w:rPr>
          <w:rFonts w:eastAsia="Times New Roman"/>
          <w:lang w:eastAsia="ro-RO"/>
        </w:rPr>
        <w:t xml:space="preserve"> economici pot utiliza o analiză elementară comună a rafinăriei, cum ar fi testul </w:t>
      </w:r>
      <w:r w:rsidR="00B87273" w:rsidRPr="00827721">
        <w:rPr>
          <w:rFonts w:eastAsia="Times New Roman"/>
          <w:lang w:eastAsia="ro-RO"/>
        </w:rPr>
        <w:t xml:space="preserve">carbon, hidrogen, azot (în continuare – </w:t>
      </w:r>
      <w:r w:rsidR="00B87273" w:rsidRPr="00827721">
        <w:rPr>
          <w:rFonts w:eastAsia="Times New Roman"/>
          <w:i/>
          <w:lang w:eastAsia="ro-RO"/>
        </w:rPr>
        <w:t>CHN</w:t>
      </w:r>
      <w:r w:rsidRPr="00827721">
        <w:rPr>
          <w:rFonts w:eastAsia="Times New Roman"/>
          <w:lang w:eastAsia="ro-RO"/>
        </w:rPr>
        <w:t xml:space="preserve">) pentru a cuantifica conținutul de hidrogen al materialului înainte și după </w:t>
      </w:r>
      <w:proofErr w:type="spellStart"/>
      <w:r w:rsidRPr="00827721">
        <w:rPr>
          <w:rFonts w:eastAsia="Times New Roman"/>
          <w:lang w:eastAsia="ro-RO"/>
        </w:rPr>
        <w:t>hidrotratare</w:t>
      </w:r>
      <w:proofErr w:type="spellEnd"/>
      <w:r w:rsidRPr="00827721">
        <w:rPr>
          <w:rFonts w:eastAsia="Times New Roman"/>
          <w:lang w:eastAsia="ro-RO"/>
        </w:rPr>
        <w:t xml:space="preserve"> ca modalitate de a documenta posibila creștere a conținutului de hidrogen al combustibilului. Operatorii economici pot contabiliza orice astfel de creștere ca </w:t>
      </w:r>
      <w:r w:rsidR="008A23DF" w:rsidRPr="00827721">
        <w:rPr>
          <w:rFonts w:eastAsia="Times New Roman"/>
          <w:lang w:eastAsia="ro-RO"/>
        </w:rPr>
        <w:t>biocarburant</w:t>
      </w:r>
      <w:r w:rsidRPr="00827721">
        <w:rPr>
          <w:rFonts w:eastAsia="Times New Roman"/>
          <w:lang w:eastAsia="ro-RO"/>
        </w:rPr>
        <w:t xml:space="preserve"> sau biogaz suplimentar în rezultatul producției. Originea biologică a hidrogenului utilizat în </w:t>
      </w:r>
      <w:proofErr w:type="spellStart"/>
      <w:r w:rsidRPr="00827721">
        <w:rPr>
          <w:rFonts w:eastAsia="Times New Roman"/>
          <w:lang w:eastAsia="ro-RO"/>
        </w:rPr>
        <w:t>hidrotratare</w:t>
      </w:r>
      <w:proofErr w:type="spellEnd"/>
      <w:r w:rsidRPr="00827721">
        <w:rPr>
          <w:rFonts w:eastAsia="Times New Roman"/>
          <w:lang w:eastAsia="ro-RO"/>
        </w:rPr>
        <w:t xml:space="preserve"> sau </w:t>
      </w:r>
      <w:proofErr w:type="spellStart"/>
      <w:r w:rsidRPr="00827721">
        <w:rPr>
          <w:rFonts w:eastAsia="Times New Roman"/>
          <w:lang w:eastAsia="ro-RO"/>
        </w:rPr>
        <w:t>coprelucrare</w:t>
      </w:r>
      <w:proofErr w:type="spellEnd"/>
      <w:r w:rsidRPr="00827721">
        <w:rPr>
          <w:rFonts w:eastAsia="Times New Roman"/>
          <w:lang w:eastAsia="ro-RO"/>
        </w:rPr>
        <w:t xml:space="preserve"> este certificată de către furnizor sau de către operatorii economici, în cazul în care aceștia sunt, de asemenea, producători înainte de utilizare.</w:t>
      </w:r>
    </w:p>
    <w:p w14:paraId="7EBB6179" w14:textId="3D503F89" w:rsidR="00A757CC" w:rsidRPr="00827721" w:rsidRDefault="00A757CC" w:rsidP="00A757CC">
      <w:pPr>
        <w:pStyle w:val="Capitol"/>
      </w:pPr>
      <w:r w:rsidRPr="00827721">
        <w:rPr>
          <w:caps w:val="0"/>
        </w:rPr>
        <w:t>Capitolul</w:t>
      </w:r>
      <w:r w:rsidRPr="00827721">
        <w:t xml:space="preserve"> II</w:t>
      </w:r>
    </w:p>
    <w:p w14:paraId="75974D8C" w14:textId="52FF9F7D" w:rsidR="00A757CC" w:rsidRPr="00827721" w:rsidRDefault="00A757CC" w:rsidP="00A757CC">
      <w:pPr>
        <w:pStyle w:val="Capitol"/>
      </w:pPr>
      <w:r w:rsidRPr="00827721">
        <w:rPr>
          <w:rStyle w:val="oj-bold"/>
        </w:rPr>
        <w:t xml:space="preserve">VERIFICAREA CORECTITUDINII DECLARAȚIILOR OPERATORILOR ECONOMICI CU PRIVIRE LA PONDEREA </w:t>
      </w:r>
      <w:r w:rsidR="008A23DF" w:rsidRPr="00827721">
        <w:rPr>
          <w:rStyle w:val="oj-bold"/>
        </w:rPr>
        <w:t>BIOCARBURANȚILOR</w:t>
      </w:r>
      <w:r w:rsidRPr="00827721">
        <w:rPr>
          <w:rStyle w:val="oj-bold"/>
        </w:rPr>
        <w:t xml:space="preserve"> ȘI A BIOGAZULUI PENTRU TRANSPORTURI REZULTÂND DIN PRELUCRAREA BIOMASEI ÎMPREUNĂ CU COMBUSTIBILI FOSILI ÎN CADRUL UNUI PROCES COMUN</w:t>
      </w:r>
    </w:p>
    <w:p w14:paraId="4886F7F5" w14:textId="7FD30AF9" w:rsidR="00A757CC" w:rsidRPr="00827721" w:rsidRDefault="00A757CC" w:rsidP="00A757CC">
      <w:pPr>
        <w:pStyle w:val="Sectiune"/>
      </w:pPr>
      <w:r w:rsidRPr="00827721">
        <w:t>Secțiunea a 6-a</w:t>
      </w:r>
    </w:p>
    <w:p w14:paraId="7CE354D5" w14:textId="77777777" w:rsidR="00A757CC" w:rsidRPr="00827721" w:rsidRDefault="00A757CC" w:rsidP="00A757CC">
      <w:pPr>
        <w:pStyle w:val="Sectiune"/>
      </w:pPr>
      <w:r w:rsidRPr="00827721">
        <w:t>Cerințe specifice privind testarea cu radiocarbon (14C)</w:t>
      </w:r>
    </w:p>
    <w:p w14:paraId="383A5F9F" w14:textId="05547689" w:rsidR="00A757CC" w:rsidRPr="00827721" w:rsidRDefault="00A757CC" w:rsidP="00A757CC">
      <w:pPr>
        <w:pStyle w:val="Anexapct1"/>
      </w:pPr>
      <w:r w:rsidRPr="00827721">
        <w:t xml:space="preserve">Atunci când efectuează testări cu radiocarbon (14C), operatorii economici aplică metoda spectrometriei de masă cu ioni accelerați (în continuate – </w:t>
      </w:r>
      <w:r w:rsidRPr="00827721">
        <w:rPr>
          <w:i/>
        </w:rPr>
        <w:t>AMS</w:t>
      </w:r>
      <w:r w:rsidRPr="00827721">
        <w:t xml:space="preserve">). </w:t>
      </w:r>
      <w:r w:rsidR="006D6C7C" w:rsidRPr="00827721">
        <w:t>A</w:t>
      </w:r>
      <w:r w:rsidRPr="00827721">
        <w:t>lternativ, aceștia pot aplica metoda numărării prin scintilație lichidă (</w:t>
      </w:r>
      <w:r w:rsidR="006D6C7C" w:rsidRPr="00827721">
        <w:t xml:space="preserve">în continuate – </w:t>
      </w:r>
      <w:r w:rsidRPr="00827721">
        <w:rPr>
          <w:i/>
        </w:rPr>
        <w:t>LSC</w:t>
      </w:r>
      <w:r w:rsidRPr="00827721">
        <w:t xml:space="preserve">), în cazul în care se preconizează că ponderea de conținut </w:t>
      </w:r>
      <w:proofErr w:type="spellStart"/>
      <w:r w:rsidRPr="00827721">
        <w:t>biogenic</w:t>
      </w:r>
      <w:proofErr w:type="spellEnd"/>
      <w:r w:rsidRPr="00827721">
        <w:t xml:space="preserve"> va fi de cel puțin 1 % în volum și în cazul în care eșantionul este adecvat pentru această metodă de testare, în special în ceea ce privește particulele prezente în lichid.</w:t>
      </w:r>
    </w:p>
    <w:p w14:paraId="32733480" w14:textId="79F77071" w:rsidR="00A757CC" w:rsidRPr="00827721" w:rsidRDefault="00A757CC" w:rsidP="00A757CC">
      <w:pPr>
        <w:pStyle w:val="Anexapct1"/>
      </w:pPr>
      <w:r w:rsidRPr="00827721">
        <w:t>Operatorii economici se asigură că, atunci când efectuează un test cu radiocarbon 14C, tipul de test respectiv selectat detect</w:t>
      </w:r>
      <w:r w:rsidR="00F231F4" w:rsidRPr="00827721">
        <w:t>e</w:t>
      </w:r>
      <w:r w:rsidRPr="00827721">
        <w:t>a</w:t>
      </w:r>
      <w:r w:rsidR="00F231F4" w:rsidRPr="00827721">
        <w:t>ză</w:t>
      </w:r>
      <w:r w:rsidRPr="00827721">
        <w:t xml:space="preserve"> și cuantific</w:t>
      </w:r>
      <w:r w:rsidR="00F231F4" w:rsidRPr="00827721">
        <w:t>ă</w:t>
      </w:r>
      <w:r w:rsidRPr="00827721">
        <w:t xml:space="preserve"> în mod fiabil ponderea conținutului </w:t>
      </w:r>
      <w:proofErr w:type="spellStart"/>
      <w:r w:rsidRPr="00827721">
        <w:t>biogenic</w:t>
      </w:r>
      <w:proofErr w:type="spellEnd"/>
      <w:r w:rsidRPr="00827721">
        <w:t>. Aceștia furnizează detalii cu privire la acuratețea și precizia rezultatelor.</w:t>
      </w:r>
    </w:p>
    <w:p w14:paraId="08B1CEE5" w14:textId="24A1A254" w:rsidR="00A757CC" w:rsidRPr="00827721" w:rsidRDefault="00A757CC" w:rsidP="00A757CC">
      <w:pPr>
        <w:pStyle w:val="Anexapct1"/>
      </w:pPr>
      <w:r w:rsidRPr="00827721">
        <w:t>Testarea cu radiocarbon 14C cuantifică</w:t>
      </w:r>
      <w:r w:rsidR="000524D1" w:rsidRPr="00827721">
        <w:t xml:space="preserve"> </w:t>
      </w:r>
      <w:r w:rsidRPr="00827721">
        <w:t xml:space="preserve">orice pierdere de carbon de origine </w:t>
      </w:r>
      <w:proofErr w:type="spellStart"/>
      <w:r w:rsidRPr="00827721">
        <w:t>biogenică</w:t>
      </w:r>
      <w:proofErr w:type="spellEnd"/>
      <w:r w:rsidRPr="00827721">
        <w:t xml:space="preserve"> generată de procesul de eliminare a oxigenului din materiile prime </w:t>
      </w:r>
      <w:proofErr w:type="spellStart"/>
      <w:r w:rsidRPr="00827721">
        <w:t>biogenice</w:t>
      </w:r>
      <w:proofErr w:type="spellEnd"/>
      <w:r w:rsidRPr="00827721">
        <w:t xml:space="preserve"> prin compararea carbonului </w:t>
      </w:r>
      <w:proofErr w:type="spellStart"/>
      <w:r w:rsidRPr="00827721">
        <w:t>biogenic</w:t>
      </w:r>
      <w:proofErr w:type="spellEnd"/>
      <w:r w:rsidRPr="00827721">
        <w:t xml:space="preserve"> și a carbonului fosil din produsele de intrare și de ieșire.</w:t>
      </w:r>
    </w:p>
    <w:p w14:paraId="285AEA1B" w14:textId="278BF82F" w:rsidR="00A757CC" w:rsidRPr="00827721" w:rsidRDefault="00A757CC" w:rsidP="00A757CC">
      <w:pPr>
        <w:pStyle w:val="Anexapct1"/>
      </w:pPr>
      <w:r w:rsidRPr="00827721">
        <w:t xml:space="preserve">În cazul în care testarea cu radiocarbon 14C, atunci când este utilizată ca a doua metodă de testare de verificare a conținutului </w:t>
      </w:r>
      <w:proofErr w:type="spellStart"/>
      <w:r w:rsidRPr="00827721">
        <w:t>biogenic</w:t>
      </w:r>
      <w:proofErr w:type="spellEnd"/>
      <w:r w:rsidRPr="00827721">
        <w:t xml:space="preserve"> dintr-un rezultat al </w:t>
      </w:r>
      <w:r w:rsidRPr="00827721">
        <w:lastRenderedPageBreak/>
        <w:t xml:space="preserve">producției, indică o abatere mai mare de 1 % în termeni absoluți față de rezultatele metodei principale utilizate de operatorul economic, valorile testării cu radiocarbon 14C sunt considerate valabile. În primul an de aplicare a acestei metodologii, operatorii economici pot aplica o abatere mai mare, de 3 %, în loc de 1 % în termeni absoluți, până când își perfecționează sistemul de metode de testare. </w:t>
      </w:r>
      <w:r w:rsidR="000524D1" w:rsidRPr="00827721">
        <w:t>O</w:t>
      </w:r>
      <w:r w:rsidRPr="00827721">
        <w:t>peratorul economic își revizuiește metodele principale de testare pentru a corecta orice erori de sistem care conduc la o astfel de abatere și, respectiv, calibrează metoda de testare, dacă este necesar.</w:t>
      </w:r>
    </w:p>
    <w:p w14:paraId="42D3C927" w14:textId="6134B724" w:rsidR="00A757CC" w:rsidRPr="00827721" w:rsidRDefault="00A757CC" w:rsidP="00A757CC">
      <w:pPr>
        <w:pStyle w:val="Anexapct1"/>
      </w:pPr>
      <w:r w:rsidRPr="00827721">
        <w:t xml:space="preserve">Frecvența de aplicare a metodei principale de testare și a metodei de testare cu radiocarbon 14C atunci când este utilizată ca a doua metodă de testare de verificare se determină ținând seama de complexitatea și variabilitatea parametrilor-cheie ai </w:t>
      </w:r>
      <w:proofErr w:type="spellStart"/>
      <w:r w:rsidRPr="00827721">
        <w:t>coprelucrării</w:t>
      </w:r>
      <w:proofErr w:type="spellEnd"/>
      <w:r w:rsidRPr="00827721">
        <w:t xml:space="preserve">, astfel încât să se asigure că, în orice moment, declarațiile privind conținutul </w:t>
      </w:r>
      <w:proofErr w:type="spellStart"/>
      <w:r w:rsidRPr="00827721">
        <w:t>biogenic</w:t>
      </w:r>
      <w:proofErr w:type="spellEnd"/>
      <w:r w:rsidRPr="00827721">
        <w:t xml:space="preserve"> reflectă ponderile reale. Operatorii economici efectuează calculul ponderii conținutului </w:t>
      </w:r>
      <w:proofErr w:type="spellStart"/>
      <w:r w:rsidRPr="00827721">
        <w:t>biogenic</w:t>
      </w:r>
      <w:proofErr w:type="spellEnd"/>
      <w:r w:rsidRPr="00827721">
        <w:t xml:space="preserve"> cel puțin pentru fiecare lot sau transport. Cu excepția cazului în care se aplică o metodă care poate cartografia condițiile de funcționare legate de conținutul de carbon din rezultatele producției pentru fiecare lot sau transport, metoda de testare cu radiocarbon 14C se aplică de fiecare dată când are loc o modificare cu mai mult de 5 %, în comparație cu condițiile de referință, a compoziției materiilor prime în ceea ce privește ponderea materiei prime </w:t>
      </w:r>
      <w:proofErr w:type="spellStart"/>
      <w:r w:rsidRPr="00827721">
        <w:t>biogenice</w:t>
      </w:r>
      <w:proofErr w:type="spellEnd"/>
      <w:r w:rsidRPr="00827721">
        <w:t xml:space="preserve"> sau cantitatea de hidrogen și materii prime cu rol de catalizator în masa totală, parametrii de proces privind temperatura de proces în valoare absolută [K] sau presiunea de proces în presiune absolută [Pa] sau compoziția produsului. Se furnizează o analiză elementară a carbonului, a oxigenului și a azotului, împreună cu o analiză a conținutului de apă și de substanțe solide, ca bază pentru evaluarea parametrilor compoziției produsului. În toate cazurile, metoda de testare cu radiocarbon </w:t>
      </w:r>
      <w:r w:rsidRPr="00827721">
        <w:rPr>
          <w:vertAlign w:val="superscript"/>
        </w:rPr>
        <w:t>14</w:t>
      </w:r>
      <w:r w:rsidRPr="00827721">
        <w:t>C se efectuează cel puțin o dată la patru luni.</w:t>
      </w:r>
    </w:p>
    <w:p w14:paraId="51D8B19D" w14:textId="71F87925" w:rsidR="00A757CC" w:rsidRPr="00827721" w:rsidRDefault="005C4825" w:rsidP="005C4825">
      <w:pPr>
        <w:pStyle w:val="Sectiune"/>
      </w:pPr>
      <w:r w:rsidRPr="00827721">
        <w:t>Secțiunea a</w:t>
      </w:r>
      <w:r w:rsidR="00A757CC" w:rsidRPr="00827721">
        <w:t> 7</w:t>
      </w:r>
      <w:r w:rsidRPr="00827721">
        <w:t>-a</w:t>
      </w:r>
    </w:p>
    <w:p w14:paraId="0122A2B7" w14:textId="77777777" w:rsidR="00A757CC" w:rsidRPr="00827721" w:rsidRDefault="00A757CC" w:rsidP="005C4825">
      <w:pPr>
        <w:pStyle w:val="Sectiune"/>
      </w:pPr>
      <w:r w:rsidRPr="00827721">
        <w:t>Ținerea evidențelor, controlul proceselor, auditarea și raportarea abaterilor</w:t>
      </w:r>
    </w:p>
    <w:p w14:paraId="28C8EF51" w14:textId="79889203" w:rsidR="00A757CC" w:rsidRPr="00827721" w:rsidRDefault="00A757CC" w:rsidP="00A757CC">
      <w:pPr>
        <w:pStyle w:val="Anexapct1"/>
      </w:pPr>
      <w:r w:rsidRPr="00827721">
        <w:t xml:space="preserve">În cazul în care declară că există o pondere specifică de </w:t>
      </w:r>
      <w:r w:rsidR="008A23DF" w:rsidRPr="00827721">
        <w:t>biocarburanți</w:t>
      </w:r>
      <w:r w:rsidRPr="00827721">
        <w:t xml:space="preserve"> sau biogaz în combustibilul pe care îl introduc pe piață, operatorii economici păstrează eșantioane timp de cel puțin doi ani, precum și evidențe ale datelor de măsurare și ale calculelor. Operatorii economici oferă organismelor de certificare și auditorilor acestora acces deplin la astfel de eșantioane, evidențe și alte dovezi. Operatorii economici elaborează o descriere detaliată a metodei principale de testare care </w:t>
      </w:r>
      <w:r w:rsidR="00C0791E" w:rsidRPr="00827721">
        <w:t>s-</w:t>
      </w:r>
      <w:r w:rsidRPr="00827721">
        <w:t xml:space="preserve">a utilizat, indicând inclusiv acuratețea și precizia acesteia, astfel cum au fost verificate </w:t>
      </w:r>
      <w:r w:rsidRPr="00827721">
        <w:lastRenderedPageBreak/>
        <w:t xml:space="preserve">și prin intermediul aplicării testării cu radiocarbon 14C, precum și o procedură pentru aplicarea </w:t>
      </w:r>
      <w:r w:rsidR="00080527" w:rsidRPr="00827721">
        <w:t xml:space="preserve">acestei </w:t>
      </w:r>
      <w:r w:rsidR="00B370EB" w:rsidRPr="00827721">
        <w:t>metode</w:t>
      </w:r>
      <w:r w:rsidRPr="00827721">
        <w:t>.</w:t>
      </w:r>
    </w:p>
    <w:p w14:paraId="3F91D00B" w14:textId="07566EE9" w:rsidR="00A757CC" w:rsidRPr="00827721" w:rsidRDefault="00A757CC" w:rsidP="00A757CC">
      <w:pPr>
        <w:pStyle w:val="Anexapct1"/>
      </w:pPr>
      <w:r w:rsidRPr="00827721">
        <w:t xml:space="preserve">Pentru a evita riscurile de abateri și pentru a facilita verificarea retrospectivă de audit a exactității declarațiilor făcute de rafinării sau de alte instalații de </w:t>
      </w:r>
      <w:proofErr w:type="spellStart"/>
      <w:r w:rsidRPr="00827721">
        <w:t>coprelucrare</w:t>
      </w:r>
      <w:proofErr w:type="spellEnd"/>
      <w:r w:rsidRPr="00827721">
        <w:t xml:space="preserve"> cu privire la ponderea conținutului </w:t>
      </w:r>
      <w:proofErr w:type="spellStart"/>
      <w:r w:rsidRPr="00827721">
        <w:t>biogenic</w:t>
      </w:r>
      <w:proofErr w:type="spellEnd"/>
      <w:r w:rsidRPr="00827721">
        <w:t xml:space="preserve"> în combustibilii </w:t>
      </w:r>
      <w:r w:rsidR="00226922" w:rsidRPr="00827721">
        <w:t>acestora</w:t>
      </w:r>
      <w:r w:rsidRPr="00827721">
        <w:t xml:space="preserve">, operatorii economici aplică un sistem general de echilibrare a masei care indică ponderea conținutului </w:t>
      </w:r>
      <w:proofErr w:type="spellStart"/>
      <w:r w:rsidRPr="00827721">
        <w:t>biogenic</w:t>
      </w:r>
      <w:proofErr w:type="spellEnd"/>
      <w:r w:rsidRPr="00827721">
        <w:t xml:space="preserve"> în materia primă și în rezultatele producției. Operatorii efectuează acest calcul al bilanțului </w:t>
      </w:r>
      <w:proofErr w:type="spellStart"/>
      <w:r w:rsidRPr="00827721">
        <w:t>masic</w:t>
      </w:r>
      <w:proofErr w:type="spellEnd"/>
      <w:r w:rsidRPr="00827721">
        <w:t xml:space="preserve"> în paralel cu metoda principală de testare pentru a verifica și compara rezultatele ambelor metode de evaluare a ponderii conținutului </w:t>
      </w:r>
      <w:proofErr w:type="spellStart"/>
      <w:r w:rsidRPr="00827721">
        <w:t>biogenic</w:t>
      </w:r>
      <w:proofErr w:type="spellEnd"/>
      <w:r w:rsidRPr="00827721">
        <w:t xml:space="preserve"> în combustibilii finali produși.</w:t>
      </w:r>
    </w:p>
    <w:p w14:paraId="57E6FE43" w14:textId="6549BF6A" w:rsidR="00A757CC" w:rsidRPr="00827721" w:rsidRDefault="00A757CC" w:rsidP="00A757CC">
      <w:pPr>
        <w:pStyle w:val="Anexapct1"/>
      </w:pPr>
      <w:r w:rsidRPr="00827721">
        <w:t xml:space="preserve">În cazul în care, în perimetrul rafinăriei sau al altor instalații de </w:t>
      </w:r>
      <w:proofErr w:type="spellStart"/>
      <w:r w:rsidRPr="00827721">
        <w:t>coprelucrare</w:t>
      </w:r>
      <w:proofErr w:type="spellEnd"/>
      <w:r w:rsidRPr="00827721">
        <w:t xml:space="preserve">, operatorii economici combină rezultatul </w:t>
      </w:r>
      <w:proofErr w:type="spellStart"/>
      <w:r w:rsidRPr="00827721">
        <w:t>coprelucrării</w:t>
      </w:r>
      <w:proofErr w:type="spellEnd"/>
      <w:r w:rsidRPr="00827721">
        <w:t xml:space="preserve"> cu alți combustibili, </w:t>
      </w:r>
      <w:r w:rsidR="00D97FE9" w:rsidRPr="00827721">
        <w:t>ace</w:t>
      </w:r>
      <w:r w:rsidR="002C046C" w:rsidRPr="00827721">
        <w:t>știa</w:t>
      </w:r>
      <w:r w:rsidR="00D97FE9" w:rsidRPr="00827721">
        <w:t xml:space="preserve"> </w:t>
      </w:r>
      <w:r w:rsidRPr="00827721">
        <w:t xml:space="preserve">utilizează un sistem de echilibrare a masei care permite ca loturile de combustibili produși din biomasă, care sunt prelucrați împreună cu combustibili fosili în cadrul unui proces comun, să fie amestecați cu alți combustibili, furnizând în același timp informații adecvate cu privire la caracteristicile și dimensiunile loturilor, în conformitate cu </w:t>
      </w:r>
      <w:r w:rsidR="008E29BA" w:rsidRPr="00827721">
        <w:t xml:space="preserve">secțiunea a 2-a din capitolul III </w:t>
      </w:r>
      <w:r w:rsidR="00B64BC8" w:rsidRPr="00827721">
        <w:t xml:space="preserve">din anexa nr. 1 la </w:t>
      </w:r>
      <w:r w:rsidR="00C72EEB" w:rsidRPr="00C72EEB">
        <w:rPr>
          <w:iCs/>
        </w:rPr>
        <w:t>HG 53/2025</w:t>
      </w:r>
      <w:r w:rsidRPr="00827721">
        <w:t>.</w:t>
      </w:r>
    </w:p>
    <w:p w14:paraId="53B544C7" w14:textId="37FC8A36" w:rsidR="00A757CC" w:rsidRPr="00827721" w:rsidRDefault="00A757CC" w:rsidP="00A757CC">
      <w:pPr>
        <w:pStyle w:val="Anexapct1"/>
      </w:pPr>
      <w:r w:rsidRPr="00827721">
        <w:t xml:space="preserve">Orice abatere identificată de auditorii organismelor de certificare în ceea ce privește ponderea </w:t>
      </w:r>
      <w:r w:rsidR="008A23DF" w:rsidRPr="00827721">
        <w:t>biocarburanților</w:t>
      </w:r>
      <w:r w:rsidRPr="00827721">
        <w:t xml:space="preserve"> sau a biogazului în combustibilul pe care operatorii economici îl introduc pe piață se consideră neconformități majore și se notifică imediat </w:t>
      </w:r>
      <w:r w:rsidR="003675FE" w:rsidRPr="00827721">
        <w:t>schemelor</w:t>
      </w:r>
      <w:r w:rsidRPr="00827721">
        <w:t xml:space="preserve"> voluntare sau altor </w:t>
      </w:r>
      <w:r w:rsidR="006B423B" w:rsidRPr="00827721">
        <w:t>scheme</w:t>
      </w:r>
      <w:r w:rsidRPr="00827721">
        <w:t xml:space="preserve"> de certificare ce verifică conformitatea combustibilului rezultat din biomasă cu criteriile de durabilitate și de reducere a emisiilor de gaze cu efect de seră prevăzute la </w:t>
      </w:r>
      <w:r w:rsidR="00B11AE5" w:rsidRPr="00827721">
        <w:t xml:space="preserve">pct. </w:t>
      </w:r>
      <w:r w:rsidR="00520966" w:rsidRPr="00827721">
        <w:t xml:space="preserve">15-24 din anexa nr. 1 la </w:t>
      </w:r>
      <w:r w:rsidR="00C72EEB" w:rsidRPr="00C72EEB">
        <w:rPr>
          <w:iCs/>
        </w:rPr>
        <w:t>HG 53/2025</w:t>
      </w:r>
      <w:r w:rsidRPr="00827721">
        <w:t>.</w:t>
      </w:r>
    </w:p>
    <w:p w14:paraId="6C1C6A78" w14:textId="41704C91" w:rsidR="00A757CC" w:rsidRPr="00827721" w:rsidRDefault="008E5D5D" w:rsidP="00A757CC">
      <w:pPr>
        <w:pStyle w:val="Anexapct1"/>
      </w:pPr>
      <w:r>
        <w:t>Grupul de lucru</w:t>
      </w:r>
      <w:r w:rsidR="00A757CC" w:rsidRPr="00827721">
        <w:t xml:space="preserve"> verific</w:t>
      </w:r>
      <w:r w:rsidR="00514CA8" w:rsidRPr="00827721">
        <w:t>ă</w:t>
      </w:r>
      <w:r w:rsidR="00290D5B" w:rsidRPr="00827721">
        <w:t xml:space="preserve"> </w:t>
      </w:r>
      <w:r w:rsidR="00A757CC" w:rsidRPr="00827721">
        <w:t xml:space="preserve">declarațiile operatorilor economici cu privire la ponderea </w:t>
      </w:r>
      <w:r w:rsidR="008A23DF" w:rsidRPr="00827721">
        <w:t>biocarburanților</w:t>
      </w:r>
      <w:r w:rsidR="00A757CC" w:rsidRPr="00827721">
        <w:t xml:space="preserve"> sau a biogazului în combustibilii pe care îi introduc pe piață, utilizând metodele menționate la </w:t>
      </w:r>
      <w:r w:rsidR="00550140" w:rsidRPr="00827721">
        <w:t>secțiun</w:t>
      </w:r>
      <w:r w:rsidR="00E63D81" w:rsidRPr="00827721">
        <w:t>ile</w:t>
      </w:r>
      <w:r w:rsidR="00550140" w:rsidRPr="00827721">
        <w:t xml:space="preserve"> </w:t>
      </w:r>
      <w:r w:rsidR="00A757CC" w:rsidRPr="00827721">
        <w:t xml:space="preserve">6 și 7. Orice abatere identificată în urma acestor controale se notifică imediat organismului de certificare și </w:t>
      </w:r>
      <w:r w:rsidR="00382F5C" w:rsidRPr="00827721">
        <w:t>schemei voluntare</w:t>
      </w:r>
      <w:r w:rsidR="00A757CC" w:rsidRPr="00827721">
        <w:t xml:space="preserve"> sau altui sistem de certificare ce a certificat declarațiile.</w:t>
      </w:r>
    </w:p>
    <w:p w14:paraId="192D782E" w14:textId="13A4B4E1" w:rsidR="00A757CC" w:rsidRPr="00827721" w:rsidRDefault="00A757CC" w:rsidP="00A757CC">
      <w:pPr>
        <w:pStyle w:val="Anexapct1"/>
      </w:pPr>
      <w:r w:rsidRPr="00827721">
        <w:t xml:space="preserve">În cazul unor astfel de notificări efectuate fie de organismele de certificare, fie de </w:t>
      </w:r>
      <w:r w:rsidR="008E5D5D">
        <w:t>grupul de lucru</w:t>
      </w:r>
      <w:r w:rsidRPr="00827721">
        <w:t xml:space="preserve">, sistemul de certificare în cauză </w:t>
      </w:r>
      <w:r w:rsidR="0052786F">
        <w:t>are</w:t>
      </w:r>
      <w:r w:rsidR="0052786F" w:rsidRPr="00827721">
        <w:t xml:space="preserve"> </w:t>
      </w:r>
      <w:r w:rsidRPr="00827721">
        <w:t>obliga</w:t>
      </w:r>
      <w:r w:rsidR="0052786F">
        <w:t>ția</w:t>
      </w:r>
      <w:r w:rsidRPr="00827721">
        <w:t xml:space="preserve"> </w:t>
      </w:r>
      <w:r w:rsidR="0052786F">
        <w:t>de a</w:t>
      </w:r>
      <w:r w:rsidR="0052786F" w:rsidRPr="00827721">
        <w:t xml:space="preserve"> </w:t>
      </w:r>
      <w:r w:rsidR="0052786F">
        <w:t>lua</w:t>
      </w:r>
      <w:r w:rsidRPr="00827721">
        <w:t xml:space="preserve"> măsuri imediate prin investigarea cazului. În situația în care investigația lor confirmă constatările organismului de certificare sau </w:t>
      </w:r>
      <w:r w:rsidR="00ED1151" w:rsidRPr="00827721">
        <w:t>a</w:t>
      </w:r>
      <w:r w:rsidR="00B328F7" w:rsidRPr="00827721">
        <w:t>le</w:t>
      </w:r>
      <w:r w:rsidR="00ED1151" w:rsidRPr="00827721">
        <w:t xml:space="preserve"> </w:t>
      </w:r>
      <w:r w:rsidR="0052786F">
        <w:t>grupului de lucru</w:t>
      </w:r>
      <w:r w:rsidRPr="00827721">
        <w:t>, sistemul de certificare tratează abaterile ca fiind o neconformitate majoră și suspendă imediat certificatul operatorului economic.</w:t>
      </w:r>
    </w:p>
    <w:p w14:paraId="0068367C" w14:textId="71980AA0" w:rsidR="00A757CC" w:rsidRPr="00827721" w:rsidRDefault="00A757CC" w:rsidP="00A757CC">
      <w:pPr>
        <w:pStyle w:val="Anexapct1"/>
      </w:pPr>
      <w:r w:rsidRPr="00827721">
        <w:lastRenderedPageBreak/>
        <w:t xml:space="preserve">Pentru a rectifica exactitatea declarațiilor, ca bază pentru recalcularea acestora, se utilizează valorile inferioare stabilite prin verificările de control. </w:t>
      </w:r>
      <w:r w:rsidR="000524D1" w:rsidRPr="00827721">
        <w:t>S</w:t>
      </w:r>
      <w:r w:rsidRPr="00827721">
        <w:t>istemele de certificare solicită operatorului economic revizui</w:t>
      </w:r>
      <w:r w:rsidR="00583A78" w:rsidRPr="00827721">
        <w:t>rea</w:t>
      </w:r>
      <w:r w:rsidRPr="00827721">
        <w:t xml:space="preserve"> metode</w:t>
      </w:r>
      <w:r w:rsidR="00583A78" w:rsidRPr="00827721">
        <w:t>lor</w:t>
      </w:r>
      <w:r w:rsidRPr="00827721">
        <w:t xml:space="preserve"> de testare </w:t>
      </w:r>
      <w:r w:rsidR="003E00DB" w:rsidRPr="00827721">
        <w:t xml:space="preserve">în vederea </w:t>
      </w:r>
      <w:r w:rsidRPr="00827721">
        <w:t>corect</w:t>
      </w:r>
      <w:r w:rsidR="003E00DB" w:rsidRPr="00827721">
        <w:t>ării</w:t>
      </w:r>
      <w:r w:rsidRPr="00827721">
        <w:t xml:space="preserve">, </w:t>
      </w:r>
      <w:r w:rsidR="00910F0B" w:rsidRPr="00827721">
        <w:t>inclusiv</w:t>
      </w:r>
      <w:r w:rsidRPr="00827721">
        <w:t xml:space="preserve">, </w:t>
      </w:r>
      <w:r w:rsidR="003E00DB" w:rsidRPr="00827721">
        <w:t xml:space="preserve">a </w:t>
      </w:r>
      <w:r w:rsidRPr="00827721">
        <w:t>erori</w:t>
      </w:r>
      <w:r w:rsidR="003E00DB" w:rsidRPr="00827721">
        <w:t>lor</w:t>
      </w:r>
      <w:r w:rsidRPr="00827721">
        <w:t xml:space="preserve"> de sistem care conduc la astfel de abateri.</w:t>
      </w:r>
    </w:p>
    <w:p w14:paraId="38FEE83F" w14:textId="3768F5F8" w:rsidR="00A757CC" w:rsidRPr="00827721" w:rsidRDefault="00A757CC" w:rsidP="00A757CC">
      <w:pPr>
        <w:pStyle w:val="Anexapct1"/>
      </w:pPr>
      <w:r w:rsidRPr="00827721">
        <w:t>Eficacitatea măsurilor luate de operatorul economic este validată de un alt audit al organismului de certificare înainte ca suspendarea certificatului acestuia să poată fi ridicată.</w:t>
      </w:r>
    </w:p>
    <w:p w14:paraId="14D99B50" w14:textId="096C8E37" w:rsidR="00617E72" w:rsidRPr="00827721" w:rsidRDefault="00617E72">
      <w:pPr>
        <w:rPr>
          <w:rFonts w:eastAsia="Times New Roman"/>
          <w:lang w:eastAsia="ro-RO"/>
        </w:rPr>
      </w:pPr>
      <w:r w:rsidRPr="00827721">
        <w:rPr>
          <w:rFonts w:eastAsia="Times New Roman"/>
          <w:lang w:eastAsia="ro-RO"/>
        </w:rPr>
        <w:br w:type="page"/>
      </w:r>
    </w:p>
    <w:p w14:paraId="3C61267B" w14:textId="44C6AD4C" w:rsidR="00617E72" w:rsidRPr="00827721" w:rsidRDefault="00617E72" w:rsidP="00617E72">
      <w:pPr>
        <w:jc w:val="right"/>
      </w:pPr>
      <w:r w:rsidRPr="00827721">
        <w:lastRenderedPageBreak/>
        <w:t>Anexa nr. 11</w:t>
      </w:r>
    </w:p>
    <w:p w14:paraId="12EDC219" w14:textId="31B6EF8A" w:rsidR="00617E72" w:rsidRPr="00827721" w:rsidRDefault="00617E72"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24989804" w14:textId="5226571D" w:rsidR="00A757CC" w:rsidRPr="00827721" w:rsidRDefault="00C57B37" w:rsidP="001555C1">
      <w:pPr>
        <w:pStyle w:val="Capitol"/>
        <w:rPr>
          <w:rFonts w:eastAsia="Times New Roman"/>
          <w:lang w:eastAsia="ro-RO"/>
        </w:rPr>
      </w:pPr>
      <w:r w:rsidRPr="00827721">
        <w:rPr>
          <w:rFonts w:eastAsia="Times New Roman"/>
          <w:lang w:eastAsia="ro-RO"/>
        </w:rPr>
        <w:t>criteriile și limitele geografice pentru identificarea pășunilor cu biodiversitate ridicată</w:t>
      </w:r>
    </w:p>
    <w:p w14:paraId="031EC74D" w14:textId="3F16F0B8" w:rsidR="00F044B1" w:rsidRPr="00827721" w:rsidRDefault="00F044B1" w:rsidP="00F044B1">
      <w:pPr>
        <w:pStyle w:val="Anexapct1"/>
        <w:numPr>
          <w:ilvl w:val="0"/>
          <w:numId w:val="67"/>
        </w:numPr>
        <w:rPr>
          <w:rFonts w:eastAsia="Times New Roman"/>
          <w:lang w:eastAsia="ro-RO"/>
        </w:rPr>
      </w:pPr>
      <w:r w:rsidRPr="00827721">
        <w:rPr>
          <w:rFonts w:eastAsia="Times New Roman"/>
          <w:lang w:eastAsia="ro-RO"/>
        </w:rPr>
        <w:t xml:space="preserve">În sensul </w:t>
      </w:r>
      <w:r w:rsidR="005421FE" w:rsidRPr="00827721">
        <w:rPr>
          <w:rFonts w:eastAsia="Times New Roman"/>
          <w:lang w:eastAsia="ro-RO"/>
        </w:rPr>
        <w:t>prezentului Regulament</w:t>
      </w:r>
      <w:r w:rsidR="00EE3405" w:rsidRPr="00827721">
        <w:rPr>
          <w:rFonts w:eastAsia="Times New Roman"/>
          <w:lang w:eastAsia="ro-RO"/>
        </w:rPr>
        <w:t xml:space="preserve"> </w:t>
      </w:r>
      <w:r w:rsidRPr="00827721">
        <w:rPr>
          <w:rFonts w:eastAsia="Times New Roman"/>
          <w:lang w:eastAsia="ro-RO"/>
        </w:rPr>
        <w:t xml:space="preserve">se aplică următoarele criterii și </w:t>
      </w:r>
      <w:r w:rsidR="00A826D9" w:rsidRPr="00827721">
        <w:rPr>
          <w:rFonts w:eastAsia="Times New Roman"/>
          <w:lang w:eastAsia="ro-RO"/>
        </w:rPr>
        <w:t>noțiuni</w:t>
      </w:r>
      <w:r w:rsidRPr="00827721">
        <w:rPr>
          <w:rFonts w:eastAsia="Times New Roman"/>
          <w:lang w:eastAsia="ro-RO"/>
        </w:rPr>
        <w:t>:</w:t>
      </w:r>
    </w:p>
    <w:p w14:paraId="055CE042" w14:textId="59C61009" w:rsidR="007C5DB4" w:rsidRPr="00827721" w:rsidRDefault="00F044B1" w:rsidP="007C5DB4">
      <w:pPr>
        <w:pStyle w:val="Anexapct11"/>
        <w:rPr>
          <w:rFonts w:eastAsia="Times New Roman"/>
          <w:lang w:eastAsia="ro-RO"/>
        </w:rPr>
      </w:pPr>
      <w:r w:rsidRPr="00827721">
        <w:rPr>
          <w:rFonts w:eastAsia="Times New Roman"/>
          <w:i/>
          <w:iCs/>
          <w:lang w:eastAsia="ro-RO"/>
        </w:rPr>
        <w:t>intervenție umană</w:t>
      </w:r>
      <w:r w:rsidR="00E275AE" w:rsidRPr="00827721">
        <w:rPr>
          <w:rFonts w:eastAsia="Times New Roman"/>
          <w:lang w:eastAsia="ro-RO"/>
        </w:rPr>
        <w:t xml:space="preserve"> – </w:t>
      </w:r>
      <w:r w:rsidRPr="00827721">
        <w:rPr>
          <w:rFonts w:eastAsia="Times New Roman"/>
          <w:lang w:eastAsia="ro-RO"/>
        </w:rPr>
        <w:t>gestionarea pășunatului, a cositului, a tăierii, a recoltării sau a arderii;</w:t>
      </w:r>
    </w:p>
    <w:p w14:paraId="48BECAF6" w14:textId="7604AAEB" w:rsidR="00E03326" w:rsidRPr="00827721" w:rsidRDefault="00F044B1" w:rsidP="00E03326">
      <w:pPr>
        <w:pStyle w:val="Anexapct11"/>
        <w:rPr>
          <w:rFonts w:eastAsia="Times New Roman"/>
          <w:lang w:eastAsia="ro-RO"/>
        </w:rPr>
      </w:pPr>
      <w:r w:rsidRPr="00827721">
        <w:rPr>
          <w:rFonts w:eastAsia="Times New Roman"/>
          <w:i/>
          <w:iCs/>
          <w:lang w:eastAsia="ro-RO"/>
        </w:rPr>
        <w:t>pășuni naturale cu biodiversitate ridicată</w:t>
      </w:r>
      <w:r w:rsidRPr="00827721">
        <w:rPr>
          <w:rFonts w:eastAsia="Times New Roman"/>
          <w:lang w:eastAsia="ro-RO"/>
        </w:rPr>
        <w:t xml:space="preserve"> </w:t>
      </w:r>
      <w:r w:rsidR="00E275AE" w:rsidRPr="00827721">
        <w:rPr>
          <w:rFonts w:eastAsia="Times New Roman"/>
          <w:lang w:eastAsia="ro-RO"/>
        </w:rPr>
        <w:t xml:space="preserve">– </w:t>
      </w:r>
      <w:r w:rsidRPr="00827721">
        <w:rPr>
          <w:rFonts w:eastAsia="Times New Roman"/>
          <w:lang w:eastAsia="ro-RO"/>
        </w:rPr>
        <w:t>pășuni care</w:t>
      </w:r>
      <w:r w:rsidR="0028085A" w:rsidRPr="00827721">
        <w:rPr>
          <w:rFonts w:eastAsia="Times New Roman"/>
          <w:lang w:eastAsia="ro-RO"/>
        </w:rPr>
        <w:t xml:space="preserve"> </w:t>
      </w:r>
      <w:r w:rsidRPr="00827721">
        <w:rPr>
          <w:rFonts w:eastAsia="Times New Roman"/>
          <w:lang w:eastAsia="ro-RO"/>
        </w:rPr>
        <w:t>rămâne pășuni în lipsa intervenției umane</w:t>
      </w:r>
      <w:r w:rsidR="0028085A" w:rsidRPr="00827721">
        <w:rPr>
          <w:rFonts w:eastAsia="Times New Roman"/>
          <w:lang w:eastAsia="ro-RO"/>
        </w:rPr>
        <w:t xml:space="preserve">, </w:t>
      </w:r>
      <w:r w:rsidRPr="00827721">
        <w:rPr>
          <w:rFonts w:eastAsia="Times New Roman"/>
          <w:lang w:eastAsia="ro-RO"/>
        </w:rPr>
        <w:t>mențin configurația naturală de specii, precum și caracteristicile și procesele ecologice;</w:t>
      </w:r>
    </w:p>
    <w:p w14:paraId="7D45FF22" w14:textId="1352E14B" w:rsidR="00E03326" w:rsidRPr="00827721" w:rsidRDefault="00F044B1" w:rsidP="00E03326">
      <w:pPr>
        <w:pStyle w:val="Anexapct11"/>
        <w:rPr>
          <w:rFonts w:eastAsia="Times New Roman"/>
          <w:lang w:eastAsia="ro-RO"/>
        </w:rPr>
      </w:pPr>
      <w:r w:rsidRPr="00827721">
        <w:rPr>
          <w:rFonts w:eastAsia="Times New Roman"/>
          <w:i/>
          <w:iCs/>
          <w:lang w:eastAsia="ro-RO"/>
        </w:rPr>
        <w:t>pășuni nenaturale cu biodiversitate ridicată</w:t>
      </w:r>
      <w:r w:rsidR="0099218E" w:rsidRPr="00827721">
        <w:rPr>
          <w:rFonts w:eastAsia="Times New Roman"/>
          <w:lang w:eastAsia="ro-RO"/>
        </w:rPr>
        <w:t xml:space="preserve"> – </w:t>
      </w:r>
      <w:r w:rsidRPr="00827721">
        <w:rPr>
          <w:rFonts w:eastAsia="Times New Roman"/>
          <w:lang w:eastAsia="ro-RO"/>
        </w:rPr>
        <w:t>pășuni care</w:t>
      </w:r>
      <w:r w:rsidR="00A22958" w:rsidRPr="00827721">
        <w:rPr>
          <w:rFonts w:eastAsia="Times New Roman"/>
          <w:lang w:eastAsia="ro-RO"/>
        </w:rPr>
        <w:t xml:space="preserve"> îndeplinesc următoarele condiții</w:t>
      </w:r>
      <w:r w:rsidR="00E03326" w:rsidRPr="00827721">
        <w:rPr>
          <w:rFonts w:eastAsia="Times New Roman"/>
          <w:lang w:eastAsia="ro-RO"/>
        </w:rPr>
        <w:t>:</w:t>
      </w:r>
    </w:p>
    <w:p w14:paraId="7BB8EE56" w14:textId="26670261" w:rsidR="00F044B1" w:rsidRPr="00827721" w:rsidRDefault="00F044B1" w:rsidP="00E03326">
      <w:pPr>
        <w:pStyle w:val="Anexapct111"/>
        <w:rPr>
          <w:rFonts w:eastAsia="Times New Roman"/>
          <w:lang w:eastAsia="ro-RO"/>
        </w:rPr>
      </w:pPr>
      <w:r w:rsidRPr="00827721">
        <w:rPr>
          <w:rFonts w:eastAsia="Times New Roman"/>
          <w:lang w:eastAsia="ro-RO"/>
        </w:rPr>
        <w:t>încet</w:t>
      </w:r>
      <w:r w:rsidR="00DD1DBD" w:rsidRPr="00827721">
        <w:rPr>
          <w:rFonts w:eastAsia="Times New Roman"/>
          <w:lang w:eastAsia="ro-RO"/>
        </w:rPr>
        <w:t>e</w:t>
      </w:r>
      <w:r w:rsidRPr="00827721">
        <w:rPr>
          <w:rFonts w:eastAsia="Times New Roman"/>
          <w:lang w:eastAsia="ro-RO"/>
        </w:rPr>
        <w:t>a</w:t>
      </w:r>
      <w:r w:rsidR="00DD1DBD" w:rsidRPr="00827721">
        <w:rPr>
          <w:rFonts w:eastAsia="Times New Roman"/>
          <w:lang w:eastAsia="ro-RO"/>
        </w:rPr>
        <w:t>ză</w:t>
      </w:r>
      <w:r w:rsidRPr="00827721">
        <w:rPr>
          <w:rFonts w:eastAsia="Times New Roman"/>
          <w:lang w:eastAsia="ro-RO"/>
        </w:rPr>
        <w:t xml:space="preserve"> să fie pășuni în lipsa intervenției omului;</w:t>
      </w:r>
    </w:p>
    <w:p w14:paraId="62D07F5B" w14:textId="31946D8A" w:rsidR="00D36666" w:rsidRPr="00827721" w:rsidRDefault="00F044B1" w:rsidP="00D36666">
      <w:pPr>
        <w:pStyle w:val="Anexapct111"/>
        <w:rPr>
          <w:rFonts w:eastAsia="Times New Roman"/>
          <w:lang w:eastAsia="ro-RO"/>
        </w:rPr>
      </w:pPr>
      <w:r w:rsidRPr="00827721">
        <w:rPr>
          <w:rFonts w:eastAsia="Times New Roman"/>
          <w:lang w:eastAsia="ro-RO"/>
        </w:rPr>
        <w:t>nu sunt degradate,</w:t>
      </w:r>
      <w:r w:rsidR="00A5033D" w:rsidRPr="00827721">
        <w:rPr>
          <w:rFonts w:eastAsia="Times New Roman"/>
          <w:lang w:eastAsia="ro-RO"/>
        </w:rPr>
        <w:t xml:space="preserve"> respectiv</w:t>
      </w:r>
      <w:r w:rsidRPr="00827721">
        <w:rPr>
          <w:rFonts w:eastAsia="Times New Roman"/>
          <w:lang w:eastAsia="ro-RO"/>
        </w:rPr>
        <w:t xml:space="preserve"> nu se caracterizează prin pierderea biodiversității pe termen lung din cauza, de exemplu, a pășunatului excesiv, a deteriorării mecanice a vegetației, a eroziunii solului sau a pierderii calității solului;</w:t>
      </w:r>
    </w:p>
    <w:p w14:paraId="67BF8B0E" w14:textId="7DC5CD6E" w:rsidR="00F044B1" w:rsidRPr="00827721" w:rsidRDefault="00F044B1" w:rsidP="0058615D">
      <w:pPr>
        <w:pStyle w:val="Anexapct111"/>
        <w:rPr>
          <w:rFonts w:eastAsia="Times New Roman"/>
          <w:lang w:eastAsia="ro-RO"/>
        </w:rPr>
      </w:pPr>
      <w:r w:rsidRPr="00827721">
        <w:rPr>
          <w:rFonts w:eastAsia="Times New Roman"/>
          <w:lang w:eastAsia="ro-RO"/>
        </w:rPr>
        <w:t>conțin o mare diversitate de specii, și anume:</w:t>
      </w:r>
    </w:p>
    <w:p w14:paraId="2B41ECCD" w14:textId="61DCD062" w:rsidR="0058615D" w:rsidRPr="00827721" w:rsidRDefault="00F044B1" w:rsidP="0046160B">
      <w:pPr>
        <w:pStyle w:val="Anexapct1111"/>
      </w:pPr>
      <w:r w:rsidRPr="00827721">
        <w:t xml:space="preserve">un habitat de o importanță semnificativă pentru specii grav amenințate cu dispariția, amenințate cu dispariția sau vulnerabile, conform clasificării </w:t>
      </w:r>
      <w:r w:rsidR="003C70FA" w:rsidRPr="00827721">
        <w:t>aprobate</w:t>
      </w:r>
      <w:r w:rsidRPr="00827721">
        <w:t xml:space="preserve"> de </w:t>
      </w:r>
      <w:r w:rsidR="002406B2" w:rsidRPr="00827721">
        <w:t>o</w:t>
      </w:r>
      <w:r w:rsidR="00F73121" w:rsidRPr="00827721">
        <w:t xml:space="preserve">rganul central de specialitate al </w:t>
      </w:r>
      <w:proofErr w:type="spellStart"/>
      <w:r w:rsidR="00F73121" w:rsidRPr="00827721">
        <w:t>administraţiei</w:t>
      </w:r>
      <w:proofErr w:type="spellEnd"/>
      <w:r w:rsidR="00F73121" w:rsidRPr="00827721">
        <w:t xml:space="preserve"> publice pentru resurse naturale și mediu</w:t>
      </w:r>
      <w:r w:rsidRPr="00827721">
        <w:t>;</w:t>
      </w:r>
    </w:p>
    <w:p w14:paraId="24F089A4" w14:textId="6F331D1C" w:rsidR="0046160B" w:rsidRPr="00827721" w:rsidRDefault="00F044B1" w:rsidP="0046160B">
      <w:pPr>
        <w:pStyle w:val="Anexapct1111"/>
      </w:pPr>
      <w:r w:rsidRPr="00827721">
        <w:t>un habitat de o importanță strategică pentru specii endemice sau cu areal redus;</w:t>
      </w:r>
    </w:p>
    <w:p w14:paraId="7F28BD95" w14:textId="16F0AF63" w:rsidR="0046160B" w:rsidRPr="00827721" w:rsidRDefault="00F044B1" w:rsidP="0046160B">
      <w:pPr>
        <w:pStyle w:val="Anexapct1111"/>
      </w:pPr>
      <w:r w:rsidRPr="00827721">
        <w:t>un habitat de o importanță strategică pentru diversitatea genetică în cadrul speciei;</w:t>
      </w:r>
    </w:p>
    <w:p w14:paraId="103CEBF6" w14:textId="2A853851" w:rsidR="0046160B" w:rsidRPr="00827721" w:rsidRDefault="00F044B1" w:rsidP="0046160B">
      <w:pPr>
        <w:pStyle w:val="Anexapct1111"/>
      </w:pPr>
      <w:r w:rsidRPr="00827721">
        <w:t>un habitat de o importanță strategică pentru concentrații semnificative la nivel global de specii migratoare sau gregare;</w:t>
      </w:r>
      <w:r w:rsidR="004028B0" w:rsidRPr="00827721">
        <w:t xml:space="preserve"> sau</w:t>
      </w:r>
    </w:p>
    <w:p w14:paraId="34B0FF3C" w14:textId="18DA7811" w:rsidR="003D75E8" w:rsidRPr="00827721" w:rsidRDefault="00F044B1" w:rsidP="0046160B">
      <w:pPr>
        <w:pStyle w:val="Anexapct1111"/>
      </w:pPr>
      <w:r w:rsidRPr="00827721">
        <w:t>un ecosistem regional sau național strategic sau grav amenințat sau unic.</w:t>
      </w:r>
    </w:p>
    <w:p w14:paraId="31B11368" w14:textId="7A2DEE8F" w:rsidR="00397F08" w:rsidRPr="00827721" w:rsidRDefault="00397F08" w:rsidP="00397F08">
      <w:pPr>
        <w:pStyle w:val="Anexapct1"/>
        <w:rPr>
          <w:rFonts w:eastAsia="Times New Roman"/>
        </w:rPr>
      </w:pPr>
      <w:r w:rsidRPr="00827721">
        <w:rPr>
          <w:rFonts w:eastAsia="Times New Roman"/>
        </w:rPr>
        <w:t xml:space="preserve">Fără a limita aplicarea </w:t>
      </w:r>
      <w:r w:rsidR="00262062" w:rsidRPr="00827721">
        <w:rPr>
          <w:rFonts w:eastAsia="Times New Roman"/>
        </w:rPr>
        <w:t>pct. 3</w:t>
      </w:r>
      <w:r w:rsidRPr="00827721">
        <w:rPr>
          <w:rFonts w:eastAsia="Times New Roman"/>
        </w:rPr>
        <w:t>, pășunile care se încadrează în următoarele limite geografice sunt considerate întotdeauna drept pășuni cu biodiversitate ridicată:</w:t>
      </w:r>
    </w:p>
    <w:p w14:paraId="6B62E791" w14:textId="7507EC48" w:rsidR="00D371A0" w:rsidRPr="00827721" w:rsidRDefault="00D371A0" w:rsidP="00D371A0">
      <w:pPr>
        <w:pStyle w:val="Anexapct11"/>
        <w:rPr>
          <w:rFonts w:eastAsia="Times New Roman"/>
        </w:rPr>
      </w:pPr>
      <w:r w:rsidRPr="00827721">
        <w:rPr>
          <w:rFonts w:eastAsia="Times New Roman"/>
        </w:rPr>
        <w:t xml:space="preserve">habitate astfel cum sunt enumerate în </w:t>
      </w:r>
      <w:r w:rsidR="00655706" w:rsidRPr="00827721">
        <w:rPr>
          <w:rFonts w:eastAsia="Times New Roman"/>
        </w:rPr>
        <w:t xml:space="preserve">anexele </w:t>
      </w:r>
      <w:r w:rsidR="00F73184" w:rsidRPr="00827721">
        <w:rPr>
          <w:rFonts w:eastAsia="Times New Roman"/>
        </w:rPr>
        <w:t xml:space="preserve">nr. </w:t>
      </w:r>
      <w:r w:rsidR="00397F08" w:rsidRPr="00827721">
        <w:rPr>
          <w:rFonts w:eastAsia="Times New Roman"/>
        </w:rPr>
        <w:t>1 și 5 din Legea nr. 94/2007 cu privire la rețeaua ecologică</w:t>
      </w:r>
      <w:r w:rsidRPr="00827721">
        <w:rPr>
          <w:rFonts w:eastAsia="Times New Roman"/>
        </w:rPr>
        <w:t>;</w:t>
      </w:r>
    </w:p>
    <w:p w14:paraId="6EE4DD0F" w14:textId="075682A7" w:rsidR="00D371A0" w:rsidRPr="00827721" w:rsidRDefault="00D371A0" w:rsidP="00D371A0">
      <w:pPr>
        <w:pStyle w:val="Anexapct11"/>
        <w:rPr>
          <w:rFonts w:eastAsia="Times New Roman"/>
        </w:rPr>
      </w:pPr>
      <w:r w:rsidRPr="00827721">
        <w:rPr>
          <w:rFonts w:eastAsia="Times New Roman"/>
        </w:rPr>
        <w:t xml:space="preserve">de o importanță strategică pentru speciile de plante și animale enumerate în </w:t>
      </w:r>
      <w:r w:rsidR="00655706" w:rsidRPr="00827721">
        <w:rPr>
          <w:rFonts w:eastAsia="Times New Roman"/>
        </w:rPr>
        <w:t>anexele nr. 2</w:t>
      </w:r>
      <w:r w:rsidR="00A26C24" w:rsidRPr="00827721">
        <w:rPr>
          <w:rFonts w:eastAsia="Times New Roman"/>
        </w:rPr>
        <w:t xml:space="preserve"> și </w:t>
      </w:r>
      <w:r w:rsidR="00655706" w:rsidRPr="00827721">
        <w:rPr>
          <w:rFonts w:eastAsia="Times New Roman"/>
        </w:rPr>
        <w:t>3 din Legea nr. 94/2007 cu privire la rețeaua ecologică;</w:t>
      </w:r>
    </w:p>
    <w:p w14:paraId="2C0D0B08" w14:textId="1CDEEEE7" w:rsidR="001C5FDF" w:rsidRPr="00827721" w:rsidRDefault="00D371A0" w:rsidP="00D371A0">
      <w:pPr>
        <w:pStyle w:val="Anexapct11"/>
        <w:rPr>
          <w:rFonts w:eastAsia="Times New Roman"/>
        </w:rPr>
      </w:pPr>
      <w:r w:rsidRPr="00827721">
        <w:rPr>
          <w:rFonts w:eastAsia="Times New Roman"/>
        </w:rPr>
        <w:lastRenderedPageBreak/>
        <w:t xml:space="preserve">de o importanță strategică pentru speciile de păsări sălbatice enumerate în </w:t>
      </w:r>
      <w:r w:rsidR="00712EBA" w:rsidRPr="00827721">
        <w:rPr>
          <w:rFonts w:eastAsia="Times New Roman"/>
        </w:rPr>
        <w:t>anexa nr. 4 din Legea nr. 94/2007 cu privire la rețeaua ecologică</w:t>
      </w:r>
      <w:r w:rsidRPr="00827721">
        <w:rPr>
          <w:rFonts w:eastAsia="Times New Roman"/>
        </w:rPr>
        <w:t>.</w:t>
      </w:r>
    </w:p>
    <w:p w14:paraId="7A32C423" w14:textId="66B7B1D8" w:rsidR="0018748C" w:rsidRPr="00827721" w:rsidRDefault="0018748C" w:rsidP="0018748C">
      <w:pPr>
        <w:pStyle w:val="Anexapct1"/>
        <w:rPr>
          <w:rFonts w:eastAsia="Times New Roman"/>
        </w:rPr>
      </w:pPr>
      <w:r w:rsidRPr="00827721">
        <w:rPr>
          <w:rFonts w:eastAsia="Times New Roman"/>
        </w:rPr>
        <w:t xml:space="preserve">Pășunile cu biodiversitate ridicată nu se limitează la cadrul geografic menționat la </w:t>
      </w:r>
      <w:r w:rsidR="001042D4" w:rsidRPr="00827721">
        <w:rPr>
          <w:rFonts w:eastAsia="Times New Roman"/>
        </w:rPr>
        <w:t>pct. 2</w:t>
      </w:r>
      <w:r w:rsidRPr="00827721">
        <w:rPr>
          <w:rFonts w:eastAsia="Times New Roman"/>
        </w:rPr>
        <w:t xml:space="preserve">. Alte pășuni </w:t>
      </w:r>
      <w:r w:rsidR="00AD18AA" w:rsidRPr="00827721">
        <w:rPr>
          <w:rFonts w:eastAsia="Times New Roman"/>
        </w:rPr>
        <w:t>pot</w:t>
      </w:r>
      <w:r w:rsidRPr="00827721">
        <w:rPr>
          <w:rFonts w:eastAsia="Times New Roman"/>
        </w:rPr>
        <w:t xml:space="preserve"> îndeplini criteriile de pășune cu biodiversitate ridicată prevăzute la </w:t>
      </w:r>
      <w:r w:rsidR="00AD18AA" w:rsidRPr="00827721">
        <w:rPr>
          <w:rFonts w:eastAsia="Times New Roman"/>
        </w:rPr>
        <w:t>pct. 1</w:t>
      </w:r>
      <w:r w:rsidRPr="00827721">
        <w:rPr>
          <w:rFonts w:eastAsia="Times New Roman"/>
        </w:rPr>
        <w:t>.</w:t>
      </w:r>
    </w:p>
    <w:p w14:paraId="00B4AF85" w14:textId="64F512D2" w:rsidR="0077332D" w:rsidRPr="00827721" w:rsidRDefault="00F42E53" w:rsidP="00A26C24">
      <w:pPr>
        <w:pStyle w:val="Anexapct1"/>
        <w:rPr>
          <w:rFonts w:eastAsia="Times New Roman"/>
        </w:rPr>
      </w:pPr>
      <w:r w:rsidRPr="00827721">
        <w:t xml:space="preserve">În cazul în care se demonstrează că recoltarea materiei prime este necesară pentru conservarea statutului de pășune, nu </w:t>
      </w:r>
      <w:r w:rsidR="00DE08D1" w:rsidRPr="00827721">
        <w:t xml:space="preserve">se </w:t>
      </w:r>
      <w:r w:rsidRPr="00827721">
        <w:t>prezent</w:t>
      </w:r>
      <w:r w:rsidR="00DE08D1" w:rsidRPr="00827721">
        <w:t xml:space="preserve">ă </w:t>
      </w:r>
      <w:r w:rsidRPr="00827721">
        <w:t xml:space="preserve">dovadă suplimentară pentru a demonstra conformitatea cu </w:t>
      </w:r>
      <w:r w:rsidR="004E0472" w:rsidRPr="00827721">
        <w:t>prezentul Regulament</w:t>
      </w:r>
      <w:r w:rsidRPr="00827721">
        <w:t>.</w:t>
      </w:r>
    </w:p>
    <w:p w14:paraId="0D49AEA9" w14:textId="53F60B83" w:rsidR="00520953" w:rsidRPr="00827721" w:rsidRDefault="00520953">
      <w:r w:rsidRPr="00827721">
        <w:br w:type="page"/>
      </w:r>
    </w:p>
    <w:p w14:paraId="56031CEE" w14:textId="0709367D" w:rsidR="00520953" w:rsidRPr="00827721" w:rsidRDefault="00520953" w:rsidP="00520953">
      <w:pPr>
        <w:jc w:val="right"/>
      </w:pPr>
      <w:r w:rsidRPr="00827721">
        <w:lastRenderedPageBreak/>
        <w:t>Anexa nr. 12</w:t>
      </w:r>
    </w:p>
    <w:p w14:paraId="6A9AC70B" w14:textId="419EFA56" w:rsidR="00520953" w:rsidRPr="00827721" w:rsidRDefault="00520953" w:rsidP="001D216A">
      <w:pPr>
        <w:jc w:val="right"/>
      </w:pPr>
      <w:r w:rsidRPr="00827721">
        <w:t xml:space="preserve">la </w:t>
      </w:r>
      <w:r w:rsidR="001D216A">
        <w:t xml:space="preserve">Regulamentul </w:t>
      </w:r>
      <w:r w:rsidR="001D216A" w:rsidRPr="009B2C9E">
        <w:t>cu privire la normele de verificare a biocarburanților, biolichidelor și combustibililor din biomasă</w:t>
      </w:r>
    </w:p>
    <w:p w14:paraId="63B9A4A0" w14:textId="62D311BC" w:rsidR="00A70181" w:rsidRPr="00827721" w:rsidRDefault="00A70181" w:rsidP="004478B2">
      <w:pPr>
        <w:pStyle w:val="Capitol"/>
      </w:pPr>
      <w:r w:rsidRPr="00827721">
        <w:t>Emisii estimate provizorii</w:t>
      </w:r>
      <w:r w:rsidR="004478B2" w:rsidRPr="00827721">
        <w:t xml:space="preserve"> </w:t>
      </w:r>
      <w:r w:rsidR="00D354F5" w:rsidRPr="00827721">
        <w:t>și</w:t>
      </w:r>
      <w:r w:rsidRPr="00827721">
        <w:t xml:space="preserve"> </w:t>
      </w:r>
      <w:r w:rsidR="00D354F5" w:rsidRPr="00827721">
        <w:t>bioc</w:t>
      </w:r>
      <w:r w:rsidR="00C31339">
        <w:t>ARBURANȚI</w:t>
      </w:r>
      <w:r w:rsidR="00D354F5" w:rsidRPr="00827721">
        <w:t xml:space="preserve">, biolichide și combustibili din biomasă </w:t>
      </w:r>
      <w:r w:rsidRPr="00827721">
        <w:t xml:space="preserve">cu emisii zero </w:t>
      </w:r>
      <w:r w:rsidR="00950EB0" w:rsidRPr="00827721">
        <w:t>aferente</w:t>
      </w:r>
      <w:r w:rsidRPr="00827721">
        <w:t xml:space="preserve"> schimb</w:t>
      </w:r>
      <w:r w:rsidR="00950EB0" w:rsidRPr="00827721">
        <w:t xml:space="preserve">ării </w:t>
      </w:r>
      <w:r w:rsidRPr="00827721">
        <w:t>indirect</w:t>
      </w:r>
      <w:r w:rsidR="00950EB0" w:rsidRPr="00827721">
        <w:t>e</w:t>
      </w:r>
      <w:r w:rsidRPr="00827721">
        <w:t xml:space="preserve"> a destinației</w:t>
      </w:r>
      <w:r w:rsidR="004478B2" w:rsidRPr="00827721">
        <w:t xml:space="preserve"> </w:t>
      </w:r>
      <w:r w:rsidRPr="00827721">
        <w:t>terenurilor</w:t>
      </w:r>
    </w:p>
    <w:p w14:paraId="6FE85BFC" w14:textId="64246814" w:rsidR="009A022F" w:rsidRPr="00827721" w:rsidRDefault="009A022F" w:rsidP="009A022F">
      <w:pPr>
        <w:pStyle w:val="Sectiune"/>
      </w:pPr>
      <w:r w:rsidRPr="00827721">
        <w:t xml:space="preserve">Partea A   </w:t>
      </w:r>
    </w:p>
    <w:p w14:paraId="21248406" w14:textId="28DFF3E2" w:rsidR="00520953" w:rsidRPr="00827721" w:rsidRDefault="009A022F" w:rsidP="009A022F">
      <w:pPr>
        <w:pStyle w:val="Sectiune"/>
      </w:pPr>
      <w:r w:rsidRPr="00827721">
        <w:t xml:space="preserve">Emisii estimate provizorii în legătură cu schimbarea indirectă a destinației terenurilor, generate de materiile prime pentru </w:t>
      </w:r>
      <w:r w:rsidR="00787D06" w:rsidRPr="00827721">
        <w:t>biocarburanți</w:t>
      </w:r>
      <w:r w:rsidRPr="00827721">
        <w:t>, biolichide și combustibili din biomasă</w:t>
      </w:r>
    </w:p>
    <w:tbl>
      <w:tblPr>
        <w:tblW w:w="863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76"/>
        <w:gridCol w:w="1014"/>
        <w:gridCol w:w="3649"/>
      </w:tblGrid>
      <w:tr w:rsidR="007F5CBF" w:rsidRPr="00827721" w14:paraId="3642F0CD" w14:textId="77777777" w:rsidTr="00A85DA1">
        <w:tc>
          <w:tcPr>
            <w:tcW w:w="3976" w:type="dxa"/>
            <w:tcBorders>
              <w:top w:val="outset" w:sz="6" w:space="0" w:color="auto"/>
              <w:left w:val="outset" w:sz="6" w:space="0" w:color="auto"/>
              <w:bottom w:val="outset" w:sz="6" w:space="0" w:color="auto"/>
              <w:right w:val="outset" w:sz="6" w:space="0" w:color="auto"/>
            </w:tcBorders>
            <w:shd w:val="clear" w:color="auto" w:fill="FFFFFF"/>
            <w:hideMark/>
          </w:tcPr>
          <w:p w14:paraId="035E62A1" w14:textId="77777777" w:rsidR="007F5CBF" w:rsidRPr="00827721" w:rsidRDefault="007F5CBF" w:rsidP="00A85DA1">
            <w:pPr>
              <w:ind w:firstLine="0"/>
              <w:jc w:val="center"/>
              <w:rPr>
                <w:rFonts w:eastAsia="Arial Unicode MS"/>
                <w:b/>
                <w:bCs/>
                <w:sz w:val="24"/>
              </w:rPr>
            </w:pPr>
            <w:r w:rsidRPr="00827721">
              <w:rPr>
                <w:rFonts w:eastAsia="Arial Unicode MS"/>
                <w:b/>
                <w:bCs/>
                <w:sz w:val="24"/>
              </w:rPr>
              <w:t>Grup de materii prime</w:t>
            </w:r>
          </w:p>
        </w:tc>
        <w:tc>
          <w:tcPr>
            <w:tcW w:w="1014" w:type="dxa"/>
            <w:tcBorders>
              <w:top w:val="outset" w:sz="6" w:space="0" w:color="auto"/>
              <w:left w:val="outset" w:sz="6" w:space="0" w:color="auto"/>
              <w:bottom w:val="outset" w:sz="6" w:space="0" w:color="auto"/>
              <w:right w:val="outset" w:sz="6" w:space="0" w:color="auto"/>
            </w:tcBorders>
            <w:shd w:val="clear" w:color="auto" w:fill="FFFFFF"/>
            <w:hideMark/>
          </w:tcPr>
          <w:p w14:paraId="56FA7BAD" w14:textId="4F012173" w:rsidR="007F5CBF" w:rsidRPr="00827721" w:rsidRDefault="007F5CBF" w:rsidP="00A85DA1">
            <w:pPr>
              <w:ind w:firstLine="0"/>
              <w:jc w:val="center"/>
              <w:rPr>
                <w:rFonts w:eastAsia="Arial Unicode MS"/>
                <w:b/>
                <w:bCs/>
                <w:sz w:val="24"/>
              </w:rPr>
            </w:pPr>
            <w:r w:rsidRPr="00827721">
              <w:rPr>
                <w:rFonts w:eastAsia="Arial Unicode MS"/>
                <w:b/>
                <w:bCs/>
                <w:sz w:val="24"/>
              </w:rPr>
              <w:t>Media</w:t>
            </w:r>
            <w:r w:rsidR="00EB09BA" w:rsidRPr="00827721">
              <w:rPr>
                <w:rFonts w:eastAsia="Arial Unicode MS"/>
                <w:b/>
                <w:bCs/>
                <w:sz w:val="24"/>
                <w:vertAlign w:val="superscript"/>
              </w:rPr>
              <w:t>(1)</w:t>
            </w:r>
            <w:r w:rsidRPr="00827721">
              <w:rPr>
                <w:rFonts w:eastAsia="Arial Unicode MS"/>
                <w:b/>
                <w:bCs/>
                <w:sz w:val="24"/>
              </w:rPr>
              <w:t> </w:t>
            </w:r>
          </w:p>
        </w:tc>
        <w:tc>
          <w:tcPr>
            <w:tcW w:w="3649" w:type="dxa"/>
            <w:tcBorders>
              <w:top w:val="outset" w:sz="6" w:space="0" w:color="auto"/>
              <w:left w:val="outset" w:sz="6" w:space="0" w:color="auto"/>
              <w:bottom w:val="outset" w:sz="6" w:space="0" w:color="auto"/>
              <w:right w:val="outset" w:sz="6" w:space="0" w:color="auto"/>
            </w:tcBorders>
            <w:shd w:val="clear" w:color="auto" w:fill="FFFFFF"/>
            <w:hideMark/>
          </w:tcPr>
          <w:p w14:paraId="626776BC" w14:textId="0B0FE9BA" w:rsidR="007F5CBF" w:rsidRPr="00827721" w:rsidRDefault="007F5CBF" w:rsidP="00A85DA1">
            <w:pPr>
              <w:ind w:firstLine="0"/>
              <w:jc w:val="center"/>
              <w:rPr>
                <w:rFonts w:eastAsia="Arial Unicode MS"/>
                <w:b/>
                <w:bCs/>
                <w:sz w:val="24"/>
                <w:vertAlign w:val="superscript"/>
              </w:rPr>
            </w:pPr>
            <w:r w:rsidRPr="00827721">
              <w:rPr>
                <w:rFonts w:eastAsia="Arial Unicode MS"/>
                <w:b/>
                <w:bCs/>
                <w:sz w:val="24"/>
              </w:rPr>
              <w:t xml:space="preserve">Intervalul dintre </w:t>
            </w:r>
            <w:proofErr w:type="spellStart"/>
            <w:r w:rsidRPr="00827721">
              <w:rPr>
                <w:rFonts w:eastAsia="Arial Unicode MS"/>
                <w:b/>
                <w:bCs/>
                <w:sz w:val="24"/>
              </w:rPr>
              <w:t>percentile</w:t>
            </w:r>
            <w:proofErr w:type="spellEnd"/>
            <w:r w:rsidRPr="00827721">
              <w:rPr>
                <w:rFonts w:eastAsia="Arial Unicode MS"/>
                <w:b/>
                <w:bCs/>
                <w:sz w:val="24"/>
              </w:rPr>
              <w:t xml:space="preserve"> derivat din analiza sensibilității</w:t>
            </w:r>
            <w:r w:rsidR="00EB09BA" w:rsidRPr="00827721">
              <w:rPr>
                <w:rFonts w:eastAsia="Arial Unicode MS"/>
                <w:b/>
                <w:bCs/>
                <w:sz w:val="24"/>
                <w:vertAlign w:val="superscript"/>
              </w:rPr>
              <w:t>(2)</w:t>
            </w:r>
          </w:p>
        </w:tc>
      </w:tr>
      <w:tr w:rsidR="007F5CBF" w:rsidRPr="00827721" w14:paraId="14C8D1A3" w14:textId="77777777" w:rsidTr="00A85DA1">
        <w:tc>
          <w:tcPr>
            <w:tcW w:w="3976" w:type="dxa"/>
            <w:tcBorders>
              <w:top w:val="outset" w:sz="6" w:space="0" w:color="auto"/>
              <w:left w:val="outset" w:sz="6" w:space="0" w:color="auto"/>
              <w:bottom w:val="outset" w:sz="6" w:space="0" w:color="auto"/>
              <w:right w:val="outset" w:sz="6" w:space="0" w:color="auto"/>
            </w:tcBorders>
            <w:shd w:val="clear" w:color="auto" w:fill="FFFFFF"/>
            <w:hideMark/>
          </w:tcPr>
          <w:p w14:paraId="411CAE88" w14:textId="77777777" w:rsidR="007F5CBF" w:rsidRPr="00827721" w:rsidRDefault="007F5CBF" w:rsidP="00A85DA1">
            <w:pPr>
              <w:ind w:firstLine="0"/>
              <w:jc w:val="left"/>
              <w:rPr>
                <w:rFonts w:eastAsia="Arial Unicode MS"/>
                <w:sz w:val="24"/>
              </w:rPr>
            </w:pPr>
            <w:r w:rsidRPr="00827721">
              <w:rPr>
                <w:rFonts w:eastAsia="Arial Unicode MS"/>
                <w:sz w:val="24"/>
              </w:rPr>
              <w:t>Culturi de cereale și alte culturi bogate în amidon</w:t>
            </w:r>
          </w:p>
        </w:tc>
        <w:tc>
          <w:tcPr>
            <w:tcW w:w="1014" w:type="dxa"/>
            <w:tcBorders>
              <w:top w:val="outset" w:sz="6" w:space="0" w:color="auto"/>
              <w:left w:val="outset" w:sz="6" w:space="0" w:color="auto"/>
              <w:bottom w:val="outset" w:sz="6" w:space="0" w:color="auto"/>
              <w:right w:val="outset" w:sz="6" w:space="0" w:color="auto"/>
            </w:tcBorders>
            <w:shd w:val="clear" w:color="auto" w:fill="FFFFFF"/>
            <w:hideMark/>
          </w:tcPr>
          <w:p w14:paraId="04606AE1" w14:textId="77777777" w:rsidR="007F5CBF" w:rsidRPr="00827721" w:rsidRDefault="007F5CBF" w:rsidP="00A85DA1">
            <w:pPr>
              <w:ind w:firstLine="0"/>
              <w:jc w:val="center"/>
              <w:rPr>
                <w:rFonts w:eastAsia="Arial Unicode MS"/>
                <w:sz w:val="24"/>
              </w:rPr>
            </w:pPr>
            <w:r w:rsidRPr="00827721">
              <w:rPr>
                <w:rFonts w:eastAsia="Arial Unicode MS"/>
                <w:sz w:val="24"/>
              </w:rPr>
              <w:t>12</w:t>
            </w:r>
          </w:p>
        </w:tc>
        <w:tc>
          <w:tcPr>
            <w:tcW w:w="3649" w:type="dxa"/>
            <w:tcBorders>
              <w:top w:val="outset" w:sz="6" w:space="0" w:color="auto"/>
              <w:left w:val="outset" w:sz="6" w:space="0" w:color="auto"/>
              <w:bottom w:val="outset" w:sz="6" w:space="0" w:color="auto"/>
              <w:right w:val="outset" w:sz="6" w:space="0" w:color="auto"/>
            </w:tcBorders>
            <w:shd w:val="clear" w:color="auto" w:fill="FFFFFF"/>
            <w:hideMark/>
          </w:tcPr>
          <w:p w14:paraId="01F0FA8E" w14:textId="77777777" w:rsidR="007F5CBF" w:rsidRPr="00827721" w:rsidRDefault="007F5CBF" w:rsidP="00A85DA1">
            <w:pPr>
              <w:ind w:firstLine="0"/>
              <w:jc w:val="center"/>
              <w:rPr>
                <w:rFonts w:eastAsia="Arial Unicode MS"/>
                <w:sz w:val="24"/>
              </w:rPr>
            </w:pPr>
            <w:r w:rsidRPr="00827721">
              <w:rPr>
                <w:rFonts w:eastAsia="Arial Unicode MS"/>
                <w:sz w:val="24"/>
              </w:rPr>
              <w:t>8-16</w:t>
            </w:r>
          </w:p>
        </w:tc>
      </w:tr>
      <w:tr w:rsidR="007F5CBF" w:rsidRPr="00827721" w14:paraId="5F8C56A6" w14:textId="77777777" w:rsidTr="00A85DA1">
        <w:tc>
          <w:tcPr>
            <w:tcW w:w="3976" w:type="dxa"/>
            <w:tcBorders>
              <w:top w:val="outset" w:sz="6" w:space="0" w:color="auto"/>
              <w:left w:val="outset" w:sz="6" w:space="0" w:color="auto"/>
              <w:bottom w:val="outset" w:sz="6" w:space="0" w:color="auto"/>
              <w:right w:val="outset" w:sz="6" w:space="0" w:color="auto"/>
            </w:tcBorders>
            <w:shd w:val="clear" w:color="auto" w:fill="FFFFFF"/>
            <w:hideMark/>
          </w:tcPr>
          <w:p w14:paraId="771F0898" w14:textId="77777777" w:rsidR="007F5CBF" w:rsidRPr="00827721" w:rsidRDefault="007F5CBF" w:rsidP="00A85DA1">
            <w:pPr>
              <w:ind w:firstLine="0"/>
              <w:jc w:val="left"/>
              <w:rPr>
                <w:rFonts w:eastAsia="Arial Unicode MS"/>
                <w:sz w:val="24"/>
              </w:rPr>
            </w:pPr>
            <w:r w:rsidRPr="00827721">
              <w:rPr>
                <w:rFonts w:eastAsia="Arial Unicode MS"/>
                <w:sz w:val="24"/>
              </w:rPr>
              <w:t>Culturi de plante zaharoase</w:t>
            </w:r>
          </w:p>
        </w:tc>
        <w:tc>
          <w:tcPr>
            <w:tcW w:w="1014" w:type="dxa"/>
            <w:tcBorders>
              <w:top w:val="outset" w:sz="6" w:space="0" w:color="auto"/>
              <w:left w:val="outset" w:sz="6" w:space="0" w:color="auto"/>
              <w:bottom w:val="outset" w:sz="6" w:space="0" w:color="auto"/>
              <w:right w:val="outset" w:sz="6" w:space="0" w:color="auto"/>
            </w:tcBorders>
            <w:shd w:val="clear" w:color="auto" w:fill="FFFFFF"/>
            <w:hideMark/>
          </w:tcPr>
          <w:p w14:paraId="7C99B0C4" w14:textId="77777777" w:rsidR="007F5CBF" w:rsidRPr="00827721" w:rsidRDefault="007F5CBF" w:rsidP="00A85DA1">
            <w:pPr>
              <w:ind w:firstLine="0"/>
              <w:jc w:val="center"/>
              <w:rPr>
                <w:rFonts w:eastAsia="Arial Unicode MS"/>
                <w:sz w:val="24"/>
              </w:rPr>
            </w:pPr>
            <w:r w:rsidRPr="00827721">
              <w:rPr>
                <w:rFonts w:eastAsia="Arial Unicode MS"/>
                <w:sz w:val="24"/>
              </w:rPr>
              <w:t>13</w:t>
            </w:r>
          </w:p>
        </w:tc>
        <w:tc>
          <w:tcPr>
            <w:tcW w:w="3649" w:type="dxa"/>
            <w:tcBorders>
              <w:top w:val="outset" w:sz="6" w:space="0" w:color="auto"/>
              <w:left w:val="outset" w:sz="6" w:space="0" w:color="auto"/>
              <w:bottom w:val="outset" w:sz="6" w:space="0" w:color="auto"/>
              <w:right w:val="outset" w:sz="6" w:space="0" w:color="auto"/>
            </w:tcBorders>
            <w:shd w:val="clear" w:color="auto" w:fill="FFFFFF"/>
            <w:hideMark/>
          </w:tcPr>
          <w:p w14:paraId="2F1F51A8" w14:textId="77777777" w:rsidR="007F5CBF" w:rsidRPr="00827721" w:rsidRDefault="007F5CBF" w:rsidP="00A85DA1">
            <w:pPr>
              <w:ind w:firstLine="0"/>
              <w:jc w:val="center"/>
              <w:rPr>
                <w:rFonts w:eastAsia="Arial Unicode MS"/>
                <w:sz w:val="24"/>
              </w:rPr>
            </w:pPr>
            <w:r w:rsidRPr="00827721">
              <w:rPr>
                <w:rFonts w:eastAsia="Arial Unicode MS"/>
                <w:sz w:val="24"/>
              </w:rPr>
              <w:t>4-17</w:t>
            </w:r>
          </w:p>
        </w:tc>
      </w:tr>
      <w:tr w:rsidR="007F5CBF" w:rsidRPr="00827721" w14:paraId="5EF586D9" w14:textId="77777777" w:rsidTr="00A85DA1">
        <w:tc>
          <w:tcPr>
            <w:tcW w:w="3976" w:type="dxa"/>
            <w:tcBorders>
              <w:top w:val="outset" w:sz="6" w:space="0" w:color="auto"/>
              <w:left w:val="outset" w:sz="6" w:space="0" w:color="auto"/>
              <w:bottom w:val="outset" w:sz="6" w:space="0" w:color="auto"/>
              <w:right w:val="outset" w:sz="6" w:space="0" w:color="auto"/>
            </w:tcBorders>
            <w:shd w:val="clear" w:color="auto" w:fill="FFFFFF"/>
            <w:hideMark/>
          </w:tcPr>
          <w:p w14:paraId="25E4F61F" w14:textId="77777777" w:rsidR="007F5CBF" w:rsidRPr="00827721" w:rsidRDefault="007F5CBF" w:rsidP="00A85DA1">
            <w:pPr>
              <w:ind w:firstLine="0"/>
              <w:jc w:val="left"/>
              <w:rPr>
                <w:rFonts w:eastAsia="Arial Unicode MS"/>
                <w:sz w:val="24"/>
              </w:rPr>
            </w:pPr>
            <w:r w:rsidRPr="00827721">
              <w:rPr>
                <w:rFonts w:eastAsia="Arial Unicode MS"/>
                <w:sz w:val="24"/>
              </w:rPr>
              <w:t>Culturi de plante oleaginoase</w:t>
            </w:r>
          </w:p>
        </w:tc>
        <w:tc>
          <w:tcPr>
            <w:tcW w:w="1014" w:type="dxa"/>
            <w:tcBorders>
              <w:top w:val="outset" w:sz="6" w:space="0" w:color="auto"/>
              <w:left w:val="outset" w:sz="6" w:space="0" w:color="auto"/>
              <w:bottom w:val="outset" w:sz="6" w:space="0" w:color="auto"/>
              <w:right w:val="outset" w:sz="6" w:space="0" w:color="auto"/>
            </w:tcBorders>
            <w:shd w:val="clear" w:color="auto" w:fill="FFFFFF"/>
            <w:hideMark/>
          </w:tcPr>
          <w:p w14:paraId="5BC2D89B" w14:textId="77777777" w:rsidR="007F5CBF" w:rsidRPr="00827721" w:rsidRDefault="007F5CBF" w:rsidP="00A85DA1">
            <w:pPr>
              <w:ind w:firstLine="0"/>
              <w:jc w:val="center"/>
              <w:rPr>
                <w:rFonts w:eastAsia="Arial Unicode MS"/>
                <w:sz w:val="24"/>
              </w:rPr>
            </w:pPr>
            <w:r w:rsidRPr="00827721">
              <w:rPr>
                <w:rFonts w:eastAsia="Arial Unicode MS"/>
                <w:sz w:val="24"/>
              </w:rPr>
              <w:t>55</w:t>
            </w:r>
          </w:p>
        </w:tc>
        <w:tc>
          <w:tcPr>
            <w:tcW w:w="3649" w:type="dxa"/>
            <w:tcBorders>
              <w:top w:val="outset" w:sz="6" w:space="0" w:color="auto"/>
              <w:left w:val="outset" w:sz="6" w:space="0" w:color="auto"/>
              <w:bottom w:val="outset" w:sz="6" w:space="0" w:color="auto"/>
              <w:right w:val="outset" w:sz="6" w:space="0" w:color="auto"/>
            </w:tcBorders>
            <w:shd w:val="clear" w:color="auto" w:fill="FFFFFF"/>
            <w:hideMark/>
          </w:tcPr>
          <w:p w14:paraId="5CFC87E0" w14:textId="77777777" w:rsidR="007F5CBF" w:rsidRPr="00827721" w:rsidRDefault="007F5CBF" w:rsidP="00A85DA1">
            <w:pPr>
              <w:ind w:firstLine="0"/>
              <w:jc w:val="center"/>
              <w:rPr>
                <w:rFonts w:eastAsia="Arial Unicode MS"/>
                <w:sz w:val="24"/>
              </w:rPr>
            </w:pPr>
            <w:r w:rsidRPr="00827721">
              <w:rPr>
                <w:rFonts w:eastAsia="Arial Unicode MS"/>
                <w:sz w:val="24"/>
              </w:rPr>
              <w:t>33-66</w:t>
            </w:r>
          </w:p>
        </w:tc>
      </w:tr>
      <w:tr w:rsidR="007F5CBF" w:rsidRPr="00827721" w14:paraId="227ACF28" w14:textId="77777777" w:rsidTr="00A85DA1">
        <w:tc>
          <w:tcPr>
            <w:tcW w:w="8639"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3EDCCCA" w14:textId="329BE6AA" w:rsidR="007F5CBF" w:rsidRPr="00827721" w:rsidRDefault="00EB09BA" w:rsidP="007F5CBF">
            <w:pPr>
              <w:ind w:firstLine="0"/>
              <w:rPr>
                <w:rFonts w:eastAsia="Arial Unicode MS"/>
                <w:i/>
                <w:iCs/>
                <w:sz w:val="24"/>
              </w:rPr>
            </w:pPr>
            <w:r w:rsidRPr="00827721">
              <w:rPr>
                <w:rFonts w:eastAsia="Arial Unicode MS"/>
                <w:sz w:val="24"/>
                <w:vertAlign w:val="superscript"/>
              </w:rPr>
              <w:t>(</w:t>
            </w:r>
            <w:r w:rsidR="00983904" w:rsidRPr="00827721">
              <w:rPr>
                <w:rFonts w:eastAsia="Arial Unicode MS"/>
                <w:sz w:val="24"/>
                <w:vertAlign w:val="superscript"/>
              </w:rPr>
              <w:t>1</w:t>
            </w:r>
            <w:r w:rsidRPr="00827721">
              <w:rPr>
                <w:rFonts w:eastAsia="Arial Unicode MS"/>
                <w:sz w:val="24"/>
                <w:vertAlign w:val="superscript"/>
              </w:rPr>
              <w:t>)</w:t>
            </w:r>
            <w:r w:rsidR="007F5CBF" w:rsidRPr="00827721">
              <w:rPr>
                <w:rFonts w:eastAsia="Arial Unicode MS"/>
                <w:i/>
                <w:iCs/>
                <w:sz w:val="24"/>
              </w:rPr>
              <w:t>Valorile medii prevăzute reprezintă o medie ponderată a valorilor materiilor prime modelate individual.</w:t>
            </w:r>
          </w:p>
          <w:p w14:paraId="3324B685" w14:textId="21ECDF20" w:rsidR="007F5CBF" w:rsidRPr="00827721" w:rsidRDefault="00EB09BA" w:rsidP="007F5CBF">
            <w:pPr>
              <w:ind w:firstLine="0"/>
              <w:rPr>
                <w:rFonts w:eastAsia="Arial Unicode MS"/>
                <w:sz w:val="24"/>
              </w:rPr>
            </w:pPr>
            <w:r w:rsidRPr="00827721">
              <w:rPr>
                <w:rFonts w:eastAsia="Arial Unicode MS"/>
                <w:sz w:val="24"/>
                <w:vertAlign w:val="superscript"/>
              </w:rPr>
              <w:t>(</w:t>
            </w:r>
            <w:r w:rsidR="00983904" w:rsidRPr="00827721">
              <w:rPr>
                <w:rFonts w:eastAsia="Arial Unicode MS"/>
                <w:sz w:val="24"/>
                <w:vertAlign w:val="superscript"/>
              </w:rPr>
              <w:t>2</w:t>
            </w:r>
            <w:r w:rsidRPr="00827721">
              <w:rPr>
                <w:rFonts w:eastAsia="Arial Unicode MS"/>
                <w:sz w:val="24"/>
                <w:vertAlign w:val="superscript"/>
              </w:rPr>
              <w:t>)</w:t>
            </w:r>
            <w:r w:rsidR="007F5CBF" w:rsidRPr="00827721">
              <w:rPr>
                <w:rFonts w:eastAsia="Arial Unicode MS"/>
                <w:i/>
                <w:iCs/>
                <w:sz w:val="24"/>
              </w:rPr>
              <w:t xml:space="preserve">Intervalul prevăzut reflectă 90 % dintre rezultate, utilizând valorile celei de a cincea și a nouăzeci și cincea </w:t>
            </w:r>
            <w:proofErr w:type="spellStart"/>
            <w:r w:rsidR="007F5CBF" w:rsidRPr="00827721">
              <w:rPr>
                <w:rFonts w:eastAsia="Arial Unicode MS"/>
                <w:i/>
                <w:iCs/>
                <w:sz w:val="24"/>
              </w:rPr>
              <w:t>percentile</w:t>
            </w:r>
            <w:proofErr w:type="spellEnd"/>
            <w:r w:rsidR="007F5CBF" w:rsidRPr="00827721">
              <w:rPr>
                <w:rFonts w:eastAsia="Arial Unicode MS"/>
                <w:i/>
                <w:iCs/>
                <w:sz w:val="24"/>
              </w:rPr>
              <w:t xml:space="preserve"> care rezultă din analiză. Cea de a cincea </w:t>
            </w:r>
            <w:proofErr w:type="spellStart"/>
            <w:r w:rsidR="007F5CBF" w:rsidRPr="00827721">
              <w:rPr>
                <w:rFonts w:eastAsia="Arial Unicode MS"/>
                <w:i/>
                <w:iCs/>
                <w:sz w:val="24"/>
              </w:rPr>
              <w:t>percentilă</w:t>
            </w:r>
            <w:proofErr w:type="spellEnd"/>
            <w:r w:rsidR="007F5CBF" w:rsidRPr="00827721">
              <w:rPr>
                <w:rFonts w:eastAsia="Arial Unicode MS"/>
                <w:i/>
                <w:iCs/>
                <w:sz w:val="24"/>
              </w:rPr>
              <w:t xml:space="preserve"> sugerează o valoare sub care au fost identificate 5 % dintre observații (și anume 5 % din datele totale utilizate au arătat rezultate sub 8, 4 și 33 g CO</w:t>
            </w:r>
            <w:r w:rsidR="007F5CBF" w:rsidRPr="00827721">
              <w:rPr>
                <w:rStyle w:val="subscript"/>
                <w:rFonts w:eastAsia="Arial Unicode MS"/>
                <w:i/>
                <w:iCs/>
                <w:sz w:val="24"/>
                <w:vertAlign w:val="subscript"/>
              </w:rPr>
              <w:t>2</w:t>
            </w:r>
            <w:r w:rsidR="007F5CBF" w:rsidRPr="00827721">
              <w:rPr>
                <w:rFonts w:eastAsia="Arial Unicode MS"/>
                <w:i/>
                <w:iCs/>
                <w:sz w:val="24"/>
              </w:rPr>
              <w:t xml:space="preserve">eq/MJ). Cea de a nouăzeci și cincea </w:t>
            </w:r>
            <w:proofErr w:type="spellStart"/>
            <w:r w:rsidR="007F5CBF" w:rsidRPr="00827721">
              <w:rPr>
                <w:rFonts w:eastAsia="Arial Unicode MS"/>
                <w:i/>
                <w:iCs/>
                <w:sz w:val="24"/>
              </w:rPr>
              <w:t>percentilă</w:t>
            </w:r>
            <w:proofErr w:type="spellEnd"/>
            <w:r w:rsidR="007F5CBF" w:rsidRPr="00827721">
              <w:rPr>
                <w:rFonts w:eastAsia="Arial Unicode MS"/>
                <w:i/>
                <w:iCs/>
                <w:sz w:val="24"/>
              </w:rPr>
              <w:t xml:space="preserve"> sugerează o valoare sub care au fost identificate 95 % dintre observații (și anume 5 % din datele totale utilizate au arătat rezultate peste 16, 17 și 66 g CO</w:t>
            </w:r>
            <w:r w:rsidR="007F5CBF" w:rsidRPr="00827721">
              <w:rPr>
                <w:rStyle w:val="subscript"/>
                <w:rFonts w:eastAsia="Arial Unicode MS"/>
                <w:i/>
                <w:iCs/>
                <w:sz w:val="24"/>
                <w:vertAlign w:val="subscript"/>
              </w:rPr>
              <w:t>2</w:t>
            </w:r>
            <w:r w:rsidR="007F5CBF" w:rsidRPr="00827721">
              <w:rPr>
                <w:rFonts w:eastAsia="Arial Unicode MS"/>
                <w:i/>
                <w:iCs/>
                <w:sz w:val="24"/>
              </w:rPr>
              <w:t>eq/MJ).</w:t>
            </w:r>
          </w:p>
        </w:tc>
      </w:tr>
    </w:tbl>
    <w:p w14:paraId="7588B1B7" w14:textId="226CA614" w:rsidR="00787D06" w:rsidRPr="00827721" w:rsidRDefault="00787D06" w:rsidP="00787D06">
      <w:pPr>
        <w:pStyle w:val="Sectiune"/>
      </w:pPr>
      <w:r w:rsidRPr="00827721">
        <w:t>Partea B   </w:t>
      </w:r>
    </w:p>
    <w:p w14:paraId="4364995F" w14:textId="1738A086" w:rsidR="00787D06" w:rsidRPr="00827721" w:rsidRDefault="00787D06" w:rsidP="00787D06">
      <w:pPr>
        <w:pStyle w:val="Sectiune"/>
      </w:pPr>
      <w:r w:rsidRPr="00827721">
        <w:t>Biocarburanți, biolichide și combustibili din biomasă pentru care emisiile estimate în legătură cu schimbarea indirectă a destinației terenurilor sunt considerate a fi egale cu zero</w:t>
      </w:r>
    </w:p>
    <w:p w14:paraId="510397E6" w14:textId="7272FC9C" w:rsidR="00787D06" w:rsidRPr="00827721" w:rsidRDefault="00787D06" w:rsidP="00787D06">
      <w:pPr>
        <w:pStyle w:val="Anexapct1"/>
        <w:numPr>
          <w:ilvl w:val="0"/>
          <w:numId w:val="69"/>
        </w:numPr>
      </w:pPr>
      <w:r w:rsidRPr="00827721">
        <w:t>Biocarburanți, biolichidele și combustibilii din biomasă produse din următoarele categorii de materii prime vor fi considerate ca având emisii estimate în legătură cu schimbarea indirectă a destinației terenurilor egale cu zero:</w:t>
      </w:r>
    </w:p>
    <w:p w14:paraId="2BA7A8A2" w14:textId="4051D4E6" w:rsidR="00787D06" w:rsidRPr="00827721" w:rsidRDefault="00787D06" w:rsidP="00787D06">
      <w:pPr>
        <w:pStyle w:val="Anexapct11"/>
      </w:pPr>
      <w:r w:rsidRPr="00827721">
        <w:t>materii prime care nu sunt enumerate în partea A.</w:t>
      </w:r>
    </w:p>
    <w:p w14:paraId="1E79106E" w14:textId="2EAC7B1F" w:rsidR="00787D06" w:rsidRPr="00827721" w:rsidRDefault="00787D06" w:rsidP="00787D06">
      <w:pPr>
        <w:pStyle w:val="Anexapct11"/>
      </w:pPr>
      <w:r w:rsidRPr="00827721">
        <w:t>materii prime a căror producție a condus la schimbarea directă a destinației terenurilor, și anume o schimbare de la una dintre următoarele categorii utilizate de IPCC: terenuri forestiere, pășuni, zone umede, așezări sau alte tipuri de terenuri, la terenuri cultivate sau terenuri cu culturi perene (</w:t>
      </w:r>
      <w:r w:rsidR="00084C6B" w:rsidRPr="00827721">
        <w:t xml:space="preserve">culturi multianuale, a căror tulpină </w:t>
      </w:r>
      <w:r w:rsidR="00084C6B" w:rsidRPr="00827721">
        <w:lastRenderedPageBreak/>
        <w:t>nu se recoltează, de regulă, anual, precum crângurile cu rotație rapidă și palmierii de ulei</w:t>
      </w:r>
      <w:hyperlink r:id="rId27" w:anchor="E0100" w:history="1"/>
      <w:r w:rsidRPr="00827721">
        <w:t>). În acest caz, o valoare a emisiilor în legătură cu schimbarea directă a destinației terenurilor (e</w:t>
      </w:r>
      <w:r w:rsidRPr="00827721">
        <w:rPr>
          <w:vertAlign w:val="subscript"/>
        </w:rPr>
        <w:t>l</w:t>
      </w:r>
      <w:r w:rsidRPr="00827721">
        <w:t xml:space="preserve">) </w:t>
      </w:r>
      <w:r w:rsidR="006064E1" w:rsidRPr="00827721">
        <w:t>se</w:t>
      </w:r>
      <w:r w:rsidRPr="00827721">
        <w:t xml:space="preserve"> </w:t>
      </w:r>
      <w:r w:rsidR="006064E1" w:rsidRPr="00827721">
        <w:t xml:space="preserve">calculează </w:t>
      </w:r>
      <w:r w:rsidRPr="00827721">
        <w:t xml:space="preserve">în conformitate cu </w:t>
      </w:r>
      <w:r w:rsidR="007E510D" w:rsidRPr="00827721">
        <w:t xml:space="preserve">pct. 12 din </w:t>
      </w:r>
      <w:r w:rsidRPr="00827721">
        <w:t>anexa </w:t>
      </w:r>
      <w:r w:rsidR="001532E9" w:rsidRPr="00827721">
        <w:t xml:space="preserve">nr. 2 </w:t>
      </w:r>
      <w:r w:rsidR="00347C70">
        <w:t>din</w:t>
      </w:r>
      <w:r w:rsidR="001532E9" w:rsidRPr="00827721">
        <w:t xml:space="preserve"> </w:t>
      </w:r>
      <w:r w:rsidR="00347C70" w:rsidRPr="00347C70">
        <w:rPr>
          <w:iCs/>
        </w:rPr>
        <w:t>HG 53/2025</w:t>
      </w:r>
      <w:r w:rsidRPr="00827721">
        <w:t>.</w:t>
      </w:r>
    </w:p>
    <w:p w14:paraId="7E1E2910" w14:textId="77777777" w:rsidR="00A96454" w:rsidRDefault="00A96454" w:rsidP="007F5CBF"/>
    <w:p w14:paraId="179A82C6" w14:textId="77777777" w:rsidR="00A96454" w:rsidRPr="00827721" w:rsidRDefault="00A96454" w:rsidP="00671F38">
      <w:pPr>
        <w:spacing w:before="120"/>
        <w:ind w:left="431" w:firstLine="0"/>
      </w:pPr>
    </w:p>
    <w:sectPr w:rsidR="00A96454" w:rsidRPr="00827721" w:rsidSect="00872B0D">
      <w:pgSz w:w="12240" w:h="15840"/>
      <w:pgMar w:top="1138" w:right="965" w:bottom="1138" w:left="18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A49A" w14:textId="77777777" w:rsidR="00BB6B7E" w:rsidRDefault="00BB6B7E" w:rsidP="00257A9F">
      <w:pPr>
        <w:spacing w:line="240" w:lineRule="auto"/>
      </w:pPr>
      <w:r>
        <w:separator/>
      </w:r>
    </w:p>
  </w:endnote>
  <w:endnote w:type="continuationSeparator" w:id="0">
    <w:p w14:paraId="569DA31A" w14:textId="77777777" w:rsidR="00BB6B7E" w:rsidRDefault="00BB6B7E" w:rsidP="00257A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ED2D" w14:textId="77777777" w:rsidR="00BB6B7E" w:rsidRDefault="00BB6B7E" w:rsidP="00257A9F">
      <w:pPr>
        <w:spacing w:line="240" w:lineRule="auto"/>
      </w:pPr>
      <w:r>
        <w:separator/>
      </w:r>
    </w:p>
  </w:footnote>
  <w:footnote w:type="continuationSeparator" w:id="0">
    <w:p w14:paraId="78822CD1" w14:textId="77777777" w:rsidR="00BB6B7E" w:rsidRDefault="00BB6B7E" w:rsidP="00257A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1971A1B"/>
    <w:multiLevelType w:val="hybridMultilevel"/>
    <w:tmpl w:val="5ABA05C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3" w15:restartNumberingAfterBreak="0">
    <w:nsid w:val="081F49CE"/>
    <w:multiLevelType w:val="hybridMultilevel"/>
    <w:tmpl w:val="56427470"/>
    <w:lvl w:ilvl="0" w:tplc="4890410E">
      <w:start w:val="1"/>
      <w:numFmt w:val="bullet"/>
      <w:lvlText w:val=""/>
      <w:lvlJc w:val="left"/>
      <w:pPr>
        <w:ind w:left="1080" w:hanging="360"/>
      </w:pPr>
      <w:rPr>
        <w:rFonts w:ascii="Symbol" w:hAnsi="Symbol"/>
      </w:rPr>
    </w:lvl>
    <w:lvl w:ilvl="1" w:tplc="0B5E6B48">
      <w:start w:val="1"/>
      <w:numFmt w:val="bullet"/>
      <w:lvlText w:val=""/>
      <w:lvlJc w:val="left"/>
      <w:pPr>
        <w:ind w:left="1080" w:hanging="360"/>
      </w:pPr>
      <w:rPr>
        <w:rFonts w:ascii="Symbol" w:hAnsi="Symbol"/>
      </w:rPr>
    </w:lvl>
    <w:lvl w:ilvl="2" w:tplc="27C04F3A">
      <w:start w:val="1"/>
      <w:numFmt w:val="bullet"/>
      <w:lvlText w:val=""/>
      <w:lvlJc w:val="left"/>
      <w:pPr>
        <w:ind w:left="1080" w:hanging="360"/>
      </w:pPr>
      <w:rPr>
        <w:rFonts w:ascii="Symbol" w:hAnsi="Symbol"/>
      </w:rPr>
    </w:lvl>
    <w:lvl w:ilvl="3" w:tplc="BC3CBB90">
      <w:start w:val="1"/>
      <w:numFmt w:val="bullet"/>
      <w:lvlText w:val=""/>
      <w:lvlJc w:val="left"/>
      <w:pPr>
        <w:ind w:left="1080" w:hanging="360"/>
      </w:pPr>
      <w:rPr>
        <w:rFonts w:ascii="Symbol" w:hAnsi="Symbol"/>
      </w:rPr>
    </w:lvl>
    <w:lvl w:ilvl="4" w:tplc="00D8A446">
      <w:start w:val="1"/>
      <w:numFmt w:val="bullet"/>
      <w:lvlText w:val=""/>
      <w:lvlJc w:val="left"/>
      <w:pPr>
        <w:ind w:left="1080" w:hanging="360"/>
      </w:pPr>
      <w:rPr>
        <w:rFonts w:ascii="Symbol" w:hAnsi="Symbol"/>
      </w:rPr>
    </w:lvl>
    <w:lvl w:ilvl="5" w:tplc="A63863BC">
      <w:start w:val="1"/>
      <w:numFmt w:val="bullet"/>
      <w:lvlText w:val=""/>
      <w:lvlJc w:val="left"/>
      <w:pPr>
        <w:ind w:left="1080" w:hanging="360"/>
      </w:pPr>
      <w:rPr>
        <w:rFonts w:ascii="Symbol" w:hAnsi="Symbol"/>
      </w:rPr>
    </w:lvl>
    <w:lvl w:ilvl="6" w:tplc="BEBA872C">
      <w:start w:val="1"/>
      <w:numFmt w:val="bullet"/>
      <w:lvlText w:val=""/>
      <w:lvlJc w:val="left"/>
      <w:pPr>
        <w:ind w:left="1080" w:hanging="360"/>
      </w:pPr>
      <w:rPr>
        <w:rFonts w:ascii="Symbol" w:hAnsi="Symbol"/>
      </w:rPr>
    </w:lvl>
    <w:lvl w:ilvl="7" w:tplc="0BBED69A">
      <w:start w:val="1"/>
      <w:numFmt w:val="bullet"/>
      <w:lvlText w:val=""/>
      <w:lvlJc w:val="left"/>
      <w:pPr>
        <w:ind w:left="1080" w:hanging="360"/>
      </w:pPr>
      <w:rPr>
        <w:rFonts w:ascii="Symbol" w:hAnsi="Symbol"/>
      </w:rPr>
    </w:lvl>
    <w:lvl w:ilvl="8" w:tplc="8C46C992">
      <w:start w:val="1"/>
      <w:numFmt w:val="bullet"/>
      <w:lvlText w:val=""/>
      <w:lvlJc w:val="left"/>
      <w:pPr>
        <w:ind w:left="1080" w:hanging="360"/>
      </w:pPr>
      <w:rPr>
        <w:rFonts w:ascii="Symbol" w:hAnsi="Symbol"/>
      </w:rPr>
    </w:lvl>
  </w:abstractNum>
  <w:abstractNum w:abstractNumId="4"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5"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8"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9"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10" w15:restartNumberingAfterBreak="0">
    <w:nsid w:val="14AD69F5"/>
    <w:multiLevelType w:val="hybridMultilevel"/>
    <w:tmpl w:val="423A1F70"/>
    <w:lvl w:ilvl="0" w:tplc="4EE044A8">
      <w:start w:val="1"/>
      <w:numFmt w:val="bullet"/>
      <w:lvlText w:val=""/>
      <w:lvlJc w:val="left"/>
      <w:pPr>
        <w:ind w:left="720" w:hanging="360"/>
      </w:pPr>
      <w:rPr>
        <w:rFonts w:ascii="Symbol" w:hAnsi="Symbol"/>
      </w:rPr>
    </w:lvl>
    <w:lvl w:ilvl="1" w:tplc="725EF512">
      <w:start w:val="1"/>
      <w:numFmt w:val="bullet"/>
      <w:lvlText w:val=""/>
      <w:lvlJc w:val="left"/>
      <w:pPr>
        <w:ind w:left="720" w:hanging="360"/>
      </w:pPr>
      <w:rPr>
        <w:rFonts w:ascii="Symbol" w:hAnsi="Symbol"/>
      </w:rPr>
    </w:lvl>
    <w:lvl w:ilvl="2" w:tplc="4B8EE766">
      <w:start w:val="1"/>
      <w:numFmt w:val="bullet"/>
      <w:lvlText w:val=""/>
      <w:lvlJc w:val="left"/>
      <w:pPr>
        <w:ind w:left="720" w:hanging="360"/>
      </w:pPr>
      <w:rPr>
        <w:rFonts w:ascii="Symbol" w:hAnsi="Symbol"/>
      </w:rPr>
    </w:lvl>
    <w:lvl w:ilvl="3" w:tplc="F0A2FF22">
      <w:start w:val="1"/>
      <w:numFmt w:val="bullet"/>
      <w:lvlText w:val=""/>
      <w:lvlJc w:val="left"/>
      <w:pPr>
        <w:ind w:left="720" w:hanging="360"/>
      </w:pPr>
      <w:rPr>
        <w:rFonts w:ascii="Symbol" w:hAnsi="Symbol"/>
      </w:rPr>
    </w:lvl>
    <w:lvl w:ilvl="4" w:tplc="57AA7684">
      <w:start w:val="1"/>
      <w:numFmt w:val="bullet"/>
      <w:lvlText w:val=""/>
      <w:lvlJc w:val="left"/>
      <w:pPr>
        <w:ind w:left="720" w:hanging="360"/>
      </w:pPr>
      <w:rPr>
        <w:rFonts w:ascii="Symbol" w:hAnsi="Symbol"/>
      </w:rPr>
    </w:lvl>
    <w:lvl w:ilvl="5" w:tplc="23BA2406">
      <w:start w:val="1"/>
      <w:numFmt w:val="bullet"/>
      <w:lvlText w:val=""/>
      <w:lvlJc w:val="left"/>
      <w:pPr>
        <w:ind w:left="720" w:hanging="360"/>
      </w:pPr>
      <w:rPr>
        <w:rFonts w:ascii="Symbol" w:hAnsi="Symbol"/>
      </w:rPr>
    </w:lvl>
    <w:lvl w:ilvl="6" w:tplc="7C5C6F14">
      <w:start w:val="1"/>
      <w:numFmt w:val="bullet"/>
      <w:lvlText w:val=""/>
      <w:lvlJc w:val="left"/>
      <w:pPr>
        <w:ind w:left="720" w:hanging="360"/>
      </w:pPr>
      <w:rPr>
        <w:rFonts w:ascii="Symbol" w:hAnsi="Symbol"/>
      </w:rPr>
    </w:lvl>
    <w:lvl w:ilvl="7" w:tplc="D58846A8">
      <w:start w:val="1"/>
      <w:numFmt w:val="bullet"/>
      <w:lvlText w:val=""/>
      <w:lvlJc w:val="left"/>
      <w:pPr>
        <w:ind w:left="720" w:hanging="360"/>
      </w:pPr>
      <w:rPr>
        <w:rFonts w:ascii="Symbol" w:hAnsi="Symbol"/>
      </w:rPr>
    </w:lvl>
    <w:lvl w:ilvl="8" w:tplc="E9FE4556">
      <w:start w:val="1"/>
      <w:numFmt w:val="bullet"/>
      <w:lvlText w:val=""/>
      <w:lvlJc w:val="left"/>
      <w:pPr>
        <w:ind w:left="720" w:hanging="360"/>
      </w:pPr>
      <w:rPr>
        <w:rFonts w:ascii="Symbol" w:hAnsi="Symbol"/>
      </w:rPr>
    </w:lvl>
  </w:abstractNum>
  <w:abstractNum w:abstractNumId="11" w15:restartNumberingAfterBreak="0">
    <w:nsid w:val="14B529C3"/>
    <w:multiLevelType w:val="hybridMultilevel"/>
    <w:tmpl w:val="BB0A16FC"/>
    <w:lvl w:ilvl="0" w:tplc="238AD36E">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D26AEC96">
      <w:numFmt w:val="bullet"/>
      <w:lvlText w:val="•"/>
      <w:lvlJc w:val="left"/>
      <w:pPr>
        <w:ind w:left="4454" w:hanging="252"/>
      </w:pPr>
      <w:rPr>
        <w:rFonts w:hint="default"/>
        <w:lang w:val="ro-RO" w:eastAsia="en-US" w:bidi="ar-SA"/>
      </w:rPr>
    </w:lvl>
    <w:lvl w:ilvl="2" w:tplc="CC626D76">
      <w:numFmt w:val="bullet"/>
      <w:lvlText w:val="•"/>
      <w:lvlJc w:val="left"/>
      <w:pPr>
        <w:ind w:left="5109" w:hanging="252"/>
      </w:pPr>
      <w:rPr>
        <w:rFonts w:hint="default"/>
        <w:lang w:val="ro-RO" w:eastAsia="en-US" w:bidi="ar-SA"/>
      </w:rPr>
    </w:lvl>
    <w:lvl w:ilvl="3" w:tplc="D50CD692">
      <w:numFmt w:val="bullet"/>
      <w:lvlText w:val="•"/>
      <w:lvlJc w:val="left"/>
      <w:pPr>
        <w:ind w:left="5764" w:hanging="252"/>
      </w:pPr>
      <w:rPr>
        <w:rFonts w:hint="default"/>
        <w:lang w:val="ro-RO" w:eastAsia="en-US" w:bidi="ar-SA"/>
      </w:rPr>
    </w:lvl>
    <w:lvl w:ilvl="4" w:tplc="318C484E">
      <w:numFmt w:val="bullet"/>
      <w:lvlText w:val="•"/>
      <w:lvlJc w:val="left"/>
      <w:pPr>
        <w:ind w:left="6419" w:hanging="252"/>
      </w:pPr>
      <w:rPr>
        <w:rFonts w:hint="default"/>
        <w:lang w:val="ro-RO" w:eastAsia="en-US" w:bidi="ar-SA"/>
      </w:rPr>
    </w:lvl>
    <w:lvl w:ilvl="5" w:tplc="476C6A9A">
      <w:numFmt w:val="bullet"/>
      <w:lvlText w:val="•"/>
      <w:lvlJc w:val="left"/>
      <w:pPr>
        <w:ind w:left="7073" w:hanging="252"/>
      </w:pPr>
      <w:rPr>
        <w:rFonts w:hint="default"/>
        <w:lang w:val="ro-RO" w:eastAsia="en-US" w:bidi="ar-SA"/>
      </w:rPr>
    </w:lvl>
    <w:lvl w:ilvl="6" w:tplc="F3BAA92A">
      <w:numFmt w:val="bullet"/>
      <w:lvlText w:val="•"/>
      <w:lvlJc w:val="left"/>
      <w:pPr>
        <w:ind w:left="7728" w:hanging="252"/>
      </w:pPr>
      <w:rPr>
        <w:rFonts w:hint="default"/>
        <w:lang w:val="ro-RO" w:eastAsia="en-US" w:bidi="ar-SA"/>
      </w:rPr>
    </w:lvl>
    <w:lvl w:ilvl="7" w:tplc="2E3CFF12">
      <w:numFmt w:val="bullet"/>
      <w:lvlText w:val="•"/>
      <w:lvlJc w:val="left"/>
      <w:pPr>
        <w:ind w:left="8383" w:hanging="252"/>
      </w:pPr>
      <w:rPr>
        <w:rFonts w:hint="default"/>
        <w:lang w:val="ro-RO" w:eastAsia="en-US" w:bidi="ar-SA"/>
      </w:rPr>
    </w:lvl>
    <w:lvl w:ilvl="8" w:tplc="23828508">
      <w:numFmt w:val="bullet"/>
      <w:lvlText w:val="•"/>
      <w:lvlJc w:val="left"/>
      <w:pPr>
        <w:ind w:left="9038" w:hanging="252"/>
      </w:pPr>
      <w:rPr>
        <w:rFonts w:hint="default"/>
        <w:lang w:val="ro-RO" w:eastAsia="en-US" w:bidi="ar-SA"/>
      </w:rPr>
    </w:lvl>
  </w:abstractNum>
  <w:abstractNum w:abstractNumId="12"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13"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16"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1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1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2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2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2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2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850FED"/>
    <w:multiLevelType w:val="hybridMultilevel"/>
    <w:tmpl w:val="3E32930A"/>
    <w:lvl w:ilvl="0" w:tplc="81B6C148">
      <w:start w:val="1"/>
      <w:numFmt w:val="decimal"/>
      <w:lvlText w:val="%1."/>
      <w:lvlJc w:val="left"/>
      <w:pPr>
        <w:ind w:left="1020" w:hanging="360"/>
      </w:pPr>
    </w:lvl>
    <w:lvl w:ilvl="1" w:tplc="62DE647A">
      <w:start w:val="1"/>
      <w:numFmt w:val="decimal"/>
      <w:lvlText w:val="%2."/>
      <w:lvlJc w:val="left"/>
      <w:pPr>
        <w:ind w:left="1020" w:hanging="360"/>
      </w:pPr>
    </w:lvl>
    <w:lvl w:ilvl="2" w:tplc="24F8BEE2">
      <w:start w:val="1"/>
      <w:numFmt w:val="decimal"/>
      <w:lvlText w:val="%3."/>
      <w:lvlJc w:val="left"/>
      <w:pPr>
        <w:ind w:left="1020" w:hanging="360"/>
      </w:pPr>
    </w:lvl>
    <w:lvl w:ilvl="3" w:tplc="9BF0C390">
      <w:start w:val="1"/>
      <w:numFmt w:val="decimal"/>
      <w:lvlText w:val="%4."/>
      <w:lvlJc w:val="left"/>
      <w:pPr>
        <w:ind w:left="1020" w:hanging="360"/>
      </w:pPr>
    </w:lvl>
    <w:lvl w:ilvl="4" w:tplc="14F8B7FE">
      <w:start w:val="1"/>
      <w:numFmt w:val="decimal"/>
      <w:lvlText w:val="%5."/>
      <w:lvlJc w:val="left"/>
      <w:pPr>
        <w:ind w:left="1020" w:hanging="360"/>
      </w:pPr>
    </w:lvl>
    <w:lvl w:ilvl="5" w:tplc="1570B6C6">
      <w:start w:val="1"/>
      <w:numFmt w:val="decimal"/>
      <w:lvlText w:val="%6."/>
      <w:lvlJc w:val="left"/>
      <w:pPr>
        <w:ind w:left="1020" w:hanging="360"/>
      </w:pPr>
    </w:lvl>
    <w:lvl w:ilvl="6" w:tplc="60C83994">
      <w:start w:val="1"/>
      <w:numFmt w:val="decimal"/>
      <w:lvlText w:val="%7."/>
      <w:lvlJc w:val="left"/>
      <w:pPr>
        <w:ind w:left="1020" w:hanging="360"/>
      </w:pPr>
    </w:lvl>
    <w:lvl w:ilvl="7" w:tplc="42F2D2D2">
      <w:start w:val="1"/>
      <w:numFmt w:val="decimal"/>
      <w:lvlText w:val="%8."/>
      <w:lvlJc w:val="left"/>
      <w:pPr>
        <w:ind w:left="1020" w:hanging="360"/>
      </w:pPr>
    </w:lvl>
    <w:lvl w:ilvl="8" w:tplc="7688DAEC">
      <w:start w:val="1"/>
      <w:numFmt w:val="decimal"/>
      <w:lvlText w:val="%9."/>
      <w:lvlJc w:val="left"/>
      <w:pPr>
        <w:ind w:left="1020" w:hanging="360"/>
      </w:pPr>
    </w:lvl>
  </w:abstractNum>
  <w:abstractNum w:abstractNumId="27"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28" w15:restartNumberingAfterBreak="0">
    <w:nsid w:val="32CD2ED2"/>
    <w:multiLevelType w:val="multilevel"/>
    <w:tmpl w:val="E3D4F408"/>
    <w:lvl w:ilvl="0">
      <w:start w:val="1"/>
      <w:numFmt w:val="decimal"/>
      <w:lvlText w:val="%1."/>
      <w:lvlJc w:val="left"/>
      <w:pPr>
        <w:ind w:left="720" w:hanging="360"/>
      </w:pPr>
      <w:rPr>
        <w:rFonts w:ascii="Times New Roman" w:hAnsi="Times New Roman" w:cs="Times New Roman" w:hint="default"/>
        <w:b/>
        <w:bCs w:val="0"/>
      </w:rPr>
    </w:lvl>
    <w:lvl w:ilvl="1">
      <w:start w:val="1"/>
      <w:numFmt w:val="decimal"/>
      <w:lvlText w:val="%1.%2."/>
      <w:lvlJc w:val="center"/>
      <w:pPr>
        <w:ind w:left="1440" w:hanging="360"/>
      </w:pPr>
      <w:rPr>
        <w:b w:val="0"/>
        <w:bCs w:val="0"/>
      </w:rPr>
    </w:lvl>
    <w:lvl w:ilvl="2">
      <w:start w:val="1"/>
      <w:numFmt w:val="decimal"/>
      <w:lvlText w:val="%1.%2.%3"/>
      <w:lvlJc w:val="center"/>
      <w:pPr>
        <w:ind w:left="2700" w:hanging="360"/>
      </w:pPr>
      <w:rPr>
        <w:b w:val="0"/>
        <w:bCs w:val="0"/>
      </w:r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30"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31"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32"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35" w15:restartNumberingAfterBreak="0">
    <w:nsid w:val="3B1C542A"/>
    <w:multiLevelType w:val="hybridMultilevel"/>
    <w:tmpl w:val="C3E601E4"/>
    <w:lvl w:ilvl="0" w:tplc="052CC69C">
      <w:numFmt w:val="bullet"/>
      <w:lvlText w:val="-"/>
      <w:lvlJc w:val="left"/>
      <w:pPr>
        <w:ind w:left="791" w:hanging="360"/>
      </w:pPr>
      <w:rPr>
        <w:rFonts w:ascii="Times New Roman" w:eastAsiaTheme="minorEastAsia" w:hAnsi="Times New Roman" w:cs="Times New Roman" w:hint="default"/>
        <w:w w:val="105"/>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36" w15:restartNumberingAfterBreak="0">
    <w:nsid w:val="3CFA748B"/>
    <w:multiLevelType w:val="multilevel"/>
    <w:tmpl w:val="E71487E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432"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3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3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3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40"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4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4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44"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4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4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4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4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49" w15:restartNumberingAfterBreak="0">
    <w:nsid w:val="4E0720A2"/>
    <w:multiLevelType w:val="multilevel"/>
    <w:tmpl w:val="75CA53C0"/>
    <w:lvl w:ilvl="0">
      <w:start w:val="1"/>
      <w:numFmt w:val="decimal"/>
      <w:pStyle w:val="Anexapct1"/>
      <w:suff w:val="space"/>
      <w:lvlText w:val="%1."/>
      <w:lvlJc w:val="left"/>
      <w:pPr>
        <w:ind w:left="0" w:firstLine="431"/>
      </w:pPr>
      <w:rPr>
        <w:rFonts w:hint="default"/>
        <w:b/>
        <w:i w:val="0"/>
        <w:sz w:val="28"/>
        <w:szCs w:val="28"/>
      </w:rPr>
    </w:lvl>
    <w:lvl w:ilvl="1">
      <w:start w:val="1"/>
      <w:numFmt w:val="decimal"/>
      <w:pStyle w:val="Anexapct11"/>
      <w:suff w:val="space"/>
      <w:lvlText w:val="%1.%2."/>
      <w:lvlJc w:val="left"/>
      <w:pPr>
        <w:ind w:left="0" w:firstLine="431"/>
      </w:pPr>
      <w:rPr>
        <w:rFonts w:hint="default"/>
        <w:b w:val="0"/>
        <w:bCs w:val="0"/>
      </w:rPr>
    </w:lvl>
    <w:lvl w:ilvl="2">
      <w:start w:val="1"/>
      <w:numFmt w:val="decimal"/>
      <w:pStyle w:val="Anexapct111"/>
      <w:suff w:val="space"/>
      <w:lvlText w:val="%1.%2.%3."/>
      <w:lvlJc w:val="left"/>
      <w:pPr>
        <w:ind w:left="704"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50"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5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52" w15:restartNumberingAfterBreak="0">
    <w:nsid w:val="53176E64"/>
    <w:multiLevelType w:val="hybridMultilevel"/>
    <w:tmpl w:val="5ABA05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54"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55" w15:restartNumberingAfterBreak="0">
    <w:nsid w:val="54EA6950"/>
    <w:multiLevelType w:val="multilevel"/>
    <w:tmpl w:val="CE9E26E6"/>
    <w:lvl w:ilvl="0">
      <w:start w:val="1"/>
      <w:numFmt w:val="decimal"/>
      <w:lvlText w:val="%1."/>
      <w:lvlJc w:val="left"/>
      <w:pPr>
        <w:ind w:left="967" w:hanging="288"/>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0" w:hanging="495"/>
      </w:pPr>
      <w:rPr>
        <w:rFonts w:ascii="Cambria" w:eastAsia="Cambria" w:hAnsi="Cambria" w:cs="Cambria" w:hint="default"/>
        <w:b w:val="0"/>
        <w:bCs w:val="0"/>
        <w:i w:val="0"/>
        <w:iCs w:val="0"/>
        <w:spacing w:val="0"/>
        <w:w w:val="113"/>
        <w:sz w:val="24"/>
        <w:szCs w:val="24"/>
        <w:lang w:val="ro-RO" w:eastAsia="en-US" w:bidi="ar-SA"/>
      </w:rPr>
    </w:lvl>
    <w:lvl w:ilvl="2">
      <w:numFmt w:val="bullet"/>
      <w:lvlText w:val="•"/>
      <w:lvlJc w:val="left"/>
      <w:pPr>
        <w:ind w:left="2003" w:hanging="495"/>
      </w:pPr>
      <w:rPr>
        <w:rFonts w:hint="default"/>
        <w:lang w:val="ro-RO" w:eastAsia="en-US" w:bidi="ar-SA"/>
      </w:rPr>
    </w:lvl>
    <w:lvl w:ilvl="3">
      <w:numFmt w:val="bullet"/>
      <w:lvlText w:val="•"/>
      <w:lvlJc w:val="left"/>
      <w:pPr>
        <w:ind w:left="3046" w:hanging="495"/>
      </w:pPr>
      <w:rPr>
        <w:rFonts w:hint="default"/>
        <w:lang w:val="ro-RO" w:eastAsia="en-US" w:bidi="ar-SA"/>
      </w:rPr>
    </w:lvl>
    <w:lvl w:ilvl="4">
      <w:numFmt w:val="bullet"/>
      <w:lvlText w:val="•"/>
      <w:lvlJc w:val="left"/>
      <w:pPr>
        <w:ind w:left="4089" w:hanging="495"/>
      </w:pPr>
      <w:rPr>
        <w:rFonts w:hint="default"/>
        <w:lang w:val="ro-RO" w:eastAsia="en-US" w:bidi="ar-SA"/>
      </w:rPr>
    </w:lvl>
    <w:lvl w:ilvl="5">
      <w:numFmt w:val="bullet"/>
      <w:lvlText w:val="•"/>
      <w:lvlJc w:val="left"/>
      <w:pPr>
        <w:ind w:left="5132" w:hanging="495"/>
      </w:pPr>
      <w:rPr>
        <w:rFonts w:hint="default"/>
        <w:lang w:val="ro-RO" w:eastAsia="en-US" w:bidi="ar-SA"/>
      </w:rPr>
    </w:lvl>
    <w:lvl w:ilvl="6">
      <w:numFmt w:val="bullet"/>
      <w:lvlText w:val="•"/>
      <w:lvlJc w:val="left"/>
      <w:pPr>
        <w:ind w:left="6175" w:hanging="495"/>
      </w:pPr>
      <w:rPr>
        <w:rFonts w:hint="default"/>
        <w:lang w:val="ro-RO" w:eastAsia="en-US" w:bidi="ar-SA"/>
      </w:rPr>
    </w:lvl>
    <w:lvl w:ilvl="7">
      <w:numFmt w:val="bullet"/>
      <w:lvlText w:val="•"/>
      <w:lvlJc w:val="left"/>
      <w:pPr>
        <w:ind w:left="7218" w:hanging="495"/>
      </w:pPr>
      <w:rPr>
        <w:rFonts w:hint="default"/>
        <w:lang w:val="ro-RO" w:eastAsia="en-US" w:bidi="ar-SA"/>
      </w:rPr>
    </w:lvl>
    <w:lvl w:ilvl="8">
      <w:numFmt w:val="bullet"/>
      <w:lvlText w:val="•"/>
      <w:lvlJc w:val="left"/>
      <w:pPr>
        <w:ind w:left="8261" w:hanging="495"/>
      </w:pPr>
      <w:rPr>
        <w:rFonts w:hint="default"/>
        <w:lang w:val="ro-RO" w:eastAsia="en-US" w:bidi="ar-SA"/>
      </w:rPr>
    </w:lvl>
  </w:abstractNum>
  <w:abstractNum w:abstractNumId="56"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57"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58"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59" w15:restartNumberingAfterBreak="0">
    <w:nsid w:val="5B807543"/>
    <w:multiLevelType w:val="multilevel"/>
    <w:tmpl w:val="9EF6EF2E"/>
    <w:lvl w:ilvl="0">
      <w:start w:val="1"/>
      <w:numFmt w:val="decimal"/>
      <w:lvlText w:val="%1."/>
      <w:lvlJc w:val="left"/>
      <w:pPr>
        <w:ind w:left="0" w:hanging="307"/>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1333" w:hanging="481"/>
      </w:pPr>
      <w:rPr>
        <w:rFonts w:ascii="Cambria" w:eastAsia="Cambria" w:hAnsi="Cambria" w:cs="Cambria" w:hint="default"/>
        <w:b/>
        <w:bCs/>
        <w:i w:val="0"/>
        <w:iCs w:val="0"/>
        <w:spacing w:val="0"/>
        <w:w w:val="113"/>
        <w:sz w:val="24"/>
        <w:szCs w:val="24"/>
        <w:lang w:val="ro-RO" w:eastAsia="en-US" w:bidi="ar-SA"/>
      </w:rPr>
    </w:lvl>
    <w:lvl w:ilvl="2">
      <w:start w:val="1"/>
      <w:numFmt w:val="decimal"/>
      <w:lvlText w:val="%1.%2.%3."/>
      <w:lvlJc w:val="left"/>
      <w:pPr>
        <w:ind w:left="0" w:hanging="908"/>
      </w:pPr>
      <w:rPr>
        <w:rFonts w:ascii="Cambria" w:eastAsia="Cambria" w:hAnsi="Cambria" w:cs="Cambria" w:hint="default"/>
        <w:b w:val="0"/>
        <w:bCs w:val="0"/>
        <w:i w:val="0"/>
        <w:iCs w:val="0"/>
        <w:spacing w:val="0"/>
        <w:w w:val="111"/>
        <w:sz w:val="24"/>
        <w:szCs w:val="24"/>
        <w:lang w:val="ro-RO" w:eastAsia="en-US" w:bidi="ar-SA"/>
      </w:rPr>
    </w:lvl>
    <w:lvl w:ilvl="3">
      <w:numFmt w:val="bullet"/>
      <w:lvlText w:val="•"/>
      <w:lvlJc w:val="left"/>
      <w:pPr>
        <w:ind w:left="1500" w:hanging="908"/>
      </w:pPr>
      <w:rPr>
        <w:rFonts w:hint="default"/>
        <w:lang w:val="ro-RO" w:eastAsia="en-US" w:bidi="ar-SA"/>
      </w:rPr>
    </w:lvl>
    <w:lvl w:ilvl="4">
      <w:numFmt w:val="bullet"/>
      <w:lvlText w:val="•"/>
      <w:lvlJc w:val="left"/>
      <w:pPr>
        <w:ind w:left="2763" w:hanging="908"/>
      </w:pPr>
      <w:rPr>
        <w:rFonts w:hint="default"/>
        <w:lang w:val="ro-RO" w:eastAsia="en-US" w:bidi="ar-SA"/>
      </w:rPr>
    </w:lvl>
    <w:lvl w:ilvl="5">
      <w:numFmt w:val="bullet"/>
      <w:lvlText w:val="•"/>
      <w:lvlJc w:val="left"/>
      <w:pPr>
        <w:ind w:left="4027" w:hanging="908"/>
      </w:pPr>
      <w:rPr>
        <w:rFonts w:hint="default"/>
        <w:lang w:val="ro-RO" w:eastAsia="en-US" w:bidi="ar-SA"/>
      </w:rPr>
    </w:lvl>
    <w:lvl w:ilvl="6">
      <w:numFmt w:val="bullet"/>
      <w:lvlText w:val="•"/>
      <w:lvlJc w:val="left"/>
      <w:pPr>
        <w:ind w:left="5291" w:hanging="908"/>
      </w:pPr>
      <w:rPr>
        <w:rFonts w:hint="default"/>
        <w:lang w:val="ro-RO" w:eastAsia="en-US" w:bidi="ar-SA"/>
      </w:rPr>
    </w:lvl>
    <w:lvl w:ilvl="7">
      <w:numFmt w:val="bullet"/>
      <w:lvlText w:val="•"/>
      <w:lvlJc w:val="left"/>
      <w:pPr>
        <w:ind w:left="6555" w:hanging="908"/>
      </w:pPr>
      <w:rPr>
        <w:rFonts w:hint="default"/>
        <w:lang w:val="ro-RO" w:eastAsia="en-US" w:bidi="ar-SA"/>
      </w:rPr>
    </w:lvl>
    <w:lvl w:ilvl="8">
      <w:numFmt w:val="bullet"/>
      <w:lvlText w:val="•"/>
      <w:lvlJc w:val="left"/>
      <w:pPr>
        <w:ind w:left="7819" w:hanging="908"/>
      </w:pPr>
      <w:rPr>
        <w:rFonts w:hint="default"/>
        <w:lang w:val="ro-RO" w:eastAsia="en-US" w:bidi="ar-SA"/>
      </w:rPr>
    </w:lvl>
  </w:abstractNum>
  <w:abstractNum w:abstractNumId="60"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61"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62" w15:restartNumberingAfterBreak="0">
    <w:nsid w:val="5DC3467B"/>
    <w:multiLevelType w:val="hybridMultilevel"/>
    <w:tmpl w:val="A48610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66"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68"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7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7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72"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73" w15:restartNumberingAfterBreak="0">
    <w:nsid w:val="68E44042"/>
    <w:multiLevelType w:val="hybridMultilevel"/>
    <w:tmpl w:val="E1AAC9B6"/>
    <w:lvl w:ilvl="0" w:tplc="044EA414">
      <w:start w:val="1"/>
      <w:numFmt w:val="decimal"/>
      <w:lvlText w:val="%1."/>
      <w:lvlJc w:val="left"/>
      <w:pPr>
        <w:ind w:left="1020" w:hanging="360"/>
      </w:pPr>
    </w:lvl>
    <w:lvl w:ilvl="1" w:tplc="016E5B60">
      <w:start w:val="1"/>
      <w:numFmt w:val="decimal"/>
      <w:lvlText w:val="%2."/>
      <w:lvlJc w:val="left"/>
      <w:pPr>
        <w:ind w:left="1020" w:hanging="360"/>
      </w:pPr>
    </w:lvl>
    <w:lvl w:ilvl="2" w:tplc="07627F9C">
      <w:start w:val="1"/>
      <w:numFmt w:val="decimal"/>
      <w:lvlText w:val="%3."/>
      <w:lvlJc w:val="left"/>
      <w:pPr>
        <w:ind w:left="1020" w:hanging="360"/>
      </w:pPr>
    </w:lvl>
    <w:lvl w:ilvl="3" w:tplc="20C6A16C">
      <w:start w:val="1"/>
      <w:numFmt w:val="decimal"/>
      <w:lvlText w:val="%4."/>
      <w:lvlJc w:val="left"/>
      <w:pPr>
        <w:ind w:left="1020" w:hanging="360"/>
      </w:pPr>
    </w:lvl>
    <w:lvl w:ilvl="4" w:tplc="348EA20E">
      <w:start w:val="1"/>
      <w:numFmt w:val="decimal"/>
      <w:lvlText w:val="%5."/>
      <w:lvlJc w:val="left"/>
      <w:pPr>
        <w:ind w:left="1020" w:hanging="360"/>
      </w:pPr>
    </w:lvl>
    <w:lvl w:ilvl="5" w:tplc="78FAA252">
      <w:start w:val="1"/>
      <w:numFmt w:val="decimal"/>
      <w:lvlText w:val="%6."/>
      <w:lvlJc w:val="left"/>
      <w:pPr>
        <w:ind w:left="1020" w:hanging="360"/>
      </w:pPr>
    </w:lvl>
    <w:lvl w:ilvl="6" w:tplc="A09639F6">
      <w:start w:val="1"/>
      <w:numFmt w:val="decimal"/>
      <w:lvlText w:val="%7."/>
      <w:lvlJc w:val="left"/>
      <w:pPr>
        <w:ind w:left="1020" w:hanging="360"/>
      </w:pPr>
    </w:lvl>
    <w:lvl w:ilvl="7" w:tplc="EBD28F52">
      <w:start w:val="1"/>
      <w:numFmt w:val="decimal"/>
      <w:lvlText w:val="%8."/>
      <w:lvlJc w:val="left"/>
      <w:pPr>
        <w:ind w:left="1020" w:hanging="360"/>
      </w:pPr>
    </w:lvl>
    <w:lvl w:ilvl="8" w:tplc="C44C1126">
      <w:start w:val="1"/>
      <w:numFmt w:val="decimal"/>
      <w:lvlText w:val="%9."/>
      <w:lvlJc w:val="left"/>
      <w:pPr>
        <w:ind w:left="1020" w:hanging="360"/>
      </w:pPr>
    </w:lvl>
  </w:abstractNum>
  <w:abstractNum w:abstractNumId="74" w15:restartNumberingAfterBreak="0">
    <w:nsid w:val="69B0486D"/>
    <w:multiLevelType w:val="hybridMultilevel"/>
    <w:tmpl w:val="7388C78C"/>
    <w:lvl w:ilvl="0" w:tplc="F98288A4">
      <w:numFmt w:val="bullet"/>
      <w:lvlText w:val="-"/>
      <w:lvlJc w:val="left"/>
      <w:pPr>
        <w:ind w:left="0" w:hanging="143"/>
      </w:pPr>
      <w:rPr>
        <w:rFonts w:ascii="Cambria" w:eastAsia="Cambria" w:hAnsi="Cambria" w:cs="Cambria" w:hint="default"/>
        <w:b w:val="0"/>
        <w:bCs w:val="0"/>
        <w:i w:val="0"/>
        <w:iCs w:val="0"/>
        <w:spacing w:val="0"/>
        <w:w w:val="91"/>
        <w:sz w:val="24"/>
        <w:szCs w:val="24"/>
        <w:lang w:val="ro-RO" w:eastAsia="en-US" w:bidi="ar-SA"/>
      </w:rPr>
    </w:lvl>
    <w:lvl w:ilvl="1" w:tplc="6DA2432A">
      <w:numFmt w:val="bullet"/>
      <w:lvlText w:val="•"/>
      <w:lvlJc w:val="left"/>
      <w:pPr>
        <w:ind w:left="1034" w:hanging="143"/>
      </w:pPr>
      <w:rPr>
        <w:rFonts w:hint="default"/>
        <w:lang w:val="ro-RO" w:eastAsia="en-US" w:bidi="ar-SA"/>
      </w:rPr>
    </w:lvl>
    <w:lvl w:ilvl="2" w:tplc="29808916">
      <w:numFmt w:val="bullet"/>
      <w:lvlText w:val="•"/>
      <w:lvlJc w:val="left"/>
      <w:pPr>
        <w:ind w:left="2069" w:hanging="143"/>
      </w:pPr>
      <w:rPr>
        <w:rFonts w:hint="default"/>
        <w:lang w:val="ro-RO" w:eastAsia="en-US" w:bidi="ar-SA"/>
      </w:rPr>
    </w:lvl>
    <w:lvl w:ilvl="3" w:tplc="B9F47F62">
      <w:numFmt w:val="bullet"/>
      <w:lvlText w:val="•"/>
      <w:lvlJc w:val="left"/>
      <w:pPr>
        <w:ind w:left="3104" w:hanging="143"/>
      </w:pPr>
      <w:rPr>
        <w:rFonts w:hint="default"/>
        <w:lang w:val="ro-RO" w:eastAsia="en-US" w:bidi="ar-SA"/>
      </w:rPr>
    </w:lvl>
    <w:lvl w:ilvl="4" w:tplc="6DD63C44">
      <w:numFmt w:val="bullet"/>
      <w:lvlText w:val="•"/>
      <w:lvlJc w:val="left"/>
      <w:pPr>
        <w:ind w:left="4139" w:hanging="143"/>
      </w:pPr>
      <w:rPr>
        <w:rFonts w:hint="default"/>
        <w:lang w:val="ro-RO" w:eastAsia="en-US" w:bidi="ar-SA"/>
      </w:rPr>
    </w:lvl>
    <w:lvl w:ilvl="5" w:tplc="5CC2EA08">
      <w:numFmt w:val="bullet"/>
      <w:lvlText w:val="•"/>
      <w:lvlJc w:val="left"/>
      <w:pPr>
        <w:ind w:left="5173" w:hanging="143"/>
      </w:pPr>
      <w:rPr>
        <w:rFonts w:hint="default"/>
        <w:lang w:val="ro-RO" w:eastAsia="en-US" w:bidi="ar-SA"/>
      </w:rPr>
    </w:lvl>
    <w:lvl w:ilvl="6" w:tplc="E31AE146">
      <w:numFmt w:val="bullet"/>
      <w:lvlText w:val="•"/>
      <w:lvlJc w:val="left"/>
      <w:pPr>
        <w:ind w:left="6208" w:hanging="143"/>
      </w:pPr>
      <w:rPr>
        <w:rFonts w:hint="default"/>
        <w:lang w:val="ro-RO" w:eastAsia="en-US" w:bidi="ar-SA"/>
      </w:rPr>
    </w:lvl>
    <w:lvl w:ilvl="7" w:tplc="D77C54CC">
      <w:numFmt w:val="bullet"/>
      <w:lvlText w:val="•"/>
      <w:lvlJc w:val="left"/>
      <w:pPr>
        <w:ind w:left="7243" w:hanging="143"/>
      </w:pPr>
      <w:rPr>
        <w:rFonts w:hint="default"/>
        <w:lang w:val="ro-RO" w:eastAsia="en-US" w:bidi="ar-SA"/>
      </w:rPr>
    </w:lvl>
    <w:lvl w:ilvl="8" w:tplc="6F5449EC">
      <w:numFmt w:val="bullet"/>
      <w:lvlText w:val="•"/>
      <w:lvlJc w:val="left"/>
      <w:pPr>
        <w:ind w:left="8278" w:hanging="143"/>
      </w:pPr>
      <w:rPr>
        <w:rFonts w:hint="default"/>
        <w:lang w:val="ro-RO" w:eastAsia="en-US" w:bidi="ar-SA"/>
      </w:rPr>
    </w:lvl>
  </w:abstractNum>
  <w:abstractNum w:abstractNumId="75"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76"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77"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0"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81"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82"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num w:numId="1" w16cid:durableId="1001198135">
    <w:abstractNumId w:val="36"/>
  </w:num>
  <w:num w:numId="2" w16cid:durableId="19027892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3006589">
    <w:abstractNumId w:val="14"/>
  </w:num>
  <w:num w:numId="4" w16cid:durableId="1725717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36078">
    <w:abstractNumId w:val="68"/>
  </w:num>
  <w:num w:numId="6" w16cid:durableId="199197707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9927316">
    <w:abstractNumId w:val="32"/>
  </w:num>
  <w:num w:numId="8" w16cid:durableId="1197741048">
    <w:abstractNumId w:val="32"/>
  </w:num>
  <w:num w:numId="9" w16cid:durableId="773478460">
    <w:abstractNumId w:val="66"/>
  </w:num>
  <w:num w:numId="10" w16cid:durableId="1117795246">
    <w:abstractNumId w:val="66"/>
  </w:num>
  <w:num w:numId="11" w16cid:durableId="17903948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949904">
    <w:abstractNumId w:val="33"/>
  </w:num>
  <w:num w:numId="13" w16cid:durableId="14433013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9720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2333437">
    <w:abstractNumId w:val="64"/>
  </w:num>
  <w:num w:numId="16" w16cid:durableId="167253673">
    <w:abstractNumId w:val="2"/>
  </w:num>
  <w:num w:numId="17" w16cid:durableId="507334829">
    <w:abstractNumId w:val="53"/>
  </w:num>
  <w:num w:numId="18" w16cid:durableId="4380658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50968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5085">
    <w:abstractNumId w:val="49"/>
  </w:num>
  <w:num w:numId="21" w16cid:durableId="296496034">
    <w:abstractNumId w:val="49"/>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153125620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0379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98693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760970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9360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4189862">
    <w:abstractNumId w:val="40"/>
  </w:num>
  <w:num w:numId="28" w16cid:durableId="1417628971">
    <w:abstractNumId w:val="22"/>
  </w:num>
  <w:num w:numId="29" w16cid:durableId="1703700966">
    <w:abstractNumId w:val="44"/>
  </w:num>
  <w:num w:numId="30" w16cid:durableId="819073551">
    <w:abstractNumId w:val="50"/>
  </w:num>
  <w:num w:numId="31" w16cid:durableId="582028623">
    <w:abstractNumId w:val="29"/>
  </w:num>
  <w:num w:numId="32" w16cid:durableId="454520322">
    <w:abstractNumId w:val="16"/>
  </w:num>
  <w:num w:numId="33" w16cid:durableId="855002474">
    <w:abstractNumId w:val="72"/>
  </w:num>
  <w:num w:numId="34" w16cid:durableId="2084983829">
    <w:abstractNumId w:val="69"/>
  </w:num>
  <w:num w:numId="35" w16cid:durableId="49501211">
    <w:abstractNumId w:val="75"/>
  </w:num>
  <w:num w:numId="36" w16cid:durableId="1178232590">
    <w:abstractNumId w:val="34"/>
  </w:num>
  <w:num w:numId="37" w16cid:durableId="1461613611">
    <w:abstractNumId w:val="4"/>
  </w:num>
  <w:num w:numId="38" w16cid:durableId="430276531">
    <w:abstractNumId w:val="0"/>
  </w:num>
  <w:num w:numId="39" w16cid:durableId="1162158808">
    <w:abstractNumId w:val="82"/>
  </w:num>
  <w:num w:numId="40" w16cid:durableId="805582332">
    <w:abstractNumId w:val="7"/>
  </w:num>
  <w:num w:numId="41" w16cid:durableId="651063968">
    <w:abstractNumId w:val="12"/>
  </w:num>
  <w:num w:numId="42" w16cid:durableId="1890875061">
    <w:abstractNumId w:val="81"/>
  </w:num>
  <w:num w:numId="43" w16cid:durableId="988900321">
    <w:abstractNumId w:val="49"/>
  </w:num>
  <w:num w:numId="44" w16cid:durableId="922373269">
    <w:abstractNumId w:val="49"/>
  </w:num>
  <w:num w:numId="45" w16cid:durableId="857230518">
    <w:abstractNumId w:val="49"/>
  </w:num>
  <w:num w:numId="46" w16cid:durableId="501434006">
    <w:abstractNumId w:val="49"/>
  </w:num>
  <w:num w:numId="47" w16cid:durableId="326371301">
    <w:abstractNumId w:val="49"/>
  </w:num>
  <w:num w:numId="48" w16cid:durableId="14602252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095188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01494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1019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452242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54734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81422046">
    <w:abstractNumId w:val="49"/>
  </w:num>
  <w:num w:numId="55" w16cid:durableId="17223657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379335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21999794">
    <w:abstractNumId w:val="49"/>
  </w:num>
  <w:num w:numId="58" w16cid:durableId="1517764143">
    <w:abstractNumId w:val="49"/>
  </w:num>
  <w:num w:numId="59" w16cid:durableId="1674525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915343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97518158">
    <w:abstractNumId w:val="27"/>
  </w:num>
  <w:num w:numId="62" w16cid:durableId="5703849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21661624">
    <w:abstractNumId w:val="80"/>
  </w:num>
  <w:num w:numId="64" w16cid:durableId="15094411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259648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56329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6827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150477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2720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07055035">
    <w:abstractNumId w:val="36"/>
  </w:num>
  <w:num w:numId="71" w16cid:durableId="225992984">
    <w:abstractNumId w:val="36"/>
  </w:num>
  <w:num w:numId="72" w16cid:durableId="784620173">
    <w:abstractNumId w:val="36"/>
  </w:num>
  <w:num w:numId="73" w16cid:durableId="20607878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77724931">
    <w:abstractNumId w:val="36"/>
  </w:num>
  <w:num w:numId="75" w16cid:durableId="2028650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185111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623553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8500539">
    <w:abstractNumId w:val="36"/>
  </w:num>
  <w:num w:numId="79" w16cid:durableId="1768885844">
    <w:abstractNumId w:val="36"/>
  </w:num>
  <w:num w:numId="80" w16cid:durableId="1790317611">
    <w:abstractNumId w:val="36"/>
  </w:num>
  <w:num w:numId="81" w16cid:durableId="1850244640">
    <w:abstractNumId w:val="36"/>
  </w:num>
  <w:num w:numId="82" w16cid:durableId="327906979">
    <w:abstractNumId w:val="36"/>
  </w:num>
  <w:num w:numId="83" w16cid:durableId="1053503531">
    <w:abstractNumId w:val="36"/>
  </w:num>
  <w:num w:numId="84" w16cid:durableId="416487529">
    <w:abstractNumId w:val="36"/>
  </w:num>
  <w:num w:numId="85" w16cid:durableId="1583366933">
    <w:abstractNumId w:val="36"/>
  </w:num>
  <w:num w:numId="86" w16cid:durableId="21197152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7489972">
    <w:abstractNumId w:val="49"/>
  </w:num>
  <w:num w:numId="88" w16cid:durableId="1488665342">
    <w:abstractNumId w:val="49"/>
  </w:num>
  <w:num w:numId="89" w16cid:durableId="11343265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41188011">
    <w:abstractNumId w:val="61"/>
  </w:num>
  <w:num w:numId="91" w16cid:durableId="587739740">
    <w:abstractNumId w:val="65"/>
  </w:num>
  <w:num w:numId="92" w16cid:durableId="1295058372">
    <w:abstractNumId w:val="30"/>
  </w:num>
  <w:num w:numId="93" w16cid:durableId="1589391119">
    <w:abstractNumId w:val="54"/>
  </w:num>
  <w:num w:numId="94" w16cid:durableId="813643821">
    <w:abstractNumId w:val="37"/>
  </w:num>
  <w:num w:numId="95" w16cid:durableId="724185697">
    <w:abstractNumId w:val="23"/>
  </w:num>
  <w:num w:numId="96" w16cid:durableId="391120410">
    <w:abstractNumId w:val="15"/>
  </w:num>
  <w:num w:numId="97" w16cid:durableId="1353650711">
    <w:abstractNumId w:val="17"/>
  </w:num>
  <w:num w:numId="98" w16cid:durableId="529756386">
    <w:abstractNumId w:val="47"/>
  </w:num>
  <w:num w:numId="99" w16cid:durableId="1817068414">
    <w:abstractNumId w:val="9"/>
  </w:num>
  <w:num w:numId="100" w16cid:durableId="929969679">
    <w:abstractNumId w:val="46"/>
  </w:num>
  <w:num w:numId="101" w16cid:durableId="463743524">
    <w:abstractNumId w:val="8"/>
  </w:num>
  <w:num w:numId="102" w16cid:durableId="1509369432">
    <w:abstractNumId w:val="70"/>
  </w:num>
  <w:num w:numId="103" w16cid:durableId="144976479">
    <w:abstractNumId w:val="38"/>
  </w:num>
  <w:num w:numId="104" w16cid:durableId="863251399">
    <w:abstractNumId w:val="39"/>
  </w:num>
  <w:num w:numId="105" w16cid:durableId="1336415565">
    <w:abstractNumId w:val="60"/>
  </w:num>
  <w:num w:numId="106" w16cid:durableId="2039770970">
    <w:abstractNumId w:val="56"/>
  </w:num>
  <w:num w:numId="107" w16cid:durableId="1053385257">
    <w:abstractNumId w:val="45"/>
  </w:num>
  <w:num w:numId="108" w16cid:durableId="292299398">
    <w:abstractNumId w:val="41"/>
  </w:num>
  <w:num w:numId="109" w16cid:durableId="2106922115">
    <w:abstractNumId w:val="19"/>
  </w:num>
  <w:num w:numId="110" w16cid:durableId="623384998">
    <w:abstractNumId w:val="58"/>
  </w:num>
  <w:num w:numId="111" w16cid:durableId="1476755032">
    <w:abstractNumId w:val="13"/>
  </w:num>
  <w:num w:numId="112" w16cid:durableId="1389647913">
    <w:abstractNumId w:val="25"/>
  </w:num>
  <w:num w:numId="113" w16cid:durableId="2089496045">
    <w:abstractNumId w:val="21"/>
  </w:num>
  <w:num w:numId="114" w16cid:durableId="1339577544">
    <w:abstractNumId w:val="42"/>
  </w:num>
  <w:num w:numId="115" w16cid:durableId="481776770">
    <w:abstractNumId w:val="63"/>
  </w:num>
  <w:num w:numId="116" w16cid:durableId="59987386">
    <w:abstractNumId w:val="48"/>
  </w:num>
  <w:num w:numId="117" w16cid:durableId="1160584080">
    <w:abstractNumId w:val="76"/>
    <w:lvlOverride w:ilvl="0">
      <w:startOverride w:val="1"/>
    </w:lvlOverride>
  </w:num>
  <w:num w:numId="118" w16cid:durableId="233321069">
    <w:abstractNumId w:val="43"/>
  </w:num>
  <w:num w:numId="119" w16cid:durableId="1228221163">
    <w:abstractNumId w:val="18"/>
  </w:num>
  <w:num w:numId="120" w16cid:durableId="1201281458">
    <w:abstractNumId w:val="71"/>
  </w:num>
  <w:num w:numId="121" w16cid:durableId="517045413">
    <w:abstractNumId w:val="76"/>
  </w:num>
  <w:num w:numId="122" w16cid:durableId="142164304">
    <w:abstractNumId w:val="24"/>
  </w:num>
  <w:num w:numId="123" w16cid:durableId="1121845272">
    <w:abstractNumId w:val="78"/>
  </w:num>
  <w:num w:numId="124" w16cid:durableId="1159076889">
    <w:abstractNumId w:val="77"/>
  </w:num>
  <w:num w:numId="125" w16cid:durableId="41516025">
    <w:abstractNumId w:val="5"/>
  </w:num>
  <w:num w:numId="126" w16cid:durableId="2027753770">
    <w:abstractNumId w:val="20"/>
  </w:num>
  <w:num w:numId="127" w16cid:durableId="2090420006">
    <w:abstractNumId w:val="57"/>
  </w:num>
  <w:num w:numId="128" w16cid:durableId="1843232521">
    <w:abstractNumId w:val="31"/>
  </w:num>
  <w:num w:numId="129" w16cid:durableId="342779046">
    <w:abstractNumId w:val="67"/>
  </w:num>
  <w:num w:numId="130" w16cid:durableId="979921015">
    <w:abstractNumId w:val="51"/>
  </w:num>
  <w:num w:numId="131" w16cid:durableId="1571965743">
    <w:abstractNumId w:val="6"/>
  </w:num>
  <w:num w:numId="132" w16cid:durableId="1367415144">
    <w:abstractNumId w:val="79"/>
  </w:num>
  <w:num w:numId="133" w16cid:durableId="16601881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84267155">
    <w:abstractNumId w:val="1"/>
  </w:num>
  <w:num w:numId="135" w16cid:durableId="1058240177">
    <w:abstractNumId w:val="52"/>
  </w:num>
  <w:num w:numId="136" w16cid:durableId="1479344846">
    <w:abstractNumId w:val="62"/>
  </w:num>
  <w:num w:numId="137" w16cid:durableId="213927978">
    <w:abstractNumId w:val="59"/>
  </w:num>
  <w:num w:numId="138" w16cid:durableId="909541284">
    <w:abstractNumId w:val="11"/>
  </w:num>
  <w:num w:numId="139" w16cid:durableId="426582770">
    <w:abstractNumId w:val="74"/>
  </w:num>
  <w:num w:numId="140" w16cid:durableId="166333609">
    <w:abstractNumId w:val="55"/>
  </w:num>
  <w:num w:numId="141" w16cid:durableId="855190007">
    <w:abstractNumId w:val="3"/>
  </w:num>
  <w:num w:numId="142" w16cid:durableId="1141579021">
    <w:abstractNumId w:val="10"/>
  </w:num>
  <w:num w:numId="143" w16cid:durableId="1535272469">
    <w:abstractNumId w:val="35"/>
  </w:num>
  <w:num w:numId="144" w16cid:durableId="1122844401">
    <w:abstractNumId w:val="49"/>
    <w:lvlOverride w:ilvl="0">
      <w:startOverride w:val="2"/>
    </w:lvlOverride>
  </w:num>
  <w:num w:numId="145" w16cid:durableId="1640723096">
    <w:abstractNumId w:val="49"/>
  </w:num>
  <w:num w:numId="146" w16cid:durableId="1897551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43454853">
    <w:abstractNumId w:val="49"/>
  </w:num>
  <w:num w:numId="148" w16cid:durableId="1924601306">
    <w:abstractNumId w:val="49"/>
  </w:num>
  <w:num w:numId="149" w16cid:durableId="1269968224">
    <w:abstractNumId w:val="49"/>
  </w:num>
  <w:num w:numId="150" w16cid:durableId="20810518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79478184">
    <w:abstractNumId w:val="49"/>
  </w:num>
  <w:num w:numId="152" w16cid:durableId="7479659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39107205">
    <w:abstractNumId w:val="49"/>
  </w:num>
  <w:num w:numId="154" w16cid:durableId="500588214">
    <w:abstractNumId w:val="26"/>
  </w:num>
  <w:num w:numId="155" w16cid:durableId="319895254">
    <w:abstractNumId w:val="7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F5"/>
    <w:rsid w:val="000005F1"/>
    <w:rsid w:val="00000DE0"/>
    <w:rsid w:val="00001364"/>
    <w:rsid w:val="00001A3A"/>
    <w:rsid w:val="00003003"/>
    <w:rsid w:val="000033C1"/>
    <w:rsid w:val="00004663"/>
    <w:rsid w:val="00004E9A"/>
    <w:rsid w:val="00005136"/>
    <w:rsid w:val="00005386"/>
    <w:rsid w:val="0000623D"/>
    <w:rsid w:val="00006D17"/>
    <w:rsid w:val="00006F22"/>
    <w:rsid w:val="000070D3"/>
    <w:rsid w:val="0000750D"/>
    <w:rsid w:val="000076CA"/>
    <w:rsid w:val="00007735"/>
    <w:rsid w:val="00010126"/>
    <w:rsid w:val="00010E61"/>
    <w:rsid w:val="00010F7B"/>
    <w:rsid w:val="00012A79"/>
    <w:rsid w:val="00012EF9"/>
    <w:rsid w:val="0001418F"/>
    <w:rsid w:val="000144A7"/>
    <w:rsid w:val="0001476F"/>
    <w:rsid w:val="0001516A"/>
    <w:rsid w:val="00015CBC"/>
    <w:rsid w:val="0001615F"/>
    <w:rsid w:val="000161BA"/>
    <w:rsid w:val="000162C2"/>
    <w:rsid w:val="00016A7C"/>
    <w:rsid w:val="00016FC9"/>
    <w:rsid w:val="000176EF"/>
    <w:rsid w:val="00017D3C"/>
    <w:rsid w:val="000208F6"/>
    <w:rsid w:val="00020CAE"/>
    <w:rsid w:val="00020D28"/>
    <w:rsid w:val="00020DFB"/>
    <w:rsid w:val="00022C36"/>
    <w:rsid w:val="00022E8A"/>
    <w:rsid w:val="00022F00"/>
    <w:rsid w:val="000233C1"/>
    <w:rsid w:val="000239B9"/>
    <w:rsid w:val="00023A52"/>
    <w:rsid w:val="000256BA"/>
    <w:rsid w:val="00025ABC"/>
    <w:rsid w:val="000265C9"/>
    <w:rsid w:val="00027CCA"/>
    <w:rsid w:val="00030103"/>
    <w:rsid w:val="0003029A"/>
    <w:rsid w:val="0003068E"/>
    <w:rsid w:val="00031170"/>
    <w:rsid w:val="000318CD"/>
    <w:rsid w:val="0003257D"/>
    <w:rsid w:val="00032622"/>
    <w:rsid w:val="00033B30"/>
    <w:rsid w:val="0003457A"/>
    <w:rsid w:val="00034CD6"/>
    <w:rsid w:val="00034F77"/>
    <w:rsid w:val="00035017"/>
    <w:rsid w:val="00035702"/>
    <w:rsid w:val="00035A6B"/>
    <w:rsid w:val="00035B17"/>
    <w:rsid w:val="00035C67"/>
    <w:rsid w:val="000360B0"/>
    <w:rsid w:val="000362F1"/>
    <w:rsid w:val="0004012E"/>
    <w:rsid w:val="000404F6"/>
    <w:rsid w:val="000406FB"/>
    <w:rsid w:val="0004105C"/>
    <w:rsid w:val="0004129C"/>
    <w:rsid w:val="000413C4"/>
    <w:rsid w:val="000415ED"/>
    <w:rsid w:val="000416C2"/>
    <w:rsid w:val="00041D39"/>
    <w:rsid w:val="00041F43"/>
    <w:rsid w:val="00042667"/>
    <w:rsid w:val="00042C4F"/>
    <w:rsid w:val="0004309B"/>
    <w:rsid w:val="00043259"/>
    <w:rsid w:val="000433E0"/>
    <w:rsid w:val="00044245"/>
    <w:rsid w:val="00044922"/>
    <w:rsid w:val="00044E04"/>
    <w:rsid w:val="00044E92"/>
    <w:rsid w:val="00044FA3"/>
    <w:rsid w:val="00045652"/>
    <w:rsid w:val="00045C40"/>
    <w:rsid w:val="00046C1E"/>
    <w:rsid w:val="00046E8D"/>
    <w:rsid w:val="00047581"/>
    <w:rsid w:val="00047CBE"/>
    <w:rsid w:val="00050866"/>
    <w:rsid w:val="00051A20"/>
    <w:rsid w:val="000522E3"/>
    <w:rsid w:val="000524D1"/>
    <w:rsid w:val="000529E4"/>
    <w:rsid w:val="00052BAC"/>
    <w:rsid w:val="000536F1"/>
    <w:rsid w:val="00053CB0"/>
    <w:rsid w:val="00053CD6"/>
    <w:rsid w:val="00053D1B"/>
    <w:rsid w:val="00053DAC"/>
    <w:rsid w:val="00054500"/>
    <w:rsid w:val="000545EA"/>
    <w:rsid w:val="00054793"/>
    <w:rsid w:val="0005484C"/>
    <w:rsid w:val="00054D8C"/>
    <w:rsid w:val="0005540A"/>
    <w:rsid w:val="000565B6"/>
    <w:rsid w:val="0005731A"/>
    <w:rsid w:val="00057DF2"/>
    <w:rsid w:val="00060471"/>
    <w:rsid w:val="000605D4"/>
    <w:rsid w:val="000608AC"/>
    <w:rsid w:val="000611A0"/>
    <w:rsid w:val="00061684"/>
    <w:rsid w:val="00063AB9"/>
    <w:rsid w:val="00063F93"/>
    <w:rsid w:val="00064626"/>
    <w:rsid w:val="00066E6C"/>
    <w:rsid w:val="00066F24"/>
    <w:rsid w:val="0006704C"/>
    <w:rsid w:val="00067A32"/>
    <w:rsid w:val="00070790"/>
    <w:rsid w:val="00070B75"/>
    <w:rsid w:val="00070DB1"/>
    <w:rsid w:val="00070F20"/>
    <w:rsid w:val="00070FEB"/>
    <w:rsid w:val="00071DFC"/>
    <w:rsid w:val="000720C9"/>
    <w:rsid w:val="0007294D"/>
    <w:rsid w:val="00072EBD"/>
    <w:rsid w:val="0007363A"/>
    <w:rsid w:val="000741AE"/>
    <w:rsid w:val="000742AA"/>
    <w:rsid w:val="0007476C"/>
    <w:rsid w:val="00074A6D"/>
    <w:rsid w:val="00075399"/>
    <w:rsid w:val="00075763"/>
    <w:rsid w:val="0007581A"/>
    <w:rsid w:val="00076046"/>
    <w:rsid w:val="0007678E"/>
    <w:rsid w:val="00076A9A"/>
    <w:rsid w:val="00077A49"/>
    <w:rsid w:val="00077B04"/>
    <w:rsid w:val="00080527"/>
    <w:rsid w:val="00082F46"/>
    <w:rsid w:val="00083E27"/>
    <w:rsid w:val="00083F2B"/>
    <w:rsid w:val="00084762"/>
    <w:rsid w:val="00084C6B"/>
    <w:rsid w:val="00084D34"/>
    <w:rsid w:val="00084D90"/>
    <w:rsid w:val="00085DF0"/>
    <w:rsid w:val="00085F97"/>
    <w:rsid w:val="00086413"/>
    <w:rsid w:val="000875A1"/>
    <w:rsid w:val="00087BA0"/>
    <w:rsid w:val="00090156"/>
    <w:rsid w:val="0009034A"/>
    <w:rsid w:val="00090A54"/>
    <w:rsid w:val="00090FAA"/>
    <w:rsid w:val="00091EE2"/>
    <w:rsid w:val="00092FDD"/>
    <w:rsid w:val="000938B0"/>
    <w:rsid w:val="000952F2"/>
    <w:rsid w:val="0009570F"/>
    <w:rsid w:val="00095CC5"/>
    <w:rsid w:val="0009658E"/>
    <w:rsid w:val="0009696E"/>
    <w:rsid w:val="000969E4"/>
    <w:rsid w:val="000A0994"/>
    <w:rsid w:val="000A0CD7"/>
    <w:rsid w:val="000A123C"/>
    <w:rsid w:val="000A1794"/>
    <w:rsid w:val="000A18CF"/>
    <w:rsid w:val="000A1DC8"/>
    <w:rsid w:val="000A22AD"/>
    <w:rsid w:val="000A3123"/>
    <w:rsid w:val="000A351A"/>
    <w:rsid w:val="000A3C79"/>
    <w:rsid w:val="000A3C9A"/>
    <w:rsid w:val="000A4074"/>
    <w:rsid w:val="000A40FC"/>
    <w:rsid w:val="000A4759"/>
    <w:rsid w:val="000A4911"/>
    <w:rsid w:val="000A492D"/>
    <w:rsid w:val="000A4A7C"/>
    <w:rsid w:val="000A62E5"/>
    <w:rsid w:val="000A630A"/>
    <w:rsid w:val="000A6391"/>
    <w:rsid w:val="000A65E8"/>
    <w:rsid w:val="000A6BB2"/>
    <w:rsid w:val="000A6DA4"/>
    <w:rsid w:val="000A6E4D"/>
    <w:rsid w:val="000A6F07"/>
    <w:rsid w:val="000A7DA2"/>
    <w:rsid w:val="000A7DE5"/>
    <w:rsid w:val="000B0062"/>
    <w:rsid w:val="000B044C"/>
    <w:rsid w:val="000B0511"/>
    <w:rsid w:val="000B099D"/>
    <w:rsid w:val="000B0BB4"/>
    <w:rsid w:val="000B0BB5"/>
    <w:rsid w:val="000B14DD"/>
    <w:rsid w:val="000B1718"/>
    <w:rsid w:val="000B188B"/>
    <w:rsid w:val="000B1F62"/>
    <w:rsid w:val="000B23E4"/>
    <w:rsid w:val="000B2C82"/>
    <w:rsid w:val="000B393E"/>
    <w:rsid w:val="000B3964"/>
    <w:rsid w:val="000B3CBC"/>
    <w:rsid w:val="000B3CD4"/>
    <w:rsid w:val="000B443A"/>
    <w:rsid w:val="000B4A1C"/>
    <w:rsid w:val="000B4E01"/>
    <w:rsid w:val="000B4F36"/>
    <w:rsid w:val="000B502A"/>
    <w:rsid w:val="000B520B"/>
    <w:rsid w:val="000B52F6"/>
    <w:rsid w:val="000B646F"/>
    <w:rsid w:val="000C0601"/>
    <w:rsid w:val="000C0A7F"/>
    <w:rsid w:val="000C101C"/>
    <w:rsid w:val="000C11A7"/>
    <w:rsid w:val="000C16B3"/>
    <w:rsid w:val="000C1DD8"/>
    <w:rsid w:val="000C1EF1"/>
    <w:rsid w:val="000C389D"/>
    <w:rsid w:val="000C3EB1"/>
    <w:rsid w:val="000C490C"/>
    <w:rsid w:val="000C56B3"/>
    <w:rsid w:val="000C5887"/>
    <w:rsid w:val="000C6BBE"/>
    <w:rsid w:val="000C70B1"/>
    <w:rsid w:val="000C713D"/>
    <w:rsid w:val="000D045F"/>
    <w:rsid w:val="000D0EA4"/>
    <w:rsid w:val="000D0FC1"/>
    <w:rsid w:val="000D22B5"/>
    <w:rsid w:val="000D297F"/>
    <w:rsid w:val="000D2B66"/>
    <w:rsid w:val="000D434D"/>
    <w:rsid w:val="000D5541"/>
    <w:rsid w:val="000D58BA"/>
    <w:rsid w:val="000D5C58"/>
    <w:rsid w:val="000D61E8"/>
    <w:rsid w:val="000D66A0"/>
    <w:rsid w:val="000D69C3"/>
    <w:rsid w:val="000D6FE5"/>
    <w:rsid w:val="000D7EFC"/>
    <w:rsid w:val="000E0125"/>
    <w:rsid w:val="000E0331"/>
    <w:rsid w:val="000E0643"/>
    <w:rsid w:val="000E0E65"/>
    <w:rsid w:val="000E211F"/>
    <w:rsid w:val="000E2988"/>
    <w:rsid w:val="000E2D5C"/>
    <w:rsid w:val="000E4D04"/>
    <w:rsid w:val="000E5470"/>
    <w:rsid w:val="000E65C3"/>
    <w:rsid w:val="000E6EEF"/>
    <w:rsid w:val="000F10C5"/>
    <w:rsid w:val="000F1119"/>
    <w:rsid w:val="000F167F"/>
    <w:rsid w:val="000F17A1"/>
    <w:rsid w:val="000F2353"/>
    <w:rsid w:val="000F2A96"/>
    <w:rsid w:val="000F2D8B"/>
    <w:rsid w:val="000F2E01"/>
    <w:rsid w:val="000F31F9"/>
    <w:rsid w:val="000F354C"/>
    <w:rsid w:val="000F4199"/>
    <w:rsid w:val="000F49BD"/>
    <w:rsid w:val="000F52F9"/>
    <w:rsid w:val="000F53DA"/>
    <w:rsid w:val="000F55BA"/>
    <w:rsid w:val="000F5700"/>
    <w:rsid w:val="000F61E6"/>
    <w:rsid w:val="000F6F7A"/>
    <w:rsid w:val="000F7CD2"/>
    <w:rsid w:val="000F7DF3"/>
    <w:rsid w:val="00102D08"/>
    <w:rsid w:val="00102D0F"/>
    <w:rsid w:val="00103072"/>
    <w:rsid w:val="00103FA0"/>
    <w:rsid w:val="001042D4"/>
    <w:rsid w:val="001047A0"/>
    <w:rsid w:val="0010498B"/>
    <w:rsid w:val="00104CB1"/>
    <w:rsid w:val="00104EF8"/>
    <w:rsid w:val="00104FB3"/>
    <w:rsid w:val="00105019"/>
    <w:rsid w:val="0010547A"/>
    <w:rsid w:val="00106409"/>
    <w:rsid w:val="001069CB"/>
    <w:rsid w:val="00106A67"/>
    <w:rsid w:val="00106DA3"/>
    <w:rsid w:val="00106F13"/>
    <w:rsid w:val="00110415"/>
    <w:rsid w:val="0011052D"/>
    <w:rsid w:val="0011091E"/>
    <w:rsid w:val="00110924"/>
    <w:rsid w:val="00110B97"/>
    <w:rsid w:val="00110CFE"/>
    <w:rsid w:val="00110E71"/>
    <w:rsid w:val="00112686"/>
    <w:rsid w:val="00113D9C"/>
    <w:rsid w:val="0011417A"/>
    <w:rsid w:val="0011474B"/>
    <w:rsid w:val="001148C7"/>
    <w:rsid w:val="00114B11"/>
    <w:rsid w:val="00114CC2"/>
    <w:rsid w:val="001155DF"/>
    <w:rsid w:val="00115D35"/>
    <w:rsid w:val="00116259"/>
    <w:rsid w:val="00116824"/>
    <w:rsid w:val="001171AE"/>
    <w:rsid w:val="001176A1"/>
    <w:rsid w:val="0011770B"/>
    <w:rsid w:val="00120BF4"/>
    <w:rsid w:val="00121579"/>
    <w:rsid w:val="00121B28"/>
    <w:rsid w:val="00121D9C"/>
    <w:rsid w:val="00121E0F"/>
    <w:rsid w:val="0012287D"/>
    <w:rsid w:val="00122C70"/>
    <w:rsid w:val="00124B25"/>
    <w:rsid w:val="00125774"/>
    <w:rsid w:val="00125D70"/>
    <w:rsid w:val="00127014"/>
    <w:rsid w:val="001270E7"/>
    <w:rsid w:val="001277DD"/>
    <w:rsid w:val="00127CDF"/>
    <w:rsid w:val="00127E36"/>
    <w:rsid w:val="0013013D"/>
    <w:rsid w:val="0013059A"/>
    <w:rsid w:val="001313C6"/>
    <w:rsid w:val="00131ABF"/>
    <w:rsid w:val="00131C98"/>
    <w:rsid w:val="00132487"/>
    <w:rsid w:val="00132E39"/>
    <w:rsid w:val="00133486"/>
    <w:rsid w:val="00133AB1"/>
    <w:rsid w:val="00134A8B"/>
    <w:rsid w:val="00135134"/>
    <w:rsid w:val="00135405"/>
    <w:rsid w:val="0013616C"/>
    <w:rsid w:val="00137265"/>
    <w:rsid w:val="001377D1"/>
    <w:rsid w:val="00137C07"/>
    <w:rsid w:val="00140129"/>
    <w:rsid w:val="00141710"/>
    <w:rsid w:val="00143213"/>
    <w:rsid w:val="00143672"/>
    <w:rsid w:val="00143776"/>
    <w:rsid w:val="00143B52"/>
    <w:rsid w:val="00144C74"/>
    <w:rsid w:val="001454BC"/>
    <w:rsid w:val="00145B2D"/>
    <w:rsid w:val="00145FA9"/>
    <w:rsid w:val="00146726"/>
    <w:rsid w:val="0014676A"/>
    <w:rsid w:val="0014696D"/>
    <w:rsid w:val="00146BF9"/>
    <w:rsid w:val="00146C12"/>
    <w:rsid w:val="00146F50"/>
    <w:rsid w:val="001500D7"/>
    <w:rsid w:val="00150794"/>
    <w:rsid w:val="00150E34"/>
    <w:rsid w:val="0015180B"/>
    <w:rsid w:val="00151BFE"/>
    <w:rsid w:val="0015209E"/>
    <w:rsid w:val="001524F8"/>
    <w:rsid w:val="001532E9"/>
    <w:rsid w:val="001534C5"/>
    <w:rsid w:val="001536C6"/>
    <w:rsid w:val="00154685"/>
    <w:rsid w:val="00154D22"/>
    <w:rsid w:val="0015520E"/>
    <w:rsid w:val="00155529"/>
    <w:rsid w:val="001555C1"/>
    <w:rsid w:val="00155F84"/>
    <w:rsid w:val="00156D53"/>
    <w:rsid w:val="00157371"/>
    <w:rsid w:val="00157684"/>
    <w:rsid w:val="00157730"/>
    <w:rsid w:val="00157DC0"/>
    <w:rsid w:val="00160541"/>
    <w:rsid w:val="00160786"/>
    <w:rsid w:val="00160909"/>
    <w:rsid w:val="00160CFE"/>
    <w:rsid w:val="00161651"/>
    <w:rsid w:val="001616EA"/>
    <w:rsid w:val="00161950"/>
    <w:rsid w:val="00161CBC"/>
    <w:rsid w:val="00162F55"/>
    <w:rsid w:val="001636ED"/>
    <w:rsid w:val="00164054"/>
    <w:rsid w:val="00164BFC"/>
    <w:rsid w:val="00164F8D"/>
    <w:rsid w:val="00165378"/>
    <w:rsid w:val="00165676"/>
    <w:rsid w:val="00165741"/>
    <w:rsid w:val="0016588D"/>
    <w:rsid w:val="00165B02"/>
    <w:rsid w:val="00165BCA"/>
    <w:rsid w:val="00166239"/>
    <w:rsid w:val="0016641E"/>
    <w:rsid w:val="00166581"/>
    <w:rsid w:val="00166E4A"/>
    <w:rsid w:val="00166F0E"/>
    <w:rsid w:val="00166FA2"/>
    <w:rsid w:val="0016705A"/>
    <w:rsid w:val="001706A9"/>
    <w:rsid w:val="001706E6"/>
    <w:rsid w:val="00170729"/>
    <w:rsid w:val="00170D6A"/>
    <w:rsid w:val="0017118E"/>
    <w:rsid w:val="00171B09"/>
    <w:rsid w:val="00171BA8"/>
    <w:rsid w:val="00172119"/>
    <w:rsid w:val="001735E5"/>
    <w:rsid w:val="00173AF8"/>
    <w:rsid w:val="00173FEA"/>
    <w:rsid w:val="0017412B"/>
    <w:rsid w:val="00174DE5"/>
    <w:rsid w:val="00176F26"/>
    <w:rsid w:val="001802FE"/>
    <w:rsid w:val="00180BFD"/>
    <w:rsid w:val="00180E19"/>
    <w:rsid w:val="00180E2C"/>
    <w:rsid w:val="00182009"/>
    <w:rsid w:val="0018204B"/>
    <w:rsid w:val="00182667"/>
    <w:rsid w:val="00182FA3"/>
    <w:rsid w:val="0018392D"/>
    <w:rsid w:val="00184989"/>
    <w:rsid w:val="00184B57"/>
    <w:rsid w:val="00184C33"/>
    <w:rsid w:val="00185845"/>
    <w:rsid w:val="00185B6A"/>
    <w:rsid w:val="00186CFA"/>
    <w:rsid w:val="0018748C"/>
    <w:rsid w:val="001874B8"/>
    <w:rsid w:val="00187BF3"/>
    <w:rsid w:val="00192054"/>
    <w:rsid w:val="001922B9"/>
    <w:rsid w:val="00192A48"/>
    <w:rsid w:val="00193B27"/>
    <w:rsid w:val="001942DA"/>
    <w:rsid w:val="0019509E"/>
    <w:rsid w:val="001951F2"/>
    <w:rsid w:val="00197A2B"/>
    <w:rsid w:val="001A0CD3"/>
    <w:rsid w:val="001A141A"/>
    <w:rsid w:val="001A1844"/>
    <w:rsid w:val="001A2995"/>
    <w:rsid w:val="001A2C34"/>
    <w:rsid w:val="001A37F8"/>
    <w:rsid w:val="001A384A"/>
    <w:rsid w:val="001A38EB"/>
    <w:rsid w:val="001A39F2"/>
    <w:rsid w:val="001A3F95"/>
    <w:rsid w:val="001A4469"/>
    <w:rsid w:val="001A4836"/>
    <w:rsid w:val="001A64D7"/>
    <w:rsid w:val="001A660E"/>
    <w:rsid w:val="001A6877"/>
    <w:rsid w:val="001A6D07"/>
    <w:rsid w:val="001A795F"/>
    <w:rsid w:val="001B0C0E"/>
    <w:rsid w:val="001B0E36"/>
    <w:rsid w:val="001B1916"/>
    <w:rsid w:val="001B27B9"/>
    <w:rsid w:val="001B2C79"/>
    <w:rsid w:val="001B2FC8"/>
    <w:rsid w:val="001B317F"/>
    <w:rsid w:val="001B3A70"/>
    <w:rsid w:val="001B48BD"/>
    <w:rsid w:val="001B4EAE"/>
    <w:rsid w:val="001B5EB5"/>
    <w:rsid w:val="001B635C"/>
    <w:rsid w:val="001B6B34"/>
    <w:rsid w:val="001B7844"/>
    <w:rsid w:val="001B7FD6"/>
    <w:rsid w:val="001C0494"/>
    <w:rsid w:val="001C05BA"/>
    <w:rsid w:val="001C0B35"/>
    <w:rsid w:val="001C1E95"/>
    <w:rsid w:val="001C201D"/>
    <w:rsid w:val="001C222A"/>
    <w:rsid w:val="001C297F"/>
    <w:rsid w:val="001C3F9F"/>
    <w:rsid w:val="001C477A"/>
    <w:rsid w:val="001C59E7"/>
    <w:rsid w:val="001C5C7A"/>
    <w:rsid w:val="001C5F87"/>
    <w:rsid w:val="001C5FDF"/>
    <w:rsid w:val="001C6E76"/>
    <w:rsid w:val="001C70BC"/>
    <w:rsid w:val="001C750F"/>
    <w:rsid w:val="001C7C8B"/>
    <w:rsid w:val="001D0C55"/>
    <w:rsid w:val="001D0C96"/>
    <w:rsid w:val="001D1013"/>
    <w:rsid w:val="001D1739"/>
    <w:rsid w:val="001D17C3"/>
    <w:rsid w:val="001D1BD6"/>
    <w:rsid w:val="001D216A"/>
    <w:rsid w:val="001D23D3"/>
    <w:rsid w:val="001D3133"/>
    <w:rsid w:val="001D3334"/>
    <w:rsid w:val="001D3770"/>
    <w:rsid w:val="001D37B5"/>
    <w:rsid w:val="001D49C9"/>
    <w:rsid w:val="001D59AC"/>
    <w:rsid w:val="001D5A20"/>
    <w:rsid w:val="001D6177"/>
    <w:rsid w:val="001D61E0"/>
    <w:rsid w:val="001D62EB"/>
    <w:rsid w:val="001D6707"/>
    <w:rsid w:val="001D6D54"/>
    <w:rsid w:val="001D6F19"/>
    <w:rsid w:val="001E07C2"/>
    <w:rsid w:val="001E0816"/>
    <w:rsid w:val="001E0B6C"/>
    <w:rsid w:val="001E0F78"/>
    <w:rsid w:val="001E1056"/>
    <w:rsid w:val="001E16E6"/>
    <w:rsid w:val="001E1C05"/>
    <w:rsid w:val="001E1DFC"/>
    <w:rsid w:val="001E1F06"/>
    <w:rsid w:val="001E22AA"/>
    <w:rsid w:val="001E2300"/>
    <w:rsid w:val="001E31FB"/>
    <w:rsid w:val="001E328E"/>
    <w:rsid w:val="001E3926"/>
    <w:rsid w:val="001E39C7"/>
    <w:rsid w:val="001E3C5C"/>
    <w:rsid w:val="001E3DDF"/>
    <w:rsid w:val="001E4457"/>
    <w:rsid w:val="001E4FC6"/>
    <w:rsid w:val="001E5314"/>
    <w:rsid w:val="001E5A2A"/>
    <w:rsid w:val="001E5A2F"/>
    <w:rsid w:val="001E6615"/>
    <w:rsid w:val="001E7721"/>
    <w:rsid w:val="001F007D"/>
    <w:rsid w:val="001F00F6"/>
    <w:rsid w:val="001F09FA"/>
    <w:rsid w:val="001F0BF3"/>
    <w:rsid w:val="001F0D1D"/>
    <w:rsid w:val="001F10FB"/>
    <w:rsid w:val="001F1979"/>
    <w:rsid w:val="001F1E23"/>
    <w:rsid w:val="001F21B6"/>
    <w:rsid w:val="001F23F6"/>
    <w:rsid w:val="001F2469"/>
    <w:rsid w:val="001F2559"/>
    <w:rsid w:val="001F3CD0"/>
    <w:rsid w:val="001F474E"/>
    <w:rsid w:val="001F4895"/>
    <w:rsid w:val="001F4938"/>
    <w:rsid w:val="001F655B"/>
    <w:rsid w:val="002002E3"/>
    <w:rsid w:val="00201C6C"/>
    <w:rsid w:val="00201DF7"/>
    <w:rsid w:val="00202A12"/>
    <w:rsid w:val="002036F9"/>
    <w:rsid w:val="00205513"/>
    <w:rsid w:val="00206201"/>
    <w:rsid w:val="002064C8"/>
    <w:rsid w:val="00207A2E"/>
    <w:rsid w:val="002102D9"/>
    <w:rsid w:val="002103CB"/>
    <w:rsid w:val="00210DB6"/>
    <w:rsid w:val="002114AD"/>
    <w:rsid w:val="002122EF"/>
    <w:rsid w:val="00213967"/>
    <w:rsid w:val="0021403B"/>
    <w:rsid w:val="00214107"/>
    <w:rsid w:val="00214CC1"/>
    <w:rsid w:val="00215580"/>
    <w:rsid w:val="002157D8"/>
    <w:rsid w:val="00216571"/>
    <w:rsid w:val="002168E6"/>
    <w:rsid w:val="00216907"/>
    <w:rsid w:val="00216DAA"/>
    <w:rsid w:val="0021709D"/>
    <w:rsid w:val="0021723C"/>
    <w:rsid w:val="00217CE3"/>
    <w:rsid w:val="00217D5E"/>
    <w:rsid w:val="00217E1B"/>
    <w:rsid w:val="00221635"/>
    <w:rsid w:val="00221AA5"/>
    <w:rsid w:val="00221C66"/>
    <w:rsid w:val="0022233F"/>
    <w:rsid w:val="00222505"/>
    <w:rsid w:val="00223295"/>
    <w:rsid w:val="0022363D"/>
    <w:rsid w:val="00223D6D"/>
    <w:rsid w:val="0022549A"/>
    <w:rsid w:val="0022552F"/>
    <w:rsid w:val="0022554E"/>
    <w:rsid w:val="002259F2"/>
    <w:rsid w:val="00225C81"/>
    <w:rsid w:val="0022663D"/>
    <w:rsid w:val="00226922"/>
    <w:rsid w:val="0022775E"/>
    <w:rsid w:val="00230EA2"/>
    <w:rsid w:val="002310C9"/>
    <w:rsid w:val="002316C6"/>
    <w:rsid w:val="00231997"/>
    <w:rsid w:val="00231A9B"/>
    <w:rsid w:val="002324ED"/>
    <w:rsid w:val="002339C9"/>
    <w:rsid w:val="00233CA3"/>
    <w:rsid w:val="002349CB"/>
    <w:rsid w:val="00234B62"/>
    <w:rsid w:val="00234EC0"/>
    <w:rsid w:val="0023691E"/>
    <w:rsid w:val="00236A0F"/>
    <w:rsid w:val="00236F90"/>
    <w:rsid w:val="002370D8"/>
    <w:rsid w:val="00237841"/>
    <w:rsid w:val="0024006B"/>
    <w:rsid w:val="002406B2"/>
    <w:rsid w:val="00240C23"/>
    <w:rsid w:val="00241552"/>
    <w:rsid w:val="00241A4F"/>
    <w:rsid w:val="0024228F"/>
    <w:rsid w:val="0024275A"/>
    <w:rsid w:val="00243593"/>
    <w:rsid w:val="00244009"/>
    <w:rsid w:val="00244A95"/>
    <w:rsid w:val="00245349"/>
    <w:rsid w:val="00245379"/>
    <w:rsid w:val="00245E20"/>
    <w:rsid w:val="00245FD6"/>
    <w:rsid w:val="00246107"/>
    <w:rsid w:val="002466D7"/>
    <w:rsid w:val="00246B56"/>
    <w:rsid w:val="00246BA2"/>
    <w:rsid w:val="002470ED"/>
    <w:rsid w:val="0024745E"/>
    <w:rsid w:val="00247721"/>
    <w:rsid w:val="0024790E"/>
    <w:rsid w:val="00247CB5"/>
    <w:rsid w:val="002506DB"/>
    <w:rsid w:val="00250F8F"/>
    <w:rsid w:val="0025198A"/>
    <w:rsid w:val="00253E53"/>
    <w:rsid w:val="00253EBB"/>
    <w:rsid w:val="00254081"/>
    <w:rsid w:val="00254B36"/>
    <w:rsid w:val="002555F7"/>
    <w:rsid w:val="00255E02"/>
    <w:rsid w:val="00255E56"/>
    <w:rsid w:val="00256AC3"/>
    <w:rsid w:val="00257A9F"/>
    <w:rsid w:val="00257E80"/>
    <w:rsid w:val="002603C3"/>
    <w:rsid w:val="00261022"/>
    <w:rsid w:val="002614F5"/>
    <w:rsid w:val="00262062"/>
    <w:rsid w:val="00262AFA"/>
    <w:rsid w:val="00264BEC"/>
    <w:rsid w:val="002656F0"/>
    <w:rsid w:val="00265A1C"/>
    <w:rsid w:val="00265F8C"/>
    <w:rsid w:val="00267B0B"/>
    <w:rsid w:val="00267C01"/>
    <w:rsid w:val="0027017C"/>
    <w:rsid w:val="0027088F"/>
    <w:rsid w:val="00270C18"/>
    <w:rsid w:val="00271144"/>
    <w:rsid w:val="0027124D"/>
    <w:rsid w:val="0027188A"/>
    <w:rsid w:val="00271BC8"/>
    <w:rsid w:val="00271E01"/>
    <w:rsid w:val="00271E8B"/>
    <w:rsid w:val="00271FB1"/>
    <w:rsid w:val="002724C1"/>
    <w:rsid w:val="00272A3C"/>
    <w:rsid w:val="00272D77"/>
    <w:rsid w:val="00273B60"/>
    <w:rsid w:val="00274823"/>
    <w:rsid w:val="00274FDD"/>
    <w:rsid w:val="002750E9"/>
    <w:rsid w:val="00275AC7"/>
    <w:rsid w:val="00276956"/>
    <w:rsid w:val="00277459"/>
    <w:rsid w:val="00277BAA"/>
    <w:rsid w:val="00277E26"/>
    <w:rsid w:val="0028035C"/>
    <w:rsid w:val="0028085A"/>
    <w:rsid w:val="00280B52"/>
    <w:rsid w:val="0028119C"/>
    <w:rsid w:val="00281633"/>
    <w:rsid w:val="00283A08"/>
    <w:rsid w:val="00283DE0"/>
    <w:rsid w:val="00284C42"/>
    <w:rsid w:val="00284F9A"/>
    <w:rsid w:val="00285130"/>
    <w:rsid w:val="00285652"/>
    <w:rsid w:val="00285B27"/>
    <w:rsid w:val="00285F00"/>
    <w:rsid w:val="00286997"/>
    <w:rsid w:val="00286BD5"/>
    <w:rsid w:val="002874D3"/>
    <w:rsid w:val="002875EE"/>
    <w:rsid w:val="0028786F"/>
    <w:rsid w:val="00287914"/>
    <w:rsid w:val="00287D6E"/>
    <w:rsid w:val="002903AE"/>
    <w:rsid w:val="00290D5B"/>
    <w:rsid w:val="00290EBB"/>
    <w:rsid w:val="002926B5"/>
    <w:rsid w:val="00292F45"/>
    <w:rsid w:val="00293426"/>
    <w:rsid w:val="00293E38"/>
    <w:rsid w:val="002943FA"/>
    <w:rsid w:val="00294850"/>
    <w:rsid w:val="0029501F"/>
    <w:rsid w:val="00295203"/>
    <w:rsid w:val="00295427"/>
    <w:rsid w:val="002959E4"/>
    <w:rsid w:val="00295B5F"/>
    <w:rsid w:val="00295D5C"/>
    <w:rsid w:val="0029780C"/>
    <w:rsid w:val="002A0910"/>
    <w:rsid w:val="002A1266"/>
    <w:rsid w:val="002A1498"/>
    <w:rsid w:val="002A1521"/>
    <w:rsid w:val="002A1948"/>
    <w:rsid w:val="002A27FA"/>
    <w:rsid w:val="002A35BB"/>
    <w:rsid w:val="002A3B96"/>
    <w:rsid w:val="002A3F72"/>
    <w:rsid w:val="002A4277"/>
    <w:rsid w:val="002A42BB"/>
    <w:rsid w:val="002A640C"/>
    <w:rsid w:val="002A6BC6"/>
    <w:rsid w:val="002A6E97"/>
    <w:rsid w:val="002A7FD6"/>
    <w:rsid w:val="002B1716"/>
    <w:rsid w:val="002B19A7"/>
    <w:rsid w:val="002B1F54"/>
    <w:rsid w:val="002B247E"/>
    <w:rsid w:val="002B252B"/>
    <w:rsid w:val="002B257B"/>
    <w:rsid w:val="002B2C6B"/>
    <w:rsid w:val="002B2D05"/>
    <w:rsid w:val="002B3134"/>
    <w:rsid w:val="002B3CC5"/>
    <w:rsid w:val="002B469E"/>
    <w:rsid w:val="002B587B"/>
    <w:rsid w:val="002B59B4"/>
    <w:rsid w:val="002C001E"/>
    <w:rsid w:val="002C0056"/>
    <w:rsid w:val="002C00F4"/>
    <w:rsid w:val="002C046C"/>
    <w:rsid w:val="002C1272"/>
    <w:rsid w:val="002C1A8D"/>
    <w:rsid w:val="002C2EF1"/>
    <w:rsid w:val="002C3038"/>
    <w:rsid w:val="002C3191"/>
    <w:rsid w:val="002C319C"/>
    <w:rsid w:val="002C326E"/>
    <w:rsid w:val="002C4840"/>
    <w:rsid w:val="002C5767"/>
    <w:rsid w:val="002C5807"/>
    <w:rsid w:val="002C6E76"/>
    <w:rsid w:val="002C78E1"/>
    <w:rsid w:val="002D001A"/>
    <w:rsid w:val="002D029E"/>
    <w:rsid w:val="002D0701"/>
    <w:rsid w:val="002D0F5A"/>
    <w:rsid w:val="002D1202"/>
    <w:rsid w:val="002D14BD"/>
    <w:rsid w:val="002D1982"/>
    <w:rsid w:val="002D2D9D"/>
    <w:rsid w:val="002D2E48"/>
    <w:rsid w:val="002D338B"/>
    <w:rsid w:val="002D33AF"/>
    <w:rsid w:val="002D39E4"/>
    <w:rsid w:val="002D500F"/>
    <w:rsid w:val="002D564D"/>
    <w:rsid w:val="002D5989"/>
    <w:rsid w:val="002D5D53"/>
    <w:rsid w:val="002D675C"/>
    <w:rsid w:val="002D7FBB"/>
    <w:rsid w:val="002E07D3"/>
    <w:rsid w:val="002E19D6"/>
    <w:rsid w:val="002E1C77"/>
    <w:rsid w:val="002E2041"/>
    <w:rsid w:val="002E24E7"/>
    <w:rsid w:val="002E27E5"/>
    <w:rsid w:val="002E2832"/>
    <w:rsid w:val="002E287D"/>
    <w:rsid w:val="002E28F6"/>
    <w:rsid w:val="002E30CA"/>
    <w:rsid w:val="002E38DB"/>
    <w:rsid w:val="002E4555"/>
    <w:rsid w:val="002E45A2"/>
    <w:rsid w:val="002E6B69"/>
    <w:rsid w:val="002E6CBC"/>
    <w:rsid w:val="002E7257"/>
    <w:rsid w:val="002E7472"/>
    <w:rsid w:val="002F032F"/>
    <w:rsid w:val="002F0981"/>
    <w:rsid w:val="002F0D44"/>
    <w:rsid w:val="002F14EE"/>
    <w:rsid w:val="002F1BDF"/>
    <w:rsid w:val="002F1F97"/>
    <w:rsid w:val="002F1FF1"/>
    <w:rsid w:val="002F33CA"/>
    <w:rsid w:val="002F36DA"/>
    <w:rsid w:val="002F3C34"/>
    <w:rsid w:val="002F400F"/>
    <w:rsid w:val="002F45CA"/>
    <w:rsid w:val="002F4F17"/>
    <w:rsid w:val="002F5291"/>
    <w:rsid w:val="002F5C6C"/>
    <w:rsid w:val="002F625D"/>
    <w:rsid w:val="002F767B"/>
    <w:rsid w:val="002F7B92"/>
    <w:rsid w:val="00300888"/>
    <w:rsid w:val="003009AB"/>
    <w:rsid w:val="00300B35"/>
    <w:rsid w:val="00301280"/>
    <w:rsid w:val="003018DA"/>
    <w:rsid w:val="00301A50"/>
    <w:rsid w:val="00301CC8"/>
    <w:rsid w:val="003046A5"/>
    <w:rsid w:val="00304FA3"/>
    <w:rsid w:val="00305623"/>
    <w:rsid w:val="00305B16"/>
    <w:rsid w:val="00305E12"/>
    <w:rsid w:val="0030603A"/>
    <w:rsid w:val="00306388"/>
    <w:rsid w:val="00307F1C"/>
    <w:rsid w:val="00310790"/>
    <w:rsid w:val="00310AC7"/>
    <w:rsid w:val="0031166E"/>
    <w:rsid w:val="003117DA"/>
    <w:rsid w:val="00312DB6"/>
    <w:rsid w:val="00313907"/>
    <w:rsid w:val="00314701"/>
    <w:rsid w:val="00314A53"/>
    <w:rsid w:val="00314A83"/>
    <w:rsid w:val="0031536B"/>
    <w:rsid w:val="003158EC"/>
    <w:rsid w:val="00315D59"/>
    <w:rsid w:val="00316171"/>
    <w:rsid w:val="00316845"/>
    <w:rsid w:val="00316C82"/>
    <w:rsid w:val="00317113"/>
    <w:rsid w:val="00317252"/>
    <w:rsid w:val="003172A1"/>
    <w:rsid w:val="00320835"/>
    <w:rsid w:val="00320895"/>
    <w:rsid w:val="003213A1"/>
    <w:rsid w:val="0032230E"/>
    <w:rsid w:val="00323312"/>
    <w:rsid w:val="00323315"/>
    <w:rsid w:val="0032347C"/>
    <w:rsid w:val="0032376B"/>
    <w:rsid w:val="00323932"/>
    <w:rsid w:val="00323F3D"/>
    <w:rsid w:val="003240EF"/>
    <w:rsid w:val="00324731"/>
    <w:rsid w:val="00325245"/>
    <w:rsid w:val="0032626F"/>
    <w:rsid w:val="003268CE"/>
    <w:rsid w:val="00326E2F"/>
    <w:rsid w:val="003274A4"/>
    <w:rsid w:val="00327592"/>
    <w:rsid w:val="00327649"/>
    <w:rsid w:val="003302F7"/>
    <w:rsid w:val="00330328"/>
    <w:rsid w:val="00330C58"/>
    <w:rsid w:val="00330CE9"/>
    <w:rsid w:val="00330CEF"/>
    <w:rsid w:val="0033139F"/>
    <w:rsid w:val="00331A61"/>
    <w:rsid w:val="00331D75"/>
    <w:rsid w:val="00332E50"/>
    <w:rsid w:val="0033362F"/>
    <w:rsid w:val="003337D8"/>
    <w:rsid w:val="00334D4C"/>
    <w:rsid w:val="0033534F"/>
    <w:rsid w:val="0033617A"/>
    <w:rsid w:val="0033686C"/>
    <w:rsid w:val="003369E6"/>
    <w:rsid w:val="00340243"/>
    <w:rsid w:val="00340695"/>
    <w:rsid w:val="00340DCC"/>
    <w:rsid w:val="00340E00"/>
    <w:rsid w:val="0034125A"/>
    <w:rsid w:val="0034191B"/>
    <w:rsid w:val="00342109"/>
    <w:rsid w:val="00343186"/>
    <w:rsid w:val="003436E2"/>
    <w:rsid w:val="003439A1"/>
    <w:rsid w:val="00344CA0"/>
    <w:rsid w:val="00344FE7"/>
    <w:rsid w:val="00345243"/>
    <w:rsid w:val="00345960"/>
    <w:rsid w:val="00346C4E"/>
    <w:rsid w:val="003475C5"/>
    <w:rsid w:val="00347C70"/>
    <w:rsid w:val="00347F36"/>
    <w:rsid w:val="0035038A"/>
    <w:rsid w:val="0035042E"/>
    <w:rsid w:val="00350726"/>
    <w:rsid w:val="0035132B"/>
    <w:rsid w:val="00351D23"/>
    <w:rsid w:val="0035307B"/>
    <w:rsid w:val="003537B6"/>
    <w:rsid w:val="00353915"/>
    <w:rsid w:val="0035471B"/>
    <w:rsid w:val="0035536B"/>
    <w:rsid w:val="003565CC"/>
    <w:rsid w:val="00357247"/>
    <w:rsid w:val="003602DB"/>
    <w:rsid w:val="00360322"/>
    <w:rsid w:val="00360CF6"/>
    <w:rsid w:val="00360D95"/>
    <w:rsid w:val="003611A4"/>
    <w:rsid w:val="003611B7"/>
    <w:rsid w:val="00361249"/>
    <w:rsid w:val="0036157E"/>
    <w:rsid w:val="00361A45"/>
    <w:rsid w:val="00361C87"/>
    <w:rsid w:val="0036259D"/>
    <w:rsid w:val="003625D7"/>
    <w:rsid w:val="00362E07"/>
    <w:rsid w:val="00363092"/>
    <w:rsid w:val="0036358F"/>
    <w:rsid w:val="00363C77"/>
    <w:rsid w:val="00364432"/>
    <w:rsid w:val="00365010"/>
    <w:rsid w:val="003663AF"/>
    <w:rsid w:val="00366B0F"/>
    <w:rsid w:val="003675FE"/>
    <w:rsid w:val="0036780E"/>
    <w:rsid w:val="00367B6E"/>
    <w:rsid w:val="0037009B"/>
    <w:rsid w:val="0037017A"/>
    <w:rsid w:val="003703DC"/>
    <w:rsid w:val="00371320"/>
    <w:rsid w:val="003715FE"/>
    <w:rsid w:val="003718A3"/>
    <w:rsid w:val="003721E4"/>
    <w:rsid w:val="00372A93"/>
    <w:rsid w:val="00372D4D"/>
    <w:rsid w:val="00373DB8"/>
    <w:rsid w:val="00374A5F"/>
    <w:rsid w:val="00374BF8"/>
    <w:rsid w:val="00375448"/>
    <w:rsid w:val="00376BB7"/>
    <w:rsid w:val="00377347"/>
    <w:rsid w:val="00377D7D"/>
    <w:rsid w:val="00380324"/>
    <w:rsid w:val="00380D0E"/>
    <w:rsid w:val="003810BB"/>
    <w:rsid w:val="00381E63"/>
    <w:rsid w:val="00382797"/>
    <w:rsid w:val="00382962"/>
    <w:rsid w:val="00382DDA"/>
    <w:rsid w:val="00382E28"/>
    <w:rsid w:val="00382F5C"/>
    <w:rsid w:val="0038332E"/>
    <w:rsid w:val="003839ED"/>
    <w:rsid w:val="00384088"/>
    <w:rsid w:val="003840A7"/>
    <w:rsid w:val="00384110"/>
    <w:rsid w:val="0038459C"/>
    <w:rsid w:val="003845E5"/>
    <w:rsid w:val="003854E3"/>
    <w:rsid w:val="0038588E"/>
    <w:rsid w:val="00385BF6"/>
    <w:rsid w:val="003868D3"/>
    <w:rsid w:val="00386CAD"/>
    <w:rsid w:val="003874C1"/>
    <w:rsid w:val="00387762"/>
    <w:rsid w:val="003878DB"/>
    <w:rsid w:val="003879BA"/>
    <w:rsid w:val="00387A7B"/>
    <w:rsid w:val="003903BA"/>
    <w:rsid w:val="00390476"/>
    <w:rsid w:val="003910C3"/>
    <w:rsid w:val="0039115E"/>
    <w:rsid w:val="00391D4A"/>
    <w:rsid w:val="00392082"/>
    <w:rsid w:val="003924E5"/>
    <w:rsid w:val="00392BC6"/>
    <w:rsid w:val="00392D40"/>
    <w:rsid w:val="00393307"/>
    <w:rsid w:val="00393442"/>
    <w:rsid w:val="003935A0"/>
    <w:rsid w:val="00393B50"/>
    <w:rsid w:val="00394652"/>
    <w:rsid w:val="00394E9D"/>
    <w:rsid w:val="00395994"/>
    <w:rsid w:val="00395F99"/>
    <w:rsid w:val="00396F94"/>
    <w:rsid w:val="003974D8"/>
    <w:rsid w:val="00397E1E"/>
    <w:rsid w:val="00397F08"/>
    <w:rsid w:val="003A01AA"/>
    <w:rsid w:val="003A1AC9"/>
    <w:rsid w:val="003A1D1A"/>
    <w:rsid w:val="003A1D25"/>
    <w:rsid w:val="003A23CE"/>
    <w:rsid w:val="003A2458"/>
    <w:rsid w:val="003A2A59"/>
    <w:rsid w:val="003A3748"/>
    <w:rsid w:val="003A399C"/>
    <w:rsid w:val="003A3B50"/>
    <w:rsid w:val="003A49B4"/>
    <w:rsid w:val="003A4A77"/>
    <w:rsid w:val="003A4DF9"/>
    <w:rsid w:val="003A503C"/>
    <w:rsid w:val="003A56E8"/>
    <w:rsid w:val="003A62F6"/>
    <w:rsid w:val="003A6CF4"/>
    <w:rsid w:val="003A747C"/>
    <w:rsid w:val="003B06F6"/>
    <w:rsid w:val="003B1493"/>
    <w:rsid w:val="003B1736"/>
    <w:rsid w:val="003B29AC"/>
    <w:rsid w:val="003B29E1"/>
    <w:rsid w:val="003B3141"/>
    <w:rsid w:val="003B38F1"/>
    <w:rsid w:val="003B3B32"/>
    <w:rsid w:val="003B4905"/>
    <w:rsid w:val="003B493D"/>
    <w:rsid w:val="003B5331"/>
    <w:rsid w:val="003B5DE6"/>
    <w:rsid w:val="003B5F38"/>
    <w:rsid w:val="003B660C"/>
    <w:rsid w:val="003B67B6"/>
    <w:rsid w:val="003B7977"/>
    <w:rsid w:val="003C11B1"/>
    <w:rsid w:val="003C1302"/>
    <w:rsid w:val="003C1DF0"/>
    <w:rsid w:val="003C21A7"/>
    <w:rsid w:val="003C27FE"/>
    <w:rsid w:val="003C30F5"/>
    <w:rsid w:val="003C4604"/>
    <w:rsid w:val="003C4E27"/>
    <w:rsid w:val="003C4E3A"/>
    <w:rsid w:val="003C51FD"/>
    <w:rsid w:val="003C5322"/>
    <w:rsid w:val="003C550B"/>
    <w:rsid w:val="003C5D38"/>
    <w:rsid w:val="003C6A88"/>
    <w:rsid w:val="003C70FA"/>
    <w:rsid w:val="003C76B1"/>
    <w:rsid w:val="003D01C1"/>
    <w:rsid w:val="003D04DE"/>
    <w:rsid w:val="003D120E"/>
    <w:rsid w:val="003D122C"/>
    <w:rsid w:val="003D1E37"/>
    <w:rsid w:val="003D2581"/>
    <w:rsid w:val="003D31DB"/>
    <w:rsid w:val="003D3628"/>
    <w:rsid w:val="003D4898"/>
    <w:rsid w:val="003D5380"/>
    <w:rsid w:val="003D5672"/>
    <w:rsid w:val="003D5EFC"/>
    <w:rsid w:val="003D6739"/>
    <w:rsid w:val="003D75E8"/>
    <w:rsid w:val="003D79A4"/>
    <w:rsid w:val="003E00DB"/>
    <w:rsid w:val="003E07DB"/>
    <w:rsid w:val="003E2300"/>
    <w:rsid w:val="003E29A5"/>
    <w:rsid w:val="003E2D63"/>
    <w:rsid w:val="003E2F06"/>
    <w:rsid w:val="003E4355"/>
    <w:rsid w:val="003E43BB"/>
    <w:rsid w:val="003E4E79"/>
    <w:rsid w:val="003E5396"/>
    <w:rsid w:val="003E5411"/>
    <w:rsid w:val="003E5B13"/>
    <w:rsid w:val="003E5CEB"/>
    <w:rsid w:val="003E63A2"/>
    <w:rsid w:val="003E65F4"/>
    <w:rsid w:val="003E68EC"/>
    <w:rsid w:val="003E6C1F"/>
    <w:rsid w:val="003E711B"/>
    <w:rsid w:val="003F0A93"/>
    <w:rsid w:val="003F0AC3"/>
    <w:rsid w:val="003F0E89"/>
    <w:rsid w:val="003F1A71"/>
    <w:rsid w:val="003F2D50"/>
    <w:rsid w:val="003F3C82"/>
    <w:rsid w:val="003F3CA4"/>
    <w:rsid w:val="003F3DB0"/>
    <w:rsid w:val="003F4706"/>
    <w:rsid w:val="003F4E88"/>
    <w:rsid w:val="003F69FB"/>
    <w:rsid w:val="003F6D40"/>
    <w:rsid w:val="003F6DED"/>
    <w:rsid w:val="003F7F01"/>
    <w:rsid w:val="003F7FBD"/>
    <w:rsid w:val="004002E0"/>
    <w:rsid w:val="00400F63"/>
    <w:rsid w:val="00401B3D"/>
    <w:rsid w:val="00402184"/>
    <w:rsid w:val="0040268D"/>
    <w:rsid w:val="004028B0"/>
    <w:rsid w:val="00402BE6"/>
    <w:rsid w:val="00403805"/>
    <w:rsid w:val="004038BC"/>
    <w:rsid w:val="00403B4E"/>
    <w:rsid w:val="00403CE1"/>
    <w:rsid w:val="00403D02"/>
    <w:rsid w:val="00403E76"/>
    <w:rsid w:val="004050EF"/>
    <w:rsid w:val="00406AB3"/>
    <w:rsid w:val="00406CB6"/>
    <w:rsid w:val="00407973"/>
    <w:rsid w:val="00410533"/>
    <w:rsid w:val="004105AC"/>
    <w:rsid w:val="004106D9"/>
    <w:rsid w:val="00410DB2"/>
    <w:rsid w:val="004111C1"/>
    <w:rsid w:val="0041125C"/>
    <w:rsid w:val="0041154F"/>
    <w:rsid w:val="00411BCC"/>
    <w:rsid w:val="00412911"/>
    <w:rsid w:val="00415803"/>
    <w:rsid w:val="004160EF"/>
    <w:rsid w:val="00416A07"/>
    <w:rsid w:val="00416FAA"/>
    <w:rsid w:val="00417CB2"/>
    <w:rsid w:val="00417F8B"/>
    <w:rsid w:val="00420FEE"/>
    <w:rsid w:val="004210CE"/>
    <w:rsid w:val="00422AE7"/>
    <w:rsid w:val="00423888"/>
    <w:rsid w:val="00423B3A"/>
    <w:rsid w:val="00423CC5"/>
    <w:rsid w:val="004242D8"/>
    <w:rsid w:val="004243B9"/>
    <w:rsid w:val="00425513"/>
    <w:rsid w:val="00427B77"/>
    <w:rsid w:val="00427D3E"/>
    <w:rsid w:val="00430AB3"/>
    <w:rsid w:val="004329A8"/>
    <w:rsid w:val="00433406"/>
    <w:rsid w:val="00433471"/>
    <w:rsid w:val="00433584"/>
    <w:rsid w:val="00434365"/>
    <w:rsid w:val="00434479"/>
    <w:rsid w:val="00434E2B"/>
    <w:rsid w:val="00435079"/>
    <w:rsid w:val="004351A2"/>
    <w:rsid w:val="00435D9E"/>
    <w:rsid w:val="0043659F"/>
    <w:rsid w:val="004365B9"/>
    <w:rsid w:val="00436F13"/>
    <w:rsid w:val="0043735E"/>
    <w:rsid w:val="004378B0"/>
    <w:rsid w:val="004378FA"/>
    <w:rsid w:val="00437960"/>
    <w:rsid w:val="004400BA"/>
    <w:rsid w:val="0044010D"/>
    <w:rsid w:val="00440BFC"/>
    <w:rsid w:val="00441F8C"/>
    <w:rsid w:val="00442B7B"/>
    <w:rsid w:val="00442D80"/>
    <w:rsid w:val="00442F5F"/>
    <w:rsid w:val="004432C1"/>
    <w:rsid w:val="00444EA6"/>
    <w:rsid w:val="0044529E"/>
    <w:rsid w:val="00445380"/>
    <w:rsid w:val="004459F1"/>
    <w:rsid w:val="00445A3B"/>
    <w:rsid w:val="00445D5B"/>
    <w:rsid w:val="00446EC5"/>
    <w:rsid w:val="00447719"/>
    <w:rsid w:val="004478B2"/>
    <w:rsid w:val="00450DE0"/>
    <w:rsid w:val="00450E65"/>
    <w:rsid w:val="00451297"/>
    <w:rsid w:val="00452B9A"/>
    <w:rsid w:val="00453104"/>
    <w:rsid w:val="00453568"/>
    <w:rsid w:val="004537FA"/>
    <w:rsid w:val="0045460E"/>
    <w:rsid w:val="00454987"/>
    <w:rsid w:val="004551B2"/>
    <w:rsid w:val="00455D84"/>
    <w:rsid w:val="0045611E"/>
    <w:rsid w:val="0045693B"/>
    <w:rsid w:val="004570B8"/>
    <w:rsid w:val="00457536"/>
    <w:rsid w:val="00460338"/>
    <w:rsid w:val="00460365"/>
    <w:rsid w:val="0046049A"/>
    <w:rsid w:val="004610C6"/>
    <w:rsid w:val="0046160B"/>
    <w:rsid w:val="00461B48"/>
    <w:rsid w:val="00461BDF"/>
    <w:rsid w:val="00461C33"/>
    <w:rsid w:val="004626E5"/>
    <w:rsid w:val="00462A80"/>
    <w:rsid w:val="0046450D"/>
    <w:rsid w:val="00464B0B"/>
    <w:rsid w:val="004650AA"/>
    <w:rsid w:val="004657EC"/>
    <w:rsid w:val="0046764A"/>
    <w:rsid w:val="0047051D"/>
    <w:rsid w:val="00471A3F"/>
    <w:rsid w:val="004720C8"/>
    <w:rsid w:val="004736DA"/>
    <w:rsid w:val="004736FE"/>
    <w:rsid w:val="004768F7"/>
    <w:rsid w:val="00476ADB"/>
    <w:rsid w:val="00476BB8"/>
    <w:rsid w:val="00477455"/>
    <w:rsid w:val="00477559"/>
    <w:rsid w:val="004775EF"/>
    <w:rsid w:val="004776AE"/>
    <w:rsid w:val="00477D8D"/>
    <w:rsid w:val="00480178"/>
    <w:rsid w:val="004804B6"/>
    <w:rsid w:val="004808D2"/>
    <w:rsid w:val="0048149F"/>
    <w:rsid w:val="0048166F"/>
    <w:rsid w:val="004816C3"/>
    <w:rsid w:val="00481BB7"/>
    <w:rsid w:val="00481C83"/>
    <w:rsid w:val="00482466"/>
    <w:rsid w:val="004827A4"/>
    <w:rsid w:val="00483BFE"/>
    <w:rsid w:val="00483E8F"/>
    <w:rsid w:val="00484689"/>
    <w:rsid w:val="00484827"/>
    <w:rsid w:val="00484E18"/>
    <w:rsid w:val="00485BF2"/>
    <w:rsid w:val="004863C0"/>
    <w:rsid w:val="00486AD7"/>
    <w:rsid w:val="00486E81"/>
    <w:rsid w:val="004907F6"/>
    <w:rsid w:val="0049083C"/>
    <w:rsid w:val="004911A3"/>
    <w:rsid w:val="00492757"/>
    <w:rsid w:val="004928B1"/>
    <w:rsid w:val="00492937"/>
    <w:rsid w:val="00492F94"/>
    <w:rsid w:val="0049379F"/>
    <w:rsid w:val="004940B9"/>
    <w:rsid w:val="00494320"/>
    <w:rsid w:val="004948F8"/>
    <w:rsid w:val="00494CA1"/>
    <w:rsid w:val="004954F9"/>
    <w:rsid w:val="00495D74"/>
    <w:rsid w:val="0049678E"/>
    <w:rsid w:val="00497478"/>
    <w:rsid w:val="00497BFC"/>
    <w:rsid w:val="00497D5F"/>
    <w:rsid w:val="00497F36"/>
    <w:rsid w:val="004A01C7"/>
    <w:rsid w:val="004A08B7"/>
    <w:rsid w:val="004A17D7"/>
    <w:rsid w:val="004A18BA"/>
    <w:rsid w:val="004A27DB"/>
    <w:rsid w:val="004A2B1E"/>
    <w:rsid w:val="004A389B"/>
    <w:rsid w:val="004A39BD"/>
    <w:rsid w:val="004A3D64"/>
    <w:rsid w:val="004A3E7C"/>
    <w:rsid w:val="004A4361"/>
    <w:rsid w:val="004A50E8"/>
    <w:rsid w:val="004A5A9B"/>
    <w:rsid w:val="004A613E"/>
    <w:rsid w:val="004A78BC"/>
    <w:rsid w:val="004A7ECD"/>
    <w:rsid w:val="004B0285"/>
    <w:rsid w:val="004B13B8"/>
    <w:rsid w:val="004B268C"/>
    <w:rsid w:val="004B2980"/>
    <w:rsid w:val="004B2C8A"/>
    <w:rsid w:val="004B32CB"/>
    <w:rsid w:val="004B39F4"/>
    <w:rsid w:val="004B3C78"/>
    <w:rsid w:val="004B411E"/>
    <w:rsid w:val="004B4775"/>
    <w:rsid w:val="004B55E0"/>
    <w:rsid w:val="004B7428"/>
    <w:rsid w:val="004C070F"/>
    <w:rsid w:val="004C0886"/>
    <w:rsid w:val="004C0950"/>
    <w:rsid w:val="004C0B24"/>
    <w:rsid w:val="004C1108"/>
    <w:rsid w:val="004C117A"/>
    <w:rsid w:val="004C11B5"/>
    <w:rsid w:val="004C1F1B"/>
    <w:rsid w:val="004C2E2B"/>
    <w:rsid w:val="004C36A8"/>
    <w:rsid w:val="004C37BF"/>
    <w:rsid w:val="004C3F35"/>
    <w:rsid w:val="004C4B9E"/>
    <w:rsid w:val="004C501C"/>
    <w:rsid w:val="004C5948"/>
    <w:rsid w:val="004C5CD9"/>
    <w:rsid w:val="004C6BA0"/>
    <w:rsid w:val="004C7426"/>
    <w:rsid w:val="004D000B"/>
    <w:rsid w:val="004D04A7"/>
    <w:rsid w:val="004D066D"/>
    <w:rsid w:val="004D0E75"/>
    <w:rsid w:val="004D1014"/>
    <w:rsid w:val="004D1065"/>
    <w:rsid w:val="004D16EE"/>
    <w:rsid w:val="004D1B0D"/>
    <w:rsid w:val="004D1BB6"/>
    <w:rsid w:val="004D240C"/>
    <w:rsid w:val="004D36AE"/>
    <w:rsid w:val="004D378F"/>
    <w:rsid w:val="004D5F89"/>
    <w:rsid w:val="004D5FB4"/>
    <w:rsid w:val="004D66B5"/>
    <w:rsid w:val="004D73B6"/>
    <w:rsid w:val="004D7A5C"/>
    <w:rsid w:val="004D7E51"/>
    <w:rsid w:val="004E0472"/>
    <w:rsid w:val="004E0804"/>
    <w:rsid w:val="004E0975"/>
    <w:rsid w:val="004E09EC"/>
    <w:rsid w:val="004E0ACA"/>
    <w:rsid w:val="004E159D"/>
    <w:rsid w:val="004E165A"/>
    <w:rsid w:val="004E1B42"/>
    <w:rsid w:val="004E30A4"/>
    <w:rsid w:val="004E31FC"/>
    <w:rsid w:val="004E4173"/>
    <w:rsid w:val="004E4A7D"/>
    <w:rsid w:val="004E4C12"/>
    <w:rsid w:val="004E553C"/>
    <w:rsid w:val="004E6473"/>
    <w:rsid w:val="004E6764"/>
    <w:rsid w:val="004E6F71"/>
    <w:rsid w:val="004E6FCC"/>
    <w:rsid w:val="004E7441"/>
    <w:rsid w:val="004E7715"/>
    <w:rsid w:val="004F04EB"/>
    <w:rsid w:val="004F18FD"/>
    <w:rsid w:val="004F1BD2"/>
    <w:rsid w:val="004F21E5"/>
    <w:rsid w:val="004F272B"/>
    <w:rsid w:val="004F2AC7"/>
    <w:rsid w:val="004F4260"/>
    <w:rsid w:val="004F5461"/>
    <w:rsid w:val="004F590A"/>
    <w:rsid w:val="004F5B38"/>
    <w:rsid w:val="004F5E18"/>
    <w:rsid w:val="004F60B8"/>
    <w:rsid w:val="004F6AB0"/>
    <w:rsid w:val="004F708A"/>
    <w:rsid w:val="004F7B9F"/>
    <w:rsid w:val="004F7F00"/>
    <w:rsid w:val="005006A3"/>
    <w:rsid w:val="00500AE3"/>
    <w:rsid w:val="00500B08"/>
    <w:rsid w:val="0050115A"/>
    <w:rsid w:val="00501816"/>
    <w:rsid w:val="00501981"/>
    <w:rsid w:val="00501A8E"/>
    <w:rsid w:val="00503004"/>
    <w:rsid w:val="005030E7"/>
    <w:rsid w:val="00503825"/>
    <w:rsid w:val="005039D9"/>
    <w:rsid w:val="005040EA"/>
    <w:rsid w:val="00505DB6"/>
    <w:rsid w:val="00505F0B"/>
    <w:rsid w:val="00506131"/>
    <w:rsid w:val="00506334"/>
    <w:rsid w:val="00510DB0"/>
    <w:rsid w:val="0051104B"/>
    <w:rsid w:val="005115CD"/>
    <w:rsid w:val="005123F1"/>
    <w:rsid w:val="0051283C"/>
    <w:rsid w:val="00512CC1"/>
    <w:rsid w:val="00513723"/>
    <w:rsid w:val="00513E19"/>
    <w:rsid w:val="00514AEA"/>
    <w:rsid w:val="00514CA8"/>
    <w:rsid w:val="00514D28"/>
    <w:rsid w:val="005161F2"/>
    <w:rsid w:val="005166BF"/>
    <w:rsid w:val="00516AC4"/>
    <w:rsid w:val="00516B36"/>
    <w:rsid w:val="005202B6"/>
    <w:rsid w:val="00520953"/>
    <w:rsid w:val="00520966"/>
    <w:rsid w:val="005210AB"/>
    <w:rsid w:val="0052145C"/>
    <w:rsid w:val="00521940"/>
    <w:rsid w:val="00522EC8"/>
    <w:rsid w:val="005239FB"/>
    <w:rsid w:val="00523D82"/>
    <w:rsid w:val="00525E45"/>
    <w:rsid w:val="00525E58"/>
    <w:rsid w:val="005262B4"/>
    <w:rsid w:val="0052630F"/>
    <w:rsid w:val="00526471"/>
    <w:rsid w:val="00526E0E"/>
    <w:rsid w:val="005275A4"/>
    <w:rsid w:val="005276D4"/>
    <w:rsid w:val="0052786F"/>
    <w:rsid w:val="00527C7D"/>
    <w:rsid w:val="00527D53"/>
    <w:rsid w:val="00527DC6"/>
    <w:rsid w:val="00527DF7"/>
    <w:rsid w:val="00530EF4"/>
    <w:rsid w:val="00531484"/>
    <w:rsid w:val="00531485"/>
    <w:rsid w:val="0053190D"/>
    <w:rsid w:val="00531BDE"/>
    <w:rsid w:val="00532FD1"/>
    <w:rsid w:val="00533056"/>
    <w:rsid w:val="005342F5"/>
    <w:rsid w:val="00534F23"/>
    <w:rsid w:val="00535D08"/>
    <w:rsid w:val="00537ACC"/>
    <w:rsid w:val="00537ECA"/>
    <w:rsid w:val="0054200A"/>
    <w:rsid w:val="0054210A"/>
    <w:rsid w:val="005421E4"/>
    <w:rsid w:val="005421FE"/>
    <w:rsid w:val="005424F4"/>
    <w:rsid w:val="00544AF5"/>
    <w:rsid w:val="00544C6B"/>
    <w:rsid w:val="00544F24"/>
    <w:rsid w:val="0054517D"/>
    <w:rsid w:val="005451DA"/>
    <w:rsid w:val="00545316"/>
    <w:rsid w:val="0054536A"/>
    <w:rsid w:val="00545F81"/>
    <w:rsid w:val="00546F46"/>
    <w:rsid w:val="005478B2"/>
    <w:rsid w:val="00547A97"/>
    <w:rsid w:val="00550140"/>
    <w:rsid w:val="005508F3"/>
    <w:rsid w:val="00550ABC"/>
    <w:rsid w:val="00552781"/>
    <w:rsid w:val="00555667"/>
    <w:rsid w:val="005557A5"/>
    <w:rsid w:val="005561F5"/>
    <w:rsid w:val="0055623F"/>
    <w:rsid w:val="00556753"/>
    <w:rsid w:val="00557198"/>
    <w:rsid w:val="00557760"/>
    <w:rsid w:val="005579E3"/>
    <w:rsid w:val="00557C42"/>
    <w:rsid w:val="005601F7"/>
    <w:rsid w:val="00560970"/>
    <w:rsid w:val="00560B79"/>
    <w:rsid w:val="00560ED0"/>
    <w:rsid w:val="00560F3A"/>
    <w:rsid w:val="00560FEB"/>
    <w:rsid w:val="00561179"/>
    <w:rsid w:val="005627E9"/>
    <w:rsid w:val="005628D6"/>
    <w:rsid w:val="00562BCF"/>
    <w:rsid w:val="00563317"/>
    <w:rsid w:val="00565012"/>
    <w:rsid w:val="0056532C"/>
    <w:rsid w:val="0056639F"/>
    <w:rsid w:val="00566DEF"/>
    <w:rsid w:val="00566F33"/>
    <w:rsid w:val="0056728E"/>
    <w:rsid w:val="005673F2"/>
    <w:rsid w:val="00570271"/>
    <w:rsid w:val="005709D9"/>
    <w:rsid w:val="00571000"/>
    <w:rsid w:val="005715FB"/>
    <w:rsid w:val="00572688"/>
    <w:rsid w:val="00572F7E"/>
    <w:rsid w:val="00573C2F"/>
    <w:rsid w:val="0057453C"/>
    <w:rsid w:val="005746F1"/>
    <w:rsid w:val="005756D1"/>
    <w:rsid w:val="00577409"/>
    <w:rsid w:val="00580581"/>
    <w:rsid w:val="00580C18"/>
    <w:rsid w:val="005818DE"/>
    <w:rsid w:val="00581EF7"/>
    <w:rsid w:val="00581FA9"/>
    <w:rsid w:val="00582A47"/>
    <w:rsid w:val="00583942"/>
    <w:rsid w:val="00583A78"/>
    <w:rsid w:val="00583B40"/>
    <w:rsid w:val="00584219"/>
    <w:rsid w:val="0058485B"/>
    <w:rsid w:val="00584FFF"/>
    <w:rsid w:val="0058554A"/>
    <w:rsid w:val="00585A48"/>
    <w:rsid w:val="0058615D"/>
    <w:rsid w:val="00586457"/>
    <w:rsid w:val="00586585"/>
    <w:rsid w:val="00586FFF"/>
    <w:rsid w:val="005870D1"/>
    <w:rsid w:val="00587C8B"/>
    <w:rsid w:val="00590416"/>
    <w:rsid w:val="005912EC"/>
    <w:rsid w:val="005913D1"/>
    <w:rsid w:val="00591E05"/>
    <w:rsid w:val="005925DF"/>
    <w:rsid w:val="0059278D"/>
    <w:rsid w:val="00592D61"/>
    <w:rsid w:val="005930B0"/>
    <w:rsid w:val="00593654"/>
    <w:rsid w:val="005936CD"/>
    <w:rsid w:val="00593A51"/>
    <w:rsid w:val="00593E69"/>
    <w:rsid w:val="00594BFF"/>
    <w:rsid w:val="005958A1"/>
    <w:rsid w:val="005961DC"/>
    <w:rsid w:val="0059714B"/>
    <w:rsid w:val="00597214"/>
    <w:rsid w:val="00597A43"/>
    <w:rsid w:val="005A0AAF"/>
    <w:rsid w:val="005A0E56"/>
    <w:rsid w:val="005A1394"/>
    <w:rsid w:val="005A1455"/>
    <w:rsid w:val="005A16BD"/>
    <w:rsid w:val="005A1982"/>
    <w:rsid w:val="005A251B"/>
    <w:rsid w:val="005A268D"/>
    <w:rsid w:val="005A3020"/>
    <w:rsid w:val="005A3619"/>
    <w:rsid w:val="005A39AB"/>
    <w:rsid w:val="005A408B"/>
    <w:rsid w:val="005A4956"/>
    <w:rsid w:val="005A4E46"/>
    <w:rsid w:val="005A4EDB"/>
    <w:rsid w:val="005A52AC"/>
    <w:rsid w:val="005A533F"/>
    <w:rsid w:val="005A5CC9"/>
    <w:rsid w:val="005A66C0"/>
    <w:rsid w:val="005A680C"/>
    <w:rsid w:val="005A71CC"/>
    <w:rsid w:val="005A76E2"/>
    <w:rsid w:val="005B0D8F"/>
    <w:rsid w:val="005B13E0"/>
    <w:rsid w:val="005B1F89"/>
    <w:rsid w:val="005B2070"/>
    <w:rsid w:val="005B2833"/>
    <w:rsid w:val="005B3750"/>
    <w:rsid w:val="005B4468"/>
    <w:rsid w:val="005B4E0F"/>
    <w:rsid w:val="005B56F6"/>
    <w:rsid w:val="005B5B38"/>
    <w:rsid w:val="005B61F2"/>
    <w:rsid w:val="005B6AC0"/>
    <w:rsid w:val="005B70AC"/>
    <w:rsid w:val="005C0197"/>
    <w:rsid w:val="005C1961"/>
    <w:rsid w:val="005C1CC8"/>
    <w:rsid w:val="005C2211"/>
    <w:rsid w:val="005C2B76"/>
    <w:rsid w:val="005C4710"/>
    <w:rsid w:val="005C4825"/>
    <w:rsid w:val="005C6196"/>
    <w:rsid w:val="005C649A"/>
    <w:rsid w:val="005C7CE8"/>
    <w:rsid w:val="005D0DD6"/>
    <w:rsid w:val="005D13E9"/>
    <w:rsid w:val="005D154C"/>
    <w:rsid w:val="005D1B5A"/>
    <w:rsid w:val="005D1DE3"/>
    <w:rsid w:val="005D255D"/>
    <w:rsid w:val="005D274D"/>
    <w:rsid w:val="005D27D0"/>
    <w:rsid w:val="005D292B"/>
    <w:rsid w:val="005D2F07"/>
    <w:rsid w:val="005D3140"/>
    <w:rsid w:val="005D3606"/>
    <w:rsid w:val="005D3C31"/>
    <w:rsid w:val="005D44CF"/>
    <w:rsid w:val="005D53FF"/>
    <w:rsid w:val="005D5444"/>
    <w:rsid w:val="005D603F"/>
    <w:rsid w:val="005D6261"/>
    <w:rsid w:val="005E035D"/>
    <w:rsid w:val="005E0BBE"/>
    <w:rsid w:val="005E1089"/>
    <w:rsid w:val="005E1176"/>
    <w:rsid w:val="005E186B"/>
    <w:rsid w:val="005E206E"/>
    <w:rsid w:val="005E2F06"/>
    <w:rsid w:val="005E2F32"/>
    <w:rsid w:val="005E374C"/>
    <w:rsid w:val="005E4491"/>
    <w:rsid w:val="005E5192"/>
    <w:rsid w:val="005E5AF4"/>
    <w:rsid w:val="005E5F6F"/>
    <w:rsid w:val="005E66C5"/>
    <w:rsid w:val="005E71D1"/>
    <w:rsid w:val="005F122A"/>
    <w:rsid w:val="005F1841"/>
    <w:rsid w:val="005F192C"/>
    <w:rsid w:val="005F1C4C"/>
    <w:rsid w:val="005F1E35"/>
    <w:rsid w:val="005F25E3"/>
    <w:rsid w:val="005F2610"/>
    <w:rsid w:val="005F3212"/>
    <w:rsid w:val="005F42D2"/>
    <w:rsid w:val="005F4C30"/>
    <w:rsid w:val="005F4E7B"/>
    <w:rsid w:val="005F5666"/>
    <w:rsid w:val="005F623C"/>
    <w:rsid w:val="005F62FC"/>
    <w:rsid w:val="005F6FD4"/>
    <w:rsid w:val="005F7F5A"/>
    <w:rsid w:val="00600B25"/>
    <w:rsid w:val="00600DE9"/>
    <w:rsid w:val="00600FBA"/>
    <w:rsid w:val="00601689"/>
    <w:rsid w:val="00601EAC"/>
    <w:rsid w:val="0060348E"/>
    <w:rsid w:val="006055DD"/>
    <w:rsid w:val="0060616B"/>
    <w:rsid w:val="006064E1"/>
    <w:rsid w:val="006065F6"/>
    <w:rsid w:val="0060667E"/>
    <w:rsid w:val="00606840"/>
    <w:rsid w:val="0060730C"/>
    <w:rsid w:val="00607D0C"/>
    <w:rsid w:val="00610469"/>
    <w:rsid w:val="00610AF9"/>
    <w:rsid w:val="00610CBC"/>
    <w:rsid w:val="00610D04"/>
    <w:rsid w:val="00610E73"/>
    <w:rsid w:val="00610FDD"/>
    <w:rsid w:val="0061153F"/>
    <w:rsid w:val="00612956"/>
    <w:rsid w:val="006129CA"/>
    <w:rsid w:val="00612F0C"/>
    <w:rsid w:val="00613639"/>
    <w:rsid w:val="00614D89"/>
    <w:rsid w:val="006150FE"/>
    <w:rsid w:val="00615461"/>
    <w:rsid w:val="00615745"/>
    <w:rsid w:val="0061593F"/>
    <w:rsid w:val="006160BD"/>
    <w:rsid w:val="00616AC9"/>
    <w:rsid w:val="00616DF1"/>
    <w:rsid w:val="00617BBC"/>
    <w:rsid w:val="00617D62"/>
    <w:rsid w:val="00617E72"/>
    <w:rsid w:val="006203FB"/>
    <w:rsid w:val="00620FCD"/>
    <w:rsid w:val="006210B7"/>
    <w:rsid w:val="006211AD"/>
    <w:rsid w:val="006226BB"/>
    <w:rsid w:val="00623122"/>
    <w:rsid w:val="00623E7C"/>
    <w:rsid w:val="006245F6"/>
    <w:rsid w:val="00626400"/>
    <w:rsid w:val="00627DA5"/>
    <w:rsid w:val="00627E1E"/>
    <w:rsid w:val="00630852"/>
    <w:rsid w:val="00630C3E"/>
    <w:rsid w:val="006316FB"/>
    <w:rsid w:val="006319EB"/>
    <w:rsid w:val="00632664"/>
    <w:rsid w:val="00632CBB"/>
    <w:rsid w:val="00632D12"/>
    <w:rsid w:val="006338EC"/>
    <w:rsid w:val="006359B1"/>
    <w:rsid w:val="00636BA0"/>
    <w:rsid w:val="006402D9"/>
    <w:rsid w:val="00640731"/>
    <w:rsid w:val="00641F2F"/>
    <w:rsid w:val="00642348"/>
    <w:rsid w:val="0064293C"/>
    <w:rsid w:val="00643028"/>
    <w:rsid w:val="00643510"/>
    <w:rsid w:val="00645630"/>
    <w:rsid w:val="00646896"/>
    <w:rsid w:val="006476AD"/>
    <w:rsid w:val="00647D70"/>
    <w:rsid w:val="00650070"/>
    <w:rsid w:val="00653447"/>
    <w:rsid w:val="00653606"/>
    <w:rsid w:val="00653782"/>
    <w:rsid w:val="00653EDE"/>
    <w:rsid w:val="00654629"/>
    <w:rsid w:val="0065513F"/>
    <w:rsid w:val="00655630"/>
    <w:rsid w:val="00655706"/>
    <w:rsid w:val="00655D3D"/>
    <w:rsid w:val="00656468"/>
    <w:rsid w:val="006567E1"/>
    <w:rsid w:val="00656819"/>
    <w:rsid w:val="0065709D"/>
    <w:rsid w:val="0065723A"/>
    <w:rsid w:val="00657404"/>
    <w:rsid w:val="00657B81"/>
    <w:rsid w:val="0066002A"/>
    <w:rsid w:val="00660CB4"/>
    <w:rsid w:val="0066185B"/>
    <w:rsid w:val="006620C9"/>
    <w:rsid w:val="00662353"/>
    <w:rsid w:val="00662A8F"/>
    <w:rsid w:val="00663407"/>
    <w:rsid w:val="0066354E"/>
    <w:rsid w:val="006643C4"/>
    <w:rsid w:val="00664452"/>
    <w:rsid w:val="00665244"/>
    <w:rsid w:val="00665C66"/>
    <w:rsid w:val="00666383"/>
    <w:rsid w:val="00666FBA"/>
    <w:rsid w:val="00666FF1"/>
    <w:rsid w:val="0066713E"/>
    <w:rsid w:val="006671D4"/>
    <w:rsid w:val="00667350"/>
    <w:rsid w:val="00667387"/>
    <w:rsid w:val="0066763B"/>
    <w:rsid w:val="0066778A"/>
    <w:rsid w:val="00667AC4"/>
    <w:rsid w:val="00670892"/>
    <w:rsid w:val="006712E6"/>
    <w:rsid w:val="00671805"/>
    <w:rsid w:val="006718BC"/>
    <w:rsid w:val="00671974"/>
    <w:rsid w:val="00671B20"/>
    <w:rsid w:val="00671F38"/>
    <w:rsid w:val="0067206F"/>
    <w:rsid w:val="00673326"/>
    <w:rsid w:val="00673540"/>
    <w:rsid w:val="00673BD4"/>
    <w:rsid w:val="006748C0"/>
    <w:rsid w:val="00674E11"/>
    <w:rsid w:val="00674EE7"/>
    <w:rsid w:val="00675896"/>
    <w:rsid w:val="00675E52"/>
    <w:rsid w:val="00676010"/>
    <w:rsid w:val="00676238"/>
    <w:rsid w:val="0067666A"/>
    <w:rsid w:val="00677290"/>
    <w:rsid w:val="006773C6"/>
    <w:rsid w:val="0067743C"/>
    <w:rsid w:val="00677683"/>
    <w:rsid w:val="00677803"/>
    <w:rsid w:val="00680A53"/>
    <w:rsid w:val="00682AC9"/>
    <w:rsid w:val="00682EF8"/>
    <w:rsid w:val="00683982"/>
    <w:rsid w:val="00685395"/>
    <w:rsid w:val="00685C34"/>
    <w:rsid w:val="006865F5"/>
    <w:rsid w:val="00686E95"/>
    <w:rsid w:val="006873F2"/>
    <w:rsid w:val="00687CC4"/>
    <w:rsid w:val="00687E32"/>
    <w:rsid w:val="00687EB1"/>
    <w:rsid w:val="00690B11"/>
    <w:rsid w:val="00690D90"/>
    <w:rsid w:val="00690DE9"/>
    <w:rsid w:val="00691484"/>
    <w:rsid w:val="0069208E"/>
    <w:rsid w:val="006921D2"/>
    <w:rsid w:val="00692557"/>
    <w:rsid w:val="0069260C"/>
    <w:rsid w:val="00692661"/>
    <w:rsid w:val="0069276D"/>
    <w:rsid w:val="00692A58"/>
    <w:rsid w:val="00693192"/>
    <w:rsid w:val="00693250"/>
    <w:rsid w:val="0069376F"/>
    <w:rsid w:val="00694254"/>
    <w:rsid w:val="006944BB"/>
    <w:rsid w:val="00694BF1"/>
    <w:rsid w:val="00695CB8"/>
    <w:rsid w:val="0069673C"/>
    <w:rsid w:val="00696AD1"/>
    <w:rsid w:val="00697268"/>
    <w:rsid w:val="006A0D15"/>
    <w:rsid w:val="006A11DE"/>
    <w:rsid w:val="006A1604"/>
    <w:rsid w:val="006A26ED"/>
    <w:rsid w:val="006A29F6"/>
    <w:rsid w:val="006A2CBA"/>
    <w:rsid w:val="006A2ECF"/>
    <w:rsid w:val="006A2F01"/>
    <w:rsid w:val="006A3C6A"/>
    <w:rsid w:val="006A3D64"/>
    <w:rsid w:val="006A4347"/>
    <w:rsid w:val="006A4CEF"/>
    <w:rsid w:val="006A6382"/>
    <w:rsid w:val="006A7D89"/>
    <w:rsid w:val="006B037B"/>
    <w:rsid w:val="006B077E"/>
    <w:rsid w:val="006B152D"/>
    <w:rsid w:val="006B18D6"/>
    <w:rsid w:val="006B1DCC"/>
    <w:rsid w:val="006B2068"/>
    <w:rsid w:val="006B2408"/>
    <w:rsid w:val="006B2E23"/>
    <w:rsid w:val="006B3942"/>
    <w:rsid w:val="006B423B"/>
    <w:rsid w:val="006B5E31"/>
    <w:rsid w:val="006B6884"/>
    <w:rsid w:val="006B7129"/>
    <w:rsid w:val="006B734C"/>
    <w:rsid w:val="006C00F9"/>
    <w:rsid w:val="006C18FC"/>
    <w:rsid w:val="006C2397"/>
    <w:rsid w:val="006C26B3"/>
    <w:rsid w:val="006C356F"/>
    <w:rsid w:val="006C3B1D"/>
    <w:rsid w:val="006C4885"/>
    <w:rsid w:val="006C49FA"/>
    <w:rsid w:val="006C4A02"/>
    <w:rsid w:val="006C54DD"/>
    <w:rsid w:val="006C602B"/>
    <w:rsid w:val="006C6A5C"/>
    <w:rsid w:val="006C6AAE"/>
    <w:rsid w:val="006C7041"/>
    <w:rsid w:val="006C7328"/>
    <w:rsid w:val="006C7936"/>
    <w:rsid w:val="006C7CEF"/>
    <w:rsid w:val="006D0528"/>
    <w:rsid w:val="006D065E"/>
    <w:rsid w:val="006D0B54"/>
    <w:rsid w:val="006D1380"/>
    <w:rsid w:val="006D243A"/>
    <w:rsid w:val="006D3089"/>
    <w:rsid w:val="006D3BB3"/>
    <w:rsid w:val="006D3D27"/>
    <w:rsid w:val="006D4BC1"/>
    <w:rsid w:val="006D4C13"/>
    <w:rsid w:val="006D5121"/>
    <w:rsid w:val="006D5CB2"/>
    <w:rsid w:val="006D6C7C"/>
    <w:rsid w:val="006D7071"/>
    <w:rsid w:val="006D7090"/>
    <w:rsid w:val="006D71A3"/>
    <w:rsid w:val="006D734A"/>
    <w:rsid w:val="006D7759"/>
    <w:rsid w:val="006E00FE"/>
    <w:rsid w:val="006E194A"/>
    <w:rsid w:val="006E197B"/>
    <w:rsid w:val="006E1A62"/>
    <w:rsid w:val="006E1F66"/>
    <w:rsid w:val="006E2606"/>
    <w:rsid w:val="006E286E"/>
    <w:rsid w:val="006E2DF5"/>
    <w:rsid w:val="006E2FD2"/>
    <w:rsid w:val="006E38B8"/>
    <w:rsid w:val="006E3E09"/>
    <w:rsid w:val="006E4A48"/>
    <w:rsid w:val="006E4BD6"/>
    <w:rsid w:val="006E526E"/>
    <w:rsid w:val="006E53B6"/>
    <w:rsid w:val="006E58F9"/>
    <w:rsid w:val="006E6477"/>
    <w:rsid w:val="006E6812"/>
    <w:rsid w:val="006E701F"/>
    <w:rsid w:val="006E73B4"/>
    <w:rsid w:val="006E7D06"/>
    <w:rsid w:val="006E7D79"/>
    <w:rsid w:val="006F0473"/>
    <w:rsid w:val="006F06AD"/>
    <w:rsid w:val="006F205D"/>
    <w:rsid w:val="006F2EBC"/>
    <w:rsid w:val="006F3528"/>
    <w:rsid w:val="006F38D1"/>
    <w:rsid w:val="006F4C0D"/>
    <w:rsid w:val="006F537E"/>
    <w:rsid w:val="006F5E1B"/>
    <w:rsid w:val="006F65D2"/>
    <w:rsid w:val="006F6FCC"/>
    <w:rsid w:val="006F7705"/>
    <w:rsid w:val="006F7985"/>
    <w:rsid w:val="006F7FF3"/>
    <w:rsid w:val="0070031C"/>
    <w:rsid w:val="007004E3"/>
    <w:rsid w:val="00701E62"/>
    <w:rsid w:val="00702139"/>
    <w:rsid w:val="007021DE"/>
    <w:rsid w:val="00702EE5"/>
    <w:rsid w:val="00703152"/>
    <w:rsid w:val="00703599"/>
    <w:rsid w:val="007041EF"/>
    <w:rsid w:val="007046B6"/>
    <w:rsid w:val="00704A6E"/>
    <w:rsid w:val="007067E5"/>
    <w:rsid w:val="00707827"/>
    <w:rsid w:val="007108DA"/>
    <w:rsid w:val="00710F97"/>
    <w:rsid w:val="0071107E"/>
    <w:rsid w:val="0071162E"/>
    <w:rsid w:val="00711AA0"/>
    <w:rsid w:val="00711D98"/>
    <w:rsid w:val="00712100"/>
    <w:rsid w:val="007123FE"/>
    <w:rsid w:val="00712A10"/>
    <w:rsid w:val="00712AA3"/>
    <w:rsid w:val="00712EBA"/>
    <w:rsid w:val="007132F8"/>
    <w:rsid w:val="00713394"/>
    <w:rsid w:val="00713570"/>
    <w:rsid w:val="00714A73"/>
    <w:rsid w:val="00714BD7"/>
    <w:rsid w:val="0071592D"/>
    <w:rsid w:val="007159E8"/>
    <w:rsid w:val="00715BB6"/>
    <w:rsid w:val="007171D7"/>
    <w:rsid w:val="007174EC"/>
    <w:rsid w:val="00717755"/>
    <w:rsid w:val="00717879"/>
    <w:rsid w:val="00717EA1"/>
    <w:rsid w:val="00720EB6"/>
    <w:rsid w:val="00721142"/>
    <w:rsid w:val="007216D0"/>
    <w:rsid w:val="00721F6F"/>
    <w:rsid w:val="007239A2"/>
    <w:rsid w:val="00723B4F"/>
    <w:rsid w:val="00723D62"/>
    <w:rsid w:val="00724286"/>
    <w:rsid w:val="00724810"/>
    <w:rsid w:val="00724EC3"/>
    <w:rsid w:val="0072550A"/>
    <w:rsid w:val="007255DD"/>
    <w:rsid w:val="00725D3C"/>
    <w:rsid w:val="00726207"/>
    <w:rsid w:val="007303C0"/>
    <w:rsid w:val="00730681"/>
    <w:rsid w:val="00730CF2"/>
    <w:rsid w:val="007311B7"/>
    <w:rsid w:val="0073228B"/>
    <w:rsid w:val="00732352"/>
    <w:rsid w:val="00732788"/>
    <w:rsid w:val="00732C61"/>
    <w:rsid w:val="007343EF"/>
    <w:rsid w:val="007343F3"/>
    <w:rsid w:val="00734878"/>
    <w:rsid w:val="00734BEB"/>
    <w:rsid w:val="00734D30"/>
    <w:rsid w:val="00735554"/>
    <w:rsid w:val="00735DA2"/>
    <w:rsid w:val="007366C2"/>
    <w:rsid w:val="00741238"/>
    <w:rsid w:val="00741AB8"/>
    <w:rsid w:val="00742CFC"/>
    <w:rsid w:val="00743439"/>
    <w:rsid w:val="007449C0"/>
    <w:rsid w:val="00744A6A"/>
    <w:rsid w:val="007455E6"/>
    <w:rsid w:val="007468D4"/>
    <w:rsid w:val="007477B7"/>
    <w:rsid w:val="00747BF5"/>
    <w:rsid w:val="00750904"/>
    <w:rsid w:val="00750A23"/>
    <w:rsid w:val="00751A74"/>
    <w:rsid w:val="00753A28"/>
    <w:rsid w:val="00754007"/>
    <w:rsid w:val="007545D9"/>
    <w:rsid w:val="00754FA2"/>
    <w:rsid w:val="00755C66"/>
    <w:rsid w:val="00755CB9"/>
    <w:rsid w:val="00755EF3"/>
    <w:rsid w:val="00757376"/>
    <w:rsid w:val="00760832"/>
    <w:rsid w:val="0076112A"/>
    <w:rsid w:val="00761E70"/>
    <w:rsid w:val="00761EA7"/>
    <w:rsid w:val="007621D5"/>
    <w:rsid w:val="00762D5A"/>
    <w:rsid w:val="00762E60"/>
    <w:rsid w:val="00762EC8"/>
    <w:rsid w:val="007633EA"/>
    <w:rsid w:val="00763C7B"/>
    <w:rsid w:val="00764D0C"/>
    <w:rsid w:val="00765352"/>
    <w:rsid w:val="00765557"/>
    <w:rsid w:val="007655F0"/>
    <w:rsid w:val="00765673"/>
    <w:rsid w:val="00766D6E"/>
    <w:rsid w:val="00766F63"/>
    <w:rsid w:val="00767379"/>
    <w:rsid w:val="007675C6"/>
    <w:rsid w:val="00767B45"/>
    <w:rsid w:val="00767E9D"/>
    <w:rsid w:val="0077022C"/>
    <w:rsid w:val="007702F7"/>
    <w:rsid w:val="0077068B"/>
    <w:rsid w:val="007723FB"/>
    <w:rsid w:val="00772678"/>
    <w:rsid w:val="00772A87"/>
    <w:rsid w:val="0077332D"/>
    <w:rsid w:val="00773CA6"/>
    <w:rsid w:val="00774514"/>
    <w:rsid w:val="007752EF"/>
    <w:rsid w:val="00775378"/>
    <w:rsid w:val="00775BC4"/>
    <w:rsid w:val="00776765"/>
    <w:rsid w:val="00776C55"/>
    <w:rsid w:val="00777079"/>
    <w:rsid w:val="0077709C"/>
    <w:rsid w:val="00777264"/>
    <w:rsid w:val="00777B80"/>
    <w:rsid w:val="00777F76"/>
    <w:rsid w:val="00780321"/>
    <w:rsid w:val="00781592"/>
    <w:rsid w:val="00781676"/>
    <w:rsid w:val="0078177D"/>
    <w:rsid w:val="00781C54"/>
    <w:rsid w:val="00781C6C"/>
    <w:rsid w:val="0078212D"/>
    <w:rsid w:val="007822F7"/>
    <w:rsid w:val="00782EB9"/>
    <w:rsid w:val="00783174"/>
    <w:rsid w:val="00783593"/>
    <w:rsid w:val="00784433"/>
    <w:rsid w:val="007846B2"/>
    <w:rsid w:val="00784EBA"/>
    <w:rsid w:val="0078533C"/>
    <w:rsid w:val="007853DB"/>
    <w:rsid w:val="0078542E"/>
    <w:rsid w:val="00785498"/>
    <w:rsid w:val="0078599B"/>
    <w:rsid w:val="00787663"/>
    <w:rsid w:val="00787D06"/>
    <w:rsid w:val="00787D1C"/>
    <w:rsid w:val="007900B5"/>
    <w:rsid w:val="00790E35"/>
    <w:rsid w:val="007913B8"/>
    <w:rsid w:val="007921B9"/>
    <w:rsid w:val="007925D6"/>
    <w:rsid w:val="00792AAE"/>
    <w:rsid w:val="00792BDC"/>
    <w:rsid w:val="0079421E"/>
    <w:rsid w:val="0079423F"/>
    <w:rsid w:val="00794324"/>
    <w:rsid w:val="00794DA9"/>
    <w:rsid w:val="007955FD"/>
    <w:rsid w:val="00796DF2"/>
    <w:rsid w:val="00796F5A"/>
    <w:rsid w:val="00797AD9"/>
    <w:rsid w:val="00797EFF"/>
    <w:rsid w:val="007A03FB"/>
    <w:rsid w:val="007A0506"/>
    <w:rsid w:val="007A0879"/>
    <w:rsid w:val="007A0C8A"/>
    <w:rsid w:val="007A0CC2"/>
    <w:rsid w:val="007A0E20"/>
    <w:rsid w:val="007A16B0"/>
    <w:rsid w:val="007A1B42"/>
    <w:rsid w:val="007A27DB"/>
    <w:rsid w:val="007A2920"/>
    <w:rsid w:val="007A2C5A"/>
    <w:rsid w:val="007A3720"/>
    <w:rsid w:val="007A391C"/>
    <w:rsid w:val="007A41EE"/>
    <w:rsid w:val="007A48D9"/>
    <w:rsid w:val="007A4DA3"/>
    <w:rsid w:val="007A5021"/>
    <w:rsid w:val="007A514B"/>
    <w:rsid w:val="007A596F"/>
    <w:rsid w:val="007A5F5A"/>
    <w:rsid w:val="007A6289"/>
    <w:rsid w:val="007A62DE"/>
    <w:rsid w:val="007A68FE"/>
    <w:rsid w:val="007A6E81"/>
    <w:rsid w:val="007A71A0"/>
    <w:rsid w:val="007A7A18"/>
    <w:rsid w:val="007A7D63"/>
    <w:rsid w:val="007B09F4"/>
    <w:rsid w:val="007B0FCB"/>
    <w:rsid w:val="007B3D0B"/>
    <w:rsid w:val="007B3D69"/>
    <w:rsid w:val="007B3E79"/>
    <w:rsid w:val="007B5EF9"/>
    <w:rsid w:val="007B6593"/>
    <w:rsid w:val="007B67A7"/>
    <w:rsid w:val="007B74BA"/>
    <w:rsid w:val="007B761B"/>
    <w:rsid w:val="007B7921"/>
    <w:rsid w:val="007B7EDC"/>
    <w:rsid w:val="007C0A79"/>
    <w:rsid w:val="007C0B46"/>
    <w:rsid w:val="007C0CA2"/>
    <w:rsid w:val="007C10FF"/>
    <w:rsid w:val="007C1939"/>
    <w:rsid w:val="007C1D6A"/>
    <w:rsid w:val="007C3417"/>
    <w:rsid w:val="007C3F6D"/>
    <w:rsid w:val="007C4602"/>
    <w:rsid w:val="007C4C91"/>
    <w:rsid w:val="007C5576"/>
    <w:rsid w:val="007C5DB4"/>
    <w:rsid w:val="007C6F28"/>
    <w:rsid w:val="007C7F99"/>
    <w:rsid w:val="007D1650"/>
    <w:rsid w:val="007D2E97"/>
    <w:rsid w:val="007D301B"/>
    <w:rsid w:val="007D3440"/>
    <w:rsid w:val="007D34E3"/>
    <w:rsid w:val="007D3771"/>
    <w:rsid w:val="007D39CE"/>
    <w:rsid w:val="007D4DB6"/>
    <w:rsid w:val="007D4EA9"/>
    <w:rsid w:val="007D52B7"/>
    <w:rsid w:val="007D576C"/>
    <w:rsid w:val="007D5BA2"/>
    <w:rsid w:val="007D69C3"/>
    <w:rsid w:val="007D6A69"/>
    <w:rsid w:val="007D7124"/>
    <w:rsid w:val="007D72FF"/>
    <w:rsid w:val="007D7D94"/>
    <w:rsid w:val="007D7E9E"/>
    <w:rsid w:val="007E01E3"/>
    <w:rsid w:val="007E08F3"/>
    <w:rsid w:val="007E0C3E"/>
    <w:rsid w:val="007E13E7"/>
    <w:rsid w:val="007E1D52"/>
    <w:rsid w:val="007E208C"/>
    <w:rsid w:val="007E3227"/>
    <w:rsid w:val="007E322A"/>
    <w:rsid w:val="007E32E0"/>
    <w:rsid w:val="007E3C5F"/>
    <w:rsid w:val="007E434C"/>
    <w:rsid w:val="007E49EA"/>
    <w:rsid w:val="007E4C53"/>
    <w:rsid w:val="007E510D"/>
    <w:rsid w:val="007E515E"/>
    <w:rsid w:val="007E64D0"/>
    <w:rsid w:val="007E6668"/>
    <w:rsid w:val="007E6918"/>
    <w:rsid w:val="007F0370"/>
    <w:rsid w:val="007F0747"/>
    <w:rsid w:val="007F09FD"/>
    <w:rsid w:val="007F1977"/>
    <w:rsid w:val="007F1F72"/>
    <w:rsid w:val="007F233A"/>
    <w:rsid w:val="007F278A"/>
    <w:rsid w:val="007F2E4F"/>
    <w:rsid w:val="007F2FDB"/>
    <w:rsid w:val="007F358B"/>
    <w:rsid w:val="007F3AE9"/>
    <w:rsid w:val="007F41D9"/>
    <w:rsid w:val="007F44AF"/>
    <w:rsid w:val="007F5CA8"/>
    <w:rsid w:val="007F5CBF"/>
    <w:rsid w:val="007F73A7"/>
    <w:rsid w:val="007F7735"/>
    <w:rsid w:val="008007CB"/>
    <w:rsid w:val="00800E89"/>
    <w:rsid w:val="008013C3"/>
    <w:rsid w:val="00802655"/>
    <w:rsid w:val="008026E4"/>
    <w:rsid w:val="008057D2"/>
    <w:rsid w:val="00806405"/>
    <w:rsid w:val="008074F7"/>
    <w:rsid w:val="00807C97"/>
    <w:rsid w:val="00807ECB"/>
    <w:rsid w:val="0081027E"/>
    <w:rsid w:val="00810B93"/>
    <w:rsid w:val="00810BCC"/>
    <w:rsid w:val="00810BD4"/>
    <w:rsid w:val="00810C61"/>
    <w:rsid w:val="00810DDE"/>
    <w:rsid w:val="00811833"/>
    <w:rsid w:val="00811C5A"/>
    <w:rsid w:val="008122AC"/>
    <w:rsid w:val="008126EC"/>
    <w:rsid w:val="00813B7D"/>
    <w:rsid w:val="008161D7"/>
    <w:rsid w:val="008205C5"/>
    <w:rsid w:val="00820973"/>
    <w:rsid w:val="00822E89"/>
    <w:rsid w:val="00823713"/>
    <w:rsid w:val="00823A0B"/>
    <w:rsid w:val="00824236"/>
    <w:rsid w:val="008243E9"/>
    <w:rsid w:val="00825014"/>
    <w:rsid w:val="00825C47"/>
    <w:rsid w:val="00826305"/>
    <w:rsid w:val="00827122"/>
    <w:rsid w:val="00827721"/>
    <w:rsid w:val="00830DE6"/>
    <w:rsid w:val="00830F0D"/>
    <w:rsid w:val="00830FEF"/>
    <w:rsid w:val="008318BA"/>
    <w:rsid w:val="00831C57"/>
    <w:rsid w:val="00832DB6"/>
    <w:rsid w:val="0083388F"/>
    <w:rsid w:val="00833E88"/>
    <w:rsid w:val="00833EE7"/>
    <w:rsid w:val="00834306"/>
    <w:rsid w:val="0083439B"/>
    <w:rsid w:val="00834B06"/>
    <w:rsid w:val="00834D5C"/>
    <w:rsid w:val="008358F5"/>
    <w:rsid w:val="008360D8"/>
    <w:rsid w:val="008364DF"/>
    <w:rsid w:val="00836856"/>
    <w:rsid w:val="0083694F"/>
    <w:rsid w:val="00837CA6"/>
    <w:rsid w:val="00840196"/>
    <w:rsid w:val="00840E69"/>
    <w:rsid w:val="00843F7A"/>
    <w:rsid w:val="0084455B"/>
    <w:rsid w:val="00844589"/>
    <w:rsid w:val="00844D97"/>
    <w:rsid w:val="00845641"/>
    <w:rsid w:val="008459A5"/>
    <w:rsid w:val="008469DE"/>
    <w:rsid w:val="0084759F"/>
    <w:rsid w:val="00847604"/>
    <w:rsid w:val="00847904"/>
    <w:rsid w:val="00847952"/>
    <w:rsid w:val="00847DF5"/>
    <w:rsid w:val="00850555"/>
    <w:rsid w:val="00850575"/>
    <w:rsid w:val="008508B4"/>
    <w:rsid w:val="0085114B"/>
    <w:rsid w:val="00851155"/>
    <w:rsid w:val="00851586"/>
    <w:rsid w:val="00852C04"/>
    <w:rsid w:val="0085342F"/>
    <w:rsid w:val="00854591"/>
    <w:rsid w:val="00854747"/>
    <w:rsid w:val="00855692"/>
    <w:rsid w:val="00857070"/>
    <w:rsid w:val="008570C1"/>
    <w:rsid w:val="0085757D"/>
    <w:rsid w:val="00857DED"/>
    <w:rsid w:val="00860363"/>
    <w:rsid w:val="00860500"/>
    <w:rsid w:val="00860DBF"/>
    <w:rsid w:val="00860DDB"/>
    <w:rsid w:val="00862877"/>
    <w:rsid w:val="00862AAB"/>
    <w:rsid w:val="00862E5C"/>
    <w:rsid w:val="00863AFF"/>
    <w:rsid w:val="00863C97"/>
    <w:rsid w:val="00864888"/>
    <w:rsid w:val="00865538"/>
    <w:rsid w:val="00865BFF"/>
    <w:rsid w:val="00865CA9"/>
    <w:rsid w:val="008665DF"/>
    <w:rsid w:val="0086671E"/>
    <w:rsid w:val="00866B4B"/>
    <w:rsid w:val="00866FA9"/>
    <w:rsid w:val="00867004"/>
    <w:rsid w:val="008670FC"/>
    <w:rsid w:val="0086717A"/>
    <w:rsid w:val="008671BE"/>
    <w:rsid w:val="00867C30"/>
    <w:rsid w:val="00870BAD"/>
    <w:rsid w:val="008714CB"/>
    <w:rsid w:val="008714EA"/>
    <w:rsid w:val="008715C1"/>
    <w:rsid w:val="00872255"/>
    <w:rsid w:val="00872B0D"/>
    <w:rsid w:val="00872B5A"/>
    <w:rsid w:val="00872D50"/>
    <w:rsid w:val="0087330F"/>
    <w:rsid w:val="0087387A"/>
    <w:rsid w:val="00873A1B"/>
    <w:rsid w:val="0087422D"/>
    <w:rsid w:val="0087467B"/>
    <w:rsid w:val="0087478E"/>
    <w:rsid w:val="00874BB6"/>
    <w:rsid w:val="00875645"/>
    <w:rsid w:val="00875DC5"/>
    <w:rsid w:val="00875EB6"/>
    <w:rsid w:val="00876737"/>
    <w:rsid w:val="00876A91"/>
    <w:rsid w:val="00876CAC"/>
    <w:rsid w:val="00877003"/>
    <w:rsid w:val="00877278"/>
    <w:rsid w:val="008773C4"/>
    <w:rsid w:val="0087781F"/>
    <w:rsid w:val="008802A7"/>
    <w:rsid w:val="008819EF"/>
    <w:rsid w:val="00882052"/>
    <w:rsid w:val="00882E7A"/>
    <w:rsid w:val="00883362"/>
    <w:rsid w:val="00883B2B"/>
    <w:rsid w:val="008849CA"/>
    <w:rsid w:val="008854E0"/>
    <w:rsid w:val="0088677F"/>
    <w:rsid w:val="008869A6"/>
    <w:rsid w:val="00886AD8"/>
    <w:rsid w:val="00887524"/>
    <w:rsid w:val="008901C9"/>
    <w:rsid w:val="008903CB"/>
    <w:rsid w:val="00890866"/>
    <w:rsid w:val="00890E75"/>
    <w:rsid w:val="00891994"/>
    <w:rsid w:val="00892C54"/>
    <w:rsid w:val="00893940"/>
    <w:rsid w:val="00894913"/>
    <w:rsid w:val="00894B09"/>
    <w:rsid w:val="00894D87"/>
    <w:rsid w:val="008951CC"/>
    <w:rsid w:val="008961D6"/>
    <w:rsid w:val="008969CC"/>
    <w:rsid w:val="00896BD6"/>
    <w:rsid w:val="00896CAA"/>
    <w:rsid w:val="00896CF9"/>
    <w:rsid w:val="00897253"/>
    <w:rsid w:val="00897380"/>
    <w:rsid w:val="00897F19"/>
    <w:rsid w:val="008A0311"/>
    <w:rsid w:val="008A11CC"/>
    <w:rsid w:val="008A1EC7"/>
    <w:rsid w:val="008A2101"/>
    <w:rsid w:val="008A23DF"/>
    <w:rsid w:val="008A2FD4"/>
    <w:rsid w:val="008A326A"/>
    <w:rsid w:val="008A3B6E"/>
    <w:rsid w:val="008A3F61"/>
    <w:rsid w:val="008A4525"/>
    <w:rsid w:val="008A4935"/>
    <w:rsid w:val="008A49B1"/>
    <w:rsid w:val="008A51E3"/>
    <w:rsid w:val="008A66F9"/>
    <w:rsid w:val="008A6BBB"/>
    <w:rsid w:val="008A7977"/>
    <w:rsid w:val="008B00E2"/>
    <w:rsid w:val="008B13ED"/>
    <w:rsid w:val="008B2502"/>
    <w:rsid w:val="008B3152"/>
    <w:rsid w:val="008B3E0D"/>
    <w:rsid w:val="008B4157"/>
    <w:rsid w:val="008B4C4A"/>
    <w:rsid w:val="008B518D"/>
    <w:rsid w:val="008B5244"/>
    <w:rsid w:val="008B61BA"/>
    <w:rsid w:val="008B6CCB"/>
    <w:rsid w:val="008B6FF1"/>
    <w:rsid w:val="008C01FD"/>
    <w:rsid w:val="008C03D0"/>
    <w:rsid w:val="008C05E4"/>
    <w:rsid w:val="008C07B9"/>
    <w:rsid w:val="008C0A06"/>
    <w:rsid w:val="008C1C43"/>
    <w:rsid w:val="008C203B"/>
    <w:rsid w:val="008C243C"/>
    <w:rsid w:val="008C4C9C"/>
    <w:rsid w:val="008C4F89"/>
    <w:rsid w:val="008C6E60"/>
    <w:rsid w:val="008C75EF"/>
    <w:rsid w:val="008C763F"/>
    <w:rsid w:val="008C7EB4"/>
    <w:rsid w:val="008D051C"/>
    <w:rsid w:val="008D07B4"/>
    <w:rsid w:val="008D0D09"/>
    <w:rsid w:val="008D0E9C"/>
    <w:rsid w:val="008D22AC"/>
    <w:rsid w:val="008D35B0"/>
    <w:rsid w:val="008D397A"/>
    <w:rsid w:val="008D5779"/>
    <w:rsid w:val="008D5FB7"/>
    <w:rsid w:val="008D61E2"/>
    <w:rsid w:val="008D643D"/>
    <w:rsid w:val="008D6AD4"/>
    <w:rsid w:val="008D7496"/>
    <w:rsid w:val="008D7AAF"/>
    <w:rsid w:val="008D7F3F"/>
    <w:rsid w:val="008E0532"/>
    <w:rsid w:val="008E175C"/>
    <w:rsid w:val="008E1AF9"/>
    <w:rsid w:val="008E22B1"/>
    <w:rsid w:val="008E29BA"/>
    <w:rsid w:val="008E2A84"/>
    <w:rsid w:val="008E3C4E"/>
    <w:rsid w:val="008E421B"/>
    <w:rsid w:val="008E44BD"/>
    <w:rsid w:val="008E5D5D"/>
    <w:rsid w:val="008E5EC1"/>
    <w:rsid w:val="008E66C3"/>
    <w:rsid w:val="008E7BF8"/>
    <w:rsid w:val="008E7F2F"/>
    <w:rsid w:val="008F0408"/>
    <w:rsid w:val="008F0F53"/>
    <w:rsid w:val="008F1054"/>
    <w:rsid w:val="008F2C64"/>
    <w:rsid w:val="008F3F2C"/>
    <w:rsid w:val="008F4FEF"/>
    <w:rsid w:val="008F53C6"/>
    <w:rsid w:val="008F6BA8"/>
    <w:rsid w:val="008F6D8D"/>
    <w:rsid w:val="008F76CC"/>
    <w:rsid w:val="008F7EB7"/>
    <w:rsid w:val="008F7FFE"/>
    <w:rsid w:val="0090205E"/>
    <w:rsid w:val="00902957"/>
    <w:rsid w:val="009029C0"/>
    <w:rsid w:val="00902F15"/>
    <w:rsid w:val="00903130"/>
    <w:rsid w:val="00903327"/>
    <w:rsid w:val="00903639"/>
    <w:rsid w:val="00903F78"/>
    <w:rsid w:val="00904780"/>
    <w:rsid w:val="00904EE0"/>
    <w:rsid w:val="009070B8"/>
    <w:rsid w:val="009101EF"/>
    <w:rsid w:val="00910416"/>
    <w:rsid w:val="00910DE5"/>
    <w:rsid w:val="00910F0B"/>
    <w:rsid w:val="00911719"/>
    <w:rsid w:val="0091208D"/>
    <w:rsid w:val="009127B4"/>
    <w:rsid w:val="00913858"/>
    <w:rsid w:val="0091428F"/>
    <w:rsid w:val="0091444A"/>
    <w:rsid w:val="00915F0A"/>
    <w:rsid w:val="00916142"/>
    <w:rsid w:val="00916EF1"/>
    <w:rsid w:val="0092064D"/>
    <w:rsid w:val="00920903"/>
    <w:rsid w:val="00920BD3"/>
    <w:rsid w:val="00920F6F"/>
    <w:rsid w:val="009225B1"/>
    <w:rsid w:val="009230EA"/>
    <w:rsid w:val="00923831"/>
    <w:rsid w:val="00923A89"/>
    <w:rsid w:val="0092428C"/>
    <w:rsid w:val="009243DC"/>
    <w:rsid w:val="0092494E"/>
    <w:rsid w:val="00924AC4"/>
    <w:rsid w:val="00924CFC"/>
    <w:rsid w:val="00924D6F"/>
    <w:rsid w:val="009250FD"/>
    <w:rsid w:val="00925733"/>
    <w:rsid w:val="009259A5"/>
    <w:rsid w:val="00926399"/>
    <w:rsid w:val="00926A81"/>
    <w:rsid w:val="00927149"/>
    <w:rsid w:val="00927AB7"/>
    <w:rsid w:val="00927D97"/>
    <w:rsid w:val="00930DF0"/>
    <w:rsid w:val="009317E3"/>
    <w:rsid w:val="009330D3"/>
    <w:rsid w:val="0093350E"/>
    <w:rsid w:val="00935615"/>
    <w:rsid w:val="00935723"/>
    <w:rsid w:val="00935C64"/>
    <w:rsid w:val="009364EC"/>
    <w:rsid w:val="00936CF1"/>
    <w:rsid w:val="00936F9F"/>
    <w:rsid w:val="00937829"/>
    <w:rsid w:val="009403F0"/>
    <w:rsid w:val="00940508"/>
    <w:rsid w:val="00941228"/>
    <w:rsid w:val="00941537"/>
    <w:rsid w:val="00941E9C"/>
    <w:rsid w:val="00942DF1"/>
    <w:rsid w:val="009437EE"/>
    <w:rsid w:val="009439D3"/>
    <w:rsid w:val="00943FCF"/>
    <w:rsid w:val="009440DE"/>
    <w:rsid w:val="00944CA6"/>
    <w:rsid w:val="00946857"/>
    <w:rsid w:val="00947AC8"/>
    <w:rsid w:val="009503A7"/>
    <w:rsid w:val="0095053F"/>
    <w:rsid w:val="00950E83"/>
    <w:rsid w:val="00950EB0"/>
    <w:rsid w:val="00950FDE"/>
    <w:rsid w:val="0095191B"/>
    <w:rsid w:val="00951D27"/>
    <w:rsid w:val="00951F8B"/>
    <w:rsid w:val="00952598"/>
    <w:rsid w:val="00952842"/>
    <w:rsid w:val="00952F8C"/>
    <w:rsid w:val="0095336B"/>
    <w:rsid w:val="00953554"/>
    <w:rsid w:val="009546E1"/>
    <w:rsid w:val="00954E99"/>
    <w:rsid w:val="009553CB"/>
    <w:rsid w:val="00956041"/>
    <w:rsid w:val="00956436"/>
    <w:rsid w:val="00956443"/>
    <w:rsid w:val="009567C1"/>
    <w:rsid w:val="009569CA"/>
    <w:rsid w:val="00956CC9"/>
    <w:rsid w:val="00960516"/>
    <w:rsid w:val="009610A5"/>
    <w:rsid w:val="009611FC"/>
    <w:rsid w:val="00961375"/>
    <w:rsid w:val="009613C8"/>
    <w:rsid w:val="009614F8"/>
    <w:rsid w:val="009626B4"/>
    <w:rsid w:val="009628F4"/>
    <w:rsid w:val="00962A2B"/>
    <w:rsid w:val="00962A41"/>
    <w:rsid w:val="00963626"/>
    <w:rsid w:val="0096434D"/>
    <w:rsid w:val="009648EF"/>
    <w:rsid w:val="009657F3"/>
    <w:rsid w:val="009657F9"/>
    <w:rsid w:val="00966ED3"/>
    <w:rsid w:val="009673C5"/>
    <w:rsid w:val="009677A4"/>
    <w:rsid w:val="009679BF"/>
    <w:rsid w:val="00967C44"/>
    <w:rsid w:val="00971092"/>
    <w:rsid w:val="00971360"/>
    <w:rsid w:val="00973EC7"/>
    <w:rsid w:val="009746A7"/>
    <w:rsid w:val="00974BA6"/>
    <w:rsid w:val="00975132"/>
    <w:rsid w:val="00975176"/>
    <w:rsid w:val="00976706"/>
    <w:rsid w:val="00977BD3"/>
    <w:rsid w:val="009807E3"/>
    <w:rsid w:val="00980A20"/>
    <w:rsid w:val="00981315"/>
    <w:rsid w:val="009815B9"/>
    <w:rsid w:val="00981B4F"/>
    <w:rsid w:val="00982265"/>
    <w:rsid w:val="00982B2A"/>
    <w:rsid w:val="00982C26"/>
    <w:rsid w:val="00982C54"/>
    <w:rsid w:val="00983904"/>
    <w:rsid w:val="00983F66"/>
    <w:rsid w:val="00984391"/>
    <w:rsid w:val="00984497"/>
    <w:rsid w:val="00984869"/>
    <w:rsid w:val="009848FE"/>
    <w:rsid w:val="00984A11"/>
    <w:rsid w:val="00984CB3"/>
    <w:rsid w:val="00984E63"/>
    <w:rsid w:val="0098560D"/>
    <w:rsid w:val="0098600B"/>
    <w:rsid w:val="00986583"/>
    <w:rsid w:val="00986834"/>
    <w:rsid w:val="009868E1"/>
    <w:rsid w:val="00986F84"/>
    <w:rsid w:val="00990B8F"/>
    <w:rsid w:val="009910E5"/>
    <w:rsid w:val="00991874"/>
    <w:rsid w:val="0099218E"/>
    <w:rsid w:val="00992B5B"/>
    <w:rsid w:val="009934D0"/>
    <w:rsid w:val="00993AF5"/>
    <w:rsid w:val="009942E2"/>
    <w:rsid w:val="00994956"/>
    <w:rsid w:val="00995AA3"/>
    <w:rsid w:val="00995C20"/>
    <w:rsid w:val="00995F7E"/>
    <w:rsid w:val="009972B2"/>
    <w:rsid w:val="0099730B"/>
    <w:rsid w:val="009A0075"/>
    <w:rsid w:val="009A022F"/>
    <w:rsid w:val="009A0B0B"/>
    <w:rsid w:val="009A0C40"/>
    <w:rsid w:val="009A2D56"/>
    <w:rsid w:val="009A2F05"/>
    <w:rsid w:val="009A4E10"/>
    <w:rsid w:val="009A5326"/>
    <w:rsid w:val="009A6158"/>
    <w:rsid w:val="009A6BA3"/>
    <w:rsid w:val="009A6DE9"/>
    <w:rsid w:val="009A6EA2"/>
    <w:rsid w:val="009A72FC"/>
    <w:rsid w:val="009B151B"/>
    <w:rsid w:val="009B2598"/>
    <w:rsid w:val="009B284E"/>
    <w:rsid w:val="009B2A24"/>
    <w:rsid w:val="009B2C9E"/>
    <w:rsid w:val="009B3146"/>
    <w:rsid w:val="009B348E"/>
    <w:rsid w:val="009B4D5F"/>
    <w:rsid w:val="009B5620"/>
    <w:rsid w:val="009B5635"/>
    <w:rsid w:val="009B5F55"/>
    <w:rsid w:val="009B60C7"/>
    <w:rsid w:val="009B6154"/>
    <w:rsid w:val="009B62CD"/>
    <w:rsid w:val="009B6ECA"/>
    <w:rsid w:val="009B7029"/>
    <w:rsid w:val="009B702D"/>
    <w:rsid w:val="009B7213"/>
    <w:rsid w:val="009B78CE"/>
    <w:rsid w:val="009B7C22"/>
    <w:rsid w:val="009C070E"/>
    <w:rsid w:val="009C07B8"/>
    <w:rsid w:val="009C19A2"/>
    <w:rsid w:val="009C1EC6"/>
    <w:rsid w:val="009C26C4"/>
    <w:rsid w:val="009C2B97"/>
    <w:rsid w:val="009C3BC5"/>
    <w:rsid w:val="009C3BF2"/>
    <w:rsid w:val="009C50C5"/>
    <w:rsid w:val="009C605E"/>
    <w:rsid w:val="009C632B"/>
    <w:rsid w:val="009C6AB9"/>
    <w:rsid w:val="009C6B15"/>
    <w:rsid w:val="009C73EF"/>
    <w:rsid w:val="009C7A76"/>
    <w:rsid w:val="009C7B0F"/>
    <w:rsid w:val="009D04CF"/>
    <w:rsid w:val="009D0D61"/>
    <w:rsid w:val="009D1093"/>
    <w:rsid w:val="009D10A4"/>
    <w:rsid w:val="009D147B"/>
    <w:rsid w:val="009D213D"/>
    <w:rsid w:val="009D28A5"/>
    <w:rsid w:val="009D2B88"/>
    <w:rsid w:val="009D3A00"/>
    <w:rsid w:val="009D51D1"/>
    <w:rsid w:val="009D5581"/>
    <w:rsid w:val="009D7959"/>
    <w:rsid w:val="009D7AB3"/>
    <w:rsid w:val="009D7C71"/>
    <w:rsid w:val="009E0075"/>
    <w:rsid w:val="009E11DA"/>
    <w:rsid w:val="009E12F0"/>
    <w:rsid w:val="009E1DCE"/>
    <w:rsid w:val="009E21FE"/>
    <w:rsid w:val="009E27F9"/>
    <w:rsid w:val="009E29BA"/>
    <w:rsid w:val="009E2F32"/>
    <w:rsid w:val="009E34BE"/>
    <w:rsid w:val="009E3E81"/>
    <w:rsid w:val="009E3F40"/>
    <w:rsid w:val="009E476F"/>
    <w:rsid w:val="009E50A5"/>
    <w:rsid w:val="009E5F38"/>
    <w:rsid w:val="009E6196"/>
    <w:rsid w:val="009E6748"/>
    <w:rsid w:val="009E7B66"/>
    <w:rsid w:val="009F04C5"/>
    <w:rsid w:val="009F14C9"/>
    <w:rsid w:val="009F17BD"/>
    <w:rsid w:val="009F2048"/>
    <w:rsid w:val="009F26C3"/>
    <w:rsid w:val="009F297D"/>
    <w:rsid w:val="009F3991"/>
    <w:rsid w:val="009F3C95"/>
    <w:rsid w:val="009F40FE"/>
    <w:rsid w:val="009F5978"/>
    <w:rsid w:val="009F648D"/>
    <w:rsid w:val="009F7547"/>
    <w:rsid w:val="00A0027E"/>
    <w:rsid w:val="00A00DE3"/>
    <w:rsid w:val="00A010E5"/>
    <w:rsid w:val="00A01ACB"/>
    <w:rsid w:val="00A02318"/>
    <w:rsid w:val="00A02F4A"/>
    <w:rsid w:val="00A0320A"/>
    <w:rsid w:val="00A03AAF"/>
    <w:rsid w:val="00A04394"/>
    <w:rsid w:val="00A046E3"/>
    <w:rsid w:val="00A0484B"/>
    <w:rsid w:val="00A04E8E"/>
    <w:rsid w:val="00A05B9E"/>
    <w:rsid w:val="00A05FE8"/>
    <w:rsid w:val="00A068FA"/>
    <w:rsid w:val="00A075B1"/>
    <w:rsid w:val="00A07619"/>
    <w:rsid w:val="00A11042"/>
    <w:rsid w:val="00A111DD"/>
    <w:rsid w:val="00A11BB8"/>
    <w:rsid w:val="00A11CB6"/>
    <w:rsid w:val="00A12B59"/>
    <w:rsid w:val="00A12D15"/>
    <w:rsid w:val="00A12DED"/>
    <w:rsid w:val="00A13350"/>
    <w:rsid w:val="00A13538"/>
    <w:rsid w:val="00A13DCF"/>
    <w:rsid w:val="00A14034"/>
    <w:rsid w:val="00A15164"/>
    <w:rsid w:val="00A15210"/>
    <w:rsid w:val="00A153CE"/>
    <w:rsid w:val="00A16A1E"/>
    <w:rsid w:val="00A16FC4"/>
    <w:rsid w:val="00A16FF7"/>
    <w:rsid w:val="00A177A0"/>
    <w:rsid w:val="00A1798A"/>
    <w:rsid w:val="00A212AC"/>
    <w:rsid w:val="00A2147E"/>
    <w:rsid w:val="00A217D2"/>
    <w:rsid w:val="00A21BC3"/>
    <w:rsid w:val="00A22019"/>
    <w:rsid w:val="00A22227"/>
    <w:rsid w:val="00A22958"/>
    <w:rsid w:val="00A23714"/>
    <w:rsid w:val="00A23ADC"/>
    <w:rsid w:val="00A23B28"/>
    <w:rsid w:val="00A23BBF"/>
    <w:rsid w:val="00A24289"/>
    <w:rsid w:val="00A24394"/>
    <w:rsid w:val="00A2452E"/>
    <w:rsid w:val="00A25238"/>
    <w:rsid w:val="00A25ACF"/>
    <w:rsid w:val="00A25F84"/>
    <w:rsid w:val="00A26742"/>
    <w:rsid w:val="00A2680E"/>
    <w:rsid w:val="00A26C24"/>
    <w:rsid w:val="00A26E59"/>
    <w:rsid w:val="00A27C22"/>
    <w:rsid w:val="00A27FEA"/>
    <w:rsid w:val="00A3036A"/>
    <w:rsid w:val="00A3058A"/>
    <w:rsid w:val="00A31552"/>
    <w:rsid w:val="00A32214"/>
    <w:rsid w:val="00A32325"/>
    <w:rsid w:val="00A323EC"/>
    <w:rsid w:val="00A32F77"/>
    <w:rsid w:val="00A33CCA"/>
    <w:rsid w:val="00A35271"/>
    <w:rsid w:val="00A3567B"/>
    <w:rsid w:val="00A36768"/>
    <w:rsid w:val="00A36C99"/>
    <w:rsid w:val="00A3714B"/>
    <w:rsid w:val="00A37828"/>
    <w:rsid w:val="00A37C43"/>
    <w:rsid w:val="00A37EF9"/>
    <w:rsid w:val="00A4066F"/>
    <w:rsid w:val="00A40D57"/>
    <w:rsid w:val="00A412F7"/>
    <w:rsid w:val="00A42579"/>
    <w:rsid w:val="00A42620"/>
    <w:rsid w:val="00A4291B"/>
    <w:rsid w:val="00A42C01"/>
    <w:rsid w:val="00A42C81"/>
    <w:rsid w:val="00A4309B"/>
    <w:rsid w:val="00A433F4"/>
    <w:rsid w:val="00A43598"/>
    <w:rsid w:val="00A44197"/>
    <w:rsid w:val="00A44BAC"/>
    <w:rsid w:val="00A44E3C"/>
    <w:rsid w:val="00A45140"/>
    <w:rsid w:val="00A45614"/>
    <w:rsid w:val="00A456F3"/>
    <w:rsid w:val="00A466A6"/>
    <w:rsid w:val="00A47A38"/>
    <w:rsid w:val="00A47BA3"/>
    <w:rsid w:val="00A47DEB"/>
    <w:rsid w:val="00A5033D"/>
    <w:rsid w:val="00A5042F"/>
    <w:rsid w:val="00A50907"/>
    <w:rsid w:val="00A50D5A"/>
    <w:rsid w:val="00A52099"/>
    <w:rsid w:val="00A5209F"/>
    <w:rsid w:val="00A52289"/>
    <w:rsid w:val="00A533A1"/>
    <w:rsid w:val="00A53843"/>
    <w:rsid w:val="00A539E9"/>
    <w:rsid w:val="00A53B30"/>
    <w:rsid w:val="00A541E7"/>
    <w:rsid w:val="00A5428E"/>
    <w:rsid w:val="00A545E7"/>
    <w:rsid w:val="00A54608"/>
    <w:rsid w:val="00A54775"/>
    <w:rsid w:val="00A548FC"/>
    <w:rsid w:val="00A54DF4"/>
    <w:rsid w:val="00A55AFD"/>
    <w:rsid w:val="00A566FF"/>
    <w:rsid w:val="00A568D4"/>
    <w:rsid w:val="00A569C1"/>
    <w:rsid w:val="00A56C74"/>
    <w:rsid w:val="00A56EDC"/>
    <w:rsid w:val="00A612D9"/>
    <w:rsid w:val="00A62959"/>
    <w:rsid w:val="00A62992"/>
    <w:rsid w:val="00A6343A"/>
    <w:rsid w:val="00A648B8"/>
    <w:rsid w:val="00A66573"/>
    <w:rsid w:val="00A66827"/>
    <w:rsid w:val="00A67108"/>
    <w:rsid w:val="00A6760E"/>
    <w:rsid w:val="00A67AB2"/>
    <w:rsid w:val="00A67EC4"/>
    <w:rsid w:val="00A70116"/>
    <w:rsid w:val="00A70181"/>
    <w:rsid w:val="00A70417"/>
    <w:rsid w:val="00A7083B"/>
    <w:rsid w:val="00A71C33"/>
    <w:rsid w:val="00A71C80"/>
    <w:rsid w:val="00A7208F"/>
    <w:rsid w:val="00A72F09"/>
    <w:rsid w:val="00A739BF"/>
    <w:rsid w:val="00A73AAD"/>
    <w:rsid w:val="00A73CE0"/>
    <w:rsid w:val="00A74130"/>
    <w:rsid w:val="00A746F9"/>
    <w:rsid w:val="00A748CB"/>
    <w:rsid w:val="00A75093"/>
    <w:rsid w:val="00A7577F"/>
    <w:rsid w:val="00A757CC"/>
    <w:rsid w:val="00A7586C"/>
    <w:rsid w:val="00A759DD"/>
    <w:rsid w:val="00A76E06"/>
    <w:rsid w:val="00A77891"/>
    <w:rsid w:val="00A778DF"/>
    <w:rsid w:val="00A77F94"/>
    <w:rsid w:val="00A80400"/>
    <w:rsid w:val="00A80A96"/>
    <w:rsid w:val="00A81C52"/>
    <w:rsid w:val="00A8217C"/>
    <w:rsid w:val="00A82489"/>
    <w:rsid w:val="00A826D9"/>
    <w:rsid w:val="00A82AC1"/>
    <w:rsid w:val="00A834BA"/>
    <w:rsid w:val="00A83C9A"/>
    <w:rsid w:val="00A83D33"/>
    <w:rsid w:val="00A83E75"/>
    <w:rsid w:val="00A84A4F"/>
    <w:rsid w:val="00A84CBC"/>
    <w:rsid w:val="00A850CC"/>
    <w:rsid w:val="00A85614"/>
    <w:rsid w:val="00A85DA1"/>
    <w:rsid w:val="00A86430"/>
    <w:rsid w:val="00A86E4B"/>
    <w:rsid w:val="00A8793B"/>
    <w:rsid w:val="00A90265"/>
    <w:rsid w:val="00A906B5"/>
    <w:rsid w:val="00A9084B"/>
    <w:rsid w:val="00A92376"/>
    <w:rsid w:val="00A92D1F"/>
    <w:rsid w:val="00A93DD4"/>
    <w:rsid w:val="00A940E6"/>
    <w:rsid w:val="00A947E7"/>
    <w:rsid w:val="00A953A8"/>
    <w:rsid w:val="00A953C9"/>
    <w:rsid w:val="00A95740"/>
    <w:rsid w:val="00A95770"/>
    <w:rsid w:val="00A95ADA"/>
    <w:rsid w:val="00A95CC7"/>
    <w:rsid w:val="00A96372"/>
    <w:rsid w:val="00A96454"/>
    <w:rsid w:val="00A96916"/>
    <w:rsid w:val="00A9716C"/>
    <w:rsid w:val="00A973DF"/>
    <w:rsid w:val="00AA0267"/>
    <w:rsid w:val="00AA0820"/>
    <w:rsid w:val="00AA1C78"/>
    <w:rsid w:val="00AA23D7"/>
    <w:rsid w:val="00AA2618"/>
    <w:rsid w:val="00AA2A28"/>
    <w:rsid w:val="00AA3097"/>
    <w:rsid w:val="00AA3903"/>
    <w:rsid w:val="00AA3F06"/>
    <w:rsid w:val="00AA42E5"/>
    <w:rsid w:val="00AA42EA"/>
    <w:rsid w:val="00AA6236"/>
    <w:rsid w:val="00AA643C"/>
    <w:rsid w:val="00AA6473"/>
    <w:rsid w:val="00AA77E0"/>
    <w:rsid w:val="00AB0782"/>
    <w:rsid w:val="00AB07B0"/>
    <w:rsid w:val="00AB07BE"/>
    <w:rsid w:val="00AB09F8"/>
    <w:rsid w:val="00AB1336"/>
    <w:rsid w:val="00AB1E0C"/>
    <w:rsid w:val="00AB2483"/>
    <w:rsid w:val="00AB2E44"/>
    <w:rsid w:val="00AB3013"/>
    <w:rsid w:val="00AB31DA"/>
    <w:rsid w:val="00AB31EF"/>
    <w:rsid w:val="00AB4A6B"/>
    <w:rsid w:val="00AB579A"/>
    <w:rsid w:val="00AB5A10"/>
    <w:rsid w:val="00AB5A4F"/>
    <w:rsid w:val="00AB6621"/>
    <w:rsid w:val="00AB6932"/>
    <w:rsid w:val="00AB758D"/>
    <w:rsid w:val="00AB7ECA"/>
    <w:rsid w:val="00AC00AD"/>
    <w:rsid w:val="00AC07D0"/>
    <w:rsid w:val="00AC0934"/>
    <w:rsid w:val="00AC1BEA"/>
    <w:rsid w:val="00AC2D61"/>
    <w:rsid w:val="00AC39BC"/>
    <w:rsid w:val="00AC3C53"/>
    <w:rsid w:val="00AC4485"/>
    <w:rsid w:val="00AC488E"/>
    <w:rsid w:val="00AC4CA4"/>
    <w:rsid w:val="00AC5C02"/>
    <w:rsid w:val="00AC675B"/>
    <w:rsid w:val="00AC6865"/>
    <w:rsid w:val="00AC6943"/>
    <w:rsid w:val="00AD0614"/>
    <w:rsid w:val="00AD0E2D"/>
    <w:rsid w:val="00AD18AA"/>
    <w:rsid w:val="00AD1D3B"/>
    <w:rsid w:val="00AD204B"/>
    <w:rsid w:val="00AD2114"/>
    <w:rsid w:val="00AD2501"/>
    <w:rsid w:val="00AD2E98"/>
    <w:rsid w:val="00AD2EBC"/>
    <w:rsid w:val="00AD4751"/>
    <w:rsid w:val="00AD47CD"/>
    <w:rsid w:val="00AD48CE"/>
    <w:rsid w:val="00AD4C44"/>
    <w:rsid w:val="00AD4D43"/>
    <w:rsid w:val="00AD5002"/>
    <w:rsid w:val="00AD5255"/>
    <w:rsid w:val="00AD5C28"/>
    <w:rsid w:val="00AD5F3E"/>
    <w:rsid w:val="00AD6523"/>
    <w:rsid w:val="00AD666F"/>
    <w:rsid w:val="00AD6761"/>
    <w:rsid w:val="00AD693B"/>
    <w:rsid w:val="00AD6CAC"/>
    <w:rsid w:val="00AD72C0"/>
    <w:rsid w:val="00AD77E9"/>
    <w:rsid w:val="00AD7BC6"/>
    <w:rsid w:val="00AE0031"/>
    <w:rsid w:val="00AE0393"/>
    <w:rsid w:val="00AE063E"/>
    <w:rsid w:val="00AE16D3"/>
    <w:rsid w:val="00AE1AB6"/>
    <w:rsid w:val="00AE1FFC"/>
    <w:rsid w:val="00AE2351"/>
    <w:rsid w:val="00AE259D"/>
    <w:rsid w:val="00AE4066"/>
    <w:rsid w:val="00AE4718"/>
    <w:rsid w:val="00AE4B1E"/>
    <w:rsid w:val="00AE531E"/>
    <w:rsid w:val="00AE641C"/>
    <w:rsid w:val="00AE6835"/>
    <w:rsid w:val="00AE6C68"/>
    <w:rsid w:val="00AE6DA0"/>
    <w:rsid w:val="00AE6E48"/>
    <w:rsid w:val="00AE7482"/>
    <w:rsid w:val="00AE76F9"/>
    <w:rsid w:val="00AE7D6E"/>
    <w:rsid w:val="00AF03C1"/>
    <w:rsid w:val="00AF0E28"/>
    <w:rsid w:val="00AF1AE8"/>
    <w:rsid w:val="00AF28ED"/>
    <w:rsid w:val="00AF28F9"/>
    <w:rsid w:val="00AF2B12"/>
    <w:rsid w:val="00AF2BF5"/>
    <w:rsid w:val="00AF34E0"/>
    <w:rsid w:val="00AF36C8"/>
    <w:rsid w:val="00AF39AD"/>
    <w:rsid w:val="00AF435F"/>
    <w:rsid w:val="00AF438C"/>
    <w:rsid w:val="00AF44D6"/>
    <w:rsid w:val="00AF47DB"/>
    <w:rsid w:val="00AF49E5"/>
    <w:rsid w:val="00AF53FA"/>
    <w:rsid w:val="00AF719C"/>
    <w:rsid w:val="00AF78E3"/>
    <w:rsid w:val="00AF7EB5"/>
    <w:rsid w:val="00B00456"/>
    <w:rsid w:val="00B00F81"/>
    <w:rsid w:val="00B0187E"/>
    <w:rsid w:val="00B022F3"/>
    <w:rsid w:val="00B02645"/>
    <w:rsid w:val="00B0266B"/>
    <w:rsid w:val="00B02735"/>
    <w:rsid w:val="00B02B89"/>
    <w:rsid w:val="00B02C9D"/>
    <w:rsid w:val="00B030E5"/>
    <w:rsid w:val="00B039EA"/>
    <w:rsid w:val="00B03CA5"/>
    <w:rsid w:val="00B0443C"/>
    <w:rsid w:val="00B04F57"/>
    <w:rsid w:val="00B05388"/>
    <w:rsid w:val="00B054E5"/>
    <w:rsid w:val="00B069E1"/>
    <w:rsid w:val="00B06A3D"/>
    <w:rsid w:val="00B070EA"/>
    <w:rsid w:val="00B07C49"/>
    <w:rsid w:val="00B10C91"/>
    <w:rsid w:val="00B11AE5"/>
    <w:rsid w:val="00B12F70"/>
    <w:rsid w:val="00B138EB"/>
    <w:rsid w:val="00B13CDB"/>
    <w:rsid w:val="00B1432A"/>
    <w:rsid w:val="00B14973"/>
    <w:rsid w:val="00B1535D"/>
    <w:rsid w:val="00B15B59"/>
    <w:rsid w:val="00B16053"/>
    <w:rsid w:val="00B177C8"/>
    <w:rsid w:val="00B1789C"/>
    <w:rsid w:val="00B17EBF"/>
    <w:rsid w:val="00B20689"/>
    <w:rsid w:val="00B20695"/>
    <w:rsid w:val="00B2091D"/>
    <w:rsid w:val="00B210E6"/>
    <w:rsid w:val="00B212B3"/>
    <w:rsid w:val="00B21A95"/>
    <w:rsid w:val="00B21FD2"/>
    <w:rsid w:val="00B2208A"/>
    <w:rsid w:val="00B236E0"/>
    <w:rsid w:val="00B23A6D"/>
    <w:rsid w:val="00B23DF6"/>
    <w:rsid w:val="00B2471C"/>
    <w:rsid w:val="00B25368"/>
    <w:rsid w:val="00B25812"/>
    <w:rsid w:val="00B258FE"/>
    <w:rsid w:val="00B2686E"/>
    <w:rsid w:val="00B2727A"/>
    <w:rsid w:val="00B3053C"/>
    <w:rsid w:val="00B30A63"/>
    <w:rsid w:val="00B30B9C"/>
    <w:rsid w:val="00B313D5"/>
    <w:rsid w:val="00B318BD"/>
    <w:rsid w:val="00B31FB4"/>
    <w:rsid w:val="00B325CF"/>
    <w:rsid w:val="00B328F7"/>
    <w:rsid w:val="00B32AAC"/>
    <w:rsid w:val="00B34FA0"/>
    <w:rsid w:val="00B3509A"/>
    <w:rsid w:val="00B35658"/>
    <w:rsid w:val="00B35ABD"/>
    <w:rsid w:val="00B364AB"/>
    <w:rsid w:val="00B36A3E"/>
    <w:rsid w:val="00B36AD1"/>
    <w:rsid w:val="00B36C94"/>
    <w:rsid w:val="00B370EB"/>
    <w:rsid w:val="00B3767E"/>
    <w:rsid w:val="00B3773E"/>
    <w:rsid w:val="00B400E0"/>
    <w:rsid w:val="00B40384"/>
    <w:rsid w:val="00B4084E"/>
    <w:rsid w:val="00B41020"/>
    <w:rsid w:val="00B412AD"/>
    <w:rsid w:val="00B41759"/>
    <w:rsid w:val="00B4181A"/>
    <w:rsid w:val="00B41F23"/>
    <w:rsid w:val="00B42489"/>
    <w:rsid w:val="00B43176"/>
    <w:rsid w:val="00B43E14"/>
    <w:rsid w:val="00B44511"/>
    <w:rsid w:val="00B4563F"/>
    <w:rsid w:val="00B4589D"/>
    <w:rsid w:val="00B465AF"/>
    <w:rsid w:val="00B4722D"/>
    <w:rsid w:val="00B47C93"/>
    <w:rsid w:val="00B5119D"/>
    <w:rsid w:val="00B51BBD"/>
    <w:rsid w:val="00B51BCF"/>
    <w:rsid w:val="00B52351"/>
    <w:rsid w:val="00B52E3B"/>
    <w:rsid w:val="00B5339B"/>
    <w:rsid w:val="00B5392C"/>
    <w:rsid w:val="00B543CD"/>
    <w:rsid w:val="00B5480F"/>
    <w:rsid w:val="00B549BE"/>
    <w:rsid w:val="00B54AA8"/>
    <w:rsid w:val="00B54EC2"/>
    <w:rsid w:val="00B550BC"/>
    <w:rsid w:val="00B55933"/>
    <w:rsid w:val="00B55AAB"/>
    <w:rsid w:val="00B55FC7"/>
    <w:rsid w:val="00B5668E"/>
    <w:rsid w:val="00B56BEA"/>
    <w:rsid w:val="00B56C5E"/>
    <w:rsid w:val="00B56D8A"/>
    <w:rsid w:val="00B56DBC"/>
    <w:rsid w:val="00B56E8B"/>
    <w:rsid w:val="00B6039A"/>
    <w:rsid w:val="00B624DE"/>
    <w:rsid w:val="00B62C63"/>
    <w:rsid w:val="00B63433"/>
    <w:rsid w:val="00B64009"/>
    <w:rsid w:val="00B64BC8"/>
    <w:rsid w:val="00B6534B"/>
    <w:rsid w:val="00B653CC"/>
    <w:rsid w:val="00B65ABD"/>
    <w:rsid w:val="00B65D77"/>
    <w:rsid w:val="00B66382"/>
    <w:rsid w:val="00B66F34"/>
    <w:rsid w:val="00B67055"/>
    <w:rsid w:val="00B67FE9"/>
    <w:rsid w:val="00B70F8D"/>
    <w:rsid w:val="00B710E3"/>
    <w:rsid w:val="00B71B9A"/>
    <w:rsid w:val="00B71F5F"/>
    <w:rsid w:val="00B72667"/>
    <w:rsid w:val="00B73443"/>
    <w:rsid w:val="00B7460E"/>
    <w:rsid w:val="00B74B15"/>
    <w:rsid w:val="00B75870"/>
    <w:rsid w:val="00B775AA"/>
    <w:rsid w:val="00B77D05"/>
    <w:rsid w:val="00B8002D"/>
    <w:rsid w:val="00B80B2B"/>
    <w:rsid w:val="00B81977"/>
    <w:rsid w:val="00B819AD"/>
    <w:rsid w:val="00B81AF7"/>
    <w:rsid w:val="00B82231"/>
    <w:rsid w:val="00B824E3"/>
    <w:rsid w:val="00B82BE9"/>
    <w:rsid w:val="00B82D68"/>
    <w:rsid w:val="00B84004"/>
    <w:rsid w:val="00B8405F"/>
    <w:rsid w:val="00B84C00"/>
    <w:rsid w:val="00B85394"/>
    <w:rsid w:val="00B85A36"/>
    <w:rsid w:val="00B85C6D"/>
    <w:rsid w:val="00B86382"/>
    <w:rsid w:val="00B87273"/>
    <w:rsid w:val="00B87554"/>
    <w:rsid w:val="00B87760"/>
    <w:rsid w:val="00B90074"/>
    <w:rsid w:val="00B90710"/>
    <w:rsid w:val="00B92D5B"/>
    <w:rsid w:val="00B93F47"/>
    <w:rsid w:val="00B94D5F"/>
    <w:rsid w:val="00B94EB3"/>
    <w:rsid w:val="00B95D47"/>
    <w:rsid w:val="00B96638"/>
    <w:rsid w:val="00B96649"/>
    <w:rsid w:val="00B9700B"/>
    <w:rsid w:val="00B9792C"/>
    <w:rsid w:val="00BA097D"/>
    <w:rsid w:val="00BA0D61"/>
    <w:rsid w:val="00BA0EB5"/>
    <w:rsid w:val="00BA0EDC"/>
    <w:rsid w:val="00BA11C5"/>
    <w:rsid w:val="00BA14B7"/>
    <w:rsid w:val="00BA236D"/>
    <w:rsid w:val="00BA28C9"/>
    <w:rsid w:val="00BA2B84"/>
    <w:rsid w:val="00BA2DF2"/>
    <w:rsid w:val="00BA5EC3"/>
    <w:rsid w:val="00BA6211"/>
    <w:rsid w:val="00BA6A30"/>
    <w:rsid w:val="00BA6BC8"/>
    <w:rsid w:val="00BA70C8"/>
    <w:rsid w:val="00BA73D3"/>
    <w:rsid w:val="00BA747E"/>
    <w:rsid w:val="00BA7AB3"/>
    <w:rsid w:val="00BA7BA5"/>
    <w:rsid w:val="00BA7EED"/>
    <w:rsid w:val="00BB0568"/>
    <w:rsid w:val="00BB063B"/>
    <w:rsid w:val="00BB072A"/>
    <w:rsid w:val="00BB1032"/>
    <w:rsid w:val="00BB11FB"/>
    <w:rsid w:val="00BB151A"/>
    <w:rsid w:val="00BB16DB"/>
    <w:rsid w:val="00BB1AB4"/>
    <w:rsid w:val="00BB1CFF"/>
    <w:rsid w:val="00BB29D2"/>
    <w:rsid w:val="00BB2D96"/>
    <w:rsid w:val="00BB2E05"/>
    <w:rsid w:val="00BB393F"/>
    <w:rsid w:val="00BB3983"/>
    <w:rsid w:val="00BB3A5F"/>
    <w:rsid w:val="00BB4133"/>
    <w:rsid w:val="00BB41C5"/>
    <w:rsid w:val="00BB42B6"/>
    <w:rsid w:val="00BB4AC9"/>
    <w:rsid w:val="00BB5008"/>
    <w:rsid w:val="00BB535F"/>
    <w:rsid w:val="00BB53A8"/>
    <w:rsid w:val="00BB5ACE"/>
    <w:rsid w:val="00BB5D7D"/>
    <w:rsid w:val="00BB6B7E"/>
    <w:rsid w:val="00BB6E98"/>
    <w:rsid w:val="00BC0854"/>
    <w:rsid w:val="00BC0A02"/>
    <w:rsid w:val="00BC0DB0"/>
    <w:rsid w:val="00BC13BD"/>
    <w:rsid w:val="00BC1799"/>
    <w:rsid w:val="00BC2B45"/>
    <w:rsid w:val="00BC3426"/>
    <w:rsid w:val="00BC3F10"/>
    <w:rsid w:val="00BC6E4A"/>
    <w:rsid w:val="00BC6F97"/>
    <w:rsid w:val="00BC729B"/>
    <w:rsid w:val="00BC76FF"/>
    <w:rsid w:val="00BC7CE6"/>
    <w:rsid w:val="00BD0470"/>
    <w:rsid w:val="00BD07AA"/>
    <w:rsid w:val="00BD1051"/>
    <w:rsid w:val="00BD1150"/>
    <w:rsid w:val="00BD238F"/>
    <w:rsid w:val="00BD28D5"/>
    <w:rsid w:val="00BD39FA"/>
    <w:rsid w:val="00BD417D"/>
    <w:rsid w:val="00BD4482"/>
    <w:rsid w:val="00BD4739"/>
    <w:rsid w:val="00BD4914"/>
    <w:rsid w:val="00BD4CC4"/>
    <w:rsid w:val="00BD544B"/>
    <w:rsid w:val="00BE02FB"/>
    <w:rsid w:val="00BE162F"/>
    <w:rsid w:val="00BE2043"/>
    <w:rsid w:val="00BE2772"/>
    <w:rsid w:val="00BE2872"/>
    <w:rsid w:val="00BE29ED"/>
    <w:rsid w:val="00BE2E2C"/>
    <w:rsid w:val="00BE3587"/>
    <w:rsid w:val="00BE3FCB"/>
    <w:rsid w:val="00BE6204"/>
    <w:rsid w:val="00BE6BA6"/>
    <w:rsid w:val="00BE7A55"/>
    <w:rsid w:val="00BE7F11"/>
    <w:rsid w:val="00BF05C2"/>
    <w:rsid w:val="00BF0799"/>
    <w:rsid w:val="00BF1A7D"/>
    <w:rsid w:val="00BF20FF"/>
    <w:rsid w:val="00BF2246"/>
    <w:rsid w:val="00BF30FF"/>
    <w:rsid w:val="00BF328D"/>
    <w:rsid w:val="00BF3390"/>
    <w:rsid w:val="00BF3827"/>
    <w:rsid w:val="00BF4765"/>
    <w:rsid w:val="00BF493E"/>
    <w:rsid w:val="00BF4E28"/>
    <w:rsid w:val="00BF5759"/>
    <w:rsid w:val="00BF57DA"/>
    <w:rsid w:val="00BF6153"/>
    <w:rsid w:val="00BF6789"/>
    <w:rsid w:val="00BF6DE6"/>
    <w:rsid w:val="00BF6F34"/>
    <w:rsid w:val="00BF6F43"/>
    <w:rsid w:val="00BF747B"/>
    <w:rsid w:val="00BF7D38"/>
    <w:rsid w:val="00C00633"/>
    <w:rsid w:val="00C00B26"/>
    <w:rsid w:val="00C00B2F"/>
    <w:rsid w:val="00C01270"/>
    <w:rsid w:val="00C01A32"/>
    <w:rsid w:val="00C020F9"/>
    <w:rsid w:val="00C02481"/>
    <w:rsid w:val="00C02561"/>
    <w:rsid w:val="00C0316D"/>
    <w:rsid w:val="00C0344E"/>
    <w:rsid w:val="00C03DC4"/>
    <w:rsid w:val="00C04326"/>
    <w:rsid w:val="00C056D2"/>
    <w:rsid w:val="00C05D54"/>
    <w:rsid w:val="00C063C1"/>
    <w:rsid w:val="00C06523"/>
    <w:rsid w:val="00C06DA3"/>
    <w:rsid w:val="00C070F9"/>
    <w:rsid w:val="00C07110"/>
    <w:rsid w:val="00C0791E"/>
    <w:rsid w:val="00C07B95"/>
    <w:rsid w:val="00C10799"/>
    <w:rsid w:val="00C10EE3"/>
    <w:rsid w:val="00C11386"/>
    <w:rsid w:val="00C11943"/>
    <w:rsid w:val="00C11C3C"/>
    <w:rsid w:val="00C1232B"/>
    <w:rsid w:val="00C124A1"/>
    <w:rsid w:val="00C128EC"/>
    <w:rsid w:val="00C12D69"/>
    <w:rsid w:val="00C13FD8"/>
    <w:rsid w:val="00C14FEE"/>
    <w:rsid w:val="00C15735"/>
    <w:rsid w:val="00C160D1"/>
    <w:rsid w:val="00C16EBA"/>
    <w:rsid w:val="00C17420"/>
    <w:rsid w:val="00C1753B"/>
    <w:rsid w:val="00C17E16"/>
    <w:rsid w:val="00C17F6D"/>
    <w:rsid w:val="00C2038A"/>
    <w:rsid w:val="00C21521"/>
    <w:rsid w:val="00C2191C"/>
    <w:rsid w:val="00C2198B"/>
    <w:rsid w:val="00C2202C"/>
    <w:rsid w:val="00C22088"/>
    <w:rsid w:val="00C223FD"/>
    <w:rsid w:val="00C22A38"/>
    <w:rsid w:val="00C23FAD"/>
    <w:rsid w:val="00C2490D"/>
    <w:rsid w:val="00C25F9E"/>
    <w:rsid w:val="00C2693B"/>
    <w:rsid w:val="00C27231"/>
    <w:rsid w:val="00C278AD"/>
    <w:rsid w:val="00C27E6E"/>
    <w:rsid w:val="00C303E1"/>
    <w:rsid w:val="00C31339"/>
    <w:rsid w:val="00C31862"/>
    <w:rsid w:val="00C3197F"/>
    <w:rsid w:val="00C31DF4"/>
    <w:rsid w:val="00C3261F"/>
    <w:rsid w:val="00C32D57"/>
    <w:rsid w:val="00C33245"/>
    <w:rsid w:val="00C33A7A"/>
    <w:rsid w:val="00C35B62"/>
    <w:rsid w:val="00C36A3E"/>
    <w:rsid w:val="00C36B99"/>
    <w:rsid w:val="00C37141"/>
    <w:rsid w:val="00C40821"/>
    <w:rsid w:val="00C409A1"/>
    <w:rsid w:val="00C42B13"/>
    <w:rsid w:val="00C42D23"/>
    <w:rsid w:val="00C43791"/>
    <w:rsid w:val="00C4390F"/>
    <w:rsid w:val="00C43E22"/>
    <w:rsid w:val="00C44089"/>
    <w:rsid w:val="00C44222"/>
    <w:rsid w:val="00C45131"/>
    <w:rsid w:val="00C45A1E"/>
    <w:rsid w:val="00C46345"/>
    <w:rsid w:val="00C47020"/>
    <w:rsid w:val="00C471C2"/>
    <w:rsid w:val="00C47301"/>
    <w:rsid w:val="00C4740C"/>
    <w:rsid w:val="00C47531"/>
    <w:rsid w:val="00C47831"/>
    <w:rsid w:val="00C47D5D"/>
    <w:rsid w:val="00C47D87"/>
    <w:rsid w:val="00C47DBB"/>
    <w:rsid w:val="00C501B4"/>
    <w:rsid w:val="00C50885"/>
    <w:rsid w:val="00C52C8C"/>
    <w:rsid w:val="00C52DD5"/>
    <w:rsid w:val="00C53B26"/>
    <w:rsid w:val="00C53D8A"/>
    <w:rsid w:val="00C546A3"/>
    <w:rsid w:val="00C54CBE"/>
    <w:rsid w:val="00C55166"/>
    <w:rsid w:val="00C55625"/>
    <w:rsid w:val="00C56078"/>
    <w:rsid w:val="00C56554"/>
    <w:rsid w:val="00C56A42"/>
    <w:rsid w:val="00C56FD7"/>
    <w:rsid w:val="00C5701C"/>
    <w:rsid w:val="00C57949"/>
    <w:rsid w:val="00C57B37"/>
    <w:rsid w:val="00C57E73"/>
    <w:rsid w:val="00C60271"/>
    <w:rsid w:val="00C61105"/>
    <w:rsid w:val="00C619C3"/>
    <w:rsid w:val="00C62FC6"/>
    <w:rsid w:val="00C643C2"/>
    <w:rsid w:val="00C64551"/>
    <w:rsid w:val="00C65077"/>
    <w:rsid w:val="00C65AF7"/>
    <w:rsid w:val="00C65B02"/>
    <w:rsid w:val="00C65C98"/>
    <w:rsid w:val="00C65E78"/>
    <w:rsid w:val="00C65EF0"/>
    <w:rsid w:val="00C66825"/>
    <w:rsid w:val="00C706F3"/>
    <w:rsid w:val="00C707C7"/>
    <w:rsid w:val="00C70987"/>
    <w:rsid w:val="00C7104E"/>
    <w:rsid w:val="00C722E3"/>
    <w:rsid w:val="00C72EEB"/>
    <w:rsid w:val="00C7365C"/>
    <w:rsid w:val="00C73A12"/>
    <w:rsid w:val="00C7472E"/>
    <w:rsid w:val="00C758C7"/>
    <w:rsid w:val="00C76000"/>
    <w:rsid w:val="00C776FB"/>
    <w:rsid w:val="00C81498"/>
    <w:rsid w:val="00C8177E"/>
    <w:rsid w:val="00C819A4"/>
    <w:rsid w:val="00C81B3A"/>
    <w:rsid w:val="00C81CEC"/>
    <w:rsid w:val="00C82597"/>
    <w:rsid w:val="00C83BEC"/>
    <w:rsid w:val="00C83E60"/>
    <w:rsid w:val="00C83F5F"/>
    <w:rsid w:val="00C8486E"/>
    <w:rsid w:val="00C84D62"/>
    <w:rsid w:val="00C85361"/>
    <w:rsid w:val="00C85F14"/>
    <w:rsid w:val="00C87345"/>
    <w:rsid w:val="00C8775F"/>
    <w:rsid w:val="00C87907"/>
    <w:rsid w:val="00C90E2E"/>
    <w:rsid w:val="00C90E80"/>
    <w:rsid w:val="00C91E17"/>
    <w:rsid w:val="00C923D0"/>
    <w:rsid w:val="00C92CBE"/>
    <w:rsid w:val="00C92E0A"/>
    <w:rsid w:val="00C93794"/>
    <w:rsid w:val="00C93E6A"/>
    <w:rsid w:val="00C94857"/>
    <w:rsid w:val="00C978CF"/>
    <w:rsid w:val="00CA0301"/>
    <w:rsid w:val="00CA03E9"/>
    <w:rsid w:val="00CA20E4"/>
    <w:rsid w:val="00CA2398"/>
    <w:rsid w:val="00CA2C1E"/>
    <w:rsid w:val="00CA3ABF"/>
    <w:rsid w:val="00CA40F1"/>
    <w:rsid w:val="00CA473E"/>
    <w:rsid w:val="00CA4841"/>
    <w:rsid w:val="00CA4EBF"/>
    <w:rsid w:val="00CA5549"/>
    <w:rsid w:val="00CA5FCB"/>
    <w:rsid w:val="00CA6E10"/>
    <w:rsid w:val="00CA6FEC"/>
    <w:rsid w:val="00CA70E3"/>
    <w:rsid w:val="00CA736A"/>
    <w:rsid w:val="00CB0C07"/>
    <w:rsid w:val="00CB1025"/>
    <w:rsid w:val="00CB19E5"/>
    <w:rsid w:val="00CB2BE2"/>
    <w:rsid w:val="00CB2C70"/>
    <w:rsid w:val="00CB3F9D"/>
    <w:rsid w:val="00CB4127"/>
    <w:rsid w:val="00CB443D"/>
    <w:rsid w:val="00CB53FF"/>
    <w:rsid w:val="00CB579B"/>
    <w:rsid w:val="00CB5AC5"/>
    <w:rsid w:val="00CB5ED2"/>
    <w:rsid w:val="00CB61C1"/>
    <w:rsid w:val="00CB6304"/>
    <w:rsid w:val="00CB6365"/>
    <w:rsid w:val="00CB6DD8"/>
    <w:rsid w:val="00CB7743"/>
    <w:rsid w:val="00CB7853"/>
    <w:rsid w:val="00CC05C5"/>
    <w:rsid w:val="00CC087C"/>
    <w:rsid w:val="00CC08BE"/>
    <w:rsid w:val="00CC0AAE"/>
    <w:rsid w:val="00CC0DA5"/>
    <w:rsid w:val="00CC1315"/>
    <w:rsid w:val="00CC1941"/>
    <w:rsid w:val="00CC2001"/>
    <w:rsid w:val="00CC2236"/>
    <w:rsid w:val="00CC4111"/>
    <w:rsid w:val="00CC41D3"/>
    <w:rsid w:val="00CC424E"/>
    <w:rsid w:val="00CC4D36"/>
    <w:rsid w:val="00CC6DE6"/>
    <w:rsid w:val="00CC7414"/>
    <w:rsid w:val="00CC75DD"/>
    <w:rsid w:val="00CD02EB"/>
    <w:rsid w:val="00CD0304"/>
    <w:rsid w:val="00CD069D"/>
    <w:rsid w:val="00CD163A"/>
    <w:rsid w:val="00CD1C48"/>
    <w:rsid w:val="00CD1CDB"/>
    <w:rsid w:val="00CD29B7"/>
    <w:rsid w:val="00CD3A96"/>
    <w:rsid w:val="00CD3AD6"/>
    <w:rsid w:val="00CD50A6"/>
    <w:rsid w:val="00CD638D"/>
    <w:rsid w:val="00CD6663"/>
    <w:rsid w:val="00CD6B73"/>
    <w:rsid w:val="00CD6BEC"/>
    <w:rsid w:val="00CD729A"/>
    <w:rsid w:val="00CD74FC"/>
    <w:rsid w:val="00CE0887"/>
    <w:rsid w:val="00CE161D"/>
    <w:rsid w:val="00CE1A7C"/>
    <w:rsid w:val="00CE27BE"/>
    <w:rsid w:val="00CE27FD"/>
    <w:rsid w:val="00CE3445"/>
    <w:rsid w:val="00CE430C"/>
    <w:rsid w:val="00CE48E2"/>
    <w:rsid w:val="00CE552A"/>
    <w:rsid w:val="00CE7520"/>
    <w:rsid w:val="00CE7833"/>
    <w:rsid w:val="00CF0B1F"/>
    <w:rsid w:val="00CF1464"/>
    <w:rsid w:val="00CF1AFE"/>
    <w:rsid w:val="00CF244D"/>
    <w:rsid w:val="00CF2C65"/>
    <w:rsid w:val="00CF3529"/>
    <w:rsid w:val="00CF38EB"/>
    <w:rsid w:val="00CF38FE"/>
    <w:rsid w:val="00CF3929"/>
    <w:rsid w:val="00CF3E01"/>
    <w:rsid w:val="00CF4390"/>
    <w:rsid w:val="00CF467E"/>
    <w:rsid w:val="00CF46D5"/>
    <w:rsid w:val="00D000E1"/>
    <w:rsid w:val="00D00C69"/>
    <w:rsid w:val="00D014D7"/>
    <w:rsid w:val="00D025A3"/>
    <w:rsid w:val="00D028B1"/>
    <w:rsid w:val="00D029BE"/>
    <w:rsid w:val="00D02D00"/>
    <w:rsid w:val="00D03E91"/>
    <w:rsid w:val="00D0417D"/>
    <w:rsid w:val="00D04FFB"/>
    <w:rsid w:val="00D05A15"/>
    <w:rsid w:val="00D05D14"/>
    <w:rsid w:val="00D062F0"/>
    <w:rsid w:val="00D07490"/>
    <w:rsid w:val="00D0768F"/>
    <w:rsid w:val="00D076B1"/>
    <w:rsid w:val="00D1003D"/>
    <w:rsid w:val="00D10E57"/>
    <w:rsid w:val="00D11125"/>
    <w:rsid w:val="00D1175A"/>
    <w:rsid w:val="00D11779"/>
    <w:rsid w:val="00D1206F"/>
    <w:rsid w:val="00D12889"/>
    <w:rsid w:val="00D1330A"/>
    <w:rsid w:val="00D13884"/>
    <w:rsid w:val="00D141B5"/>
    <w:rsid w:val="00D143B9"/>
    <w:rsid w:val="00D145AE"/>
    <w:rsid w:val="00D1468C"/>
    <w:rsid w:val="00D14D88"/>
    <w:rsid w:val="00D15449"/>
    <w:rsid w:val="00D15D89"/>
    <w:rsid w:val="00D168E5"/>
    <w:rsid w:val="00D16A9B"/>
    <w:rsid w:val="00D1773A"/>
    <w:rsid w:val="00D202AF"/>
    <w:rsid w:val="00D2100E"/>
    <w:rsid w:val="00D210F8"/>
    <w:rsid w:val="00D211C3"/>
    <w:rsid w:val="00D2122A"/>
    <w:rsid w:val="00D2135B"/>
    <w:rsid w:val="00D21977"/>
    <w:rsid w:val="00D220BE"/>
    <w:rsid w:val="00D22841"/>
    <w:rsid w:val="00D23383"/>
    <w:rsid w:val="00D23660"/>
    <w:rsid w:val="00D23751"/>
    <w:rsid w:val="00D23D69"/>
    <w:rsid w:val="00D24D6B"/>
    <w:rsid w:val="00D2504B"/>
    <w:rsid w:val="00D26422"/>
    <w:rsid w:val="00D26CF0"/>
    <w:rsid w:val="00D270FF"/>
    <w:rsid w:val="00D27791"/>
    <w:rsid w:val="00D27AA2"/>
    <w:rsid w:val="00D27B93"/>
    <w:rsid w:val="00D27D46"/>
    <w:rsid w:val="00D302D3"/>
    <w:rsid w:val="00D3367F"/>
    <w:rsid w:val="00D3378F"/>
    <w:rsid w:val="00D345B1"/>
    <w:rsid w:val="00D34F09"/>
    <w:rsid w:val="00D354F5"/>
    <w:rsid w:val="00D356F6"/>
    <w:rsid w:val="00D359AB"/>
    <w:rsid w:val="00D35B6A"/>
    <w:rsid w:val="00D35DAC"/>
    <w:rsid w:val="00D35DC2"/>
    <w:rsid w:val="00D36666"/>
    <w:rsid w:val="00D36705"/>
    <w:rsid w:val="00D371A0"/>
    <w:rsid w:val="00D3734A"/>
    <w:rsid w:val="00D373BB"/>
    <w:rsid w:val="00D37A81"/>
    <w:rsid w:val="00D37B37"/>
    <w:rsid w:val="00D406A7"/>
    <w:rsid w:val="00D41E77"/>
    <w:rsid w:val="00D42195"/>
    <w:rsid w:val="00D423B8"/>
    <w:rsid w:val="00D423C3"/>
    <w:rsid w:val="00D4267D"/>
    <w:rsid w:val="00D4385C"/>
    <w:rsid w:val="00D4431E"/>
    <w:rsid w:val="00D444A7"/>
    <w:rsid w:val="00D45095"/>
    <w:rsid w:val="00D45E6F"/>
    <w:rsid w:val="00D46660"/>
    <w:rsid w:val="00D46928"/>
    <w:rsid w:val="00D46AF3"/>
    <w:rsid w:val="00D46E6E"/>
    <w:rsid w:val="00D47002"/>
    <w:rsid w:val="00D474F6"/>
    <w:rsid w:val="00D47BEA"/>
    <w:rsid w:val="00D47EDC"/>
    <w:rsid w:val="00D5073D"/>
    <w:rsid w:val="00D50CDC"/>
    <w:rsid w:val="00D50D93"/>
    <w:rsid w:val="00D5265F"/>
    <w:rsid w:val="00D53B52"/>
    <w:rsid w:val="00D53CDF"/>
    <w:rsid w:val="00D5473F"/>
    <w:rsid w:val="00D550B7"/>
    <w:rsid w:val="00D55C44"/>
    <w:rsid w:val="00D55E2C"/>
    <w:rsid w:val="00D56DFD"/>
    <w:rsid w:val="00D578F2"/>
    <w:rsid w:val="00D60506"/>
    <w:rsid w:val="00D60CED"/>
    <w:rsid w:val="00D619D9"/>
    <w:rsid w:val="00D62D84"/>
    <w:rsid w:val="00D63071"/>
    <w:rsid w:val="00D631FC"/>
    <w:rsid w:val="00D6456B"/>
    <w:rsid w:val="00D64E46"/>
    <w:rsid w:val="00D64F0E"/>
    <w:rsid w:val="00D66041"/>
    <w:rsid w:val="00D66109"/>
    <w:rsid w:val="00D66235"/>
    <w:rsid w:val="00D676B1"/>
    <w:rsid w:val="00D67EC2"/>
    <w:rsid w:val="00D67EFA"/>
    <w:rsid w:val="00D70170"/>
    <w:rsid w:val="00D70976"/>
    <w:rsid w:val="00D70C97"/>
    <w:rsid w:val="00D713CF"/>
    <w:rsid w:val="00D728A7"/>
    <w:rsid w:val="00D72B2F"/>
    <w:rsid w:val="00D7323B"/>
    <w:rsid w:val="00D73832"/>
    <w:rsid w:val="00D74AF0"/>
    <w:rsid w:val="00D74D9B"/>
    <w:rsid w:val="00D767A2"/>
    <w:rsid w:val="00D76A41"/>
    <w:rsid w:val="00D77096"/>
    <w:rsid w:val="00D773BE"/>
    <w:rsid w:val="00D7741F"/>
    <w:rsid w:val="00D7760D"/>
    <w:rsid w:val="00D80726"/>
    <w:rsid w:val="00D80D60"/>
    <w:rsid w:val="00D817DB"/>
    <w:rsid w:val="00D832BD"/>
    <w:rsid w:val="00D83BB7"/>
    <w:rsid w:val="00D8418B"/>
    <w:rsid w:val="00D84F4D"/>
    <w:rsid w:val="00D8561B"/>
    <w:rsid w:val="00D85FC7"/>
    <w:rsid w:val="00D86AFC"/>
    <w:rsid w:val="00D87776"/>
    <w:rsid w:val="00D87A67"/>
    <w:rsid w:val="00D87B15"/>
    <w:rsid w:val="00D919FF"/>
    <w:rsid w:val="00D9213A"/>
    <w:rsid w:val="00D92239"/>
    <w:rsid w:val="00D93A61"/>
    <w:rsid w:val="00D942A3"/>
    <w:rsid w:val="00D942E2"/>
    <w:rsid w:val="00D94FAA"/>
    <w:rsid w:val="00D951DC"/>
    <w:rsid w:val="00D956DC"/>
    <w:rsid w:val="00D95BDD"/>
    <w:rsid w:val="00D9618C"/>
    <w:rsid w:val="00D973AF"/>
    <w:rsid w:val="00D97FE9"/>
    <w:rsid w:val="00DA04C3"/>
    <w:rsid w:val="00DA0794"/>
    <w:rsid w:val="00DA0E4F"/>
    <w:rsid w:val="00DA1536"/>
    <w:rsid w:val="00DA1C48"/>
    <w:rsid w:val="00DA3357"/>
    <w:rsid w:val="00DA554B"/>
    <w:rsid w:val="00DA5713"/>
    <w:rsid w:val="00DA5874"/>
    <w:rsid w:val="00DA5DCB"/>
    <w:rsid w:val="00DA735A"/>
    <w:rsid w:val="00DA7797"/>
    <w:rsid w:val="00DA78FC"/>
    <w:rsid w:val="00DB0190"/>
    <w:rsid w:val="00DB0B5E"/>
    <w:rsid w:val="00DB3D86"/>
    <w:rsid w:val="00DB3ED3"/>
    <w:rsid w:val="00DB3EE7"/>
    <w:rsid w:val="00DB4011"/>
    <w:rsid w:val="00DB4255"/>
    <w:rsid w:val="00DB4F19"/>
    <w:rsid w:val="00DB60AA"/>
    <w:rsid w:val="00DB6251"/>
    <w:rsid w:val="00DB6D21"/>
    <w:rsid w:val="00DB732D"/>
    <w:rsid w:val="00DB7791"/>
    <w:rsid w:val="00DB7E83"/>
    <w:rsid w:val="00DC1405"/>
    <w:rsid w:val="00DC21D5"/>
    <w:rsid w:val="00DC3189"/>
    <w:rsid w:val="00DC3AAB"/>
    <w:rsid w:val="00DC49A9"/>
    <w:rsid w:val="00DC4A4E"/>
    <w:rsid w:val="00DC4DC4"/>
    <w:rsid w:val="00DC50B2"/>
    <w:rsid w:val="00DC57EA"/>
    <w:rsid w:val="00DC5D01"/>
    <w:rsid w:val="00DC6111"/>
    <w:rsid w:val="00DC7DEF"/>
    <w:rsid w:val="00DD078B"/>
    <w:rsid w:val="00DD1B5A"/>
    <w:rsid w:val="00DD1DBD"/>
    <w:rsid w:val="00DD239B"/>
    <w:rsid w:val="00DD2E6A"/>
    <w:rsid w:val="00DD32A1"/>
    <w:rsid w:val="00DD3529"/>
    <w:rsid w:val="00DD3B79"/>
    <w:rsid w:val="00DD4B06"/>
    <w:rsid w:val="00DD4FE6"/>
    <w:rsid w:val="00DD6814"/>
    <w:rsid w:val="00DE079E"/>
    <w:rsid w:val="00DE08D1"/>
    <w:rsid w:val="00DE0D41"/>
    <w:rsid w:val="00DE0FBD"/>
    <w:rsid w:val="00DE17A6"/>
    <w:rsid w:val="00DE18C1"/>
    <w:rsid w:val="00DE1ADF"/>
    <w:rsid w:val="00DE3705"/>
    <w:rsid w:val="00DE3FED"/>
    <w:rsid w:val="00DE4229"/>
    <w:rsid w:val="00DE4502"/>
    <w:rsid w:val="00DE4D97"/>
    <w:rsid w:val="00DE5554"/>
    <w:rsid w:val="00DE5D52"/>
    <w:rsid w:val="00DE5E59"/>
    <w:rsid w:val="00DF02CB"/>
    <w:rsid w:val="00DF0590"/>
    <w:rsid w:val="00DF1172"/>
    <w:rsid w:val="00DF16AD"/>
    <w:rsid w:val="00DF26A1"/>
    <w:rsid w:val="00DF3792"/>
    <w:rsid w:val="00DF3803"/>
    <w:rsid w:val="00DF3ABC"/>
    <w:rsid w:val="00DF3C09"/>
    <w:rsid w:val="00DF4131"/>
    <w:rsid w:val="00DF4638"/>
    <w:rsid w:val="00DF46E6"/>
    <w:rsid w:val="00DF4704"/>
    <w:rsid w:val="00DF4E7F"/>
    <w:rsid w:val="00DF54AD"/>
    <w:rsid w:val="00DF5601"/>
    <w:rsid w:val="00DF5EAF"/>
    <w:rsid w:val="00DF6C9F"/>
    <w:rsid w:val="00DF76B6"/>
    <w:rsid w:val="00DF7C11"/>
    <w:rsid w:val="00E00877"/>
    <w:rsid w:val="00E0149C"/>
    <w:rsid w:val="00E01F48"/>
    <w:rsid w:val="00E03326"/>
    <w:rsid w:val="00E03F69"/>
    <w:rsid w:val="00E05C84"/>
    <w:rsid w:val="00E06820"/>
    <w:rsid w:val="00E0695C"/>
    <w:rsid w:val="00E07670"/>
    <w:rsid w:val="00E10C2E"/>
    <w:rsid w:val="00E11923"/>
    <w:rsid w:val="00E12A76"/>
    <w:rsid w:val="00E1306D"/>
    <w:rsid w:val="00E13111"/>
    <w:rsid w:val="00E13FB3"/>
    <w:rsid w:val="00E14C9C"/>
    <w:rsid w:val="00E152A7"/>
    <w:rsid w:val="00E15345"/>
    <w:rsid w:val="00E15C4F"/>
    <w:rsid w:val="00E161CA"/>
    <w:rsid w:val="00E163D7"/>
    <w:rsid w:val="00E1682F"/>
    <w:rsid w:val="00E17224"/>
    <w:rsid w:val="00E17955"/>
    <w:rsid w:val="00E179A0"/>
    <w:rsid w:val="00E20109"/>
    <w:rsid w:val="00E20127"/>
    <w:rsid w:val="00E207E1"/>
    <w:rsid w:val="00E21299"/>
    <w:rsid w:val="00E21322"/>
    <w:rsid w:val="00E21A2E"/>
    <w:rsid w:val="00E21BB2"/>
    <w:rsid w:val="00E21CDE"/>
    <w:rsid w:val="00E21CF5"/>
    <w:rsid w:val="00E222BD"/>
    <w:rsid w:val="00E22B89"/>
    <w:rsid w:val="00E22DDC"/>
    <w:rsid w:val="00E2331E"/>
    <w:rsid w:val="00E24430"/>
    <w:rsid w:val="00E24CEF"/>
    <w:rsid w:val="00E253F6"/>
    <w:rsid w:val="00E2563B"/>
    <w:rsid w:val="00E25F4B"/>
    <w:rsid w:val="00E26364"/>
    <w:rsid w:val="00E27254"/>
    <w:rsid w:val="00E275AE"/>
    <w:rsid w:val="00E27D78"/>
    <w:rsid w:val="00E308FE"/>
    <w:rsid w:val="00E315D3"/>
    <w:rsid w:val="00E32FDD"/>
    <w:rsid w:val="00E3407F"/>
    <w:rsid w:val="00E35FF0"/>
    <w:rsid w:val="00E3652F"/>
    <w:rsid w:val="00E365BB"/>
    <w:rsid w:val="00E368F5"/>
    <w:rsid w:val="00E3700E"/>
    <w:rsid w:val="00E4163D"/>
    <w:rsid w:val="00E41776"/>
    <w:rsid w:val="00E42016"/>
    <w:rsid w:val="00E4243B"/>
    <w:rsid w:val="00E42D62"/>
    <w:rsid w:val="00E433B2"/>
    <w:rsid w:val="00E44694"/>
    <w:rsid w:val="00E44BFA"/>
    <w:rsid w:val="00E44F9A"/>
    <w:rsid w:val="00E458F8"/>
    <w:rsid w:val="00E45C84"/>
    <w:rsid w:val="00E464C1"/>
    <w:rsid w:val="00E46B1A"/>
    <w:rsid w:val="00E46CD6"/>
    <w:rsid w:val="00E46D93"/>
    <w:rsid w:val="00E4762D"/>
    <w:rsid w:val="00E47C70"/>
    <w:rsid w:val="00E51015"/>
    <w:rsid w:val="00E517F3"/>
    <w:rsid w:val="00E53158"/>
    <w:rsid w:val="00E5451E"/>
    <w:rsid w:val="00E54B5D"/>
    <w:rsid w:val="00E54C03"/>
    <w:rsid w:val="00E54D6F"/>
    <w:rsid w:val="00E54E71"/>
    <w:rsid w:val="00E54FC9"/>
    <w:rsid w:val="00E554E6"/>
    <w:rsid w:val="00E557BC"/>
    <w:rsid w:val="00E558F2"/>
    <w:rsid w:val="00E5619C"/>
    <w:rsid w:val="00E5713A"/>
    <w:rsid w:val="00E57522"/>
    <w:rsid w:val="00E60572"/>
    <w:rsid w:val="00E605F4"/>
    <w:rsid w:val="00E6192D"/>
    <w:rsid w:val="00E61AAD"/>
    <w:rsid w:val="00E62E7B"/>
    <w:rsid w:val="00E62FC7"/>
    <w:rsid w:val="00E63D81"/>
    <w:rsid w:val="00E6473C"/>
    <w:rsid w:val="00E64960"/>
    <w:rsid w:val="00E64DCC"/>
    <w:rsid w:val="00E65263"/>
    <w:rsid w:val="00E6593B"/>
    <w:rsid w:val="00E66092"/>
    <w:rsid w:val="00E67E52"/>
    <w:rsid w:val="00E67FE6"/>
    <w:rsid w:val="00E7057E"/>
    <w:rsid w:val="00E70D2D"/>
    <w:rsid w:val="00E71874"/>
    <w:rsid w:val="00E736E5"/>
    <w:rsid w:val="00E746AB"/>
    <w:rsid w:val="00E74763"/>
    <w:rsid w:val="00E74B4B"/>
    <w:rsid w:val="00E74C2A"/>
    <w:rsid w:val="00E755AF"/>
    <w:rsid w:val="00E7770E"/>
    <w:rsid w:val="00E77E06"/>
    <w:rsid w:val="00E801A0"/>
    <w:rsid w:val="00E80B8D"/>
    <w:rsid w:val="00E817E1"/>
    <w:rsid w:val="00E820F0"/>
    <w:rsid w:val="00E82386"/>
    <w:rsid w:val="00E84951"/>
    <w:rsid w:val="00E856B4"/>
    <w:rsid w:val="00E85BC2"/>
    <w:rsid w:val="00E85FF9"/>
    <w:rsid w:val="00E864FA"/>
    <w:rsid w:val="00E8699E"/>
    <w:rsid w:val="00E9000A"/>
    <w:rsid w:val="00E9026E"/>
    <w:rsid w:val="00E90C8B"/>
    <w:rsid w:val="00E910A4"/>
    <w:rsid w:val="00E9204E"/>
    <w:rsid w:val="00E9246C"/>
    <w:rsid w:val="00E9264C"/>
    <w:rsid w:val="00E937EC"/>
    <w:rsid w:val="00E93898"/>
    <w:rsid w:val="00E938F4"/>
    <w:rsid w:val="00E939B9"/>
    <w:rsid w:val="00E94807"/>
    <w:rsid w:val="00E94CFE"/>
    <w:rsid w:val="00E94FCF"/>
    <w:rsid w:val="00E951F6"/>
    <w:rsid w:val="00E95CD7"/>
    <w:rsid w:val="00E95E56"/>
    <w:rsid w:val="00E96675"/>
    <w:rsid w:val="00E97040"/>
    <w:rsid w:val="00EA1561"/>
    <w:rsid w:val="00EA214B"/>
    <w:rsid w:val="00EA2803"/>
    <w:rsid w:val="00EA2B9A"/>
    <w:rsid w:val="00EA330B"/>
    <w:rsid w:val="00EA38F8"/>
    <w:rsid w:val="00EA39FE"/>
    <w:rsid w:val="00EA4519"/>
    <w:rsid w:val="00EA4851"/>
    <w:rsid w:val="00EA4D0B"/>
    <w:rsid w:val="00EA57CE"/>
    <w:rsid w:val="00EA5D9D"/>
    <w:rsid w:val="00EA5E61"/>
    <w:rsid w:val="00EA7056"/>
    <w:rsid w:val="00EB069C"/>
    <w:rsid w:val="00EB09BA"/>
    <w:rsid w:val="00EB0CE9"/>
    <w:rsid w:val="00EB1AD0"/>
    <w:rsid w:val="00EB20D2"/>
    <w:rsid w:val="00EB238D"/>
    <w:rsid w:val="00EB2DCB"/>
    <w:rsid w:val="00EB3C71"/>
    <w:rsid w:val="00EB48E1"/>
    <w:rsid w:val="00EB49FA"/>
    <w:rsid w:val="00EB51A2"/>
    <w:rsid w:val="00EB5867"/>
    <w:rsid w:val="00EB5C82"/>
    <w:rsid w:val="00EB5DCF"/>
    <w:rsid w:val="00EB5E1F"/>
    <w:rsid w:val="00EB66DD"/>
    <w:rsid w:val="00EB6C3C"/>
    <w:rsid w:val="00EB6DDD"/>
    <w:rsid w:val="00EB714D"/>
    <w:rsid w:val="00EB71C6"/>
    <w:rsid w:val="00EB7302"/>
    <w:rsid w:val="00EB7A4B"/>
    <w:rsid w:val="00EC156F"/>
    <w:rsid w:val="00EC1B4C"/>
    <w:rsid w:val="00EC1F38"/>
    <w:rsid w:val="00EC1FCE"/>
    <w:rsid w:val="00EC2338"/>
    <w:rsid w:val="00EC2503"/>
    <w:rsid w:val="00EC2AD3"/>
    <w:rsid w:val="00EC46DD"/>
    <w:rsid w:val="00EC4827"/>
    <w:rsid w:val="00EC4FEC"/>
    <w:rsid w:val="00EC5790"/>
    <w:rsid w:val="00EC5AE0"/>
    <w:rsid w:val="00EC5BB8"/>
    <w:rsid w:val="00EC69D1"/>
    <w:rsid w:val="00EC6D83"/>
    <w:rsid w:val="00EC7052"/>
    <w:rsid w:val="00ED06DC"/>
    <w:rsid w:val="00ED1151"/>
    <w:rsid w:val="00ED2A07"/>
    <w:rsid w:val="00ED2AA4"/>
    <w:rsid w:val="00ED3CFB"/>
    <w:rsid w:val="00ED43A9"/>
    <w:rsid w:val="00ED4BE9"/>
    <w:rsid w:val="00ED4FAA"/>
    <w:rsid w:val="00ED5057"/>
    <w:rsid w:val="00ED5B07"/>
    <w:rsid w:val="00ED5D64"/>
    <w:rsid w:val="00ED61C6"/>
    <w:rsid w:val="00ED710E"/>
    <w:rsid w:val="00ED719F"/>
    <w:rsid w:val="00EE02E7"/>
    <w:rsid w:val="00EE0FF1"/>
    <w:rsid w:val="00EE189D"/>
    <w:rsid w:val="00EE1DB0"/>
    <w:rsid w:val="00EE3405"/>
    <w:rsid w:val="00EE4DD9"/>
    <w:rsid w:val="00EE5280"/>
    <w:rsid w:val="00EE5595"/>
    <w:rsid w:val="00EE57BF"/>
    <w:rsid w:val="00EE5B57"/>
    <w:rsid w:val="00EE643A"/>
    <w:rsid w:val="00EE7885"/>
    <w:rsid w:val="00EF1445"/>
    <w:rsid w:val="00EF2B43"/>
    <w:rsid w:val="00EF3454"/>
    <w:rsid w:val="00EF656A"/>
    <w:rsid w:val="00EF76C3"/>
    <w:rsid w:val="00EF77DC"/>
    <w:rsid w:val="00F01364"/>
    <w:rsid w:val="00F01D7A"/>
    <w:rsid w:val="00F0270D"/>
    <w:rsid w:val="00F02718"/>
    <w:rsid w:val="00F02E15"/>
    <w:rsid w:val="00F03F11"/>
    <w:rsid w:val="00F042E0"/>
    <w:rsid w:val="00F044B1"/>
    <w:rsid w:val="00F04848"/>
    <w:rsid w:val="00F04861"/>
    <w:rsid w:val="00F05284"/>
    <w:rsid w:val="00F061DF"/>
    <w:rsid w:val="00F06262"/>
    <w:rsid w:val="00F06468"/>
    <w:rsid w:val="00F06DAD"/>
    <w:rsid w:val="00F06FDE"/>
    <w:rsid w:val="00F1010F"/>
    <w:rsid w:val="00F102C7"/>
    <w:rsid w:val="00F10901"/>
    <w:rsid w:val="00F118D6"/>
    <w:rsid w:val="00F11C9F"/>
    <w:rsid w:val="00F120E5"/>
    <w:rsid w:val="00F12227"/>
    <w:rsid w:val="00F1335F"/>
    <w:rsid w:val="00F13409"/>
    <w:rsid w:val="00F15077"/>
    <w:rsid w:val="00F15421"/>
    <w:rsid w:val="00F165EE"/>
    <w:rsid w:val="00F169C3"/>
    <w:rsid w:val="00F16A4E"/>
    <w:rsid w:val="00F16D18"/>
    <w:rsid w:val="00F17407"/>
    <w:rsid w:val="00F20325"/>
    <w:rsid w:val="00F217AF"/>
    <w:rsid w:val="00F21C46"/>
    <w:rsid w:val="00F226B2"/>
    <w:rsid w:val="00F22B65"/>
    <w:rsid w:val="00F2309F"/>
    <w:rsid w:val="00F23125"/>
    <w:rsid w:val="00F231F4"/>
    <w:rsid w:val="00F232B7"/>
    <w:rsid w:val="00F23943"/>
    <w:rsid w:val="00F245B4"/>
    <w:rsid w:val="00F246CB"/>
    <w:rsid w:val="00F267E0"/>
    <w:rsid w:val="00F3037C"/>
    <w:rsid w:val="00F303FA"/>
    <w:rsid w:val="00F3120E"/>
    <w:rsid w:val="00F3127A"/>
    <w:rsid w:val="00F319D6"/>
    <w:rsid w:val="00F328AF"/>
    <w:rsid w:val="00F32F9A"/>
    <w:rsid w:val="00F330C4"/>
    <w:rsid w:val="00F335D9"/>
    <w:rsid w:val="00F34461"/>
    <w:rsid w:val="00F35C0F"/>
    <w:rsid w:val="00F3601C"/>
    <w:rsid w:val="00F36D32"/>
    <w:rsid w:val="00F37B2E"/>
    <w:rsid w:val="00F40BF5"/>
    <w:rsid w:val="00F42612"/>
    <w:rsid w:val="00F42DE3"/>
    <w:rsid w:val="00F42E53"/>
    <w:rsid w:val="00F433CE"/>
    <w:rsid w:val="00F43D69"/>
    <w:rsid w:val="00F44B37"/>
    <w:rsid w:val="00F44ED5"/>
    <w:rsid w:val="00F44F64"/>
    <w:rsid w:val="00F45F4C"/>
    <w:rsid w:val="00F45FB2"/>
    <w:rsid w:val="00F4606F"/>
    <w:rsid w:val="00F470A9"/>
    <w:rsid w:val="00F503AB"/>
    <w:rsid w:val="00F518DC"/>
    <w:rsid w:val="00F52171"/>
    <w:rsid w:val="00F52C78"/>
    <w:rsid w:val="00F52E84"/>
    <w:rsid w:val="00F531A9"/>
    <w:rsid w:val="00F539D0"/>
    <w:rsid w:val="00F56112"/>
    <w:rsid w:val="00F5625E"/>
    <w:rsid w:val="00F5745E"/>
    <w:rsid w:val="00F57724"/>
    <w:rsid w:val="00F579AF"/>
    <w:rsid w:val="00F57B56"/>
    <w:rsid w:val="00F57B58"/>
    <w:rsid w:val="00F60D5C"/>
    <w:rsid w:val="00F613FB"/>
    <w:rsid w:val="00F61410"/>
    <w:rsid w:val="00F6210D"/>
    <w:rsid w:val="00F6220E"/>
    <w:rsid w:val="00F623C1"/>
    <w:rsid w:val="00F627B1"/>
    <w:rsid w:val="00F62B17"/>
    <w:rsid w:val="00F62D82"/>
    <w:rsid w:val="00F62E05"/>
    <w:rsid w:val="00F62E7B"/>
    <w:rsid w:val="00F62F7C"/>
    <w:rsid w:val="00F63279"/>
    <w:rsid w:val="00F6354F"/>
    <w:rsid w:val="00F65431"/>
    <w:rsid w:val="00F67212"/>
    <w:rsid w:val="00F67406"/>
    <w:rsid w:val="00F67900"/>
    <w:rsid w:val="00F6793C"/>
    <w:rsid w:val="00F70B14"/>
    <w:rsid w:val="00F710B8"/>
    <w:rsid w:val="00F71B2C"/>
    <w:rsid w:val="00F72130"/>
    <w:rsid w:val="00F727BA"/>
    <w:rsid w:val="00F72D47"/>
    <w:rsid w:val="00F73121"/>
    <w:rsid w:val="00F73184"/>
    <w:rsid w:val="00F74A6B"/>
    <w:rsid w:val="00F7546D"/>
    <w:rsid w:val="00F766C1"/>
    <w:rsid w:val="00F768FF"/>
    <w:rsid w:val="00F76D64"/>
    <w:rsid w:val="00F7709A"/>
    <w:rsid w:val="00F774F6"/>
    <w:rsid w:val="00F80550"/>
    <w:rsid w:val="00F81BFF"/>
    <w:rsid w:val="00F82A1E"/>
    <w:rsid w:val="00F82C59"/>
    <w:rsid w:val="00F82F22"/>
    <w:rsid w:val="00F83422"/>
    <w:rsid w:val="00F84555"/>
    <w:rsid w:val="00F84887"/>
    <w:rsid w:val="00F84B9A"/>
    <w:rsid w:val="00F8541A"/>
    <w:rsid w:val="00F86161"/>
    <w:rsid w:val="00F86D9C"/>
    <w:rsid w:val="00F86DE6"/>
    <w:rsid w:val="00F87529"/>
    <w:rsid w:val="00F87948"/>
    <w:rsid w:val="00F87A5A"/>
    <w:rsid w:val="00F90915"/>
    <w:rsid w:val="00F90A30"/>
    <w:rsid w:val="00F91718"/>
    <w:rsid w:val="00F91780"/>
    <w:rsid w:val="00F91973"/>
    <w:rsid w:val="00F91E3D"/>
    <w:rsid w:val="00F925BE"/>
    <w:rsid w:val="00F93A60"/>
    <w:rsid w:val="00F940F6"/>
    <w:rsid w:val="00F959F7"/>
    <w:rsid w:val="00F95D69"/>
    <w:rsid w:val="00F960A4"/>
    <w:rsid w:val="00F968E6"/>
    <w:rsid w:val="00F96D5F"/>
    <w:rsid w:val="00F97B97"/>
    <w:rsid w:val="00F97C39"/>
    <w:rsid w:val="00F97F7A"/>
    <w:rsid w:val="00FA0370"/>
    <w:rsid w:val="00FA0787"/>
    <w:rsid w:val="00FA079B"/>
    <w:rsid w:val="00FA1090"/>
    <w:rsid w:val="00FA2A53"/>
    <w:rsid w:val="00FA2FC6"/>
    <w:rsid w:val="00FA4679"/>
    <w:rsid w:val="00FA4D1A"/>
    <w:rsid w:val="00FA525A"/>
    <w:rsid w:val="00FA6282"/>
    <w:rsid w:val="00FA670D"/>
    <w:rsid w:val="00FA684D"/>
    <w:rsid w:val="00FA775D"/>
    <w:rsid w:val="00FA7775"/>
    <w:rsid w:val="00FB05F4"/>
    <w:rsid w:val="00FB178E"/>
    <w:rsid w:val="00FB1EDE"/>
    <w:rsid w:val="00FB2412"/>
    <w:rsid w:val="00FB2583"/>
    <w:rsid w:val="00FB2620"/>
    <w:rsid w:val="00FB2E8C"/>
    <w:rsid w:val="00FB447E"/>
    <w:rsid w:val="00FB49E9"/>
    <w:rsid w:val="00FB4AE4"/>
    <w:rsid w:val="00FB5350"/>
    <w:rsid w:val="00FB5D0B"/>
    <w:rsid w:val="00FB675D"/>
    <w:rsid w:val="00FB7953"/>
    <w:rsid w:val="00FB7EA1"/>
    <w:rsid w:val="00FB7F83"/>
    <w:rsid w:val="00FC06B7"/>
    <w:rsid w:val="00FC06E8"/>
    <w:rsid w:val="00FC0E2C"/>
    <w:rsid w:val="00FC1D75"/>
    <w:rsid w:val="00FC26FD"/>
    <w:rsid w:val="00FC296E"/>
    <w:rsid w:val="00FC2D63"/>
    <w:rsid w:val="00FC400F"/>
    <w:rsid w:val="00FC4032"/>
    <w:rsid w:val="00FC497C"/>
    <w:rsid w:val="00FC4A4F"/>
    <w:rsid w:val="00FC6570"/>
    <w:rsid w:val="00FC6727"/>
    <w:rsid w:val="00FC7034"/>
    <w:rsid w:val="00FC7DCC"/>
    <w:rsid w:val="00FC7EA3"/>
    <w:rsid w:val="00FC7F2D"/>
    <w:rsid w:val="00FD0714"/>
    <w:rsid w:val="00FD0C8F"/>
    <w:rsid w:val="00FD18FA"/>
    <w:rsid w:val="00FD1949"/>
    <w:rsid w:val="00FD202A"/>
    <w:rsid w:val="00FD23E1"/>
    <w:rsid w:val="00FD28FB"/>
    <w:rsid w:val="00FD3E7D"/>
    <w:rsid w:val="00FD4A44"/>
    <w:rsid w:val="00FD5437"/>
    <w:rsid w:val="00FD5686"/>
    <w:rsid w:val="00FD59CD"/>
    <w:rsid w:val="00FD5A9B"/>
    <w:rsid w:val="00FD61F6"/>
    <w:rsid w:val="00FD6DB0"/>
    <w:rsid w:val="00FD7CA4"/>
    <w:rsid w:val="00FD7FEB"/>
    <w:rsid w:val="00FE0268"/>
    <w:rsid w:val="00FE0CC7"/>
    <w:rsid w:val="00FE1AEC"/>
    <w:rsid w:val="00FE1C5D"/>
    <w:rsid w:val="00FE1EEF"/>
    <w:rsid w:val="00FE209E"/>
    <w:rsid w:val="00FE224D"/>
    <w:rsid w:val="00FE2320"/>
    <w:rsid w:val="00FE27C8"/>
    <w:rsid w:val="00FE2AFF"/>
    <w:rsid w:val="00FE2D36"/>
    <w:rsid w:val="00FE355D"/>
    <w:rsid w:val="00FE35F5"/>
    <w:rsid w:val="00FE37E8"/>
    <w:rsid w:val="00FE3AAA"/>
    <w:rsid w:val="00FE3D7C"/>
    <w:rsid w:val="00FE4023"/>
    <w:rsid w:val="00FE4FCF"/>
    <w:rsid w:val="00FE53BF"/>
    <w:rsid w:val="00FE608E"/>
    <w:rsid w:val="00FE67DA"/>
    <w:rsid w:val="00FE7C22"/>
    <w:rsid w:val="00FF0E89"/>
    <w:rsid w:val="00FF10A6"/>
    <w:rsid w:val="00FF1540"/>
    <w:rsid w:val="00FF1C1D"/>
    <w:rsid w:val="00FF1E8E"/>
    <w:rsid w:val="00FF2324"/>
    <w:rsid w:val="00FF284C"/>
    <w:rsid w:val="00FF32A6"/>
    <w:rsid w:val="00FF4472"/>
    <w:rsid w:val="00FF47BB"/>
    <w:rsid w:val="00FF4CFC"/>
    <w:rsid w:val="00FF578B"/>
    <w:rsid w:val="00FF5C39"/>
    <w:rsid w:val="00FF5FE2"/>
    <w:rsid w:val="00FF62CD"/>
    <w:rsid w:val="00FF68C5"/>
    <w:rsid w:val="00FF6E77"/>
    <w:rsid w:val="00FF794D"/>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A7E04"/>
  <w15:chartTrackingRefBased/>
  <w15:docId w15:val="{480416AA-F6F7-49F9-9D8C-A2C544F2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76" w:lineRule="auto"/>
        <w:ind w:firstLine="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C3"/>
    <w:rPr>
      <w:rFonts w:eastAsiaTheme="minorEastAsia"/>
      <w:sz w:val="28"/>
      <w:szCs w:val="24"/>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nhideWhenUsed/>
    <w:qFormat/>
    <w:rsid w:val="004D16EE"/>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CC0AAE"/>
    <w:pPr>
      <w:keepNext/>
      <w:spacing w:line="240" w:lineRule="auto"/>
      <w:ind w:firstLine="709"/>
      <w:jc w:val="center"/>
      <w:outlineLvl w:val="2"/>
    </w:pPr>
    <w:rPr>
      <w:rFonts w:ascii="$Caslon" w:eastAsia="Times New Roman" w:hAnsi="$Caslon"/>
      <w:b/>
      <w:sz w:val="20"/>
      <w:szCs w:val="20"/>
    </w:rPr>
  </w:style>
  <w:style w:type="paragraph" w:styleId="Heading4">
    <w:name w:val="heading 4"/>
    <w:basedOn w:val="Normal"/>
    <w:next w:val="Normal"/>
    <w:link w:val="Heading4Char"/>
    <w:uiPriority w:val="9"/>
    <w:unhideWhenUsed/>
    <w:qFormat/>
    <w:rsid w:val="00236F90"/>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qFormat/>
    <w:rsid w:val="00CC0AAE"/>
    <w:pPr>
      <w:keepNext/>
      <w:spacing w:line="240" w:lineRule="auto"/>
      <w:ind w:firstLine="709"/>
      <w:jc w:val="center"/>
      <w:outlineLvl w:val="4"/>
    </w:pPr>
    <w:rPr>
      <w:rFonts w:ascii="$Caslon" w:eastAsia="Times New Roman" w:hAnsi="$Caslon"/>
      <w:sz w:val="24"/>
      <w:szCs w:val="20"/>
    </w:rPr>
  </w:style>
  <w:style w:type="paragraph" w:styleId="Heading6">
    <w:name w:val="heading 6"/>
    <w:basedOn w:val="Normal"/>
    <w:next w:val="Normal"/>
    <w:link w:val="Heading6Char"/>
    <w:qFormat/>
    <w:rsid w:val="00CC0AAE"/>
    <w:pPr>
      <w:keepNext/>
      <w:spacing w:line="240" w:lineRule="auto"/>
      <w:ind w:firstLine="709"/>
      <w:jc w:val="center"/>
      <w:outlineLvl w:val="5"/>
    </w:pPr>
    <w:rPr>
      <w:rFonts w:ascii="$Caslon" w:eastAsia="Times New Roman" w:hAnsi="$Caslon"/>
      <w:b/>
      <w:sz w:val="22"/>
      <w:szCs w:val="20"/>
    </w:rPr>
  </w:style>
  <w:style w:type="paragraph" w:styleId="Heading7">
    <w:name w:val="heading 7"/>
    <w:basedOn w:val="Normal"/>
    <w:next w:val="Normal"/>
    <w:link w:val="Heading7Char"/>
    <w:qFormat/>
    <w:rsid w:val="00CC0AAE"/>
    <w:pPr>
      <w:keepNext/>
      <w:spacing w:line="240" w:lineRule="auto"/>
      <w:ind w:firstLine="709"/>
      <w:jc w:val="center"/>
      <w:outlineLvl w:val="6"/>
    </w:pPr>
    <w:rPr>
      <w:rFonts w:ascii="Garamond" w:eastAsia="Times New Roman" w:hAnsi="Garamond"/>
      <w:b/>
      <w:szCs w:val="20"/>
    </w:rPr>
  </w:style>
  <w:style w:type="paragraph" w:styleId="Heading8">
    <w:name w:val="heading 8"/>
    <w:basedOn w:val="Normal"/>
    <w:next w:val="Normal"/>
    <w:link w:val="Heading8Char"/>
    <w:qFormat/>
    <w:rsid w:val="00CC0AAE"/>
    <w:pPr>
      <w:keepNext/>
      <w:spacing w:line="240" w:lineRule="auto"/>
      <w:ind w:firstLine="709"/>
      <w:jc w:val="center"/>
      <w:outlineLvl w:val="7"/>
    </w:pPr>
    <w:rPr>
      <w:rFonts w:ascii="$Caslon" w:eastAsia="Times New Roman" w:hAnsi="$Caslon"/>
      <w:b/>
      <w:sz w:val="24"/>
      <w:szCs w:val="20"/>
    </w:rPr>
  </w:style>
  <w:style w:type="paragraph" w:styleId="Heading9">
    <w:name w:val="heading 9"/>
    <w:basedOn w:val="Normal"/>
    <w:next w:val="Normal"/>
    <w:link w:val="Heading9Char"/>
    <w:uiPriority w:val="9"/>
    <w:unhideWhenUsed/>
    <w:qFormat/>
    <w:rsid w:val="00CC0AAE"/>
    <w:pPr>
      <w:keepNext/>
      <w:keepLines/>
      <w:spacing w:before="320" w:after="200" w:line="240" w:lineRule="auto"/>
      <w:ind w:firstLine="709"/>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32"/>
      <w:szCs w:val="32"/>
    </w:rPr>
  </w:style>
  <w:style w:type="character" w:customStyle="1" w:styleId="NormalWebChar">
    <w:name w:val="Normal (Web) Char"/>
    <w:basedOn w:val="DefaultParagraphFont"/>
    <w:link w:val="NormalWeb"/>
    <w:uiPriority w:val="99"/>
    <w:locked/>
    <w:rPr>
      <w:rFonts w:ascii="Times New Roman" w:eastAsiaTheme="minorEastAsia" w:hAnsi="Times New Roman" w:cs="Times New Roman" w:hint="default"/>
      <w:sz w:val="24"/>
      <w:szCs w:val="24"/>
    </w:rPr>
  </w:style>
  <w:style w:type="paragraph" w:customStyle="1" w:styleId="msonormal0">
    <w:name w:val="msonormal"/>
    <w:basedOn w:val="Normal"/>
    <w:pPr>
      <w:ind w:firstLine="567"/>
    </w:pPr>
  </w:style>
  <w:style w:type="paragraph" w:styleId="NormalWeb">
    <w:name w:val="Normal (Web)"/>
    <w:basedOn w:val="Normal"/>
    <w:link w:val="NormalWebChar"/>
    <w:uiPriority w:val="99"/>
    <w:unhideWhenUsed/>
    <w:pPr>
      <w:ind w:firstLine="567"/>
    </w:pPr>
  </w:style>
  <w:style w:type="paragraph" w:styleId="CommentText">
    <w:name w:val="annotation text"/>
    <w:basedOn w:val="Normal"/>
    <w:link w:val="CommentTextChar"/>
    <w:uiPriority w:val="99"/>
    <w:unhideWhenUsed/>
    <w:pPr>
      <w:spacing w:after="160"/>
    </w:pPr>
    <w:rPr>
      <w:rFonts w:eastAsia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locked/>
    <w:rPr>
      <w:rFonts w:ascii="Aptos" w:eastAsiaTheme="minorHAnsi" w:hAnsi="Aptos" w:cstheme="minorBidi" w:hint="default"/>
      <w:kern w:val="2"/>
      <w:lang w:val="ro-RO"/>
      <w14:ligatures w14:val="standardContextual"/>
    </w:rPr>
  </w:style>
  <w:style w:type="paragraph" w:styleId="CommentSubject">
    <w:name w:val="annotation subject"/>
    <w:basedOn w:val="CommentText"/>
    <w:next w:val="CommentText"/>
    <w:link w:val="CommentSubjectChar"/>
    <w:uiPriority w:val="99"/>
    <w:unhideWhenUsed/>
    <w:pPr>
      <w:spacing w:after="0" w:line="240" w:lineRule="auto"/>
    </w:pPr>
    <w:rPr>
      <w:rFonts w:eastAsiaTheme="minorEastAsia" w:cs="Times New Roman"/>
      <w:b/>
      <w:bCs/>
      <w:kern w:val="0"/>
      <w:lang w:val="en-US"/>
      <w14:ligatures w14:val="none"/>
    </w:rPr>
  </w:style>
  <w:style w:type="character" w:customStyle="1" w:styleId="CommentSubjectChar">
    <w:name w:val="Comment Subject Char"/>
    <w:basedOn w:val="CommentTextChar"/>
    <w:link w:val="CommentSubject"/>
    <w:uiPriority w:val="99"/>
    <w:locked/>
    <w:rPr>
      <w:rFonts w:ascii="Aptos" w:eastAsiaTheme="minorEastAsia" w:hAnsi="Aptos" w:cstheme="minorBidi" w:hint="default"/>
      <w:b/>
      <w:bCs/>
      <w:kern w:val="2"/>
      <w:lang w:val="ro-RO"/>
      <w14:ligatures w14:val="standardContextual"/>
    </w:rPr>
  </w:style>
  <w:style w:type="paragraph" w:styleId="BalloonText">
    <w:name w:val="Balloon Text"/>
    <w:basedOn w:val="Normal"/>
    <w:link w:val="BalloonTextChar"/>
    <w:uiPriority w:val="99"/>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Pr>
      <w:rFonts w:ascii="Segoe UI" w:eastAsiaTheme="minorEastAsia" w:hAnsi="Segoe UI" w:cs="Segoe UI" w:hint="default"/>
      <w:sz w:val="18"/>
      <w:szCs w:val="18"/>
    </w:rPr>
  </w:style>
  <w:style w:type="paragraph" w:styleId="Revision">
    <w:name w:val="Revision"/>
    <w:uiPriority w:val="99"/>
    <w:semiHidden/>
    <w:rPr>
      <w:rFonts w:eastAsiaTheme="minorEastAsia"/>
      <w:sz w:val="24"/>
      <w:szCs w:val="24"/>
    </w:rPr>
  </w:style>
  <w:style w:type="character" w:customStyle="1" w:styleId="ListParagraphChar">
    <w:name w:val="List Paragraph Char"/>
    <w:aliases w:val="List Paragraph 1 Char,Resume Title Char,List Paragraph1 Char"/>
    <w:basedOn w:val="DefaultParagraphFont"/>
    <w:link w:val="ListParagraph"/>
    <w:uiPriority w:val="34"/>
    <w:locked/>
    <w:rPr>
      <w:rFonts w:ascii="Aptos" w:eastAsiaTheme="minorHAnsi" w:hAnsi="Aptos" w:cstheme="minorBidi" w:hint="default"/>
      <w:kern w:val="2"/>
      <w:sz w:val="24"/>
      <w:szCs w:val="24"/>
      <w:lang w:val="ro-RO"/>
      <w14:ligatures w14:val="standardContextual"/>
    </w:rPr>
  </w:style>
  <w:style w:type="paragraph" w:styleId="ListParagraph">
    <w:name w:val="List Paragraph"/>
    <w:aliases w:val="List Paragraph 1,Resume Title,List Paragraph1"/>
    <w:basedOn w:val="Normal"/>
    <w:link w:val="ListParagraphChar"/>
    <w:uiPriority w:val="1"/>
    <w:qFormat/>
    <w:pPr>
      <w:spacing w:after="160"/>
      <w:ind w:left="720"/>
      <w:contextualSpacing/>
    </w:pPr>
    <w:rPr>
      <w:rFonts w:eastAsiaTheme="minorHAnsi" w:cstheme="minorBidi"/>
      <w:kern w:val="2"/>
      <w14:ligatures w14:val="standardContextual"/>
    </w:rPr>
  </w:style>
  <w:style w:type="character" w:customStyle="1" w:styleId="HGpct1Char">
    <w:name w:val="HG pct 1. Char"/>
    <w:basedOn w:val="NormalWebChar"/>
    <w:link w:val="HGpct1"/>
    <w:uiPriority w:val="99"/>
    <w:locked/>
    <w:rsid w:val="00D832BD"/>
    <w:rPr>
      <w:rFonts w:ascii="Times New Roman" w:eastAsiaTheme="minorEastAsia" w:hAnsi="Times New Roman" w:cs="Times New Roman" w:hint="default"/>
      <w:sz w:val="28"/>
      <w:szCs w:val="24"/>
      <w:lang w:val="ro-RO"/>
    </w:rPr>
  </w:style>
  <w:style w:type="paragraph" w:customStyle="1" w:styleId="HGpct1">
    <w:name w:val="HG pct 1."/>
    <w:basedOn w:val="NormalWeb"/>
    <w:link w:val="HGpct1Char"/>
    <w:uiPriority w:val="99"/>
    <w:qFormat/>
    <w:rsid w:val="00D832BD"/>
    <w:pPr>
      <w:numPr>
        <w:numId w:val="1"/>
      </w:numPr>
    </w:pPr>
  </w:style>
  <w:style w:type="character" w:customStyle="1" w:styleId="HGsubpct11Char">
    <w:name w:val="HG subpct 1.1 Char"/>
    <w:basedOn w:val="HGpct1Char"/>
    <w:link w:val="HGsubpct11"/>
    <w:uiPriority w:val="99"/>
    <w:locked/>
    <w:rsid w:val="00D832BD"/>
    <w:rPr>
      <w:rFonts w:ascii="Times New Roman" w:eastAsiaTheme="minorEastAsia" w:hAnsi="Times New Roman" w:cs="Times New Roman" w:hint="default"/>
      <w:iCs/>
      <w:sz w:val="28"/>
      <w:szCs w:val="24"/>
      <w:lang w:val="ro-RO"/>
    </w:rPr>
  </w:style>
  <w:style w:type="paragraph" w:customStyle="1" w:styleId="HGsubpct11">
    <w:name w:val="HG subpct 1.1"/>
    <w:basedOn w:val="Normal"/>
    <w:link w:val="HGsubpct11Char"/>
    <w:uiPriority w:val="99"/>
    <w:qFormat/>
    <w:rsid w:val="00D832BD"/>
    <w:pPr>
      <w:numPr>
        <w:ilvl w:val="1"/>
        <w:numId w:val="1"/>
      </w:numPr>
      <w:ind w:left="0" w:firstLine="426"/>
    </w:pPr>
    <w:rPr>
      <w:iCs/>
    </w:rPr>
  </w:style>
  <w:style w:type="character" w:customStyle="1" w:styleId="HGsubpct111Char">
    <w:name w:val="HG subpct 1.1.1 Char"/>
    <w:basedOn w:val="HGsubpct11Char"/>
    <w:link w:val="HGsubpct111"/>
    <w:uiPriority w:val="99"/>
    <w:locked/>
    <w:rsid w:val="00E53158"/>
    <w:rPr>
      <w:rFonts w:ascii="Times New Roman" w:eastAsiaTheme="minorEastAsia" w:hAnsi="Times New Roman" w:cs="Times New Roman" w:hint="default"/>
      <w:iCs w:val="0"/>
      <w:sz w:val="28"/>
      <w:szCs w:val="24"/>
      <w:lang w:val="ro-RO"/>
    </w:rPr>
  </w:style>
  <w:style w:type="paragraph" w:customStyle="1" w:styleId="HGsubpct111">
    <w:name w:val="HG subpct 1.1.1"/>
    <w:basedOn w:val="Normal"/>
    <w:link w:val="HGsubpct111Char"/>
    <w:uiPriority w:val="99"/>
    <w:qFormat/>
    <w:rsid w:val="00E53158"/>
    <w:pPr>
      <w:numPr>
        <w:ilvl w:val="2"/>
        <w:numId w:val="1"/>
      </w:numPr>
      <w:ind w:left="0" w:firstLine="426"/>
    </w:pPr>
  </w:style>
  <w:style w:type="paragraph" w:customStyle="1" w:styleId="tt">
    <w:name w:val="tt"/>
    <w:basedOn w:val="Normal"/>
    <w:pPr>
      <w:spacing w:before="100" w:beforeAutospacing="1" w:after="100" w:afterAutospacing="1"/>
      <w:jc w:val="center"/>
    </w:pPr>
    <w:rPr>
      <w:b/>
      <w:bCs/>
    </w:rPr>
  </w:style>
  <w:style w:type="paragraph" w:customStyle="1" w:styleId="pb">
    <w:name w:val="pb"/>
    <w:basedOn w:val="Normal"/>
    <w:uiPriority w:val="99"/>
    <w:semiHidden/>
    <w:pPr>
      <w:spacing w:before="100" w:beforeAutospacing="1" w:after="100" w:afterAutospacing="1"/>
      <w:jc w:val="center"/>
    </w:pPr>
    <w:rPr>
      <w:i/>
      <w:iCs/>
      <w:color w:val="663300"/>
      <w:sz w:val="20"/>
      <w:szCs w:val="20"/>
    </w:rPr>
  </w:style>
  <w:style w:type="paragraph" w:customStyle="1" w:styleId="cu">
    <w:name w:val="cu"/>
    <w:basedOn w:val="Normal"/>
    <w:uiPriority w:val="99"/>
    <w:semiHidden/>
    <w:pPr>
      <w:spacing w:before="45" w:after="100" w:afterAutospacing="1"/>
      <w:ind w:left="1134" w:right="567" w:hanging="567"/>
    </w:pPr>
    <w:rPr>
      <w:sz w:val="20"/>
      <w:szCs w:val="20"/>
    </w:rPr>
  </w:style>
  <w:style w:type="paragraph" w:customStyle="1" w:styleId="cut">
    <w:name w:val="cut"/>
    <w:basedOn w:val="Normal"/>
    <w:uiPriority w:val="99"/>
    <w:semiHidden/>
    <w:pPr>
      <w:spacing w:before="100" w:beforeAutospacing="1" w:after="100" w:afterAutospacing="1"/>
      <w:ind w:left="567" w:right="567"/>
      <w:jc w:val="center"/>
    </w:pPr>
    <w:rPr>
      <w:b/>
      <w:bCs/>
      <w:sz w:val="20"/>
      <w:szCs w:val="20"/>
    </w:rPr>
  </w:style>
  <w:style w:type="paragraph" w:customStyle="1" w:styleId="cp">
    <w:name w:val="cp"/>
    <w:basedOn w:val="Normal"/>
    <w:pPr>
      <w:spacing w:before="100" w:beforeAutospacing="1" w:after="100" w:afterAutospacing="1"/>
      <w:jc w:val="center"/>
    </w:pPr>
    <w:rPr>
      <w:b/>
      <w:bCs/>
    </w:rPr>
  </w:style>
  <w:style w:type="paragraph" w:customStyle="1" w:styleId="nt">
    <w:name w:val="nt"/>
    <w:basedOn w:val="Normal"/>
    <w:uiPriority w:val="99"/>
    <w:semiHidden/>
    <w:pPr>
      <w:spacing w:before="100" w:beforeAutospacing="1" w:after="100" w:afterAutospacing="1"/>
      <w:ind w:left="567" w:right="567" w:hanging="567"/>
    </w:pPr>
    <w:rPr>
      <w:i/>
      <w:iCs/>
      <w:color w:val="663300"/>
      <w:sz w:val="20"/>
      <w:szCs w:val="20"/>
    </w:rPr>
  </w:style>
  <w:style w:type="paragraph" w:customStyle="1" w:styleId="md">
    <w:name w:val="md"/>
    <w:basedOn w:val="Normal"/>
    <w:uiPriority w:val="99"/>
    <w:semiHidden/>
    <w:pPr>
      <w:spacing w:before="100" w:beforeAutospacing="1" w:after="100" w:afterAutospacing="1"/>
    </w:pPr>
    <w:rPr>
      <w:i/>
      <w:iCs/>
      <w:color w:val="663300"/>
      <w:sz w:val="20"/>
      <w:szCs w:val="20"/>
    </w:rPr>
  </w:style>
  <w:style w:type="paragraph" w:customStyle="1" w:styleId="cn">
    <w:name w:val="cn"/>
    <w:basedOn w:val="Normal"/>
    <w:pPr>
      <w:spacing w:before="100" w:beforeAutospacing="1" w:after="100" w:afterAutospacing="1"/>
      <w:jc w:val="center"/>
    </w:pPr>
  </w:style>
  <w:style w:type="paragraph" w:customStyle="1" w:styleId="cb">
    <w:name w:val="cb"/>
    <w:basedOn w:val="Normal"/>
    <w:uiPriority w:val="99"/>
    <w:semiHidden/>
    <w:pPr>
      <w:spacing w:before="100" w:beforeAutospacing="1" w:after="100" w:afterAutospacing="1"/>
      <w:jc w:val="center"/>
    </w:pPr>
    <w:rPr>
      <w:b/>
      <w:bCs/>
    </w:rPr>
  </w:style>
  <w:style w:type="paragraph" w:customStyle="1" w:styleId="rg">
    <w:name w:val="rg"/>
    <w:basedOn w:val="Normal"/>
    <w:uiPriority w:val="99"/>
    <w:semiHidden/>
    <w:pPr>
      <w:spacing w:before="100" w:beforeAutospacing="1" w:after="100" w:afterAutospacing="1"/>
      <w:jc w:val="right"/>
    </w:pPr>
  </w:style>
  <w:style w:type="paragraph" w:customStyle="1" w:styleId="js">
    <w:name w:val="js"/>
    <w:basedOn w:val="Normal"/>
    <w:uiPriority w:val="99"/>
    <w:semiHidden/>
    <w:pPr>
      <w:spacing w:before="100" w:beforeAutospacing="1" w:after="100" w:afterAutospacing="1"/>
    </w:pPr>
  </w:style>
  <w:style w:type="paragraph" w:customStyle="1" w:styleId="lf">
    <w:name w:val="lf"/>
    <w:basedOn w:val="Normal"/>
    <w:uiPriority w:val="99"/>
    <w:semiHidden/>
    <w:pPr>
      <w:spacing w:before="100" w:beforeAutospacing="1" w:after="100" w:afterAutospacing="1"/>
    </w:pPr>
  </w:style>
  <w:style w:type="paragraph" w:customStyle="1" w:styleId="forma">
    <w:name w:val="forma"/>
    <w:basedOn w:val="Normal"/>
    <w:uiPriority w:val="99"/>
    <w:semiHidden/>
    <w:pPr>
      <w:spacing w:before="100" w:beforeAutospacing="1" w:after="100" w:afterAutospacing="1"/>
    </w:pPr>
    <w:rPr>
      <w:rFonts w:ascii="Arial" w:hAnsi="Arial" w:cs="Arial"/>
      <w:sz w:val="20"/>
      <w:szCs w:val="20"/>
    </w:rPr>
  </w:style>
  <w:style w:type="paragraph" w:customStyle="1" w:styleId="sm">
    <w:name w:val="sm"/>
    <w:basedOn w:val="Normal"/>
    <w:uiPriority w:val="99"/>
    <w:semiHidden/>
    <w:pPr>
      <w:spacing w:before="240" w:after="100" w:afterAutospacing="1"/>
      <w:ind w:left="567"/>
    </w:pPr>
    <w:rPr>
      <w:b/>
      <w:bCs/>
    </w:rPr>
  </w:style>
  <w:style w:type="paragraph" w:customStyle="1" w:styleId="smfunctia">
    <w:name w:val="sm_functia"/>
    <w:basedOn w:val="Normal"/>
    <w:uiPriority w:val="99"/>
    <w:semiHidden/>
    <w:pPr>
      <w:spacing w:before="100" w:beforeAutospacing="1" w:after="100" w:afterAutospacing="1"/>
    </w:pPr>
  </w:style>
  <w:style w:type="paragraph" w:customStyle="1" w:styleId="smdata">
    <w:name w:val="sm_data"/>
    <w:basedOn w:val="Normal"/>
    <w:uiPriority w:val="99"/>
    <w:semiHidden/>
    <w:pPr>
      <w:spacing w:before="100" w:beforeAutospacing="1" w:after="100" w:afterAutospacing="1"/>
    </w:p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nhideWhenUsed/>
    <w:rsid w:val="00257A9F"/>
    <w:pPr>
      <w:tabs>
        <w:tab w:val="center" w:pos="4680"/>
        <w:tab w:val="right" w:pos="9360"/>
      </w:tabs>
      <w:spacing w:line="240" w:lineRule="auto"/>
    </w:pPr>
  </w:style>
  <w:style w:type="character" w:customStyle="1" w:styleId="HeaderChar">
    <w:name w:val="Header Char"/>
    <w:basedOn w:val="DefaultParagraphFont"/>
    <w:link w:val="Header"/>
    <w:uiPriority w:val="99"/>
    <w:rsid w:val="00257A9F"/>
    <w:rPr>
      <w:rFonts w:eastAsiaTheme="minorEastAsia"/>
      <w:sz w:val="28"/>
      <w:szCs w:val="24"/>
    </w:rPr>
  </w:style>
  <w:style w:type="paragraph" w:styleId="Footer">
    <w:name w:val="footer"/>
    <w:basedOn w:val="Normal"/>
    <w:link w:val="FooterChar"/>
    <w:unhideWhenUsed/>
    <w:rsid w:val="00257A9F"/>
    <w:pPr>
      <w:tabs>
        <w:tab w:val="center" w:pos="4680"/>
        <w:tab w:val="right" w:pos="9360"/>
      </w:tabs>
      <w:spacing w:line="240" w:lineRule="auto"/>
    </w:pPr>
  </w:style>
  <w:style w:type="character" w:customStyle="1" w:styleId="FooterChar">
    <w:name w:val="Footer Char"/>
    <w:basedOn w:val="DefaultParagraphFont"/>
    <w:link w:val="Footer"/>
    <w:uiPriority w:val="99"/>
    <w:rsid w:val="00257A9F"/>
    <w:rPr>
      <w:rFonts w:eastAsiaTheme="minorEastAsia"/>
      <w:sz w:val="28"/>
      <w:szCs w:val="24"/>
    </w:rPr>
  </w:style>
  <w:style w:type="table" w:styleId="TableGrid">
    <w:name w:val="Table Grid"/>
    <w:basedOn w:val="TableNormal"/>
    <w:uiPriority w:val="39"/>
    <w:rsid w:val="00926399"/>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3140"/>
    <w:pPr>
      <w:widowControl w:val="0"/>
      <w:autoSpaceDE w:val="0"/>
      <w:autoSpaceDN w:val="0"/>
      <w:spacing w:line="240" w:lineRule="auto"/>
      <w:jc w:val="left"/>
    </w:pPr>
    <w:rPr>
      <w:rFonts w:eastAsia="Times New Roman"/>
      <w:szCs w:val="28"/>
    </w:rPr>
  </w:style>
  <w:style w:type="character" w:customStyle="1" w:styleId="BodyTextChar">
    <w:name w:val="Body Text Char"/>
    <w:basedOn w:val="DefaultParagraphFont"/>
    <w:link w:val="BodyText"/>
    <w:uiPriority w:val="1"/>
    <w:rsid w:val="005D3140"/>
    <w:rPr>
      <w:sz w:val="28"/>
      <w:szCs w:val="28"/>
      <w:lang w:val="ro-RO"/>
    </w:rPr>
  </w:style>
  <w:style w:type="paragraph" w:styleId="Title">
    <w:name w:val="Title"/>
    <w:basedOn w:val="Normal"/>
    <w:link w:val="TitleChar"/>
    <w:uiPriority w:val="10"/>
    <w:qFormat/>
    <w:rsid w:val="005D3140"/>
    <w:pPr>
      <w:widowControl w:val="0"/>
      <w:autoSpaceDE w:val="0"/>
      <w:autoSpaceDN w:val="0"/>
      <w:spacing w:before="84" w:line="240" w:lineRule="auto"/>
      <w:ind w:left="809"/>
      <w:jc w:val="left"/>
    </w:pPr>
    <w:rPr>
      <w:rFonts w:eastAsia="Times New Roman"/>
      <w:b/>
      <w:bCs/>
      <w:sz w:val="40"/>
      <w:szCs w:val="40"/>
    </w:rPr>
  </w:style>
  <w:style w:type="character" w:customStyle="1" w:styleId="TitleChar">
    <w:name w:val="Title Char"/>
    <w:basedOn w:val="DefaultParagraphFont"/>
    <w:link w:val="Title"/>
    <w:uiPriority w:val="10"/>
    <w:rsid w:val="005D3140"/>
    <w:rPr>
      <w:b/>
      <w:bCs/>
      <w:sz w:val="40"/>
      <w:szCs w:val="40"/>
      <w:lang w:val="ro-RO"/>
    </w:rPr>
  </w:style>
  <w:style w:type="character" w:customStyle="1" w:styleId="Heading4Char">
    <w:name w:val="Heading 4 Char"/>
    <w:basedOn w:val="DefaultParagraphFont"/>
    <w:link w:val="Heading4"/>
    <w:uiPriority w:val="9"/>
    <w:rsid w:val="00236F90"/>
    <w:rPr>
      <w:rFonts w:asciiTheme="majorHAnsi" w:eastAsiaTheme="majorEastAsia" w:hAnsiTheme="majorHAnsi" w:cstheme="majorBidi"/>
      <w:i/>
      <w:iCs/>
      <w:color w:val="0F4761" w:themeColor="accent1" w:themeShade="BF"/>
      <w:sz w:val="28"/>
      <w:szCs w:val="24"/>
      <w:lang w:val="ro-RO"/>
    </w:rPr>
  </w:style>
  <w:style w:type="character" w:customStyle="1" w:styleId="Heading2Char">
    <w:name w:val="Heading 2 Char"/>
    <w:basedOn w:val="DefaultParagraphFont"/>
    <w:link w:val="Heading2"/>
    <w:uiPriority w:val="9"/>
    <w:rsid w:val="004D16EE"/>
    <w:rPr>
      <w:rFonts w:asciiTheme="majorHAnsi" w:eastAsiaTheme="majorEastAsia" w:hAnsiTheme="majorHAnsi" w:cstheme="majorBidi"/>
      <w:color w:val="0F4761" w:themeColor="accent1" w:themeShade="BF"/>
      <w:sz w:val="26"/>
      <w:szCs w:val="26"/>
      <w:lang w:val="ro-RO"/>
    </w:rPr>
  </w:style>
  <w:style w:type="character" w:styleId="UnresolvedMention">
    <w:name w:val="Unresolved Mention"/>
    <w:basedOn w:val="DefaultParagraphFont"/>
    <w:uiPriority w:val="99"/>
    <w:semiHidden/>
    <w:unhideWhenUsed/>
    <w:rsid w:val="005709D9"/>
    <w:rPr>
      <w:color w:val="605E5C"/>
      <w:shd w:val="clear" w:color="auto" w:fill="E1DFDD"/>
    </w:rPr>
  </w:style>
  <w:style w:type="paragraph" w:customStyle="1" w:styleId="oj-ti-section-1">
    <w:name w:val="oj-ti-section-1"/>
    <w:basedOn w:val="Normal"/>
    <w:rsid w:val="0004012E"/>
    <w:pPr>
      <w:spacing w:before="100" w:beforeAutospacing="1" w:after="100" w:afterAutospacing="1" w:line="240" w:lineRule="auto"/>
      <w:ind w:firstLine="0"/>
      <w:jc w:val="left"/>
    </w:pPr>
    <w:rPr>
      <w:rFonts w:eastAsia="Times New Roman"/>
      <w:sz w:val="24"/>
      <w:lang w:val="en-US"/>
    </w:rPr>
  </w:style>
  <w:style w:type="paragraph" w:customStyle="1" w:styleId="oj-ti-section-2">
    <w:name w:val="oj-ti-section-2"/>
    <w:basedOn w:val="Normal"/>
    <w:rsid w:val="0004012E"/>
    <w:pPr>
      <w:spacing w:before="100" w:beforeAutospacing="1" w:after="100" w:afterAutospacing="1" w:line="240" w:lineRule="auto"/>
      <w:ind w:firstLine="0"/>
      <w:jc w:val="left"/>
    </w:pPr>
    <w:rPr>
      <w:rFonts w:eastAsia="Times New Roman"/>
      <w:sz w:val="24"/>
      <w:lang w:val="en-US"/>
    </w:rPr>
  </w:style>
  <w:style w:type="paragraph" w:customStyle="1" w:styleId="Anexapct1">
    <w:name w:val="Anexa pct. 1"/>
    <w:basedOn w:val="Normal"/>
    <w:qFormat/>
    <w:rsid w:val="00E64960"/>
    <w:pPr>
      <w:numPr>
        <w:numId w:val="54"/>
      </w:numPr>
    </w:pPr>
  </w:style>
  <w:style w:type="paragraph" w:customStyle="1" w:styleId="Anexapct11">
    <w:name w:val="Anexa pct 1.1"/>
    <w:basedOn w:val="Normal"/>
    <w:qFormat/>
    <w:rsid w:val="00BB16DB"/>
    <w:pPr>
      <w:numPr>
        <w:ilvl w:val="1"/>
        <w:numId w:val="54"/>
      </w:numPr>
    </w:pPr>
  </w:style>
  <w:style w:type="paragraph" w:customStyle="1" w:styleId="Anexapct111">
    <w:name w:val="Anexa pct. 1.1.1"/>
    <w:basedOn w:val="Normal"/>
    <w:qFormat/>
    <w:rsid w:val="00781676"/>
    <w:pPr>
      <w:numPr>
        <w:ilvl w:val="2"/>
        <w:numId w:val="54"/>
      </w:numPr>
      <w:ind w:left="0"/>
    </w:pPr>
  </w:style>
  <w:style w:type="character" w:styleId="PlaceholderText">
    <w:name w:val="Placeholder Text"/>
    <w:basedOn w:val="DefaultParagraphFont"/>
    <w:uiPriority w:val="99"/>
    <w:semiHidden/>
    <w:rsid w:val="00615745"/>
    <w:rPr>
      <w:color w:val="666666"/>
    </w:rPr>
  </w:style>
  <w:style w:type="paragraph" w:customStyle="1" w:styleId="TEST">
    <w:name w:val="TEST"/>
    <w:basedOn w:val="Normal"/>
    <w:rsid w:val="006F537E"/>
  </w:style>
  <w:style w:type="paragraph" w:customStyle="1" w:styleId="Capitol">
    <w:name w:val="Capitol"/>
    <w:basedOn w:val="Normal"/>
    <w:qFormat/>
    <w:rsid w:val="00253E53"/>
    <w:pPr>
      <w:spacing w:before="240" w:after="120"/>
      <w:ind w:left="431" w:firstLine="0"/>
      <w:contextualSpacing/>
      <w:jc w:val="center"/>
    </w:pPr>
    <w:rPr>
      <w:b/>
      <w:bCs/>
      <w:caps/>
    </w:rPr>
  </w:style>
  <w:style w:type="paragraph" w:customStyle="1" w:styleId="Sectiune">
    <w:name w:val="Sectiune"/>
    <w:basedOn w:val="Normal"/>
    <w:qFormat/>
    <w:rsid w:val="00766F63"/>
    <w:pPr>
      <w:spacing w:before="120"/>
      <w:ind w:left="431" w:firstLine="0"/>
      <w:contextualSpacing/>
      <w:jc w:val="center"/>
    </w:pPr>
    <w:rPr>
      <w:b/>
      <w:bCs/>
    </w:rPr>
  </w:style>
  <w:style w:type="paragraph" w:styleId="FootnoteText">
    <w:name w:val="footnote text"/>
    <w:basedOn w:val="Normal"/>
    <w:link w:val="FootnoteTextChar"/>
    <w:uiPriority w:val="99"/>
    <w:semiHidden/>
    <w:unhideWhenUsed/>
    <w:rsid w:val="003A1AC9"/>
    <w:pPr>
      <w:spacing w:line="240" w:lineRule="auto"/>
    </w:pPr>
    <w:rPr>
      <w:sz w:val="20"/>
      <w:szCs w:val="20"/>
    </w:rPr>
  </w:style>
  <w:style w:type="character" w:customStyle="1" w:styleId="FootnoteTextChar">
    <w:name w:val="Footnote Text Char"/>
    <w:basedOn w:val="DefaultParagraphFont"/>
    <w:link w:val="FootnoteText"/>
    <w:uiPriority w:val="99"/>
    <w:rsid w:val="003A1AC9"/>
    <w:rPr>
      <w:rFonts w:eastAsiaTheme="minorEastAsia"/>
      <w:lang w:val="ro-RO"/>
    </w:rPr>
  </w:style>
  <w:style w:type="character" w:styleId="FootnoteReference">
    <w:name w:val="footnote reference"/>
    <w:basedOn w:val="DefaultParagraphFont"/>
    <w:uiPriority w:val="99"/>
    <w:unhideWhenUsed/>
    <w:rsid w:val="003A1AC9"/>
    <w:rPr>
      <w:vertAlign w:val="superscript"/>
    </w:rPr>
  </w:style>
  <w:style w:type="paragraph" w:styleId="EndnoteText">
    <w:name w:val="endnote text"/>
    <w:basedOn w:val="Normal"/>
    <w:link w:val="EndnoteTextChar"/>
    <w:uiPriority w:val="99"/>
    <w:semiHidden/>
    <w:unhideWhenUsed/>
    <w:rsid w:val="00D220BE"/>
    <w:pPr>
      <w:spacing w:line="240" w:lineRule="auto"/>
    </w:pPr>
    <w:rPr>
      <w:sz w:val="20"/>
      <w:szCs w:val="20"/>
    </w:rPr>
  </w:style>
  <w:style w:type="character" w:customStyle="1" w:styleId="EndnoteTextChar">
    <w:name w:val="Endnote Text Char"/>
    <w:basedOn w:val="DefaultParagraphFont"/>
    <w:link w:val="EndnoteText"/>
    <w:uiPriority w:val="99"/>
    <w:rsid w:val="00D220BE"/>
    <w:rPr>
      <w:rFonts w:eastAsiaTheme="minorEastAsia"/>
      <w:lang w:val="ro-RO"/>
    </w:rPr>
  </w:style>
  <w:style w:type="character" w:styleId="EndnoteReference">
    <w:name w:val="endnote reference"/>
    <w:basedOn w:val="DefaultParagraphFont"/>
    <w:uiPriority w:val="99"/>
    <w:semiHidden/>
    <w:unhideWhenUsed/>
    <w:rsid w:val="00D220BE"/>
    <w:rPr>
      <w:vertAlign w:val="superscript"/>
    </w:rPr>
  </w:style>
  <w:style w:type="numbering" w:customStyle="1" w:styleId="NoList1">
    <w:name w:val="No List1"/>
    <w:next w:val="NoList"/>
    <w:uiPriority w:val="99"/>
    <w:semiHidden/>
    <w:unhideWhenUsed/>
    <w:rsid w:val="008C4F89"/>
  </w:style>
  <w:style w:type="paragraph" w:customStyle="1" w:styleId="tbl-norm">
    <w:name w:val="tbl-norm"/>
    <w:basedOn w:val="Normal"/>
    <w:rsid w:val="008C4F89"/>
    <w:pPr>
      <w:spacing w:before="100" w:beforeAutospacing="1" w:after="100" w:afterAutospacing="1" w:line="240" w:lineRule="auto"/>
      <w:ind w:firstLine="0"/>
      <w:jc w:val="left"/>
    </w:pPr>
    <w:rPr>
      <w:rFonts w:eastAsia="Times New Roman"/>
      <w:sz w:val="24"/>
      <w:lang w:eastAsia="ro-RO"/>
    </w:rPr>
  </w:style>
  <w:style w:type="paragraph" w:customStyle="1" w:styleId="hd-column">
    <w:name w:val="hd-column"/>
    <w:basedOn w:val="Normal"/>
    <w:rsid w:val="008C4F89"/>
    <w:pPr>
      <w:spacing w:before="100" w:beforeAutospacing="1" w:after="100" w:afterAutospacing="1" w:line="240" w:lineRule="auto"/>
      <w:ind w:firstLine="0"/>
      <w:jc w:val="left"/>
    </w:pPr>
    <w:rPr>
      <w:rFonts w:eastAsia="Times New Roman"/>
      <w:sz w:val="24"/>
      <w:lang w:eastAsia="ro-RO"/>
    </w:rPr>
  </w:style>
  <w:style w:type="character" w:customStyle="1" w:styleId="subscript">
    <w:name w:val="subscript"/>
    <w:basedOn w:val="DefaultParagraphFont"/>
    <w:rsid w:val="008C4F89"/>
  </w:style>
  <w:style w:type="character" w:customStyle="1" w:styleId="superscript">
    <w:name w:val="superscript"/>
    <w:basedOn w:val="DefaultParagraphFont"/>
    <w:rsid w:val="008C4F89"/>
  </w:style>
  <w:style w:type="paragraph" w:customStyle="1" w:styleId="tbl-left">
    <w:name w:val="tbl-left"/>
    <w:basedOn w:val="Normal"/>
    <w:rsid w:val="008C4F89"/>
    <w:pPr>
      <w:spacing w:before="100" w:beforeAutospacing="1" w:after="100" w:afterAutospacing="1" w:line="240" w:lineRule="auto"/>
      <w:ind w:firstLine="0"/>
      <w:jc w:val="left"/>
    </w:pPr>
    <w:rPr>
      <w:rFonts w:eastAsia="Times New Roman"/>
      <w:sz w:val="24"/>
      <w:lang w:eastAsia="ro-RO"/>
    </w:rPr>
  </w:style>
  <w:style w:type="character" w:customStyle="1" w:styleId="italics">
    <w:name w:val="italics"/>
    <w:basedOn w:val="DefaultParagraphFont"/>
    <w:rsid w:val="008C4F89"/>
  </w:style>
  <w:style w:type="paragraph" w:customStyle="1" w:styleId="title-gr-seq-level-1">
    <w:name w:val="title-gr-seq-level-1"/>
    <w:basedOn w:val="Normal"/>
    <w:rsid w:val="008C4F89"/>
    <w:pPr>
      <w:spacing w:before="100" w:beforeAutospacing="1" w:after="100" w:afterAutospacing="1" w:line="240" w:lineRule="auto"/>
      <w:ind w:firstLine="0"/>
      <w:jc w:val="left"/>
    </w:pPr>
    <w:rPr>
      <w:rFonts w:eastAsia="Times New Roman"/>
      <w:sz w:val="24"/>
      <w:lang w:eastAsia="ro-RO"/>
    </w:rPr>
  </w:style>
  <w:style w:type="character" w:customStyle="1" w:styleId="boldface">
    <w:name w:val="boldface"/>
    <w:basedOn w:val="DefaultParagraphFont"/>
    <w:rsid w:val="008C4F89"/>
  </w:style>
  <w:style w:type="paragraph" w:customStyle="1" w:styleId="title-gr-seq-level-2">
    <w:name w:val="title-gr-seq-level-2"/>
    <w:basedOn w:val="Normal"/>
    <w:rsid w:val="008C4F89"/>
    <w:pPr>
      <w:spacing w:before="100" w:beforeAutospacing="1" w:after="100" w:afterAutospacing="1" w:line="240" w:lineRule="auto"/>
      <w:ind w:firstLine="0"/>
      <w:jc w:val="left"/>
    </w:pPr>
    <w:rPr>
      <w:rFonts w:eastAsia="Times New Roman"/>
      <w:sz w:val="24"/>
      <w:lang w:eastAsia="ro-RO"/>
    </w:rPr>
  </w:style>
  <w:style w:type="paragraph" w:customStyle="1" w:styleId="pf0">
    <w:name w:val="pf0"/>
    <w:basedOn w:val="Normal"/>
    <w:rsid w:val="005C1961"/>
    <w:pPr>
      <w:spacing w:before="100" w:beforeAutospacing="1" w:after="100" w:afterAutospacing="1" w:line="240" w:lineRule="auto"/>
      <w:ind w:firstLine="0"/>
      <w:jc w:val="left"/>
    </w:pPr>
    <w:rPr>
      <w:rFonts w:eastAsia="Times New Roman"/>
      <w:sz w:val="24"/>
      <w:lang w:eastAsia="ro-RO"/>
    </w:rPr>
  </w:style>
  <w:style w:type="character" w:customStyle="1" w:styleId="cf01">
    <w:name w:val="cf01"/>
    <w:basedOn w:val="DefaultParagraphFont"/>
    <w:rsid w:val="005C1961"/>
    <w:rPr>
      <w:rFonts w:ascii="Segoe UI" w:hAnsi="Segoe UI" w:cs="Segoe UI" w:hint="default"/>
      <w:sz w:val="18"/>
      <w:szCs w:val="18"/>
    </w:rPr>
  </w:style>
  <w:style w:type="character" w:customStyle="1" w:styleId="oj-bold">
    <w:name w:val="oj-bold"/>
    <w:basedOn w:val="DefaultParagraphFont"/>
    <w:rsid w:val="00A757CC"/>
  </w:style>
  <w:style w:type="paragraph" w:customStyle="1" w:styleId="oj-ti-art">
    <w:name w:val="oj-ti-art"/>
    <w:basedOn w:val="Normal"/>
    <w:rsid w:val="00A757CC"/>
    <w:pPr>
      <w:spacing w:before="100" w:beforeAutospacing="1" w:after="100" w:afterAutospacing="1" w:line="240" w:lineRule="auto"/>
      <w:ind w:firstLine="0"/>
      <w:jc w:val="left"/>
    </w:pPr>
    <w:rPr>
      <w:rFonts w:eastAsia="Times New Roman"/>
      <w:sz w:val="24"/>
      <w:lang w:eastAsia="ro-RO"/>
    </w:rPr>
  </w:style>
  <w:style w:type="paragraph" w:customStyle="1" w:styleId="oj-sti-art">
    <w:name w:val="oj-sti-art"/>
    <w:basedOn w:val="Normal"/>
    <w:rsid w:val="00A757CC"/>
    <w:pPr>
      <w:spacing w:before="100" w:beforeAutospacing="1" w:after="100" w:afterAutospacing="1" w:line="240" w:lineRule="auto"/>
      <w:ind w:firstLine="0"/>
      <w:jc w:val="left"/>
    </w:pPr>
    <w:rPr>
      <w:rFonts w:eastAsia="Times New Roman"/>
      <w:sz w:val="24"/>
      <w:lang w:eastAsia="ro-RO"/>
    </w:rPr>
  </w:style>
  <w:style w:type="character" w:customStyle="1" w:styleId="oj-super">
    <w:name w:val="oj-super"/>
    <w:basedOn w:val="DefaultParagraphFont"/>
    <w:rsid w:val="00A757CC"/>
  </w:style>
  <w:style w:type="paragraph" w:customStyle="1" w:styleId="oj-normal">
    <w:name w:val="oj-normal"/>
    <w:basedOn w:val="Normal"/>
    <w:rsid w:val="00A757CC"/>
    <w:pPr>
      <w:spacing w:before="100" w:beforeAutospacing="1" w:after="100" w:afterAutospacing="1" w:line="240" w:lineRule="auto"/>
      <w:ind w:firstLine="0"/>
      <w:jc w:val="left"/>
    </w:pPr>
    <w:rPr>
      <w:rFonts w:eastAsia="Times New Roman"/>
      <w:sz w:val="24"/>
      <w:lang w:eastAsia="ro-RO"/>
    </w:rPr>
  </w:style>
  <w:style w:type="paragraph" w:customStyle="1" w:styleId="Anexapct1111">
    <w:name w:val="Anexa pct. 1.1.1.1"/>
    <w:basedOn w:val="Normal"/>
    <w:qFormat/>
    <w:rsid w:val="0046160B"/>
    <w:pPr>
      <w:numPr>
        <w:ilvl w:val="3"/>
        <w:numId w:val="54"/>
      </w:numPr>
    </w:pPr>
    <w:rPr>
      <w:rFonts w:eastAsia="Times New Roman"/>
      <w:lang w:eastAsia="ro-RO"/>
    </w:rPr>
  </w:style>
  <w:style w:type="paragraph" w:customStyle="1" w:styleId="inline-element">
    <w:name w:val="inline-element"/>
    <w:basedOn w:val="Normal"/>
    <w:rsid w:val="007F5CBF"/>
    <w:pPr>
      <w:spacing w:before="100" w:beforeAutospacing="1" w:after="100" w:afterAutospacing="1" w:line="240" w:lineRule="auto"/>
      <w:ind w:firstLine="0"/>
      <w:jc w:val="left"/>
    </w:pPr>
    <w:rPr>
      <w:rFonts w:eastAsia="Times New Roman"/>
      <w:sz w:val="24"/>
      <w:lang w:eastAsia="ro-RO"/>
    </w:rPr>
  </w:style>
  <w:style w:type="table" w:customStyle="1" w:styleId="GridTable5Dark1">
    <w:name w:val="Grid Table 5 Dark1"/>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character" w:customStyle="1" w:styleId="Heading3Char">
    <w:name w:val="Heading 3 Char"/>
    <w:basedOn w:val="DefaultParagraphFont"/>
    <w:link w:val="Heading3"/>
    <w:rsid w:val="00CC0AAE"/>
    <w:rPr>
      <w:rFonts w:ascii="$Caslon" w:hAnsi="$Caslon"/>
      <w:b/>
      <w:lang w:val="ro-RO"/>
    </w:rPr>
  </w:style>
  <w:style w:type="character" w:customStyle="1" w:styleId="Heading5Char">
    <w:name w:val="Heading 5 Char"/>
    <w:basedOn w:val="DefaultParagraphFont"/>
    <w:link w:val="Heading5"/>
    <w:rsid w:val="00CC0AAE"/>
    <w:rPr>
      <w:rFonts w:ascii="$Caslon" w:hAnsi="$Caslon"/>
      <w:sz w:val="24"/>
      <w:lang w:val="ro-RO"/>
    </w:rPr>
  </w:style>
  <w:style w:type="character" w:customStyle="1" w:styleId="Heading6Char">
    <w:name w:val="Heading 6 Char"/>
    <w:basedOn w:val="DefaultParagraphFont"/>
    <w:link w:val="Heading6"/>
    <w:rsid w:val="00CC0AAE"/>
    <w:rPr>
      <w:rFonts w:ascii="$Caslon" w:hAnsi="$Caslon"/>
      <w:b/>
      <w:sz w:val="22"/>
      <w:lang w:val="ro-RO"/>
    </w:rPr>
  </w:style>
  <w:style w:type="character" w:customStyle="1" w:styleId="Heading7Char">
    <w:name w:val="Heading 7 Char"/>
    <w:basedOn w:val="DefaultParagraphFont"/>
    <w:link w:val="Heading7"/>
    <w:rsid w:val="00CC0AAE"/>
    <w:rPr>
      <w:rFonts w:ascii="Garamond" w:hAnsi="Garamond"/>
      <w:b/>
      <w:sz w:val="28"/>
      <w:lang w:val="ro-RO"/>
    </w:rPr>
  </w:style>
  <w:style w:type="character" w:customStyle="1" w:styleId="Heading8Char">
    <w:name w:val="Heading 8 Char"/>
    <w:basedOn w:val="DefaultParagraphFont"/>
    <w:link w:val="Heading8"/>
    <w:rsid w:val="00CC0AAE"/>
    <w:rPr>
      <w:rFonts w:ascii="$Caslon" w:hAnsi="$Caslon"/>
      <w:b/>
      <w:sz w:val="24"/>
      <w:lang w:val="ro-RO"/>
    </w:rPr>
  </w:style>
  <w:style w:type="character" w:customStyle="1" w:styleId="Heading9Char">
    <w:name w:val="Heading 9 Char"/>
    <w:basedOn w:val="DefaultParagraphFont"/>
    <w:link w:val="Heading9"/>
    <w:uiPriority w:val="9"/>
    <w:rsid w:val="00CC0AAE"/>
    <w:rPr>
      <w:rFonts w:ascii="Arial" w:eastAsia="Arial" w:hAnsi="Arial" w:cs="Arial"/>
      <w:i/>
      <w:iCs/>
      <w:sz w:val="21"/>
      <w:szCs w:val="21"/>
      <w:lang w:val="ro-RO"/>
    </w:rPr>
  </w:style>
  <w:style w:type="paragraph" w:styleId="NoSpacing">
    <w:name w:val="No Spacing"/>
    <w:uiPriority w:val="1"/>
    <w:qFormat/>
    <w:rsid w:val="00CC0AAE"/>
    <w:pPr>
      <w:spacing w:line="240" w:lineRule="auto"/>
      <w:ind w:firstLine="709"/>
    </w:pPr>
    <w:rPr>
      <w:lang w:val="ru-RU" w:eastAsia="ru-RU"/>
    </w:rPr>
  </w:style>
  <w:style w:type="paragraph" w:styleId="Subtitle">
    <w:name w:val="Subtitle"/>
    <w:basedOn w:val="Normal"/>
    <w:next w:val="Normal"/>
    <w:link w:val="SubtitleChar"/>
    <w:uiPriority w:val="11"/>
    <w:qFormat/>
    <w:rsid w:val="00CC0AAE"/>
    <w:pPr>
      <w:spacing w:before="200" w:after="200" w:line="240" w:lineRule="auto"/>
      <w:ind w:firstLine="709"/>
    </w:pPr>
    <w:rPr>
      <w:rFonts w:eastAsia="Times New Roman"/>
      <w:sz w:val="24"/>
    </w:rPr>
  </w:style>
  <w:style w:type="character" w:customStyle="1" w:styleId="SubtitleChar">
    <w:name w:val="Subtitle Char"/>
    <w:basedOn w:val="DefaultParagraphFont"/>
    <w:link w:val="Subtitle"/>
    <w:uiPriority w:val="11"/>
    <w:rsid w:val="00CC0AAE"/>
    <w:rPr>
      <w:sz w:val="24"/>
      <w:szCs w:val="24"/>
      <w:lang w:val="ro-RO"/>
    </w:rPr>
  </w:style>
  <w:style w:type="paragraph" w:styleId="Quote">
    <w:name w:val="Quote"/>
    <w:basedOn w:val="Normal"/>
    <w:next w:val="Normal"/>
    <w:link w:val="QuoteChar"/>
    <w:uiPriority w:val="29"/>
    <w:qFormat/>
    <w:rsid w:val="00CC0AAE"/>
    <w:pPr>
      <w:spacing w:line="240" w:lineRule="auto"/>
      <w:ind w:left="720" w:right="720" w:firstLine="709"/>
    </w:pPr>
    <w:rPr>
      <w:rFonts w:eastAsia="Times New Roman"/>
      <w:i/>
      <w:sz w:val="20"/>
      <w:szCs w:val="20"/>
    </w:rPr>
  </w:style>
  <w:style w:type="character" w:customStyle="1" w:styleId="QuoteChar">
    <w:name w:val="Quote Char"/>
    <w:basedOn w:val="DefaultParagraphFont"/>
    <w:link w:val="Quote"/>
    <w:uiPriority w:val="29"/>
    <w:rsid w:val="00CC0AAE"/>
    <w:rPr>
      <w:i/>
      <w:lang w:val="ro-RO"/>
    </w:rPr>
  </w:style>
  <w:style w:type="paragraph" w:styleId="IntenseQuote">
    <w:name w:val="Intense Quote"/>
    <w:basedOn w:val="Normal"/>
    <w:next w:val="Normal"/>
    <w:link w:val="IntenseQuoteChar"/>
    <w:uiPriority w:val="30"/>
    <w:qFormat/>
    <w:rsid w:val="00CC0AAE"/>
    <w:pPr>
      <w:pBdr>
        <w:top w:val="single" w:sz="4" w:space="5" w:color="FFFFFF"/>
        <w:left w:val="single" w:sz="4" w:space="10" w:color="FFFFFF"/>
        <w:bottom w:val="single" w:sz="4" w:space="5" w:color="FFFFFF"/>
        <w:right w:val="single" w:sz="4" w:space="10" w:color="FFFFFF"/>
      </w:pBdr>
      <w:shd w:val="clear" w:color="auto" w:fill="F2F2F2"/>
      <w:spacing w:line="240" w:lineRule="auto"/>
      <w:ind w:left="720" w:right="720" w:firstLine="709"/>
    </w:pPr>
    <w:rPr>
      <w:rFonts w:eastAsia="Times New Roman"/>
      <w:i/>
      <w:sz w:val="20"/>
      <w:szCs w:val="20"/>
    </w:rPr>
  </w:style>
  <w:style w:type="character" w:customStyle="1" w:styleId="IntenseQuoteChar">
    <w:name w:val="Intense Quote Char"/>
    <w:basedOn w:val="DefaultParagraphFont"/>
    <w:link w:val="IntenseQuote"/>
    <w:uiPriority w:val="30"/>
    <w:rsid w:val="00CC0AAE"/>
    <w:rPr>
      <w:i/>
      <w:shd w:val="clear" w:color="auto" w:fill="F2F2F2"/>
      <w:lang w:val="ro-RO"/>
    </w:rPr>
  </w:style>
  <w:style w:type="paragraph" w:styleId="Caption">
    <w:name w:val="caption"/>
    <w:basedOn w:val="Normal"/>
    <w:next w:val="Normal"/>
    <w:uiPriority w:val="35"/>
    <w:semiHidden/>
    <w:unhideWhenUsed/>
    <w:qFormat/>
    <w:rsid w:val="00CC0AAE"/>
    <w:pPr>
      <w:ind w:firstLine="709"/>
    </w:pPr>
    <w:rPr>
      <w:rFonts w:eastAsia="Times New Roman"/>
      <w:b/>
      <w:bCs/>
      <w:color w:val="156082" w:themeColor="accent1"/>
      <w:sz w:val="18"/>
      <w:szCs w:val="18"/>
    </w:rPr>
  </w:style>
  <w:style w:type="character" w:customStyle="1" w:styleId="CaptionChar">
    <w:name w:val="Caption Char"/>
    <w:uiPriority w:val="99"/>
    <w:rsid w:val="00CC0AAE"/>
  </w:style>
  <w:style w:type="table" w:customStyle="1" w:styleId="TableGridLight1">
    <w:name w:val="Table Grid Light1"/>
    <w:basedOn w:val="TableNormal"/>
    <w:uiPriority w:val="59"/>
    <w:rsid w:val="00CC0AAE"/>
    <w:pPr>
      <w:spacing w:line="240" w:lineRule="auto"/>
      <w:ind w:firstLine="709"/>
    </w:pPr>
    <w:rPr>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CC0AAE"/>
    <w:pPr>
      <w:spacing w:line="240" w:lineRule="auto"/>
      <w:ind w:firstLine="709"/>
    </w:pPr>
    <w:rPr>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CC0AAE"/>
    <w:pPr>
      <w:spacing w:line="240" w:lineRule="auto"/>
      <w:ind w:firstLine="709"/>
    </w:pPr>
    <w:rPr>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CC0AAE"/>
    <w:pPr>
      <w:spacing w:line="240" w:lineRule="auto"/>
      <w:ind w:firstLine="709"/>
    </w:pPr>
    <w:rPr>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CC0AAE"/>
    <w:pPr>
      <w:spacing w:line="240" w:lineRule="auto"/>
      <w:ind w:firstLine="709"/>
    </w:pPr>
    <w:rPr>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CC0AAE"/>
    <w:pPr>
      <w:spacing w:line="240" w:lineRule="auto"/>
      <w:ind w:firstLine="709"/>
    </w:pPr>
    <w:rPr>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CC0AAE"/>
    <w:pPr>
      <w:spacing w:line="240" w:lineRule="auto"/>
      <w:ind w:firstLine="709"/>
    </w:pPr>
    <w:rPr>
      <w:lang w:val="ru-RU" w:eastAsia="ru-RU"/>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rsid w:val="00CC0AAE"/>
    <w:pPr>
      <w:spacing w:line="240" w:lineRule="auto"/>
      <w:ind w:firstLine="709"/>
    </w:pPr>
    <w:rPr>
      <w:lang w:val="ru-RU" w:eastAsia="ru-RU"/>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1">
    <w:name w:val="Grid Table 21"/>
    <w:basedOn w:val="TableNormal"/>
    <w:uiPriority w:val="99"/>
    <w:rsid w:val="00CC0AAE"/>
    <w:pPr>
      <w:spacing w:line="240" w:lineRule="auto"/>
      <w:ind w:firstLine="709"/>
    </w:pPr>
    <w:rPr>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CC0AAE"/>
    <w:pPr>
      <w:spacing w:line="240" w:lineRule="auto"/>
      <w:ind w:firstLine="709"/>
    </w:pPr>
    <w:rPr>
      <w:lang w:val="ru-RU" w:eastAsia="ru-RU"/>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rsid w:val="00CC0AAE"/>
    <w:pPr>
      <w:spacing w:line="240" w:lineRule="auto"/>
      <w:ind w:firstLine="709"/>
    </w:pPr>
    <w:rPr>
      <w:lang w:val="ru-RU" w:eastAsia="ru-RU"/>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rsid w:val="00CC0AAE"/>
    <w:pPr>
      <w:spacing w:line="240" w:lineRule="auto"/>
      <w:ind w:firstLine="709"/>
    </w:pPr>
    <w:rPr>
      <w:lang w:val="ru-RU" w:eastAsia="ru-RU"/>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rsid w:val="00CC0AAE"/>
    <w:pPr>
      <w:spacing w:line="240" w:lineRule="auto"/>
      <w:ind w:firstLine="709"/>
    </w:pPr>
    <w:rPr>
      <w:lang w:val="ru-RU" w:eastAsia="ru-RU"/>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rsid w:val="00CC0AAE"/>
    <w:pPr>
      <w:spacing w:line="240" w:lineRule="auto"/>
      <w:ind w:firstLine="709"/>
    </w:pPr>
    <w:rPr>
      <w:lang w:val="ru-RU" w:eastAsia="ru-RU"/>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rsid w:val="00CC0AAE"/>
    <w:pPr>
      <w:spacing w:line="240" w:lineRule="auto"/>
      <w:ind w:firstLine="709"/>
    </w:pPr>
    <w:rPr>
      <w:lang w:val="ru-RU" w:eastAsia="ru-RU"/>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1">
    <w:name w:val="Grid Table 31"/>
    <w:basedOn w:val="TableNormal"/>
    <w:uiPriority w:val="99"/>
    <w:rsid w:val="00CC0AAE"/>
    <w:pPr>
      <w:spacing w:line="240" w:lineRule="auto"/>
      <w:ind w:firstLine="709"/>
    </w:pPr>
    <w:rPr>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CC0AAE"/>
    <w:pPr>
      <w:spacing w:line="240" w:lineRule="auto"/>
      <w:ind w:firstLine="709"/>
    </w:pPr>
    <w:rPr>
      <w:lang w:val="ru-RU" w:eastAsia="ru-RU"/>
    </w:r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rsid w:val="00CC0AAE"/>
    <w:pPr>
      <w:spacing w:line="240" w:lineRule="auto"/>
      <w:ind w:firstLine="709"/>
    </w:pPr>
    <w:rPr>
      <w:lang w:val="ru-RU" w:eastAsia="ru-RU"/>
    </w:r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rsid w:val="00CC0AAE"/>
    <w:pPr>
      <w:spacing w:line="240" w:lineRule="auto"/>
      <w:ind w:firstLine="709"/>
    </w:pPr>
    <w:rPr>
      <w:lang w:val="ru-RU" w:eastAsia="ru-RU"/>
    </w:r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rsid w:val="00CC0AAE"/>
    <w:pPr>
      <w:spacing w:line="240" w:lineRule="auto"/>
      <w:ind w:firstLine="709"/>
    </w:pPr>
    <w:rPr>
      <w:lang w:val="ru-RU" w:eastAsia="ru-RU"/>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rsid w:val="00CC0AAE"/>
    <w:pPr>
      <w:spacing w:line="240" w:lineRule="auto"/>
      <w:ind w:firstLine="709"/>
    </w:pPr>
    <w:rPr>
      <w:lang w:val="ru-RU" w:eastAsia="ru-RU"/>
    </w:r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rsid w:val="00CC0AAE"/>
    <w:pPr>
      <w:spacing w:line="240" w:lineRule="auto"/>
      <w:ind w:firstLine="709"/>
    </w:pPr>
    <w:rPr>
      <w:lang w:val="ru-RU" w:eastAsia="ru-RU"/>
    </w:r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1">
    <w:name w:val="Grid Table 41"/>
    <w:basedOn w:val="TableNormal"/>
    <w:uiPriority w:val="59"/>
    <w:rsid w:val="00CC0AAE"/>
    <w:pPr>
      <w:spacing w:line="240" w:lineRule="auto"/>
      <w:ind w:firstLine="709"/>
    </w:pPr>
    <w:rPr>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CC0AAE"/>
    <w:pPr>
      <w:spacing w:line="240" w:lineRule="auto"/>
      <w:ind w:firstLine="709"/>
    </w:pPr>
    <w:rPr>
      <w:lang w:val="ru-RU" w:eastAsia="ru-RU"/>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rsid w:val="00CC0AAE"/>
    <w:pPr>
      <w:spacing w:line="240" w:lineRule="auto"/>
      <w:ind w:firstLine="709"/>
    </w:pPr>
    <w:rPr>
      <w:lang w:val="ru-RU" w:eastAsia="ru-RU"/>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rsid w:val="00CC0AAE"/>
    <w:pPr>
      <w:spacing w:line="240" w:lineRule="auto"/>
      <w:ind w:firstLine="709"/>
    </w:pPr>
    <w:rPr>
      <w:lang w:val="ru-RU" w:eastAsia="ru-RU"/>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rsid w:val="00CC0AAE"/>
    <w:pPr>
      <w:spacing w:line="240" w:lineRule="auto"/>
      <w:ind w:firstLine="709"/>
    </w:pPr>
    <w:rPr>
      <w:lang w:val="ru-RU" w:eastAsia="ru-RU"/>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rsid w:val="00CC0AAE"/>
    <w:pPr>
      <w:spacing w:line="240" w:lineRule="auto"/>
      <w:ind w:firstLine="709"/>
    </w:pPr>
    <w:rPr>
      <w:lang w:val="ru-RU" w:eastAsia="ru-RU"/>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rsid w:val="00CC0AAE"/>
    <w:pPr>
      <w:spacing w:line="240" w:lineRule="auto"/>
      <w:ind w:firstLine="709"/>
    </w:pPr>
    <w:rPr>
      <w:lang w:val="ru-RU" w:eastAsia="ru-RU"/>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1">
    <w:name w:val="Grid Table 5 Dark- Accent 1"/>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1">
    <w:name w:val="Grid Table 5 Dark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1">
    <w:name w:val="Grid Table 5 Dark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1">
    <w:name w:val="Grid Table 6 Colorful1"/>
    <w:basedOn w:val="TableNormal"/>
    <w:uiPriority w:val="99"/>
    <w:rsid w:val="00CC0AAE"/>
    <w:pPr>
      <w:spacing w:line="240" w:lineRule="auto"/>
      <w:ind w:firstLine="709"/>
    </w:pPr>
    <w:rPr>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CC0AAE"/>
    <w:pPr>
      <w:spacing w:line="240" w:lineRule="auto"/>
      <w:ind w:firstLine="709"/>
    </w:pPr>
    <w:rPr>
      <w:lang w:val="ru-RU" w:eastAsia="ru-RU"/>
    </w:r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rsid w:val="00CC0AAE"/>
    <w:pPr>
      <w:spacing w:line="240" w:lineRule="auto"/>
      <w:ind w:firstLine="709"/>
    </w:pPr>
    <w:rPr>
      <w:lang w:val="ru-RU" w:eastAsia="ru-RU"/>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1">
    <w:name w:val="Grid Table 7 Colorful1"/>
    <w:basedOn w:val="TableNormal"/>
    <w:uiPriority w:val="99"/>
    <w:rsid w:val="00CC0AAE"/>
    <w:pPr>
      <w:spacing w:line="240" w:lineRule="auto"/>
      <w:ind w:firstLine="709"/>
    </w:pPr>
    <w:rPr>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CC0AAE"/>
    <w:pPr>
      <w:spacing w:line="240" w:lineRule="auto"/>
      <w:ind w:firstLine="709"/>
    </w:pPr>
    <w:rPr>
      <w:lang w:val="ru-RU" w:eastAsia="ru-RU"/>
    </w:r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rsid w:val="00CC0AAE"/>
    <w:pPr>
      <w:spacing w:line="240" w:lineRule="auto"/>
      <w:ind w:firstLine="709"/>
    </w:pPr>
    <w:rPr>
      <w:lang w:val="ru-RU" w:eastAsia="ru-RU"/>
    </w:r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rsid w:val="00CC0AAE"/>
    <w:pPr>
      <w:spacing w:line="240" w:lineRule="auto"/>
      <w:ind w:firstLine="709"/>
    </w:pPr>
    <w:rPr>
      <w:lang w:val="ru-RU" w:eastAsia="ru-RU"/>
    </w:r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rsid w:val="00CC0AAE"/>
    <w:pPr>
      <w:spacing w:line="240" w:lineRule="auto"/>
      <w:ind w:firstLine="709"/>
    </w:pPr>
    <w:rPr>
      <w:lang w:val="ru-RU" w:eastAsia="ru-RU"/>
    </w:r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rsid w:val="00CC0AAE"/>
    <w:pPr>
      <w:spacing w:line="240" w:lineRule="auto"/>
      <w:ind w:firstLine="709"/>
    </w:pPr>
    <w:rPr>
      <w:lang w:val="ru-RU" w:eastAsia="ru-RU"/>
    </w:r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rsid w:val="00CC0AAE"/>
    <w:pPr>
      <w:spacing w:line="240" w:lineRule="auto"/>
      <w:ind w:firstLine="709"/>
    </w:pPr>
    <w:rPr>
      <w:lang w:val="ru-RU" w:eastAsia="ru-RU"/>
    </w:r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1">
    <w:name w:val="List Table 1 Light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rsid w:val="00CC0AAE"/>
    <w:pPr>
      <w:spacing w:line="240" w:lineRule="auto"/>
      <w:ind w:firstLine="709"/>
    </w:pPr>
    <w:rPr>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1">
    <w:name w:val="List Table 21"/>
    <w:basedOn w:val="TableNormal"/>
    <w:uiPriority w:val="99"/>
    <w:rsid w:val="00CC0AAE"/>
    <w:pPr>
      <w:spacing w:line="240" w:lineRule="auto"/>
      <w:ind w:firstLine="709"/>
    </w:pPr>
    <w:rPr>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CC0AAE"/>
    <w:pPr>
      <w:spacing w:line="240" w:lineRule="auto"/>
      <w:ind w:firstLine="709"/>
    </w:pPr>
    <w:rPr>
      <w:lang w:val="ru-RU" w:eastAsia="ru-RU"/>
    </w:r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rsid w:val="00CC0AAE"/>
    <w:pPr>
      <w:spacing w:line="240" w:lineRule="auto"/>
      <w:ind w:firstLine="709"/>
    </w:pPr>
    <w:rPr>
      <w:lang w:val="ru-RU" w:eastAsia="ru-RU"/>
    </w:r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1">
    <w:name w:val="List Table 31"/>
    <w:basedOn w:val="TableNormal"/>
    <w:uiPriority w:val="99"/>
    <w:rsid w:val="00CC0AAE"/>
    <w:pPr>
      <w:spacing w:line="240" w:lineRule="auto"/>
      <w:ind w:firstLine="709"/>
    </w:pPr>
    <w:rPr>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CC0AAE"/>
    <w:pPr>
      <w:spacing w:line="240" w:lineRule="auto"/>
      <w:ind w:firstLine="709"/>
    </w:pPr>
    <w:rPr>
      <w:lang w:val="ru-RU" w:eastAsia="ru-RU"/>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rsid w:val="00CC0AAE"/>
    <w:pPr>
      <w:spacing w:line="240" w:lineRule="auto"/>
      <w:ind w:firstLine="709"/>
    </w:pPr>
    <w:rPr>
      <w:lang w:val="ru-RU" w:eastAsia="ru-RU"/>
    </w:r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1">
    <w:name w:val="List Table 41"/>
    <w:basedOn w:val="TableNormal"/>
    <w:uiPriority w:val="99"/>
    <w:rsid w:val="00CC0AAE"/>
    <w:pPr>
      <w:spacing w:line="240" w:lineRule="auto"/>
      <w:ind w:firstLine="709"/>
    </w:pPr>
    <w:rPr>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CC0AAE"/>
    <w:pPr>
      <w:spacing w:line="240" w:lineRule="auto"/>
      <w:ind w:firstLine="709"/>
    </w:pPr>
    <w:rPr>
      <w:lang w:val="ru-RU" w:eastAsia="ru-RU"/>
    </w:r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rsid w:val="00CC0AAE"/>
    <w:pPr>
      <w:spacing w:line="240" w:lineRule="auto"/>
      <w:ind w:firstLine="709"/>
    </w:pPr>
    <w:rPr>
      <w:lang w:val="ru-RU" w:eastAsia="ru-RU"/>
    </w:r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1">
    <w:name w:val="List Table 5 Dark1"/>
    <w:basedOn w:val="TableNormal"/>
    <w:uiPriority w:val="99"/>
    <w:rsid w:val="00CC0AAE"/>
    <w:pPr>
      <w:spacing w:line="240" w:lineRule="auto"/>
      <w:ind w:firstLine="709"/>
    </w:pPr>
    <w:rPr>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CC0AAE"/>
    <w:pPr>
      <w:spacing w:line="240" w:lineRule="auto"/>
      <w:ind w:firstLine="709"/>
    </w:pPr>
    <w:rPr>
      <w:lang w:val="ru-RU" w:eastAsia="ru-RU"/>
    </w:r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rsid w:val="00CC0AAE"/>
    <w:pPr>
      <w:spacing w:line="240" w:lineRule="auto"/>
      <w:ind w:firstLine="709"/>
    </w:pPr>
    <w:rPr>
      <w:lang w:val="ru-RU" w:eastAsia="ru-RU"/>
    </w:r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rsid w:val="00CC0AAE"/>
    <w:pPr>
      <w:spacing w:line="240" w:lineRule="auto"/>
      <w:ind w:firstLine="709"/>
    </w:pPr>
    <w:rPr>
      <w:lang w:val="ru-RU" w:eastAsia="ru-RU"/>
    </w:r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rsid w:val="00CC0AAE"/>
    <w:pPr>
      <w:spacing w:line="240" w:lineRule="auto"/>
      <w:ind w:firstLine="709"/>
    </w:pPr>
    <w:rPr>
      <w:lang w:val="ru-RU" w:eastAsia="ru-RU"/>
    </w:r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rsid w:val="00CC0AAE"/>
    <w:pPr>
      <w:spacing w:line="240" w:lineRule="auto"/>
      <w:ind w:firstLine="709"/>
    </w:pPr>
    <w:rPr>
      <w:lang w:val="ru-RU" w:eastAsia="ru-RU"/>
    </w:r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rsid w:val="00CC0AAE"/>
    <w:pPr>
      <w:spacing w:line="240" w:lineRule="auto"/>
      <w:ind w:firstLine="709"/>
    </w:pPr>
    <w:rPr>
      <w:lang w:val="ru-RU" w:eastAsia="ru-RU"/>
    </w:r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1">
    <w:name w:val="List Table 6 Colorful1"/>
    <w:basedOn w:val="TableNormal"/>
    <w:uiPriority w:val="99"/>
    <w:rsid w:val="00CC0AAE"/>
    <w:pPr>
      <w:spacing w:line="240" w:lineRule="auto"/>
      <w:ind w:firstLine="709"/>
    </w:pPr>
    <w:rPr>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CC0AAE"/>
    <w:pPr>
      <w:spacing w:line="240" w:lineRule="auto"/>
      <w:ind w:firstLine="709"/>
    </w:pPr>
    <w:rPr>
      <w:lang w:val="ru-RU" w:eastAsia="ru-RU"/>
    </w:r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rsid w:val="00CC0AAE"/>
    <w:pPr>
      <w:spacing w:line="240" w:lineRule="auto"/>
      <w:ind w:firstLine="709"/>
    </w:pPr>
    <w:rPr>
      <w:lang w:val="ru-RU" w:eastAsia="ru-RU"/>
    </w:r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rsid w:val="00CC0AAE"/>
    <w:pPr>
      <w:spacing w:line="240" w:lineRule="auto"/>
      <w:ind w:firstLine="709"/>
    </w:pPr>
    <w:rPr>
      <w:lang w:val="ru-RU" w:eastAsia="ru-RU"/>
    </w:r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rsid w:val="00CC0AAE"/>
    <w:pPr>
      <w:spacing w:line="240" w:lineRule="auto"/>
      <w:ind w:firstLine="709"/>
    </w:pPr>
    <w:rPr>
      <w:lang w:val="ru-RU" w:eastAsia="ru-RU"/>
    </w:r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rsid w:val="00CC0AAE"/>
    <w:pPr>
      <w:spacing w:line="240" w:lineRule="auto"/>
      <w:ind w:firstLine="709"/>
    </w:pPr>
    <w:rPr>
      <w:lang w:val="ru-RU" w:eastAsia="ru-RU"/>
    </w:r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rsid w:val="00CC0AAE"/>
    <w:pPr>
      <w:spacing w:line="240" w:lineRule="auto"/>
      <w:ind w:firstLine="709"/>
    </w:pPr>
    <w:rPr>
      <w:lang w:val="ru-RU" w:eastAsia="ru-RU"/>
    </w:r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1">
    <w:name w:val="List Table 7 Colorful1"/>
    <w:basedOn w:val="TableNormal"/>
    <w:uiPriority w:val="99"/>
    <w:rsid w:val="00CC0AAE"/>
    <w:pPr>
      <w:spacing w:line="240" w:lineRule="auto"/>
      <w:ind w:firstLine="709"/>
    </w:pPr>
    <w:rPr>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CC0AAE"/>
    <w:pPr>
      <w:spacing w:line="240" w:lineRule="auto"/>
      <w:ind w:firstLine="709"/>
    </w:pPr>
    <w:rPr>
      <w:lang w:val="ru-RU" w:eastAsia="ru-RU"/>
    </w:r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rsid w:val="00CC0AAE"/>
    <w:pPr>
      <w:spacing w:line="240" w:lineRule="auto"/>
      <w:ind w:firstLine="709"/>
    </w:pPr>
    <w:rPr>
      <w:lang w:val="ru-RU" w:eastAsia="ru-RU"/>
    </w:r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rsid w:val="00CC0AAE"/>
    <w:pPr>
      <w:spacing w:line="240" w:lineRule="auto"/>
      <w:ind w:firstLine="709"/>
    </w:pPr>
    <w:rPr>
      <w:lang w:val="ru-RU" w:eastAsia="ru-RU"/>
    </w:r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rsid w:val="00CC0AAE"/>
    <w:pPr>
      <w:spacing w:line="240" w:lineRule="auto"/>
      <w:ind w:firstLine="709"/>
    </w:pPr>
    <w:rPr>
      <w:lang w:val="ru-RU" w:eastAsia="ru-RU"/>
    </w:r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rsid w:val="00CC0AAE"/>
    <w:pPr>
      <w:spacing w:line="240" w:lineRule="auto"/>
      <w:ind w:firstLine="709"/>
    </w:pPr>
    <w:rPr>
      <w:lang w:val="ru-RU" w:eastAsia="ru-RU"/>
    </w:r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rsid w:val="00CC0AAE"/>
    <w:pPr>
      <w:spacing w:line="240" w:lineRule="auto"/>
      <w:ind w:firstLine="709"/>
    </w:pPr>
    <w:rPr>
      <w:lang w:val="ru-RU" w:eastAsia="ru-RU"/>
    </w:r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sid w:val="00CC0AAE"/>
    <w:pPr>
      <w:spacing w:line="240" w:lineRule="auto"/>
      <w:ind w:firstLine="709"/>
    </w:pPr>
    <w:rPr>
      <w:color w:val="404040"/>
      <w:lang w:val="ro-RO" w:eastAsia="ro-RO"/>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sid w:val="00CC0AAE"/>
    <w:pPr>
      <w:spacing w:line="240" w:lineRule="auto"/>
      <w:ind w:firstLine="709"/>
    </w:pPr>
    <w:rPr>
      <w:color w:val="404040"/>
      <w:lang w:val="ro-RO" w:eastAsia="ro-RO"/>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rsid w:val="00CC0AAE"/>
    <w:pPr>
      <w:spacing w:line="240" w:lineRule="auto"/>
      <w:ind w:firstLine="709"/>
    </w:pPr>
    <w:rPr>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CC0AAE"/>
    <w:pPr>
      <w:spacing w:line="240" w:lineRule="auto"/>
      <w:ind w:firstLine="709"/>
    </w:pPr>
    <w:rPr>
      <w:lang w:val="ru-RU" w:eastAsia="ru-RU"/>
    </w:r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rsid w:val="00CC0AAE"/>
    <w:pPr>
      <w:spacing w:line="240" w:lineRule="auto"/>
      <w:ind w:firstLine="709"/>
    </w:pPr>
    <w:rPr>
      <w:lang w:val="ru-RU" w:eastAsia="ru-RU"/>
    </w:r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rsid w:val="00CC0AAE"/>
    <w:pPr>
      <w:spacing w:line="240" w:lineRule="auto"/>
      <w:ind w:firstLine="709"/>
    </w:pPr>
    <w:rPr>
      <w:lang w:val="ru-RU" w:eastAsia="ru-RU"/>
    </w:r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rsid w:val="00CC0AAE"/>
    <w:pPr>
      <w:spacing w:line="240" w:lineRule="auto"/>
      <w:ind w:firstLine="709"/>
    </w:pPr>
    <w:rPr>
      <w:lang w:val="ru-RU" w:eastAsia="ru-RU"/>
    </w:r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rsid w:val="00CC0AAE"/>
    <w:pPr>
      <w:spacing w:line="240" w:lineRule="auto"/>
      <w:ind w:firstLine="709"/>
    </w:pPr>
    <w:rPr>
      <w:lang w:val="ru-RU" w:eastAsia="ru-RU"/>
    </w:r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rsid w:val="00CC0AAE"/>
    <w:pPr>
      <w:spacing w:line="240" w:lineRule="auto"/>
      <w:ind w:firstLine="709"/>
    </w:pPr>
    <w:rPr>
      <w:lang w:val="ru-RU" w:eastAsia="ru-RU"/>
    </w:r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TOC1">
    <w:name w:val="toc 1"/>
    <w:basedOn w:val="Normal"/>
    <w:next w:val="Normal"/>
    <w:uiPriority w:val="39"/>
    <w:unhideWhenUsed/>
    <w:rsid w:val="00CC0AAE"/>
    <w:pPr>
      <w:spacing w:after="57" w:line="240" w:lineRule="auto"/>
      <w:ind w:firstLine="0"/>
    </w:pPr>
    <w:rPr>
      <w:rFonts w:eastAsia="Times New Roman"/>
      <w:sz w:val="20"/>
      <w:szCs w:val="20"/>
    </w:rPr>
  </w:style>
  <w:style w:type="paragraph" w:styleId="TOC2">
    <w:name w:val="toc 2"/>
    <w:basedOn w:val="Normal"/>
    <w:next w:val="Normal"/>
    <w:uiPriority w:val="39"/>
    <w:unhideWhenUsed/>
    <w:rsid w:val="00CC0AAE"/>
    <w:pPr>
      <w:spacing w:after="57" w:line="240" w:lineRule="auto"/>
      <w:ind w:left="283" w:firstLine="0"/>
    </w:pPr>
    <w:rPr>
      <w:rFonts w:eastAsia="Times New Roman"/>
      <w:sz w:val="20"/>
      <w:szCs w:val="20"/>
    </w:rPr>
  </w:style>
  <w:style w:type="paragraph" w:styleId="TOC3">
    <w:name w:val="toc 3"/>
    <w:basedOn w:val="Normal"/>
    <w:next w:val="Normal"/>
    <w:uiPriority w:val="39"/>
    <w:unhideWhenUsed/>
    <w:rsid w:val="00CC0AAE"/>
    <w:pPr>
      <w:spacing w:after="57" w:line="240" w:lineRule="auto"/>
      <w:ind w:left="567" w:firstLine="0"/>
    </w:pPr>
    <w:rPr>
      <w:rFonts w:eastAsia="Times New Roman"/>
      <w:sz w:val="20"/>
      <w:szCs w:val="20"/>
    </w:rPr>
  </w:style>
  <w:style w:type="paragraph" w:styleId="TOC4">
    <w:name w:val="toc 4"/>
    <w:basedOn w:val="Normal"/>
    <w:next w:val="Normal"/>
    <w:uiPriority w:val="39"/>
    <w:unhideWhenUsed/>
    <w:rsid w:val="00CC0AAE"/>
    <w:pPr>
      <w:spacing w:after="57" w:line="240" w:lineRule="auto"/>
      <w:ind w:left="850" w:firstLine="0"/>
    </w:pPr>
    <w:rPr>
      <w:rFonts w:eastAsia="Times New Roman"/>
      <w:sz w:val="20"/>
      <w:szCs w:val="20"/>
    </w:rPr>
  </w:style>
  <w:style w:type="paragraph" w:styleId="TOC5">
    <w:name w:val="toc 5"/>
    <w:basedOn w:val="Normal"/>
    <w:next w:val="Normal"/>
    <w:uiPriority w:val="39"/>
    <w:unhideWhenUsed/>
    <w:rsid w:val="00CC0AAE"/>
    <w:pPr>
      <w:spacing w:after="57" w:line="240" w:lineRule="auto"/>
      <w:ind w:left="1134" w:firstLine="0"/>
    </w:pPr>
    <w:rPr>
      <w:rFonts w:eastAsia="Times New Roman"/>
      <w:sz w:val="20"/>
      <w:szCs w:val="20"/>
    </w:rPr>
  </w:style>
  <w:style w:type="paragraph" w:styleId="TOC6">
    <w:name w:val="toc 6"/>
    <w:basedOn w:val="Normal"/>
    <w:next w:val="Normal"/>
    <w:uiPriority w:val="39"/>
    <w:unhideWhenUsed/>
    <w:rsid w:val="00CC0AAE"/>
    <w:pPr>
      <w:spacing w:after="57" w:line="240" w:lineRule="auto"/>
      <w:ind w:left="1417" w:firstLine="0"/>
    </w:pPr>
    <w:rPr>
      <w:rFonts w:eastAsia="Times New Roman"/>
      <w:sz w:val="20"/>
      <w:szCs w:val="20"/>
    </w:rPr>
  </w:style>
  <w:style w:type="paragraph" w:styleId="TOC7">
    <w:name w:val="toc 7"/>
    <w:basedOn w:val="Normal"/>
    <w:next w:val="Normal"/>
    <w:uiPriority w:val="39"/>
    <w:unhideWhenUsed/>
    <w:rsid w:val="00CC0AAE"/>
    <w:pPr>
      <w:spacing w:after="57" w:line="240" w:lineRule="auto"/>
      <w:ind w:left="1701" w:firstLine="0"/>
    </w:pPr>
    <w:rPr>
      <w:rFonts w:eastAsia="Times New Roman"/>
      <w:sz w:val="20"/>
      <w:szCs w:val="20"/>
    </w:rPr>
  </w:style>
  <w:style w:type="paragraph" w:styleId="TOC8">
    <w:name w:val="toc 8"/>
    <w:basedOn w:val="Normal"/>
    <w:next w:val="Normal"/>
    <w:uiPriority w:val="39"/>
    <w:unhideWhenUsed/>
    <w:rsid w:val="00CC0AAE"/>
    <w:pPr>
      <w:spacing w:after="57" w:line="240" w:lineRule="auto"/>
      <w:ind w:left="1984" w:firstLine="0"/>
    </w:pPr>
    <w:rPr>
      <w:rFonts w:eastAsia="Times New Roman"/>
      <w:sz w:val="20"/>
      <w:szCs w:val="20"/>
    </w:rPr>
  </w:style>
  <w:style w:type="paragraph" w:styleId="TOC9">
    <w:name w:val="toc 9"/>
    <w:basedOn w:val="Normal"/>
    <w:next w:val="Normal"/>
    <w:uiPriority w:val="39"/>
    <w:unhideWhenUsed/>
    <w:rsid w:val="00CC0AAE"/>
    <w:pPr>
      <w:spacing w:after="57" w:line="240" w:lineRule="auto"/>
      <w:ind w:left="2268" w:firstLine="0"/>
    </w:pPr>
    <w:rPr>
      <w:rFonts w:eastAsia="Times New Roman"/>
      <w:sz w:val="20"/>
      <w:szCs w:val="20"/>
    </w:rPr>
  </w:style>
  <w:style w:type="paragraph" w:styleId="TOCHeading">
    <w:name w:val="TOC Heading"/>
    <w:uiPriority w:val="39"/>
    <w:unhideWhenUsed/>
    <w:rsid w:val="00CC0AAE"/>
    <w:pPr>
      <w:spacing w:line="240" w:lineRule="auto"/>
      <w:ind w:firstLine="709"/>
    </w:pPr>
    <w:rPr>
      <w:lang w:val="ru-RU" w:eastAsia="ru-RU"/>
    </w:rPr>
  </w:style>
  <w:style w:type="paragraph" w:styleId="TableofFigures">
    <w:name w:val="table of figures"/>
    <w:basedOn w:val="Normal"/>
    <w:next w:val="Normal"/>
    <w:uiPriority w:val="99"/>
    <w:unhideWhenUsed/>
    <w:rsid w:val="00CC0AAE"/>
    <w:pPr>
      <w:spacing w:line="240" w:lineRule="auto"/>
      <w:ind w:firstLine="709"/>
    </w:pPr>
    <w:rPr>
      <w:rFonts w:eastAsia="Times New Roman"/>
      <w:sz w:val="20"/>
      <w:szCs w:val="20"/>
    </w:rPr>
  </w:style>
  <w:style w:type="paragraph" w:customStyle="1" w:styleId="CharChar">
    <w:name w:val="Знак Знак Char Char Знак"/>
    <w:basedOn w:val="Normal"/>
    <w:rsid w:val="00CC0AAE"/>
    <w:pPr>
      <w:spacing w:after="160" w:line="240" w:lineRule="exact"/>
      <w:ind w:firstLine="0"/>
      <w:jc w:val="left"/>
    </w:pPr>
    <w:rPr>
      <w:rFonts w:ascii="Arial" w:eastAsia="Batang" w:hAnsi="Arial" w:cs="Arial"/>
      <w:sz w:val="20"/>
      <w:szCs w:val="20"/>
    </w:rPr>
  </w:style>
  <w:style w:type="paragraph" w:customStyle="1" w:styleId="news">
    <w:name w:val="news"/>
    <w:basedOn w:val="Normal"/>
    <w:rsid w:val="00CC0AAE"/>
    <w:pPr>
      <w:spacing w:line="240" w:lineRule="auto"/>
      <w:ind w:firstLine="0"/>
      <w:jc w:val="left"/>
    </w:pPr>
    <w:rPr>
      <w:rFonts w:ascii="Arial" w:eastAsia="Times New Roman" w:hAnsi="Arial" w:cs="Arial"/>
      <w:sz w:val="20"/>
      <w:szCs w:val="20"/>
      <w:lang w:val="ru-RU" w:eastAsia="ru-RU"/>
    </w:rPr>
  </w:style>
  <w:style w:type="table" w:customStyle="1" w:styleId="GrilTabel1">
    <w:name w:val="Grilă Tabel1"/>
    <w:basedOn w:val="TableNormal"/>
    <w:next w:val="TableGrid"/>
    <w:uiPriority w:val="59"/>
    <w:rsid w:val="00CC0AAE"/>
    <w:pPr>
      <w:spacing w:line="240" w:lineRule="auto"/>
      <w:ind w:firstLine="709"/>
    </w:pPr>
    <w:rPr>
      <w:rFonts w:ascii="Calibri" w:eastAsia="Calibri" w:hAnsi="Calibri"/>
      <w:sz w:val="22"/>
      <w:szCs w:val="22"/>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CC0AAE"/>
  </w:style>
  <w:style w:type="character" w:styleId="PageNumber">
    <w:name w:val="page number"/>
    <w:basedOn w:val="DefaultParagraphFont"/>
    <w:rsid w:val="00CC0AAE"/>
  </w:style>
  <w:style w:type="paragraph" w:customStyle="1" w:styleId="CharChar0">
    <w:name w:val="Char Char Знак Знак"/>
    <w:basedOn w:val="Normal"/>
    <w:rsid w:val="00CC0AAE"/>
    <w:pPr>
      <w:spacing w:after="160" w:line="240" w:lineRule="exact"/>
      <w:ind w:firstLine="0"/>
      <w:jc w:val="left"/>
    </w:pPr>
    <w:rPr>
      <w:rFonts w:ascii="Arial" w:eastAsia="Batang" w:hAnsi="Arial" w:cs="Arial"/>
      <w:sz w:val="20"/>
      <w:szCs w:val="20"/>
    </w:rPr>
  </w:style>
  <w:style w:type="character" w:customStyle="1" w:styleId="docheader1">
    <w:name w:val="doc_header1"/>
    <w:rsid w:val="00CC0AAE"/>
    <w:rPr>
      <w:rFonts w:ascii="Times New Roman" w:hAnsi="Times New Roman" w:cs="Times New Roman" w:hint="default"/>
      <w:b/>
      <w:bCs/>
      <w:color w:val="000000"/>
      <w:sz w:val="24"/>
      <w:szCs w:val="24"/>
    </w:rPr>
  </w:style>
  <w:style w:type="character" w:styleId="Strong">
    <w:name w:val="Strong"/>
    <w:uiPriority w:val="22"/>
    <w:qFormat/>
    <w:rsid w:val="00CC0AAE"/>
    <w:rPr>
      <w:b/>
      <w:bCs/>
    </w:rPr>
  </w:style>
  <w:style w:type="character" w:customStyle="1" w:styleId="docsign11">
    <w:name w:val="doc_sign11"/>
    <w:rsid w:val="00CC0AAE"/>
    <w:rPr>
      <w:rFonts w:ascii="Times New Roman" w:hAnsi="Times New Roman" w:cs="Times New Roman" w:hint="default"/>
      <w:b/>
      <w:bCs/>
      <w:color w:val="000000"/>
      <w:sz w:val="22"/>
      <w:szCs w:val="22"/>
    </w:rPr>
  </w:style>
  <w:style w:type="character" w:customStyle="1" w:styleId="sttart">
    <w:name w:val="st_tart"/>
    <w:basedOn w:val="DefaultParagraphFont"/>
    <w:rsid w:val="00CC0AAE"/>
  </w:style>
  <w:style w:type="character" w:customStyle="1" w:styleId="tal1">
    <w:name w:val="tal1"/>
    <w:rsid w:val="00CC0AAE"/>
  </w:style>
  <w:style w:type="table" w:customStyle="1" w:styleId="GrilTabel2">
    <w:name w:val="Grilă Tabel2"/>
    <w:basedOn w:val="TableNormal"/>
    <w:next w:val="TableGrid"/>
    <w:rsid w:val="00CC0AAE"/>
    <w:pPr>
      <w:spacing w:line="240" w:lineRule="auto"/>
      <w:ind w:firstLine="709"/>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CC0AAE"/>
    <w:pPr>
      <w:spacing w:before="100" w:beforeAutospacing="1" w:after="100" w:afterAutospacing="1" w:line="240" w:lineRule="auto"/>
      <w:ind w:firstLine="200"/>
    </w:pPr>
    <w:rPr>
      <w:rFonts w:ascii="Verdana" w:eastAsia="Times New Roman" w:hAnsi="Verdana"/>
      <w:color w:val="033778"/>
      <w:sz w:val="21"/>
      <w:szCs w:val="21"/>
      <w:lang w:eastAsia="zh-CN"/>
    </w:rPr>
  </w:style>
  <w:style w:type="character" w:customStyle="1" w:styleId="def">
    <w:name w:val="def"/>
    <w:rsid w:val="00CC0AAE"/>
  </w:style>
  <w:style w:type="paragraph" w:customStyle="1" w:styleId="cnam1">
    <w:name w:val="cnam1"/>
    <w:basedOn w:val="Normal"/>
    <w:rsid w:val="00CC0AAE"/>
    <w:pPr>
      <w:spacing w:before="100" w:beforeAutospacing="1" w:after="100" w:afterAutospacing="1" w:line="240" w:lineRule="auto"/>
      <w:ind w:firstLine="0"/>
      <w:jc w:val="left"/>
    </w:pPr>
    <w:rPr>
      <w:rFonts w:eastAsia="Times New Roman"/>
      <w:color w:val="2D2D2D"/>
      <w:sz w:val="29"/>
      <w:szCs w:val="29"/>
      <w:lang w:eastAsia="zh-CN"/>
    </w:rPr>
  </w:style>
  <w:style w:type="character" w:customStyle="1" w:styleId="apple-converted-space">
    <w:name w:val="apple-converted-space"/>
    <w:rsid w:val="00CC0AAE"/>
  </w:style>
  <w:style w:type="character" w:customStyle="1" w:styleId="docheader">
    <w:name w:val="doc_header"/>
    <w:rsid w:val="00CC0AAE"/>
  </w:style>
  <w:style w:type="paragraph" w:customStyle="1" w:styleId="Style2">
    <w:name w:val="Style2"/>
    <w:basedOn w:val="Normal"/>
    <w:uiPriority w:val="99"/>
    <w:rsid w:val="00CC0AAE"/>
    <w:pPr>
      <w:widowControl w:val="0"/>
      <w:spacing w:line="373" w:lineRule="exact"/>
      <w:ind w:firstLine="696"/>
    </w:pPr>
    <w:rPr>
      <w:sz w:val="24"/>
      <w:lang w:val="ru-RU" w:eastAsia="ru-RU"/>
    </w:rPr>
  </w:style>
  <w:style w:type="paragraph" w:customStyle="1" w:styleId="Style8">
    <w:name w:val="Style8"/>
    <w:basedOn w:val="Normal"/>
    <w:uiPriority w:val="99"/>
    <w:rsid w:val="00CC0AAE"/>
    <w:pPr>
      <w:widowControl w:val="0"/>
      <w:spacing w:line="317" w:lineRule="exact"/>
      <w:ind w:firstLine="0"/>
      <w:jc w:val="left"/>
    </w:pPr>
    <w:rPr>
      <w:sz w:val="24"/>
      <w:lang w:val="ru-RU" w:eastAsia="ru-RU"/>
    </w:rPr>
  </w:style>
  <w:style w:type="paragraph" w:customStyle="1" w:styleId="Style9">
    <w:name w:val="Style9"/>
    <w:basedOn w:val="Normal"/>
    <w:uiPriority w:val="99"/>
    <w:rsid w:val="00CC0AAE"/>
    <w:pPr>
      <w:widowControl w:val="0"/>
      <w:spacing w:line="326" w:lineRule="exact"/>
      <w:ind w:firstLine="398"/>
      <w:jc w:val="left"/>
    </w:pPr>
    <w:rPr>
      <w:sz w:val="24"/>
      <w:lang w:val="ru-RU" w:eastAsia="ru-RU"/>
    </w:rPr>
  </w:style>
  <w:style w:type="character" w:customStyle="1" w:styleId="FontStyle12">
    <w:name w:val="Font Style12"/>
    <w:basedOn w:val="DefaultParagraphFont"/>
    <w:uiPriority w:val="99"/>
    <w:rsid w:val="00CC0AAE"/>
    <w:rPr>
      <w:rFonts w:ascii="Times New Roman" w:hAnsi="Times New Roman" w:cs="Times New Roman"/>
      <w:sz w:val="24"/>
      <w:szCs w:val="24"/>
    </w:rPr>
  </w:style>
  <w:style w:type="character" w:customStyle="1" w:styleId="object">
    <w:name w:val="object"/>
    <w:basedOn w:val="DefaultParagraphFont"/>
    <w:rsid w:val="00CC0AAE"/>
  </w:style>
  <w:style w:type="paragraph" w:styleId="HTMLPreformatted">
    <w:name w:val="HTML Preformatted"/>
    <w:basedOn w:val="Normal"/>
    <w:link w:val="HTMLPreformattedChar"/>
    <w:uiPriority w:val="99"/>
    <w:unhideWhenUsed/>
    <w:rsid w:val="00CC0AAE"/>
    <w:pPr>
      <w:spacing w:line="240" w:lineRule="auto"/>
      <w:ind w:firstLine="0"/>
      <w:jc w:val="left"/>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rsid w:val="00CC0AAE"/>
    <w:rPr>
      <w:rFonts w:ascii="Consolas" w:hAnsi="Consolas"/>
      <w:lang w:val="ro-RO"/>
    </w:rPr>
  </w:style>
  <w:style w:type="paragraph" w:customStyle="1" w:styleId="TableParagraph">
    <w:name w:val="Table Paragraph"/>
    <w:basedOn w:val="Normal"/>
    <w:uiPriority w:val="1"/>
    <w:qFormat/>
    <w:rsid w:val="00CC0AAE"/>
  </w:style>
  <w:style w:type="character" w:customStyle="1" w:styleId="oj-sub">
    <w:name w:val="oj-sub"/>
    <w:basedOn w:val="DefaultParagraphFont"/>
    <w:rsid w:val="00CC0AAE"/>
  </w:style>
  <w:style w:type="paragraph" w:customStyle="1" w:styleId="oj-center">
    <w:name w:val="oj-center"/>
    <w:basedOn w:val="Normal"/>
    <w:rsid w:val="00CC0AAE"/>
    <w:pPr>
      <w:spacing w:before="100" w:beforeAutospacing="1" w:after="100" w:afterAutospacing="1" w:line="240" w:lineRule="auto"/>
      <w:ind w:firstLine="0"/>
      <w:jc w:val="left"/>
    </w:pPr>
    <w:rPr>
      <w:rFonts w:eastAsia="Times New Roman"/>
      <w:sz w:val="24"/>
      <w:lang w:eastAsia="ro-RO"/>
    </w:rPr>
  </w:style>
  <w:style w:type="character" w:customStyle="1" w:styleId="oj-italic">
    <w:name w:val="oj-italic"/>
    <w:basedOn w:val="DefaultParagraphFont"/>
    <w:rsid w:val="00CC0AAE"/>
  </w:style>
  <w:style w:type="paragraph" w:customStyle="1" w:styleId="oj-ti-grseq-1">
    <w:name w:val="oj-ti-grseq-1"/>
    <w:basedOn w:val="Normal"/>
    <w:rsid w:val="00CC0AAE"/>
    <w:pPr>
      <w:spacing w:before="100" w:beforeAutospacing="1" w:after="100" w:afterAutospacing="1" w:line="240" w:lineRule="auto"/>
      <w:ind w:firstLine="0"/>
      <w:jc w:val="left"/>
    </w:pPr>
    <w:rPr>
      <w:rFonts w:eastAsia="Times New Roman"/>
      <w:sz w:val="24"/>
      <w:lang w:eastAsia="ro-RO"/>
    </w:rPr>
  </w:style>
  <w:style w:type="paragraph" w:customStyle="1" w:styleId="oj-ti-tbl">
    <w:name w:val="oj-ti-tbl"/>
    <w:basedOn w:val="Normal"/>
    <w:rsid w:val="00CC0AAE"/>
    <w:pPr>
      <w:spacing w:before="100" w:beforeAutospacing="1" w:after="100" w:afterAutospacing="1" w:line="240" w:lineRule="auto"/>
      <w:ind w:firstLine="0"/>
      <w:jc w:val="left"/>
    </w:pPr>
    <w:rPr>
      <w:rFonts w:eastAsia="Times New Roman"/>
      <w:sz w:val="24"/>
      <w:lang w:eastAsia="ro-RO"/>
    </w:rPr>
  </w:style>
  <w:style w:type="paragraph" w:customStyle="1" w:styleId="oj-tbl-hdr">
    <w:name w:val="oj-tbl-hdr"/>
    <w:basedOn w:val="Normal"/>
    <w:rsid w:val="00CC0AAE"/>
    <w:pPr>
      <w:spacing w:before="100" w:beforeAutospacing="1" w:after="100" w:afterAutospacing="1" w:line="240" w:lineRule="auto"/>
      <w:ind w:firstLine="0"/>
      <w:jc w:val="left"/>
    </w:pPr>
    <w:rPr>
      <w:rFonts w:eastAsia="Times New Roman"/>
      <w:sz w:val="24"/>
      <w:lang w:eastAsia="ro-RO"/>
    </w:rPr>
  </w:style>
  <w:style w:type="paragraph" w:customStyle="1" w:styleId="oj-tbl-txt">
    <w:name w:val="oj-tbl-txt"/>
    <w:basedOn w:val="Normal"/>
    <w:rsid w:val="00CC0AAE"/>
    <w:pPr>
      <w:spacing w:before="100" w:beforeAutospacing="1" w:after="100" w:afterAutospacing="1" w:line="240" w:lineRule="auto"/>
      <w:ind w:firstLine="0"/>
      <w:jc w:val="left"/>
    </w:pPr>
    <w:rPr>
      <w:rFonts w:eastAsia="Times New Roman"/>
      <w:sz w:val="24"/>
      <w:lang w:eastAsia="ro-RO"/>
    </w:rPr>
  </w:style>
  <w:style w:type="paragraph" w:customStyle="1" w:styleId="oj-tbl-num">
    <w:name w:val="oj-tbl-num"/>
    <w:basedOn w:val="Normal"/>
    <w:rsid w:val="00CC0AAE"/>
    <w:pPr>
      <w:spacing w:before="100" w:beforeAutospacing="1" w:after="100" w:afterAutospacing="1" w:line="240" w:lineRule="auto"/>
      <w:ind w:firstLine="0"/>
      <w:jc w:val="left"/>
    </w:pPr>
    <w:rPr>
      <w:rFonts w:eastAsia="Times New Roman"/>
      <w:sz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11386">
      <w:bodyDiv w:val="1"/>
      <w:marLeft w:val="0"/>
      <w:marRight w:val="0"/>
      <w:marTop w:val="0"/>
      <w:marBottom w:val="0"/>
      <w:divBdr>
        <w:top w:val="none" w:sz="0" w:space="0" w:color="auto"/>
        <w:left w:val="none" w:sz="0" w:space="0" w:color="auto"/>
        <w:bottom w:val="none" w:sz="0" w:space="0" w:color="auto"/>
        <w:right w:val="none" w:sz="0" w:space="0" w:color="auto"/>
      </w:divBdr>
    </w:div>
    <w:div w:id="152260056">
      <w:bodyDiv w:val="1"/>
      <w:marLeft w:val="0"/>
      <w:marRight w:val="0"/>
      <w:marTop w:val="0"/>
      <w:marBottom w:val="0"/>
      <w:divBdr>
        <w:top w:val="none" w:sz="0" w:space="0" w:color="auto"/>
        <w:left w:val="none" w:sz="0" w:space="0" w:color="auto"/>
        <w:bottom w:val="none" w:sz="0" w:space="0" w:color="auto"/>
        <w:right w:val="none" w:sz="0" w:space="0" w:color="auto"/>
      </w:divBdr>
    </w:div>
    <w:div w:id="158497890">
      <w:bodyDiv w:val="1"/>
      <w:marLeft w:val="0"/>
      <w:marRight w:val="0"/>
      <w:marTop w:val="0"/>
      <w:marBottom w:val="0"/>
      <w:divBdr>
        <w:top w:val="none" w:sz="0" w:space="0" w:color="auto"/>
        <w:left w:val="none" w:sz="0" w:space="0" w:color="auto"/>
        <w:bottom w:val="none" w:sz="0" w:space="0" w:color="auto"/>
        <w:right w:val="none" w:sz="0" w:space="0" w:color="auto"/>
      </w:divBdr>
    </w:div>
    <w:div w:id="354499679">
      <w:bodyDiv w:val="1"/>
      <w:marLeft w:val="0"/>
      <w:marRight w:val="0"/>
      <w:marTop w:val="0"/>
      <w:marBottom w:val="0"/>
      <w:divBdr>
        <w:top w:val="none" w:sz="0" w:space="0" w:color="auto"/>
        <w:left w:val="none" w:sz="0" w:space="0" w:color="auto"/>
        <w:bottom w:val="none" w:sz="0" w:space="0" w:color="auto"/>
        <w:right w:val="none" w:sz="0" w:space="0" w:color="auto"/>
      </w:divBdr>
    </w:div>
    <w:div w:id="678777052">
      <w:bodyDiv w:val="1"/>
      <w:marLeft w:val="0"/>
      <w:marRight w:val="0"/>
      <w:marTop w:val="0"/>
      <w:marBottom w:val="0"/>
      <w:divBdr>
        <w:top w:val="none" w:sz="0" w:space="0" w:color="auto"/>
        <w:left w:val="none" w:sz="0" w:space="0" w:color="auto"/>
        <w:bottom w:val="none" w:sz="0" w:space="0" w:color="auto"/>
        <w:right w:val="none" w:sz="0" w:space="0" w:color="auto"/>
      </w:divBdr>
    </w:div>
    <w:div w:id="909535235">
      <w:bodyDiv w:val="1"/>
      <w:marLeft w:val="0"/>
      <w:marRight w:val="0"/>
      <w:marTop w:val="0"/>
      <w:marBottom w:val="0"/>
      <w:divBdr>
        <w:top w:val="none" w:sz="0" w:space="0" w:color="auto"/>
        <w:left w:val="none" w:sz="0" w:space="0" w:color="auto"/>
        <w:bottom w:val="none" w:sz="0" w:space="0" w:color="auto"/>
        <w:right w:val="none" w:sz="0" w:space="0" w:color="auto"/>
      </w:divBdr>
    </w:div>
    <w:div w:id="972097691">
      <w:bodyDiv w:val="1"/>
      <w:marLeft w:val="0"/>
      <w:marRight w:val="0"/>
      <w:marTop w:val="0"/>
      <w:marBottom w:val="0"/>
      <w:divBdr>
        <w:top w:val="none" w:sz="0" w:space="0" w:color="auto"/>
        <w:left w:val="none" w:sz="0" w:space="0" w:color="auto"/>
        <w:bottom w:val="none" w:sz="0" w:space="0" w:color="auto"/>
        <w:right w:val="none" w:sz="0" w:space="0" w:color="auto"/>
      </w:divBdr>
    </w:div>
    <w:div w:id="1201481549">
      <w:bodyDiv w:val="1"/>
      <w:marLeft w:val="0"/>
      <w:marRight w:val="0"/>
      <w:marTop w:val="0"/>
      <w:marBottom w:val="0"/>
      <w:divBdr>
        <w:top w:val="none" w:sz="0" w:space="0" w:color="auto"/>
        <w:left w:val="none" w:sz="0" w:space="0" w:color="auto"/>
        <w:bottom w:val="none" w:sz="0" w:space="0" w:color="auto"/>
        <w:right w:val="none" w:sz="0" w:space="0" w:color="auto"/>
      </w:divBdr>
    </w:div>
    <w:div w:id="1245606605">
      <w:bodyDiv w:val="1"/>
      <w:marLeft w:val="0"/>
      <w:marRight w:val="0"/>
      <w:marTop w:val="0"/>
      <w:marBottom w:val="0"/>
      <w:divBdr>
        <w:top w:val="none" w:sz="0" w:space="0" w:color="auto"/>
        <w:left w:val="none" w:sz="0" w:space="0" w:color="auto"/>
        <w:bottom w:val="none" w:sz="0" w:space="0" w:color="auto"/>
        <w:right w:val="none" w:sz="0" w:space="0" w:color="auto"/>
      </w:divBdr>
    </w:div>
    <w:div w:id="1382746919">
      <w:bodyDiv w:val="1"/>
      <w:marLeft w:val="0"/>
      <w:marRight w:val="0"/>
      <w:marTop w:val="0"/>
      <w:marBottom w:val="0"/>
      <w:divBdr>
        <w:top w:val="none" w:sz="0" w:space="0" w:color="auto"/>
        <w:left w:val="none" w:sz="0" w:space="0" w:color="auto"/>
        <w:bottom w:val="none" w:sz="0" w:space="0" w:color="auto"/>
        <w:right w:val="none" w:sz="0" w:space="0" w:color="auto"/>
      </w:divBdr>
    </w:div>
    <w:div w:id="1619486710">
      <w:bodyDiv w:val="1"/>
      <w:marLeft w:val="0"/>
      <w:marRight w:val="0"/>
      <w:marTop w:val="0"/>
      <w:marBottom w:val="0"/>
      <w:divBdr>
        <w:top w:val="none" w:sz="0" w:space="0" w:color="auto"/>
        <w:left w:val="none" w:sz="0" w:space="0" w:color="auto"/>
        <w:bottom w:val="none" w:sz="0" w:space="0" w:color="auto"/>
        <w:right w:val="none" w:sz="0" w:space="0" w:color="auto"/>
      </w:divBdr>
    </w:div>
    <w:div w:id="1745763498">
      <w:bodyDiv w:val="1"/>
      <w:marLeft w:val="0"/>
      <w:marRight w:val="0"/>
      <w:marTop w:val="0"/>
      <w:marBottom w:val="0"/>
      <w:divBdr>
        <w:top w:val="none" w:sz="0" w:space="0" w:color="auto"/>
        <w:left w:val="none" w:sz="0" w:space="0" w:color="auto"/>
        <w:bottom w:val="none" w:sz="0" w:space="0" w:color="auto"/>
        <w:right w:val="none" w:sz="0" w:space="0" w:color="auto"/>
      </w:divBdr>
    </w:div>
    <w:div w:id="1884905605">
      <w:bodyDiv w:val="1"/>
      <w:marLeft w:val="0"/>
      <w:marRight w:val="0"/>
      <w:marTop w:val="0"/>
      <w:marBottom w:val="0"/>
      <w:divBdr>
        <w:top w:val="none" w:sz="0" w:space="0" w:color="auto"/>
        <w:left w:val="none" w:sz="0" w:space="0" w:color="auto"/>
        <w:bottom w:val="none" w:sz="0" w:space="0" w:color="auto"/>
        <w:right w:val="none" w:sz="0" w:space="0" w:color="auto"/>
      </w:divBdr>
    </w:div>
    <w:div w:id="1959139308">
      <w:marLeft w:val="0"/>
      <w:marRight w:val="0"/>
      <w:marTop w:val="0"/>
      <w:marBottom w:val="0"/>
      <w:divBdr>
        <w:top w:val="none" w:sz="0" w:space="0" w:color="auto"/>
        <w:left w:val="none" w:sz="0" w:space="0" w:color="auto"/>
        <w:bottom w:val="none" w:sz="0" w:space="0" w:color="auto"/>
        <w:right w:val="none" w:sz="0" w:space="0" w:color="auto"/>
      </w:divBdr>
    </w:div>
    <w:div w:id="2034652599">
      <w:bodyDiv w:val="1"/>
      <w:marLeft w:val="0"/>
      <w:marRight w:val="0"/>
      <w:marTop w:val="0"/>
      <w:marBottom w:val="0"/>
      <w:divBdr>
        <w:top w:val="none" w:sz="0" w:space="0" w:color="auto"/>
        <w:left w:val="none" w:sz="0" w:space="0" w:color="auto"/>
        <w:bottom w:val="none" w:sz="0" w:space="0" w:color="auto"/>
        <w:right w:val="none" w:sz="0" w:space="0" w:color="auto"/>
      </w:divBdr>
    </w:div>
    <w:div w:id="2095123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hyperlink" Target="lex:LPLP2016022610"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op.europa.eu/ro/publication-detail/-/publication/7d6dd4ba-720a-11e9-9f05-01aa75ed71a1"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ur-lex.europa.eu/legal-content/RO/TXT/HTML/?uri=CELEX:02022R0996-20231230" TargetMode="External"/><Relationship Id="rId27" Type="http://schemas.openxmlformats.org/officeDocument/2006/relationships/hyperlink" Target="https://eur-lex.europa.eu/legal-content/RO/TXT/?uri=CELEX:02018L2001-20240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F1109-17C2-4846-A8A0-2C98844C5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166</Pages>
  <Words>48533</Words>
  <Characters>280041</Characters>
  <Application>Microsoft Office Word</Application>
  <DocSecurity>0</DocSecurity>
  <Lines>10001</Lines>
  <Paragraphs>5764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Zastavnetchi</dc:creator>
  <cp:keywords/>
  <dc:description/>
  <cp:lastModifiedBy>Direcția surse de energie regenerabilă și mobilitate verde</cp:lastModifiedBy>
  <cp:revision>54</cp:revision>
  <dcterms:created xsi:type="dcterms:W3CDTF">2026-03-17T07:02:00Z</dcterms:created>
  <dcterms:modified xsi:type="dcterms:W3CDTF">2026-03-18T08:35:00Z</dcterms:modified>
</cp:coreProperties>
</file>