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5B7A" w14:textId="77777777" w:rsidR="008B4BE6" w:rsidRPr="00436A5E"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36A5E">
        <w:rPr>
          <w:b/>
          <w:sz w:val="24"/>
          <w:szCs w:val="24"/>
          <w:lang w:val="ro-RO"/>
        </w:rPr>
        <w:t>SINTEZA</w:t>
      </w:r>
    </w:p>
    <w:p w14:paraId="173B8DD3" w14:textId="460E261C" w:rsidR="00E815D5" w:rsidRPr="00E815D5" w:rsidRDefault="006933C3" w:rsidP="00E815D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436A5E">
        <w:rPr>
          <w:b/>
          <w:bCs/>
          <w:sz w:val="24"/>
          <w:szCs w:val="24"/>
          <w:lang w:val="ro-RO"/>
        </w:rPr>
        <w:t>la</w:t>
      </w:r>
      <w:r w:rsidR="00032B46" w:rsidRPr="00436A5E">
        <w:rPr>
          <w:b/>
          <w:bCs/>
          <w:sz w:val="24"/>
          <w:szCs w:val="24"/>
          <w:lang w:val="ro-RO"/>
        </w:rPr>
        <w:t xml:space="preserve"> </w:t>
      </w:r>
      <w:bookmarkStart w:id="0" w:name="_Hlk224569832"/>
      <w:r w:rsidRPr="00436A5E">
        <w:rPr>
          <w:b/>
          <w:bCs/>
          <w:sz w:val="24"/>
          <w:szCs w:val="24"/>
          <w:lang w:val="ro-RO"/>
        </w:rPr>
        <w:t>proiectul</w:t>
      </w:r>
      <w:r w:rsidR="00ED6812" w:rsidRPr="00436A5E">
        <w:rPr>
          <w:b/>
          <w:bCs/>
          <w:sz w:val="24"/>
          <w:szCs w:val="24"/>
          <w:lang w:val="ro-RO"/>
        </w:rPr>
        <w:t xml:space="preserve"> </w:t>
      </w:r>
      <w:r w:rsidR="00E815D5" w:rsidRPr="00E815D5">
        <w:rPr>
          <w:b/>
          <w:bCs/>
          <w:sz w:val="24"/>
          <w:szCs w:val="24"/>
          <w:lang w:val="ro-RO"/>
        </w:rPr>
        <w:t xml:space="preserve">de lege pentru modificarea unor acte normative </w:t>
      </w:r>
    </w:p>
    <w:p w14:paraId="62BCA8CC" w14:textId="77777777" w:rsidR="00E815D5" w:rsidRPr="00E815D5" w:rsidRDefault="00E815D5" w:rsidP="00E815D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E815D5">
        <w:rPr>
          <w:b/>
          <w:bCs/>
          <w:sz w:val="24"/>
          <w:szCs w:val="24"/>
          <w:lang w:val="ro-RO"/>
        </w:rPr>
        <w:t>(ajustarea cadrului normativ în domeniul locuințelor)</w:t>
      </w:r>
    </w:p>
    <w:p w14:paraId="0717EB07" w14:textId="2C28EB07" w:rsidR="00436A5E" w:rsidRPr="00EE3F2F" w:rsidRDefault="00E815D5" w:rsidP="00EE3F2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Pr>
          <w:b/>
          <w:bCs/>
          <w:sz w:val="24"/>
          <w:szCs w:val="24"/>
          <w:lang w:val="ro-MD"/>
        </w:rPr>
        <w:t>(</w:t>
      </w:r>
      <w:r w:rsidR="00436A5E" w:rsidRPr="00436A5E">
        <w:rPr>
          <w:b/>
          <w:bCs/>
          <w:sz w:val="24"/>
          <w:szCs w:val="24"/>
          <w:lang w:val="ro-MD"/>
        </w:rPr>
        <w:t xml:space="preserve">NU </w:t>
      </w:r>
      <w:r>
        <w:rPr>
          <w:b/>
          <w:bCs/>
          <w:sz w:val="24"/>
          <w:szCs w:val="24"/>
          <w:lang w:val="ro-MD"/>
        </w:rPr>
        <w:t>200</w:t>
      </w:r>
      <w:r w:rsidR="00436A5E" w:rsidRPr="00436A5E">
        <w:rPr>
          <w:b/>
          <w:bCs/>
          <w:sz w:val="24"/>
          <w:szCs w:val="24"/>
          <w:lang w:val="ro-MD"/>
        </w:rPr>
        <w:t>/MIDR/202</w:t>
      </w:r>
      <w:r>
        <w:rPr>
          <w:b/>
          <w:bCs/>
          <w:sz w:val="24"/>
          <w:szCs w:val="24"/>
          <w:lang w:val="ro-MD"/>
        </w:rPr>
        <w:t>6)</w:t>
      </w:r>
    </w:p>
    <w:bookmarkEnd w:id="0"/>
    <w:p w14:paraId="2265058B" w14:textId="7FDE63ED" w:rsidR="008B4BE6" w:rsidRPr="00436A5E" w:rsidRDefault="00032B46" w:rsidP="000767B5">
      <w:pPr>
        <w:pStyle w:val="TableParagraph"/>
        <w:ind w:left="62"/>
        <w:jc w:val="center"/>
        <w:rPr>
          <w:rFonts w:ascii="Times New Roman" w:hAnsi="Times New Roman" w:cs="Times New Roman"/>
          <w:b/>
          <w:bCs/>
          <w:sz w:val="24"/>
          <w:szCs w:val="24"/>
          <w:lang w:val="ro-RO"/>
        </w:rPr>
      </w:pPr>
      <w:r w:rsidRPr="00436A5E">
        <w:rPr>
          <w:rFonts w:ascii="Times New Roman" w:hAnsi="Times New Roman" w:cs="Times New Roman"/>
          <w:b/>
          <w:bCs/>
          <w:sz w:val="24"/>
          <w:szCs w:val="24"/>
          <w:lang w:val="ro-RO"/>
        </w:rPr>
        <w:t xml:space="preserve"> </w:t>
      </w:r>
    </w:p>
    <w:tbl>
      <w:tblPr>
        <w:tblStyle w:val="TableGrid"/>
        <w:tblW w:w="14176" w:type="dxa"/>
        <w:tblLayout w:type="fixed"/>
        <w:tblLook w:val="04A0" w:firstRow="1" w:lastRow="0" w:firstColumn="1" w:lastColumn="0" w:noHBand="0" w:noVBand="1"/>
      </w:tblPr>
      <w:tblGrid>
        <w:gridCol w:w="2407"/>
        <w:gridCol w:w="709"/>
        <w:gridCol w:w="7934"/>
        <w:gridCol w:w="3126"/>
      </w:tblGrid>
      <w:tr w:rsidR="00FA6063" w:rsidRPr="00436A5E" w14:paraId="165C98F0" w14:textId="77777777" w:rsidTr="00123523">
        <w:tc>
          <w:tcPr>
            <w:tcW w:w="2407" w:type="dxa"/>
          </w:tcPr>
          <w:p w14:paraId="189260EB" w14:textId="76935528" w:rsidR="008B4BE6" w:rsidRPr="00436A5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36A5E">
              <w:rPr>
                <w:rFonts w:ascii="Times New Roman" w:hAnsi="Times New Roman"/>
                <w:b/>
                <w:sz w:val="24"/>
                <w:szCs w:val="24"/>
                <w:lang w:val="ro-RO"/>
              </w:rPr>
              <w:t>Participantul</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la</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avizare,</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consultare</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publică,</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expertizare</w:t>
            </w:r>
          </w:p>
        </w:tc>
        <w:tc>
          <w:tcPr>
            <w:tcW w:w="709" w:type="dxa"/>
          </w:tcPr>
          <w:p w14:paraId="429CCC6C" w14:textId="0ADC1BF2" w:rsidR="008B4BE6" w:rsidRPr="00E173B4"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173B4">
              <w:rPr>
                <w:rFonts w:ascii="Times New Roman" w:hAnsi="Times New Roman"/>
                <w:b/>
                <w:sz w:val="24"/>
                <w:szCs w:val="24"/>
                <w:lang w:val="ro-RO"/>
              </w:rPr>
              <w:t>Nr.</w:t>
            </w:r>
            <w:r w:rsidR="00032B46" w:rsidRPr="00E173B4">
              <w:rPr>
                <w:rFonts w:ascii="Times New Roman" w:hAnsi="Times New Roman"/>
                <w:b/>
                <w:sz w:val="24"/>
                <w:szCs w:val="24"/>
                <w:lang w:val="ro-RO"/>
              </w:rPr>
              <w:t xml:space="preserve"> </w:t>
            </w:r>
            <w:r w:rsidR="00BA5B5B" w:rsidRPr="00E173B4">
              <w:rPr>
                <w:rFonts w:ascii="Times New Roman" w:hAnsi="Times New Roman"/>
                <w:b/>
                <w:sz w:val="24"/>
                <w:szCs w:val="24"/>
                <w:lang w:val="ro-RO"/>
              </w:rPr>
              <w:t>crt.</w:t>
            </w:r>
          </w:p>
        </w:tc>
        <w:tc>
          <w:tcPr>
            <w:tcW w:w="7934" w:type="dxa"/>
          </w:tcPr>
          <w:p w14:paraId="145B15CB" w14:textId="6F43B9FC" w:rsidR="008B4BE6" w:rsidRPr="00436A5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436A5E">
              <w:rPr>
                <w:rFonts w:ascii="Times New Roman" w:hAnsi="Times New Roman"/>
                <w:b/>
                <w:sz w:val="24"/>
                <w:szCs w:val="24"/>
                <w:lang w:val="ro-RO"/>
              </w:rPr>
              <w:t>Con</w:t>
            </w:r>
            <w:r w:rsidR="00863417" w:rsidRPr="00436A5E">
              <w:rPr>
                <w:rFonts w:ascii="Times New Roman" w:hAnsi="Times New Roman"/>
                <w:b/>
                <w:sz w:val="24"/>
                <w:szCs w:val="24"/>
                <w:lang w:val="ro-RO"/>
              </w:rPr>
              <w:t>ț</w:t>
            </w:r>
            <w:r w:rsidRPr="00436A5E">
              <w:rPr>
                <w:rFonts w:ascii="Times New Roman" w:hAnsi="Times New Roman"/>
                <w:b/>
                <w:sz w:val="24"/>
                <w:szCs w:val="24"/>
                <w:lang w:val="ro-RO"/>
              </w:rPr>
              <w:t>inutul</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obiec</w:t>
            </w:r>
            <w:r w:rsidR="00863417" w:rsidRPr="00436A5E">
              <w:rPr>
                <w:rFonts w:ascii="Times New Roman" w:hAnsi="Times New Roman"/>
                <w:b/>
                <w:sz w:val="24"/>
                <w:szCs w:val="24"/>
                <w:lang w:val="ro-RO"/>
              </w:rPr>
              <w:t>ț</w:t>
            </w:r>
            <w:r w:rsidRPr="00436A5E">
              <w:rPr>
                <w:rFonts w:ascii="Times New Roman" w:hAnsi="Times New Roman"/>
                <w:b/>
                <w:sz w:val="24"/>
                <w:szCs w:val="24"/>
                <w:lang w:val="ro-RO"/>
              </w:rPr>
              <w:t>iei,</w:t>
            </w:r>
          </w:p>
          <w:p w14:paraId="055FB5F6" w14:textId="56D3CBFA" w:rsidR="008B4BE6" w:rsidRPr="00436A5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36A5E">
              <w:rPr>
                <w:rFonts w:ascii="Times New Roman" w:hAnsi="Times New Roman"/>
                <w:b/>
                <w:sz w:val="24"/>
                <w:szCs w:val="24"/>
                <w:lang w:val="ro-RO"/>
              </w:rPr>
              <w:t>propunerii,</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recomandării,</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concluziei</w:t>
            </w:r>
          </w:p>
        </w:tc>
        <w:tc>
          <w:tcPr>
            <w:tcW w:w="3126" w:type="dxa"/>
          </w:tcPr>
          <w:p w14:paraId="43D44E19" w14:textId="04D0A080" w:rsidR="008B4BE6" w:rsidRPr="00436A5E"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436A5E">
              <w:rPr>
                <w:rFonts w:ascii="Times New Roman" w:hAnsi="Times New Roman"/>
                <w:b/>
                <w:sz w:val="24"/>
                <w:szCs w:val="24"/>
                <w:lang w:val="ro-RO"/>
              </w:rPr>
              <w:t>Argumentarea</w:t>
            </w:r>
          </w:p>
          <w:p w14:paraId="42C4E39B" w14:textId="729BF662" w:rsidR="008B4BE6" w:rsidRPr="00436A5E"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436A5E">
              <w:rPr>
                <w:rFonts w:ascii="Times New Roman" w:hAnsi="Times New Roman"/>
                <w:b/>
                <w:sz w:val="24"/>
                <w:szCs w:val="24"/>
                <w:lang w:val="ro-RO"/>
              </w:rPr>
              <w:t>autorului</w:t>
            </w:r>
            <w:r w:rsidR="00032B46" w:rsidRPr="00436A5E">
              <w:rPr>
                <w:rFonts w:ascii="Times New Roman" w:hAnsi="Times New Roman"/>
                <w:b/>
                <w:sz w:val="24"/>
                <w:szCs w:val="24"/>
                <w:lang w:val="ro-RO"/>
              </w:rPr>
              <w:t xml:space="preserve"> </w:t>
            </w:r>
            <w:r w:rsidRPr="00436A5E">
              <w:rPr>
                <w:rFonts w:ascii="Times New Roman" w:hAnsi="Times New Roman"/>
                <w:b/>
                <w:sz w:val="24"/>
                <w:szCs w:val="24"/>
                <w:lang w:val="ro-RO"/>
              </w:rPr>
              <w:t>proiectului</w:t>
            </w:r>
          </w:p>
        </w:tc>
      </w:tr>
      <w:tr w:rsidR="0085163F" w:rsidRPr="00436A5E" w14:paraId="4CDCBCA9" w14:textId="77777777" w:rsidTr="007841D8">
        <w:trPr>
          <w:trHeight w:val="80"/>
        </w:trPr>
        <w:tc>
          <w:tcPr>
            <w:tcW w:w="14176" w:type="dxa"/>
            <w:gridSpan w:val="4"/>
          </w:tcPr>
          <w:p w14:paraId="1041F18F" w14:textId="4EE87ADC" w:rsidR="0085163F" w:rsidRPr="00E173B4" w:rsidRDefault="0085163F"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Avizare</w:t>
            </w:r>
          </w:p>
        </w:tc>
      </w:tr>
      <w:tr w:rsidR="00E815D5" w:rsidRPr="00436A5E" w14:paraId="22994CCE" w14:textId="77777777" w:rsidTr="00E815D5">
        <w:trPr>
          <w:trHeight w:val="1272"/>
        </w:trPr>
        <w:tc>
          <w:tcPr>
            <w:tcW w:w="2407" w:type="dxa"/>
          </w:tcPr>
          <w:p w14:paraId="5B0D2C3D" w14:textId="719CABE9" w:rsidR="00E815D5" w:rsidRPr="00436A5E" w:rsidRDefault="00E815D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 xml:space="preserve">Ministerul Muncii și Protecției Sociale </w:t>
            </w:r>
          </w:p>
          <w:p w14:paraId="77D478F0" w14:textId="0770F15A" w:rsidR="00E815D5" w:rsidRPr="00355723" w:rsidRDefault="00E815D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355723">
              <w:rPr>
                <w:rFonts w:ascii="Times New Roman" w:hAnsi="Times New Roman"/>
                <w:b/>
                <w:bCs/>
                <w:sz w:val="24"/>
                <w:szCs w:val="24"/>
                <w:lang w:val="ro-RO"/>
              </w:rPr>
              <w:t>nr.</w:t>
            </w:r>
            <w:r w:rsidRPr="00355723">
              <w:rPr>
                <w:b/>
                <w:bCs/>
              </w:rPr>
              <w:t xml:space="preserve"> </w:t>
            </w:r>
            <w:r w:rsidR="00F06CBB" w:rsidRPr="00F06CBB">
              <w:rPr>
                <w:rFonts w:ascii="Times New Roman" w:hAnsi="Times New Roman"/>
                <w:b/>
                <w:bCs/>
                <w:sz w:val="22"/>
                <w:szCs w:val="22"/>
              </w:rPr>
              <w:t>09/1344 din 12.03.2026</w:t>
            </w:r>
          </w:p>
        </w:tc>
        <w:tc>
          <w:tcPr>
            <w:tcW w:w="709" w:type="dxa"/>
          </w:tcPr>
          <w:p w14:paraId="2D309922" w14:textId="478626D4" w:rsidR="00E815D5" w:rsidRPr="00E173B4" w:rsidRDefault="00E815D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E173B4">
              <w:rPr>
                <w:rFonts w:ascii="Times New Roman" w:hAnsi="Times New Roman"/>
                <w:b/>
                <w:sz w:val="24"/>
                <w:szCs w:val="24"/>
                <w:lang w:val="ro-RO"/>
              </w:rPr>
              <w:t>1</w:t>
            </w:r>
          </w:p>
        </w:tc>
        <w:tc>
          <w:tcPr>
            <w:tcW w:w="7934" w:type="dxa"/>
          </w:tcPr>
          <w:p w14:paraId="3C6F7043" w14:textId="1ED9F180" w:rsidR="00E815D5" w:rsidRPr="00436A5E" w:rsidRDefault="00E815D5" w:rsidP="0035572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815D5">
              <w:rPr>
                <w:rFonts w:ascii="Times New Roman" w:hAnsi="Times New Roman"/>
                <w:sz w:val="24"/>
                <w:szCs w:val="24"/>
                <w:lang w:val="ro-RO"/>
              </w:rPr>
              <w:t>Comunică lipsa de obiecții și propuneri.</w:t>
            </w:r>
          </w:p>
        </w:tc>
        <w:tc>
          <w:tcPr>
            <w:tcW w:w="3126" w:type="dxa"/>
          </w:tcPr>
          <w:p w14:paraId="1A329C0D" w14:textId="771B47BA" w:rsidR="00E815D5" w:rsidRPr="007D4F48" w:rsidRDefault="00E815D5"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815D5">
              <w:rPr>
                <w:rFonts w:ascii="Times New Roman" w:hAnsi="Times New Roman"/>
                <w:b/>
                <w:sz w:val="24"/>
                <w:szCs w:val="24"/>
                <w:lang w:val="ro-RO"/>
              </w:rPr>
              <w:t>S-a luat act de informare.</w:t>
            </w:r>
          </w:p>
        </w:tc>
      </w:tr>
      <w:tr w:rsidR="00030E81" w:rsidRPr="00436A5E" w14:paraId="4D716516" w14:textId="77777777" w:rsidTr="00123523">
        <w:trPr>
          <w:trHeight w:val="80"/>
        </w:trPr>
        <w:tc>
          <w:tcPr>
            <w:tcW w:w="2407" w:type="dxa"/>
          </w:tcPr>
          <w:p w14:paraId="6EC11B52" w14:textId="405EB338" w:rsidR="00030E81" w:rsidRPr="00436A5E" w:rsidRDefault="00030E81"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436A5E">
              <w:rPr>
                <w:rFonts w:ascii="Times New Roman" w:hAnsi="Times New Roman"/>
                <w:b/>
                <w:sz w:val="24"/>
                <w:szCs w:val="24"/>
                <w:lang w:val="ro-RO"/>
              </w:rPr>
              <w:t xml:space="preserve">Ministerul Finanțelor </w:t>
            </w:r>
          </w:p>
          <w:p w14:paraId="5AAA44D5" w14:textId="2FC44D80" w:rsidR="00030E81" w:rsidRPr="00355723" w:rsidRDefault="00030E81"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355723">
              <w:rPr>
                <w:rFonts w:ascii="Times New Roman" w:hAnsi="Times New Roman"/>
                <w:b/>
                <w:bCs/>
                <w:sz w:val="24"/>
                <w:szCs w:val="24"/>
                <w:lang w:val="ro-RO"/>
              </w:rPr>
              <w:t xml:space="preserve">nr. </w:t>
            </w:r>
            <w:r w:rsidR="00F06CBB" w:rsidRPr="00F06CBB">
              <w:rPr>
                <w:rFonts w:ascii="Times New Roman" w:hAnsi="Times New Roman"/>
                <w:b/>
                <w:bCs/>
                <w:sz w:val="24"/>
                <w:szCs w:val="24"/>
                <w:lang w:val="ro-RO"/>
              </w:rPr>
              <w:t>09/2-03/144/322</w:t>
            </w:r>
            <w:r w:rsidR="00F06CBB">
              <w:rPr>
                <w:rFonts w:ascii="Times New Roman" w:hAnsi="Times New Roman"/>
                <w:b/>
                <w:bCs/>
                <w:sz w:val="24"/>
                <w:szCs w:val="24"/>
                <w:lang w:val="ro-RO"/>
              </w:rPr>
              <w:t xml:space="preserve"> din 12.03.2026</w:t>
            </w:r>
          </w:p>
        </w:tc>
        <w:tc>
          <w:tcPr>
            <w:tcW w:w="709" w:type="dxa"/>
          </w:tcPr>
          <w:p w14:paraId="511F8940" w14:textId="2727AB64" w:rsidR="00030E81" w:rsidRPr="00E173B4" w:rsidRDefault="00E815D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2</w:t>
            </w:r>
          </w:p>
        </w:tc>
        <w:tc>
          <w:tcPr>
            <w:tcW w:w="7934" w:type="dxa"/>
          </w:tcPr>
          <w:p w14:paraId="41E14F57" w14:textId="76A0A687" w:rsidR="00030E81" w:rsidRPr="00436A5E" w:rsidRDefault="00355723"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55723">
              <w:rPr>
                <w:rFonts w:ascii="Times New Roman" w:hAnsi="Times New Roman"/>
                <w:sz w:val="24"/>
                <w:szCs w:val="24"/>
                <w:lang w:val="ro-RO"/>
              </w:rPr>
              <w:t>Comunică lipsa de obiecții și propuneri.</w:t>
            </w:r>
          </w:p>
        </w:tc>
        <w:tc>
          <w:tcPr>
            <w:tcW w:w="3126" w:type="dxa"/>
          </w:tcPr>
          <w:p w14:paraId="7BAD9671" w14:textId="7DEB8FBC" w:rsidR="00030E81" w:rsidRPr="007D4F48" w:rsidRDefault="00355723" w:rsidP="007D4F4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4F48">
              <w:rPr>
                <w:rFonts w:ascii="Times New Roman" w:hAnsi="Times New Roman"/>
                <w:b/>
                <w:sz w:val="24"/>
                <w:szCs w:val="24"/>
                <w:lang w:val="ro-RO"/>
              </w:rPr>
              <w:t>S-a luat act de informare.</w:t>
            </w:r>
          </w:p>
        </w:tc>
      </w:tr>
      <w:tr w:rsidR="00937484" w:rsidRPr="00E173B4" w14:paraId="7A7964BC" w14:textId="77777777" w:rsidTr="00937484">
        <w:trPr>
          <w:trHeight w:val="270"/>
        </w:trPr>
        <w:tc>
          <w:tcPr>
            <w:tcW w:w="2407" w:type="dxa"/>
            <w:vMerge w:val="restart"/>
          </w:tcPr>
          <w:p w14:paraId="59F5C523" w14:textId="46892B18"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Ministerul Energiei nr.</w:t>
            </w:r>
            <w:r w:rsidR="0037159D">
              <w:rPr>
                <w:rFonts w:ascii="Times New Roman" w:hAnsi="Times New Roman"/>
                <w:b/>
                <w:sz w:val="24"/>
                <w:szCs w:val="24"/>
                <w:lang w:val="ro-RO"/>
              </w:rPr>
              <w:t xml:space="preserve"> </w:t>
            </w:r>
          </w:p>
        </w:tc>
        <w:tc>
          <w:tcPr>
            <w:tcW w:w="709" w:type="dxa"/>
            <w:tcBorders>
              <w:bottom w:val="single" w:sz="4" w:space="0" w:color="auto"/>
            </w:tcBorders>
          </w:tcPr>
          <w:p w14:paraId="4498B8D7" w14:textId="38B3E5A0" w:rsidR="00937484" w:rsidRPr="0037159D" w:rsidRDefault="00E815D5"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3</w:t>
            </w:r>
          </w:p>
        </w:tc>
        <w:tc>
          <w:tcPr>
            <w:tcW w:w="7934" w:type="dxa"/>
            <w:tcBorders>
              <w:bottom w:val="single" w:sz="4" w:space="0" w:color="auto"/>
            </w:tcBorders>
          </w:tcPr>
          <w:p w14:paraId="6986D239"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Ministerul Energiei susține, în principiu, obiectivul de politică publică urmărit </w:t>
            </w:r>
          </w:p>
          <w:p w14:paraId="743BC865"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prin intervenția propusă, având în vedere necesitatea consolidării securității </w:t>
            </w:r>
          </w:p>
          <w:p w14:paraId="3483B5EA"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locatarilor și diminuării riscurilor de incendiu, explozie și deflagrație asociate </w:t>
            </w:r>
          </w:p>
          <w:p w14:paraId="19416D24" w14:textId="3848D48A"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utilizării neconforme a buteliilor de gaze în clădirile locative colective. </w:t>
            </w:r>
            <w:r>
              <w:rPr>
                <w:rFonts w:ascii="Times New Roman" w:hAnsi="Times New Roman"/>
                <w:sz w:val="24"/>
                <w:szCs w:val="24"/>
                <w:lang w:val="ro-RO"/>
              </w:rPr>
              <w:br/>
            </w:r>
            <w:r w:rsidRPr="00AB478E">
              <w:rPr>
                <w:rFonts w:ascii="Times New Roman" w:hAnsi="Times New Roman"/>
                <w:sz w:val="24"/>
                <w:szCs w:val="24"/>
                <w:lang w:val="ro-RO"/>
              </w:rPr>
              <w:t xml:space="preserve">Totodată, se reține că regimul tehnic aplicabil în materie conține deja restricții </w:t>
            </w:r>
          </w:p>
          <w:p w14:paraId="7E04C2A2"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relevante, întrucât, potrivit Hotărârii Guvernului nr. 552/2017 pentru aprobarea </w:t>
            </w:r>
          </w:p>
          <w:p w14:paraId="17ABC8C6"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Cerințelor minime de securitate privind exploatarea sistemelor de distribuție a </w:t>
            </w:r>
          </w:p>
          <w:p w14:paraId="34421A97"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gazelor combustibile naturale, coroborate cu NCM G.05.01-2014 „Sisteme de </w:t>
            </w:r>
          </w:p>
          <w:p w14:paraId="31F7E3E0" w14:textId="6702D158" w:rsidR="00937484" w:rsidRPr="0037159D"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distribuție a gazelor”, amplasarea buteliilor GPL în interiorul blocurilor locative este interzisă, instalațiile individuale sau de grup urmând a fi amplasate în exterior, în condițiile normelor tehnice și de securitate aplicabile.</w:t>
            </w:r>
          </w:p>
        </w:tc>
        <w:tc>
          <w:tcPr>
            <w:tcW w:w="3126" w:type="dxa"/>
            <w:tcBorders>
              <w:bottom w:val="single" w:sz="4" w:space="0" w:color="auto"/>
            </w:tcBorders>
          </w:tcPr>
          <w:p w14:paraId="0DEDE511" w14:textId="4338539D" w:rsidR="00937484" w:rsidRPr="00E173B4" w:rsidRDefault="00AB478E" w:rsidP="009A69A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B478E">
              <w:rPr>
                <w:rFonts w:ascii="Times New Roman" w:hAnsi="Times New Roman"/>
                <w:b/>
                <w:sz w:val="24"/>
                <w:szCs w:val="24"/>
                <w:lang w:val="ro-RO"/>
              </w:rPr>
              <w:t>S-a luat act de informare.</w:t>
            </w:r>
          </w:p>
        </w:tc>
      </w:tr>
      <w:tr w:rsidR="00937484" w:rsidRPr="00E173B4" w14:paraId="0629022F" w14:textId="77777777" w:rsidTr="00937484">
        <w:trPr>
          <w:trHeight w:val="255"/>
        </w:trPr>
        <w:tc>
          <w:tcPr>
            <w:tcW w:w="2407" w:type="dxa"/>
            <w:vMerge/>
          </w:tcPr>
          <w:p w14:paraId="4C3E41A5"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0B693D99" w14:textId="62EC7C7C" w:rsidR="00937484" w:rsidRPr="0037159D" w:rsidRDefault="00AB478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4</w:t>
            </w:r>
          </w:p>
        </w:tc>
        <w:tc>
          <w:tcPr>
            <w:tcW w:w="7934" w:type="dxa"/>
            <w:tcBorders>
              <w:top w:val="single" w:sz="4" w:space="0" w:color="auto"/>
              <w:bottom w:val="single" w:sz="4" w:space="0" w:color="auto"/>
            </w:tcBorders>
          </w:tcPr>
          <w:p w14:paraId="5EDFDAD9"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În primul rând, se impune clarificarea obiectului și sferei de aplicare a </w:t>
            </w:r>
          </w:p>
          <w:p w14:paraId="5F6CC436" w14:textId="24D1EA6E" w:rsidR="00937484" w:rsidRPr="0037159D"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interdicției, inclusiv prin raportare la terminologia tehnică relevantă și la</w:t>
            </w:r>
            <w:r>
              <w:rPr>
                <w:rFonts w:ascii="Times New Roman" w:hAnsi="Times New Roman"/>
                <w:sz w:val="24"/>
                <w:szCs w:val="24"/>
                <w:lang w:val="ro-RO"/>
              </w:rPr>
              <w:t xml:space="preserve"> </w:t>
            </w:r>
            <w:r w:rsidRPr="00AB478E">
              <w:rPr>
                <w:rFonts w:ascii="Times New Roman" w:hAnsi="Times New Roman"/>
                <w:sz w:val="24"/>
                <w:szCs w:val="24"/>
                <w:lang w:val="ro-RO"/>
              </w:rPr>
              <w:t>delimitarea exactă a spațiilor vizate, astfel încât să fie evitate interpretările neuniforme și eventualele suprapuneri cu cadrul normativ deja existent.</w:t>
            </w:r>
          </w:p>
        </w:tc>
        <w:tc>
          <w:tcPr>
            <w:tcW w:w="3126" w:type="dxa"/>
            <w:tcBorders>
              <w:top w:val="single" w:sz="4" w:space="0" w:color="auto"/>
              <w:bottom w:val="single" w:sz="4" w:space="0" w:color="auto"/>
            </w:tcBorders>
          </w:tcPr>
          <w:p w14:paraId="666D9E3E" w14:textId="77777777" w:rsidR="005C1680" w:rsidRPr="00AB478E" w:rsidRDefault="00AB478E" w:rsidP="004F5E7A">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AB478E">
              <w:rPr>
                <w:rFonts w:ascii="Times New Roman" w:hAnsi="Times New Roman"/>
                <w:b/>
                <w:sz w:val="24"/>
                <w:szCs w:val="24"/>
                <w:lang w:val="ro-RO"/>
              </w:rPr>
              <w:t>Se acceptă.</w:t>
            </w:r>
          </w:p>
          <w:p w14:paraId="6AB03D35" w14:textId="0076B065" w:rsidR="00AB478E" w:rsidRPr="005C1680" w:rsidRDefault="00AB478E" w:rsidP="004F5E7A">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Cuvintele „în cadrul blocului locativ” au fost substituite cu cuvintele „în interiorul blocului locativ.</w:t>
            </w:r>
          </w:p>
        </w:tc>
      </w:tr>
      <w:tr w:rsidR="00937484" w:rsidRPr="00E173B4" w14:paraId="17055E63" w14:textId="77777777" w:rsidTr="00937484">
        <w:trPr>
          <w:trHeight w:val="128"/>
        </w:trPr>
        <w:tc>
          <w:tcPr>
            <w:tcW w:w="2407" w:type="dxa"/>
            <w:vMerge/>
          </w:tcPr>
          <w:p w14:paraId="2CFAE5C3"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304D3DE9" w14:textId="17434428" w:rsidR="00937484" w:rsidRPr="0037159D" w:rsidRDefault="00AB478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5</w:t>
            </w:r>
          </w:p>
        </w:tc>
        <w:tc>
          <w:tcPr>
            <w:tcW w:w="7934" w:type="dxa"/>
            <w:tcBorders>
              <w:top w:val="single" w:sz="4" w:space="0" w:color="auto"/>
              <w:bottom w:val="single" w:sz="4" w:space="0" w:color="auto"/>
            </w:tcBorders>
          </w:tcPr>
          <w:p w14:paraId="7F151F5B" w14:textId="77777777" w:rsidR="00AB478E" w:rsidRPr="00AB478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În al doilea rând, proiectul urmează a fi corelat expres cu definiția actualizată </w:t>
            </w:r>
          </w:p>
          <w:p w14:paraId="1E4CE5D8" w14:textId="160D6577" w:rsidR="00937484" w:rsidRPr="0037159D"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a noțiunii de „bloc locativ”, prevăzută de Legea nr. 75/2015, inclusiv din perspectiva delimitării imobilelor asupra cărora măsura va produce efecte.</w:t>
            </w:r>
          </w:p>
        </w:tc>
        <w:tc>
          <w:tcPr>
            <w:tcW w:w="3126" w:type="dxa"/>
            <w:tcBorders>
              <w:top w:val="single" w:sz="4" w:space="0" w:color="auto"/>
              <w:bottom w:val="single" w:sz="4" w:space="0" w:color="auto"/>
            </w:tcBorders>
          </w:tcPr>
          <w:p w14:paraId="071A4CEA" w14:textId="0C12E289" w:rsidR="00937484" w:rsidRPr="00AB478E" w:rsidRDefault="00AB478E" w:rsidP="002304D2">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AB478E">
              <w:rPr>
                <w:rFonts w:ascii="Times New Roman" w:hAnsi="Times New Roman"/>
                <w:bCs/>
                <w:sz w:val="24"/>
                <w:szCs w:val="24"/>
                <w:lang w:val="ro-RO"/>
              </w:rPr>
              <w:t xml:space="preserve">Noțiunea de „bloc locativ” este corelată cu noțiunea din Legea nr. 75/2015 cu privire la </w:t>
            </w:r>
            <w:r w:rsidRPr="00AB478E">
              <w:rPr>
                <w:rFonts w:ascii="Times New Roman" w:hAnsi="Times New Roman"/>
                <w:bCs/>
                <w:sz w:val="24"/>
                <w:szCs w:val="24"/>
                <w:lang w:val="ro-RO"/>
              </w:rPr>
              <w:lastRenderedPageBreak/>
              <w:t>locuințe, conform căreia blocul locativ reprezintă  clădirea cu două sau mai multe apartamente (încăperi locuibile) destinate pentru trai, în a cărei componenţă, pe lângă apartamente, intră încăperi cu altă destinaţie decât cea de locuinţă şi de uz comun, echipamentele tehnice inginereşti, elemente constructive de bază ale clădirii (fundamentul, pereţii, planşeul, acoperişul etc.). Nu se consideră bloc locativ casa individuală amplasată cuplat sau înșiruit, de tip duplex sau triplex, care are maximum două etaje;</w:t>
            </w:r>
          </w:p>
        </w:tc>
      </w:tr>
      <w:tr w:rsidR="00937484" w:rsidRPr="00E173B4" w14:paraId="632B7F2A" w14:textId="77777777" w:rsidTr="00937484">
        <w:trPr>
          <w:trHeight w:val="165"/>
        </w:trPr>
        <w:tc>
          <w:tcPr>
            <w:tcW w:w="2407" w:type="dxa"/>
            <w:vMerge/>
          </w:tcPr>
          <w:p w14:paraId="44D7F5FE" w14:textId="77777777" w:rsidR="00937484" w:rsidRPr="00E173B4" w:rsidRDefault="00937484"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bottom w:val="single" w:sz="4" w:space="0" w:color="auto"/>
            </w:tcBorders>
          </w:tcPr>
          <w:p w14:paraId="2C04DADB" w14:textId="0A9A7C7D" w:rsidR="00937484" w:rsidRPr="0037159D" w:rsidRDefault="00AB478E"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6</w:t>
            </w:r>
          </w:p>
        </w:tc>
        <w:tc>
          <w:tcPr>
            <w:tcW w:w="7934" w:type="dxa"/>
            <w:tcBorders>
              <w:top w:val="single" w:sz="4" w:space="0" w:color="auto"/>
              <w:bottom w:val="single" w:sz="4" w:space="0" w:color="auto"/>
            </w:tcBorders>
          </w:tcPr>
          <w:p w14:paraId="0CB85238" w14:textId="77777777" w:rsidR="007D61FE" w:rsidRDefault="00AB478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AB478E">
              <w:rPr>
                <w:rFonts w:ascii="Times New Roman" w:hAnsi="Times New Roman"/>
                <w:sz w:val="24"/>
                <w:szCs w:val="24"/>
                <w:lang w:val="ro-RO"/>
              </w:rPr>
              <w:t xml:space="preserve">În al treilea rând, este necesară descrierea mai clară a mecanismului de aplicare a interdicției, prin precizarea autorităților competente pentru constatarea </w:t>
            </w:r>
            <w:r>
              <w:rPr>
                <w:rFonts w:ascii="Times New Roman" w:hAnsi="Times New Roman"/>
                <w:sz w:val="24"/>
                <w:szCs w:val="24"/>
                <w:lang w:val="ro-RO"/>
              </w:rPr>
              <w:t xml:space="preserve"> </w:t>
            </w:r>
            <w:r w:rsidRPr="00AB478E">
              <w:rPr>
                <w:rFonts w:ascii="Times New Roman" w:hAnsi="Times New Roman"/>
                <w:sz w:val="24"/>
                <w:szCs w:val="24"/>
                <w:lang w:val="ro-RO"/>
              </w:rPr>
              <w:t xml:space="preserve">încălcărilor și aplicarea măsurilor corespunzătoare, precum și prin corelarea cu </w:t>
            </w:r>
            <w:r>
              <w:rPr>
                <w:rFonts w:ascii="Times New Roman" w:hAnsi="Times New Roman"/>
                <w:sz w:val="24"/>
                <w:szCs w:val="24"/>
                <w:lang w:val="ro-RO"/>
              </w:rPr>
              <w:t xml:space="preserve"> </w:t>
            </w:r>
            <w:r w:rsidRPr="00AB478E">
              <w:rPr>
                <w:rFonts w:ascii="Times New Roman" w:hAnsi="Times New Roman"/>
                <w:sz w:val="24"/>
                <w:szCs w:val="24"/>
                <w:lang w:val="ro-RO"/>
              </w:rPr>
              <w:t>cadrul sancționator și instituțional incident.</w:t>
            </w:r>
            <w:r w:rsidR="007D61FE" w:rsidRPr="007D61FE">
              <w:rPr>
                <w:rFonts w:ascii="Times New Roman" w:hAnsi="Times New Roman"/>
                <w:sz w:val="24"/>
                <w:szCs w:val="24"/>
                <w:lang w:val="ro-RO"/>
              </w:rPr>
              <w:t xml:space="preserve"> </w:t>
            </w:r>
          </w:p>
          <w:p w14:paraId="514CC545" w14:textId="693AB82C" w:rsidR="00937484" w:rsidRPr="0037159D" w:rsidRDefault="007D61FE" w:rsidP="00AB478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61FE">
              <w:rPr>
                <w:rFonts w:ascii="Times New Roman" w:hAnsi="Times New Roman"/>
                <w:sz w:val="24"/>
                <w:szCs w:val="24"/>
                <w:lang w:val="ro-RO"/>
              </w:rPr>
              <w:t xml:space="preserve">De asemenea, considerăm necesară delimitarea clară a răspunderii persoanei </w:t>
            </w:r>
            <w:r>
              <w:rPr>
                <w:rFonts w:ascii="Times New Roman" w:hAnsi="Times New Roman"/>
                <w:sz w:val="24"/>
                <w:szCs w:val="24"/>
                <w:lang w:val="ro-RO"/>
              </w:rPr>
              <w:t xml:space="preserve"> </w:t>
            </w:r>
            <w:r w:rsidRPr="007D61FE">
              <w:rPr>
                <w:rFonts w:ascii="Times New Roman" w:hAnsi="Times New Roman"/>
                <w:sz w:val="24"/>
                <w:szCs w:val="24"/>
                <w:lang w:val="ro-RO"/>
              </w:rPr>
              <w:t xml:space="preserve">care deține, utilizează sau depozitează efectiv butelia, în raport cu eventualele </w:t>
            </w:r>
            <w:r>
              <w:rPr>
                <w:rFonts w:ascii="Times New Roman" w:hAnsi="Times New Roman"/>
                <w:sz w:val="24"/>
                <w:szCs w:val="24"/>
                <w:lang w:val="ro-RO"/>
              </w:rPr>
              <w:t xml:space="preserve"> </w:t>
            </w:r>
            <w:r w:rsidRPr="007D61FE">
              <w:rPr>
                <w:rFonts w:ascii="Times New Roman" w:hAnsi="Times New Roman"/>
                <w:sz w:val="24"/>
                <w:szCs w:val="24"/>
                <w:lang w:val="ro-RO"/>
              </w:rPr>
              <w:t>obligații ce pot reveni administratorului asociației sau gestionarului fondului locativ, astfel încât norma să respecte cerințele de proporționalitate, previzibilitate și individualizare a răspunderii.</w:t>
            </w:r>
          </w:p>
        </w:tc>
        <w:tc>
          <w:tcPr>
            <w:tcW w:w="3126" w:type="dxa"/>
            <w:tcBorders>
              <w:top w:val="single" w:sz="4" w:space="0" w:color="auto"/>
              <w:bottom w:val="single" w:sz="4" w:space="0" w:color="auto"/>
            </w:tcBorders>
          </w:tcPr>
          <w:p w14:paraId="10E2757A" w14:textId="77777777" w:rsidR="00A115DF" w:rsidRPr="007D61FE" w:rsidRDefault="001F2D66" w:rsidP="00A115DF">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D61FE">
              <w:rPr>
                <w:rFonts w:ascii="Times New Roman" w:hAnsi="Times New Roman"/>
                <w:b/>
                <w:sz w:val="24"/>
                <w:szCs w:val="24"/>
                <w:lang w:val="ro-RO"/>
              </w:rPr>
              <w:t>Se acceptă ca concept.</w:t>
            </w:r>
          </w:p>
          <w:p w14:paraId="176B2E1D" w14:textId="30ACF509" w:rsidR="001F2D66" w:rsidRDefault="001F2D66" w:rsidP="00A115D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 xml:space="preserve">MIDR a elaborat mai multe propuneri de modificare, inclusiv a </w:t>
            </w:r>
            <w:r w:rsidR="00A63D64">
              <w:rPr>
                <w:rFonts w:ascii="Times New Roman" w:hAnsi="Times New Roman"/>
                <w:bCs/>
                <w:sz w:val="24"/>
                <w:szCs w:val="24"/>
                <w:lang w:val="ro-RO"/>
              </w:rPr>
              <w:t xml:space="preserve">art. 180 din </w:t>
            </w:r>
            <w:r>
              <w:rPr>
                <w:rFonts w:ascii="Times New Roman" w:hAnsi="Times New Roman"/>
                <w:bCs/>
                <w:sz w:val="24"/>
                <w:szCs w:val="24"/>
                <w:lang w:val="ro-RO"/>
              </w:rPr>
              <w:t>Codul contravențional</w:t>
            </w:r>
            <w:r w:rsidR="00A63D64">
              <w:rPr>
                <w:rFonts w:ascii="Times New Roman" w:hAnsi="Times New Roman"/>
                <w:bCs/>
                <w:sz w:val="24"/>
                <w:szCs w:val="24"/>
                <w:lang w:val="ro-RO"/>
              </w:rPr>
              <w:t xml:space="preserve">, în vederea sancționării </w:t>
            </w:r>
            <w:r w:rsidR="007D61FE">
              <w:rPr>
                <w:rFonts w:ascii="Times New Roman" w:hAnsi="Times New Roman"/>
                <w:bCs/>
                <w:sz w:val="24"/>
                <w:szCs w:val="24"/>
                <w:lang w:val="ro-RO"/>
              </w:rPr>
              <w:t xml:space="preserve">în cazul </w:t>
            </w:r>
            <w:r w:rsidR="007D61FE" w:rsidRPr="007D61FE">
              <w:rPr>
                <w:rFonts w:ascii="Times New Roman" w:hAnsi="Times New Roman"/>
                <w:bCs/>
                <w:sz w:val="24"/>
                <w:szCs w:val="24"/>
                <w:lang w:val="ro-RO"/>
              </w:rPr>
              <w:t>utilizăr</w:t>
            </w:r>
            <w:r w:rsidR="007D61FE">
              <w:rPr>
                <w:rFonts w:ascii="Times New Roman" w:hAnsi="Times New Roman"/>
                <w:bCs/>
                <w:sz w:val="24"/>
                <w:szCs w:val="24"/>
                <w:lang w:val="ro-RO"/>
              </w:rPr>
              <w:t>ii</w:t>
            </w:r>
            <w:r w:rsidR="007D61FE" w:rsidRPr="007D61FE">
              <w:rPr>
                <w:rFonts w:ascii="Times New Roman" w:hAnsi="Times New Roman"/>
                <w:bCs/>
                <w:sz w:val="24"/>
                <w:szCs w:val="24"/>
                <w:lang w:val="ro-RO"/>
              </w:rPr>
              <w:t xml:space="preserve"> în scopul conectării la aparatele consumatoare de gaz, precum și păstrarea, buteliilor de gaze comprimate și/sau lichefiate în </w:t>
            </w:r>
            <w:r w:rsidR="007D61FE">
              <w:rPr>
                <w:rFonts w:ascii="Times New Roman" w:hAnsi="Times New Roman"/>
                <w:bCs/>
                <w:sz w:val="24"/>
                <w:szCs w:val="24"/>
                <w:lang w:val="ro-RO"/>
              </w:rPr>
              <w:t xml:space="preserve">interiorul </w:t>
            </w:r>
            <w:r w:rsidR="007D61FE" w:rsidRPr="007D61FE">
              <w:rPr>
                <w:rFonts w:ascii="Times New Roman" w:hAnsi="Times New Roman"/>
                <w:bCs/>
                <w:sz w:val="24"/>
                <w:szCs w:val="24"/>
                <w:lang w:val="ro-RO"/>
              </w:rPr>
              <w:t>blocurilor locative</w:t>
            </w:r>
            <w:r w:rsidR="007D61FE">
              <w:rPr>
                <w:rFonts w:ascii="Times New Roman" w:hAnsi="Times New Roman"/>
                <w:bCs/>
                <w:sz w:val="24"/>
                <w:szCs w:val="24"/>
                <w:lang w:val="ro-RO"/>
              </w:rPr>
              <w:t>.</w:t>
            </w:r>
          </w:p>
          <w:p w14:paraId="0938CD60" w14:textId="11995B7C" w:rsidR="007D61FE" w:rsidRPr="00BB087B" w:rsidRDefault="007D61FE" w:rsidP="00A115DF">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Pr>
                <w:rFonts w:ascii="Times New Roman" w:hAnsi="Times New Roman"/>
                <w:bCs/>
                <w:sz w:val="24"/>
                <w:szCs w:val="24"/>
                <w:lang w:val="ro-RO"/>
              </w:rPr>
              <w:t>Propunerile respective, urmează a fi remise în adresa MJ pentru promovare.</w:t>
            </w:r>
          </w:p>
        </w:tc>
      </w:tr>
      <w:tr w:rsidR="000F6D59" w:rsidRPr="00E173B4" w14:paraId="55EDCD0A" w14:textId="77777777" w:rsidTr="00417293">
        <w:trPr>
          <w:trHeight w:val="16569"/>
        </w:trPr>
        <w:tc>
          <w:tcPr>
            <w:tcW w:w="2407" w:type="dxa"/>
            <w:vMerge/>
          </w:tcPr>
          <w:p w14:paraId="4601C865" w14:textId="77777777" w:rsidR="000F6D59" w:rsidRPr="00E173B4" w:rsidRDefault="000F6D59" w:rsidP="00436A5E">
            <w:pPr>
              <w:pBdr>
                <w:top w:val="none" w:sz="4" w:space="0" w:color="000000"/>
                <w:left w:val="none" w:sz="4" w:space="0" w:color="000000"/>
                <w:bottom w:val="none" w:sz="4" w:space="0" w:color="000000"/>
                <w:right w:val="none" w:sz="4" w:space="0" w:color="000000"/>
              </w:pBdr>
              <w:ind w:firstLine="0"/>
              <w:jc w:val="left"/>
              <w:rPr>
                <w:b/>
                <w:sz w:val="24"/>
                <w:szCs w:val="24"/>
                <w:lang w:val="ro-RO"/>
              </w:rPr>
            </w:pPr>
          </w:p>
        </w:tc>
        <w:tc>
          <w:tcPr>
            <w:tcW w:w="709" w:type="dxa"/>
            <w:tcBorders>
              <w:top w:val="single" w:sz="4" w:space="0" w:color="auto"/>
            </w:tcBorders>
          </w:tcPr>
          <w:p w14:paraId="4D71B457" w14:textId="63A68599" w:rsidR="000F6D59" w:rsidRPr="0037159D" w:rsidRDefault="000F6D59"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7</w:t>
            </w:r>
          </w:p>
        </w:tc>
        <w:tc>
          <w:tcPr>
            <w:tcW w:w="7934" w:type="dxa"/>
            <w:tcBorders>
              <w:top w:val="single" w:sz="4" w:space="0" w:color="auto"/>
            </w:tcBorders>
          </w:tcPr>
          <w:p w14:paraId="48B4724B" w14:textId="11838A32" w:rsidR="000F6D59" w:rsidRPr="007D61FE" w:rsidRDefault="000F6D59" w:rsidP="007D61F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61FE">
              <w:rPr>
                <w:rFonts w:ascii="Times New Roman" w:hAnsi="Times New Roman"/>
                <w:sz w:val="24"/>
                <w:szCs w:val="24"/>
                <w:lang w:val="ro-RO"/>
              </w:rPr>
              <w:t xml:space="preserve">Nu în ultimul rând, nota de fundamentare necesită consolidare sub aspectul analizei impactului, inclusiv prin reflectarea costurilor de conformare pentru gospodăriile afectate, a opțiunilor alternative disponibile și a eventualelor măsuri </w:t>
            </w:r>
          </w:p>
          <w:p w14:paraId="1E204BCB" w14:textId="7E595390" w:rsidR="000F6D59" w:rsidRPr="0037159D" w:rsidRDefault="000F6D59" w:rsidP="007D61F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D61FE">
              <w:rPr>
                <w:rFonts w:ascii="Times New Roman" w:hAnsi="Times New Roman"/>
                <w:sz w:val="24"/>
                <w:szCs w:val="24"/>
                <w:lang w:val="ro-RO"/>
              </w:rPr>
              <w:t>tranzitorii sau de informare publică, necesare pentru asigurarea unei implementări efective a reglementării.</w:t>
            </w:r>
          </w:p>
        </w:tc>
        <w:tc>
          <w:tcPr>
            <w:tcW w:w="3126" w:type="dxa"/>
            <w:tcBorders>
              <w:top w:val="single" w:sz="4" w:space="0" w:color="auto"/>
            </w:tcBorders>
          </w:tcPr>
          <w:p w14:paraId="1E4B4C44" w14:textId="77777777" w:rsidR="000F6D59" w:rsidRDefault="000F6D59" w:rsidP="00BB087B">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Nu se acceptă.</w:t>
            </w:r>
          </w:p>
          <w:p w14:paraId="66E2FC5C" w14:textId="6B06A69D"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Analiza impactului prin reflectarea costurilor nu este justificată</w:t>
            </w:r>
            <w:r>
              <w:rPr>
                <w:rFonts w:ascii="Times New Roman" w:hAnsi="Times New Roman"/>
                <w:bCs/>
                <w:sz w:val="24"/>
                <w:szCs w:val="24"/>
                <w:lang w:val="ro-RO"/>
              </w:rPr>
              <w:t>, deoarece prioritate are viața și sănătatea oamenilor, i</w:t>
            </w:r>
            <w:r w:rsidRPr="00546F0B">
              <w:rPr>
                <w:rFonts w:ascii="Times New Roman" w:hAnsi="Times New Roman"/>
                <w:bCs/>
                <w:sz w:val="24"/>
                <w:szCs w:val="24"/>
                <w:lang w:val="ro-RO"/>
              </w:rPr>
              <w:t>ar utilizarea improvizată a buteliilor în blocurile locative nu poate fi admisă din mai multe considerente:</w:t>
            </w:r>
          </w:p>
          <w:p w14:paraId="2CF84777" w14:textId="77777777"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1. Sistemul de ventilare nu este conceput pentru gaze lichefiate care necesită captarea a 2/3 de volum la refulare în partea de jos și 1/3 în partea de sus;</w:t>
            </w:r>
          </w:p>
          <w:p w14:paraId="4BDA653D" w14:textId="77777777"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2. Gazul lichefiat este mai greu ca aerul și are tendința de a se acumula în depresiuni și a se scurge spre etajele inferioare;</w:t>
            </w:r>
          </w:p>
          <w:p w14:paraId="146ABA2B" w14:textId="77777777"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3. La intervenția pompierilor, aceștia necunoscând de prezența buteliilor în clădirile cu plite electrice își expun în pericol viața;</w:t>
            </w:r>
          </w:p>
          <w:p w14:paraId="5D74B167" w14:textId="77777777"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4. Puterea calorică a gazelor lichefiate este de aproape 3 ori mai mare decât a gazelor naturale, astfel suflul eventualei deflagrații aproape în fiecare caz duce la deteriorarea pereților portanți;</w:t>
            </w:r>
          </w:p>
          <w:p w14:paraId="60C69595" w14:textId="29D2F745"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 xml:space="preserve">5. În Moldova practic nu există puncte autorizate de umplere a buteliilor (exista doar în Bălți, Ghidighici, </w:t>
            </w:r>
            <w:r w:rsidRPr="00546F0B">
              <w:rPr>
                <w:rFonts w:ascii="Times New Roman" w:hAnsi="Times New Roman"/>
                <w:bCs/>
                <w:sz w:val="24"/>
                <w:szCs w:val="24"/>
                <w:lang w:val="ro-RO"/>
              </w:rPr>
              <w:lastRenderedPageBreak/>
              <w:t>Comrat, Leova și Șoldănești), alimentarea buteliilor de uz casnic la stațiile de alimentare a automobilelor este interzisă din 2 considerente, gazul pentru automobile este de alt tip și nu poate fi utilizat în scop casnic, ba mai mult ca atât nu este obligatoriu odorizat, de asemenea din punct de vedere tehnologic buteliile trebuie umplute prin cântărire ce nu este posibil la stații auto unde gazul se livrează după volum;</w:t>
            </w:r>
          </w:p>
          <w:p w14:paraId="3D6554D0" w14:textId="77777777"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6. Parcul de butelii care circulă stihinic la populație nu este verificat.</w:t>
            </w:r>
          </w:p>
          <w:p w14:paraId="737387AD" w14:textId="77777777"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p>
          <w:p w14:paraId="58086A95" w14:textId="00A087F3" w:rsidR="000F6D59" w:rsidRPr="00546F0B" w:rsidRDefault="000F6D59" w:rsidP="00546F0B">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546F0B">
              <w:rPr>
                <w:rFonts w:ascii="Times New Roman" w:hAnsi="Times New Roman"/>
                <w:bCs/>
                <w:sz w:val="24"/>
                <w:szCs w:val="24"/>
                <w:lang w:val="ro-RO"/>
              </w:rPr>
              <w:t xml:space="preserve">Din considerentele enunțate </w:t>
            </w:r>
            <w:r>
              <w:rPr>
                <w:rFonts w:ascii="Times New Roman" w:hAnsi="Times New Roman"/>
                <w:bCs/>
                <w:sz w:val="24"/>
                <w:szCs w:val="24"/>
                <w:lang w:val="ro-RO"/>
              </w:rPr>
              <w:t>solicitarea unei analizele economice este irațională.</w:t>
            </w:r>
          </w:p>
        </w:tc>
      </w:tr>
      <w:tr w:rsidR="00E815D5" w:rsidRPr="00E173B4" w14:paraId="3E4DAB5F" w14:textId="77777777" w:rsidTr="00624C34">
        <w:trPr>
          <w:trHeight w:val="1190"/>
        </w:trPr>
        <w:tc>
          <w:tcPr>
            <w:tcW w:w="2407" w:type="dxa"/>
          </w:tcPr>
          <w:p w14:paraId="785D21B4" w14:textId="3290F717" w:rsidR="00E815D5" w:rsidRPr="00E173B4" w:rsidRDefault="00E815D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bookmarkStart w:id="1" w:name="_Hlk224571617"/>
            <w:r w:rsidRPr="00E173B4">
              <w:rPr>
                <w:rFonts w:ascii="Times New Roman" w:hAnsi="Times New Roman"/>
                <w:b/>
                <w:sz w:val="24"/>
                <w:szCs w:val="24"/>
                <w:lang w:val="ro-RO"/>
              </w:rPr>
              <w:lastRenderedPageBreak/>
              <w:t>Ministerul Dezvoltării Economice și Digitalizării nr</w:t>
            </w:r>
            <w:r w:rsidR="00F06CBB">
              <w:rPr>
                <w:rFonts w:ascii="Times New Roman" w:hAnsi="Times New Roman"/>
                <w:b/>
                <w:sz w:val="24"/>
                <w:szCs w:val="24"/>
                <w:lang w:val="ro-RO"/>
              </w:rPr>
              <w:t xml:space="preserve">. </w:t>
            </w:r>
            <w:r w:rsidR="00F06CBB" w:rsidRPr="00F06CBB">
              <w:rPr>
                <w:rFonts w:ascii="Times New Roman" w:hAnsi="Times New Roman"/>
                <w:b/>
                <w:sz w:val="24"/>
                <w:szCs w:val="24"/>
                <w:lang w:val="ro-RO"/>
              </w:rPr>
              <w:t>16/2-769 din 06.03.2026</w:t>
            </w:r>
          </w:p>
        </w:tc>
        <w:tc>
          <w:tcPr>
            <w:tcW w:w="709" w:type="dxa"/>
          </w:tcPr>
          <w:p w14:paraId="27E2FC11" w14:textId="5E719202" w:rsidR="00E815D5" w:rsidRPr="0037159D" w:rsidRDefault="00AC24E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8</w:t>
            </w:r>
          </w:p>
        </w:tc>
        <w:tc>
          <w:tcPr>
            <w:tcW w:w="7934" w:type="dxa"/>
          </w:tcPr>
          <w:p w14:paraId="49ECCD73" w14:textId="01796D71" w:rsidR="00E815D5" w:rsidRPr="0037159D" w:rsidRDefault="00E815D5"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815D5">
              <w:rPr>
                <w:rFonts w:ascii="Times New Roman" w:hAnsi="Times New Roman"/>
                <w:sz w:val="24"/>
                <w:szCs w:val="24"/>
                <w:lang w:val="ro-RO"/>
              </w:rPr>
              <w:t>Comunică lipsa de obiecții și propuneri.</w:t>
            </w:r>
          </w:p>
        </w:tc>
        <w:tc>
          <w:tcPr>
            <w:tcW w:w="3126" w:type="dxa"/>
          </w:tcPr>
          <w:p w14:paraId="1C92943D" w14:textId="61C12FDB" w:rsidR="00E815D5" w:rsidRPr="00BB087B" w:rsidRDefault="00E815D5" w:rsidP="00697B15">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815D5">
              <w:rPr>
                <w:rFonts w:ascii="Times New Roman" w:hAnsi="Times New Roman"/>
                <w:b/>
                <w:sz w:val="24"/>
                <w:szCs w:val="24"/>
                <w:lang w:val="ro-RO"/>
              </w:rPr>
              <w:t>S-a luat act de informare.</w:t>
            </w:r>
          </w:p>
        </w:tc>
      </w:tr>
      <w:tr w:rsidR="00E173B4" w:rsidRPr="00E173B4" w14:paraId="75F12AF4" w14:textId="77777777" w:rsidTr="00123523">
        <w:trPr>
          <w:trHeight w:val="80"/>
        </w:trPr>
        <w:tc>
          <w:tcPr>
            <w:tcW w:w="2407" w:type="dxa"/>
          </w:tcPr>
          <w:p w14:paraId="394A082F" w14:textId="594A3894" w:rsidR="00E173B4" w:rsidRPr="00E173B4" w:rsidRDefault="00E173B4"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4"/>
                <w:szCs w:val="24"/>
                <w:lang w:val="ro-RO"/>
              </w:rPr>
            </w:pPr>
            <w:r w:rsidRPr="00E173B4">
              <w:rPr>
                <w:rFonts w:ascii="Times New Roman" w:hAnsi="Times New Roman"/>
                <w:b/>
                <w:sz w:val="24"/>
                <w:szCs w:val="24"/>
                <w:lang w:val="ro-RO"/>
              </w:rPr>
              <w:t xml:space="preserve">Ministerul Mediului nr. </w:t>
            </w:r>
            <w:r w:rsidR="00F06CBB">
              <w:rPr>
                <w:rFonts w:ascii="Times New Roman" w:hAnsi="Times New Roman"/>
                <w:b/>
                <w:sz w:val="24"/>
                <w:szCs w:val="24"/>
                <w:lang w:val="ro-RO"/>
              </w:rPr>
              <w:t>13-05/754 din 12.03.2026</w:t>
            </w:r>
          </w:p>
        </w:tc>
        <w:tc>
          <w:tcPr>
            <w:tcW w:w="709" w:type="dxa"/>
          </w:tcPr>
          <w:p w14:paraId="6828B4C9" w14:textId="45FB349D" w:rsidR="00E173B4" w:rsidRPr="0037159D" w:rsidRDefault="00AC24E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9</w:t>
            </w:r>
          </w:p>
        </w:tc>
        <w:tc>
          <w:tcPr>
            <w:tcW w:w="7934" w:type="dxa"/>
          </w:tcPr>
          <w:p w14:paraId="7CAC6852" w14:textId="51673F50" w:rsidR="00E173B4" w:rsidRPr="0033454D" w:rsidRDefault="00DB637E"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3454D">
              <w:rPr>
                <w:rFonts w:ascii="Times New Roman" w:hAnsi="Times New Roman"/>
                <w:sz w:val="24"/>
                <w:szCs w:val="24"/>
                <w:lang w:val="ro-RO"/>
              </w:rPr>
              <w:t>comunică lipsa obiecțiilor și propunerilor.</w:t>
            </w:r>
          </w:p>
        </w:tc>
        <w:tc>
          <w:tcPr>
            <w:tcW w:w="3126" w:type="dxa"/>
          </w:tcPr>
          <w:p w14:paraId="7D2B01CE" w14:textId="3D5E1612" w:rsidR="00E173B4" w:rsidRPr="00E173B4" w:rsidRDefault="00DB637E" w:rsidP="00DB637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DB637E">
              <w:rPr>
                <w:rFonts w:ascii="Times New Roman" w:hAnsi="Times New Roman"/>
                <w:b/>
                <w:sz w:val="24"/>
                <w:szCs w:val="24"/>
                <w:lang w:val="ro-RO"/>
              </w:rPr>
              <w:t>S-a luat act de informare.</w:t>
            </w:r>
          </w:p>
        </w:tc>
      </w:tr>
      <w:tr w:rsidR="00FC1787" w:rsidRPr="00E173B4" w14:paraId="31025680" w14:textId="77777777" w:rsidTr="00B4455B">
        <w:trPr>
          <w:trHeight w:val="80"/>
        </w:trPr>
        <w:tc>
          <w:tcPr>
            <w:tcW w:w="2407" w:type="dxa"/>
          </w:tcPr>
          <w:p w14:paraId="63336BD2" w14:textId="31977EAB" w:rsidR="00C10898" w:rsidRPr="00E173B4" w:rsidRDefault="00E815D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t xml:space="preserve">Ministerul </w:t>
            </w:r>
            <w:r w:rsidR="00F06CBB">
              <w:rPr>
                <w:rFonts w:ascii="Times New Roman" w:hAnsi="Times New Roman"/>
                <w:b/>
                <w:bCs/>
                <w:sz w:val="24"/>
                <w:szCs w:val="24"/>
                <w:lang w:val="ro-RO"/>
              </w:rPr>
              <w:t>A</w:t>
            </w:r>
            <w:r>
              <w:rPr>
                <w:rFonts w:ascii="Times New Roman" w:hAnsi="Times New Roman"/>
                <w:b/>
                <w:bCs/>
                <w:sz w:val="24"/>
                <w:szCs w:val="24"/>
                <w:lang w:val="ro-RO"/>
              </w:rPr>
              <w:t xml:space="preserve">facerilor Interne nr. </w:t>
            </w:r>
            <w:r w:rsidR="00F06CBB" w:rsidRPr="00F06CBB">
              <w:rPr>
                <w:rFonts w:ascii="Times New Roman" w:hAnsi="Times New Roman"/>
                <w:b/>
                <w:bCs/>
                <w:sz w:val="24"/>
                <w:szCs w:val="24"/>
                <w:lang w:val="ro-RO"/>
              </w:rPr>
              <w:t>16/961 din 12.03. 2025</w:t>
            </w:r>
          </w:p>
        </w:tc>
        <w:tc>
          <w:tcPr>
            <w:tcW w:w="709" w:type="dxa"/>
            <w:tcBorders>
              <w:bottom w:val="single" w:sz="4" w:space="0" w:color="auto"/>
            </w:tcBorders>
          </w:tcPr>
          <w:p w14:paraId="46BC4DAD" w14:textId="0EF211D2" w:rsidR="00FC1787" w:rsidRPr="00E173B4" w:rsidRDefault="00AC24E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10</w:t>
            </w:r>
          </w:p>
        </w:tc>
        <w:tc>
          <w:tcPr>
            <w:tcW w:w="7934" w:type="dxa"/>
          </w:tcPr>
          <w:p w14:paraId="40FCBF63" w14:textId="00F47F03" w:rsidR="00FC1787" w:rsidRPr="00E173B4" w:rsidRDefault="00B303DB"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173B4">
              <w:rPr>
                <w:rFonts w:ascii="Times New Roman" w:hAnsi="Times New Roman"/>
                <w:sz w:val="24"/>
                <w:szCs w:val="24"/>
                <w:lang w:val="ro-RO"/>
              </w:rPr>
              <w:t>Comunică despre lipsa obiecțiilor și propunerilor.</w:t>
            </w:r>
          </w:p>
        </w:tc>
        <w:tc>
          <w:tcPr>
            <w:tcW w:w="3126" w:type="dxa"/>
          </w:tcPr>
          <w:p w14:paraId="3B471521" w14:textId="4304C87D" w:rsidR="00FC1787" w:rsidRPr="00E173B4" w:rsidRDefault="00B303DB" w:rsidP="00DB637E">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173B4">
              <w:rPr>
                <w:rFonts w:ascii="Times New Roman" w:hAnsi="Times New Roman"/>
                <w:b/>
                <w:sz w:val="24"/>
                <w:szCs w:val="24"/>
                <w:lang w:val="ro-RO"/>
              </w:rPr>
              <w:t>S-a luat act de informare.</w:t>
            </w:r>
          </w:p>
        </w:tc>
      </w:tr>
      <w:tr w:rsidR="00E815D5" w:rsidRPr="00E173B4" w14:paraId="5C519B79" w14:textId="77777777" w:rsidTr="00E815D5">
        <w:trPr>
          <w:trHeight w:val="939"/>
        </w:trPr>
        <w:tc>
          <w:tcPr>
            <w:tcW w:w="2407" w:type="dxa"/>
          </w:tcPr>
          <w:p w14:paraId="411E040E" w14:textId="446BD17C" w:rsidR="00E815D5" w:rsidRPr="00E173B4" w:rsidRDefault="00E815D5" w:rsidP="00436A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t xml:space="preserve">Agenția Geodezie, Cartografie și Cadastru nr. </w:t>
            </w:r>
            <w:r w:rsidR="00FF60A6" w:rsidRPr="00FF60A6">
              <w:rPr>
                <w:rFonts w:ascii="Times New Roman" w:hAnsi="Times New Roman"/>
                <w:b/>
                <w:bCs/>
                <w:sz w:val="24"/>
                <w:szCs w:val="24"/>
                <w:lang w:val="ro-RO"/>
              </w:rPr>
              <w:t>36/01-06/296</w:t>
            </w:r>
            <w:r w:rsidR="00FF60A6">
              <w:rPr>
                <w:rFonts w:ascii="Times New Roman" w:hAnsi="Times New Roman"/>
                <w:b/>
                <w:bCs/>
                <w:sz w:val="24"/>
                <w:szCs w:val="24"/>
                <w:lang w:val="ro-RO"/>
              </w:rPr>
              <w:t xml:space="preserve"> din 06.03.2026</w:t>
            </w:r>
          </w:p>
        </w:tc>
        <w:tc>
          <w:tcPr>
            <w:tcW w:w="709" w:type="dxa"/>
            <w:tcBorders>
              <w:top w:val="single" w:sz="4" w:space="0" w:color="auto"/>
            </w:tcBorders>
          </w:tcPr>
          <w:p w14:paraId="378E5864" w14:textId="2B7EBA01" w:rsidR="00E815D5" w:rsidRPr="00E173B4" w:rsidRDefault="00AC24E0" w:rsidP="0085163F">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11</w:t>
            </w:r>
          </w:p>
        </w:tc>
        <w:tc>
          <w:tcPr>
            <w:tcW w:w="7934" w:type="dxa"/>
          </w:tcPr>
          <w:p w14:paraId="6AE1D3DC" w14:textId="44DCB3C8" w:rsidR="00E815D5" w:rsidRPr="00E173B4" w:rsidRDefault="00E815D5" w:rsidP="00030E8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815D5">
              <w:rPr>
                <w:rFonts w:ascii="Times New Roman" w:hAnsi="Times New Roman"/>
                <w:sz w:val="24"/>
                <w:szCs w:val="24"/>
                <w:lang w:val="ro-RO"/>
              </w:rPr>
              <w:t>Comunică despre lipsa obiecțiilor și propunerilor.</w:t>
            </w:r>
          </w:p>
        </w:tc>
        <w:tc>
          <w:tcPr>
            <w:tcW w:w="3126" w:type="dxa"/>
          </w:tcPr>
          <w:p w14:paraId="74898F76" w14:textId="28C624F0" w:rsidR="00E815D5" w:rsidRPr="00E173B4" w:rsidRDefault="00E815D5" w:rsidP="00860AF6">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E815D5">
              <w:rPr>
                <w:rFonts w:ascii="Times New Roman" w:hAnsi="Times New Roman"/>
                <w:b/>
                <w:sz w:val="24"/>
                <w:szCs w:val="24"/>
                <w:lang w:val="ro-RO"/>
              </w:rPr>
              <w:t>S-a luat act de informare.</w:t>
            </w:r>
          </w:p>
        </w:tc>
      </w:tr>
      <w:tr w:rsidR="00E51EC3" w:rsidRPr="00436A5E" w14:paraId="77FD1DEA" w14:textId="77777777" w:rsidTr="00123523">
        <w:trPr>
          <w:trHeight w:val="80"/>
        </w:trPr>
        <w:tc>
          <w:tcPr>
            <w:tcW w:w="2407" w:type="dxa"/>
          </w:tcPr>
          <w:p w14:paraId="28E55D3B" w14:textId="0B283B07" w:rsidR="00E51EC3" w:rsidRPr="00E173B4" w:rsidRDefault="00E815D5"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t xml:space="preserve">Congresul Autorităților Locale din Moldova nr. </w:t>
            </w:r>
            <w:r w:rsidR="007C2D15" w:rsidRPr="007C2D15">
              <w:rPr>
                <w:rFonts w:ascii="Times New Roman" w:hAnsi="Times New Roman"/>
                <w:b/>
                <w:bCs/>
                <w:sz w:val="24"/>
                <w:szCs w:val="24"/>
                <w:lang w:val="ro-RO"/>
              </w:rPr>
              <w:t>76 din 1</w:t>
            </w:r>
            <w:r w:rsidR="007C2D15">
              <w:rPr>
                <w:rFonts w:ascii="Times New Roman" w:hAnsi="Times New Roman"/>
                <w:b/>
                <w:bCs/>
                <w:sz w:val="24"/>
                <w:szCs w:val="24"/>
                <w:lang w:val="ro-RO"/>
              </w:rPr>
              <w:t>3.03.</w:t>
            </w:r>
            <w:r w:rsidR="007C2D15" w:rsidRPr="007C2D15">
              <w:rPr>
                <w:rFonts w:ascii="Times New Roman" w:hAnsi="Times New Roman"/>
                <w:b/>
                <w:bCs/>
                <w:sz w:val="24"/>
                <w:szCs w:val="24"/>
                <w:lang w:val="ro-RO"/>
              </w:rPr>
              <w:t>2026</w:t>
            </w:r>
          </w:p>
        </w:tc>
        <w:tc>
          <w:tcPr>
            <w:tcW w:w="709" w:type="dxa"/>
          </w:tcPr>
          <w:p w14:paraId="0236715C" w14:textId="23FE27DD" w:rsidR="00E51EC3" w:rsidRPr="00E173B4" w:rsidRDefault="00775A1C"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12</w:t>
            </w:r>
          </w:p>
        </w:tc>
        <w:tc>
          <w:tcPr>
            <w:tcW w:w="7934" w:type="dxa"/>
          </w:tcPr>
          <w:p w14:paraId="7DA7907D" w14:textId="162DFA7B" w:rsidR="00E51EC3" w:rsidRPr="00436A5E" w:rsidRDefault="007C2D15"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7C2D15">
              <w:rPr>
                <w:rFonts w:ascii="Times New Roman" w:hAnsi="Times New Roman"/>
                <w:sz w:val="24"/>
                <w:szCs w:val="24"/>
                <w:lang w:val="ro-RO"/>
              </w:rPr>
              <w:t>Comunică despre lipsa obiecțiilor și propunerilor.</w:t>
            </w:r>
          </w:p>
        </w:tc>
        <w:tc>
          <w:tcPr>
            <w:tcW w:w="3126" w:type="dxa"/>
          </w:tcPr>
          <w:p w14:paraId="205F02DA" w14:textId="7F56032E" w:rsidR="00E51EC3" w:rsidRPr="00436A5E" w:rsidRDefault="007C2D15"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7C2D15">
              <w:rPr>
                <w:rFonts w:ascii="Times New Roman" w:hAnsi="Times New Roman"/>
                <w:b/>
                <w:sz w:val="24"/>
                <w:szCs w:val="24"/>
                <w:lang w:val="ro-RO"/>
              </w:rPr>
              <w:t>S-a luat act de informare.</w:t>
            </w:r>
          </w:p>
        </w:tc>
      </w:tr>
      <w:tr w:rsidR="005E74E3" w:rsidRPr="00436A5E" w14:paraId="6C456547" w14:textId="77777777" w:rsidTr="00EA37C8">
        <w:trPr>
          <w:trHeight w:val="80"/>
        </w:trPr>
        <w:tc>
          <w:tcPr>
            <w:tcW w:w="14176" w:type="dxa"/>
            <w:gridSpan w:val="4"/>
          </w:tcPr>
          <w:p w14:paraId="457D201A" w14:textId="65B3DB62" w:rsidR="005E74E3" w:rsidRPr="005E74E3" w:rsidRDefault="005E74E3" w:rsidP="005E74E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5E74E3">
              <w:rPr>
                <w:rFonts w:ascii="Times New Roman" w:hAnsi="Times New Roman"/>
                <w:b/>
                <w:sz w:val="24"/>
                <w:szCs w:val="24"/>
                <w:lang w:val="ro-RO"/>
              </w:rPr>
              <w:t>Avizare repetată</w:t>
            </w:r>
          </w:p>
        </w:tc>
      </w:tr>
      <w:tr w:rsidR="005E74E3" w:rsidRPr="005E74E3" w14:paraId="0036FA58" w14:textId="77777777" w:rsidTr="00123523">
        <w:trPr>
          <w:trHeight w:val="80"/>
        </w:trPr>
        <w:tc>
          <w:tcPr>
            <w:tcW w:w="2407" w:type="dxa"/>
          </w:tcPr>
          <w:p w14:paraId="21F9C8A2" w14:textId="122DF5D5" w:rsidR="005E74E3" w:rsidRPr="005E74E3" w:rsidRDefault="005E74E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E74E3">
              <w:rPr>
                <w:rFonts w:ascii="Times New Roman" w:hAnsi="Times New Roman"/>
                <w:b/>
                <w:bCs/>
                <w:sz w:val="24"/>
                <w:szCs w:val="24"/>
                <w:lang w:val="ro-RO"/>
              </w:rPr>
              <w:t>Agenția Geodezie, Cartografie și Cadastru nr. 36/01-06/346 din 19.03.2026</w:t>
            </w:r>
          </w:p>
        </w:tc>
        <w:tc>
          <w:tcPr>
            <w:tcW w:w="709" w:type="dxa"/>
          </w:tcPr>
          <w:p w14:paraId="0692B537" w14:textId="3144339B"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13</w:t>
            </w:r>
          </w:p>
        </w:tc>
        <w:tc>
          <w:tcPr>
            <w:tcW w:w="7934" w:type="dxa"/>
          </w:tcPr>
          <w:p w14:paraId="453EA199" w14:textId="3EF695E7" w:rsidR="005E74E3" w:rsidRPr="005E74E3" w:rsidRDefault="005E74E3" w:rsidP="00E51EC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Comunică despre lipsa obiecțiilor și propunerilor.</w:t>
            </w:r>
          </w:p>
        </w:tc>
        <w:tc>
          <w:tcPr>
            <w:tcW w:w="3126" w:type="dxa"/>
          </w:tcPr>
          <w:p w14:paraId="0ECA4147" w14:textId="0A3FAC86" w:rsidR="005E74E3" w:rsidRPr="005E74E3" w:rsidRDefault="005E74E3"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E74E3">
              <w:rPr>
                <w:rFonts w:ascii="Times New Roman" w:hAnsi="Times New Roman"/>
                <w:b/>
                <w:sz w:val="24"/>
                <w:szCs w:val="24"/>
                <w:lang w:val="ro-RO"/>
              </w:rPr>
              <w:t>S-a luat act de informare.</w:t>
            </w:r>
          </w:p>
        </w:tc>
      </w:tr>
      <w:tr w:rsidR="005E74E3" w:rsidRPr="005E74E3" w14:paraId="4589DD3D" w14:textId="77777777" w:rsidTr="009C11DD">
        <w:trPr>
          <w:trHeight w:val="80"/>
        </w:trPr>
        <w:tc>
          <w:tcPr>
            <w:tcW w:w="14176" w:type="dxa"/>
            <w:gridSpan w:val="4"/>
          </w:tcPr>
          <w:p w14:paraId="18A67958" w14:textId="42763B62" w:rsidR="005E74E3" w:rsidRPr="005E74E3" w:rsidRDefault="005E74E3" w:rsidP="005E74E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Expertizare</w:t>
            </w:r>
          </w:p>
        </w:tc>
      </w:tr>
      <w:tr w:rsidR="005E74E3" w:rsidRPr="005E74E3" w14:paraId="3DAE601D" w14:textId="77777777" w:rsidTr="00123523">
        <w:trPr>
          <w:trHeight w:val="80"/>
        </w:trPr>
        <w:tc>
          <w:tcPr>
            <w:tcW w:w="2407" w:type="dxa"/>
          </w:tcPr>
          <w:p w14:paraId="306F8F80" w14:textId="0D489A41" w:rsidR="005E74E3" w:rsidRPr="005E74E3" w:rsidRDefault="005E74E3" w:rsidP="005E74E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E74E3">
              <w:rPr>
                <w:rFonts w:ascii="Times New Roman" w:hAnsi="Times New Roman"/>
                <w:b/>
                <w:bCs/>
                <w:sz w:val="24"/>
                <w:szCs w:val="24"/>
                <w:lang w:val="ro-RO"/>
              </w:rPr>
              <w:t>Ministerul Justiției</w:t>
            </w:r>
            <w:r>
              <w:rPr>
                <w:rFonts w:ascii="Times New Roman" w:hAnsi="Times New Roman"/>
                <w:b/>
                <w:bCs/>
                <w:sz w:val="24"/>
                <w:szCs w:val="24"/>
                <w:lang w:val="ro-RO"/>
              </w:rPr>
              <w:t xml:space="preserve"> </w:t>
            </w:r>
          </w:p>
          <w:p w14:paraId="07F6EBB1" w14:textId="1D85E637" w:rsidR="005E74E3" w:rsidRPr="005E74E3" w:rsidRDefault="005E74E3" w:rsidP="005E74E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5E74E3">
              <w:rPr>
                <w:rFonts w:ascii="Times New Roman" w:hAnsi="Times New Roman"/>
                <w:b/>
                <w:bCs/>
                <w:sz w:val="24"/>
                <w:szCs w:val="24"/>
                <w:lang w:val="ro-RO"/>
              </w:rPr>
              <w:t>nr.   04/2-3133</w:t>
            </w:r>
            <w:r>
              <w:rPr>
                <w:rFonts w:ascii="Times New Roman" w:hAnsi="Times New Roman"/>
                <w:b/>
                <w:bCs/>
                <w:sz w:val="24"/>
                <w:szCs w:val="24"/>
                <w:lang w:val="ro-RO"/>
              </w:rPr>
              <w:t xml:space="preserve"> din </w:t>
            </w:r>
            <w:r w:rsidRPr="005E74E3">
              <w:rPr>
                <w:rFonts w:ascii="Times New Roman" w:hAnsi="Times New Roman"/>
                <w:b/>
                <w:bCs/>
                <w:sz w:val="24"/>
                <w:szCs w:val="24"/>
                <w:lang w:val="ro-RO"/>
              </w:rPr>
              <w:t xml:space="preserve">23.03.2026      </w:t>
            </w:r>
          </w:p>
        </w:tc>
        <w:tc>
          <w:tcPr>
            <w:tcW w:w="709" w:type="dxa"/>
          </w:tcPr>
          <w:p w14:paraId="26BC9EEC" w14:textId="67924FE3"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14</w:t>
            </w:r>
          </w:p>
        </w:tc>
        <w:tc>
          <w:tcPr>
            <w:tcW w:w="7934" w:type="dxa"/>
          </w:tcPr>
          <w:p w14:paraId="6194472C" w14:textId="6A5C4118"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Sub aspectul </w:t>
            </w:r>
            <w:r w:rsidRPr="005E74E3">
              <w:rPr>
                <w:rFonts w:ascii="Times New Roman" w:hAnsi="Times New Roman"/>
                <w:sz w:val="24"/>
                <w:szCs w:val="24"/>
                <w:lang w:val="ro-RO"/>
              </w:rPr>
              <w:t>intenției</w:t>
            </w:r>
            <w:r w:rsidRPr="005E74E3">
              <w:rPr>
                <w:rFonts w:ascii="Times New Roman" w:hAnsi="Times New Roman"/>
                <w:sz w:val="24"/>
                <w:szCs w:val="24"/>
                <w:lang w:val="ro-RO"/>
              </w:rPr>
              <w:t xml:space="preserve"> de reglementare, potrivit notei de fundamentare, proiectul </w:t>
            </w:r>
          </w:p>
          <w:p w14:paraId="107B4033"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de act normativ este elaborat în scopul asigurării unor drepturi fundamentale ale </w:t>
            </w:r>
          </w:p>
          <w:p w14:paraId="635A9681"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cetățenilor, sporirea securității locative și ajustarea termenelor de conformare. </w:t>
            </w:r>
          </w:p>
          <w:p w14:paraId="254CB2A0"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Proiectul vizează modificarea cadrului normativ în domeniul locuințelor prin: </w:t>
            </w:r>
          </w:p>
          <w:p w14:paraId="4481FB22" w14:textId="3F209D4E"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interzicerea utilizării și depozitării buteliilor de gaze în blocuri locative; extinderea </w:t>
            </w:r>
            <w:r>
              <w:rPr>
                <w:rFonts w:ascii="Times New Roman" w:hAnsi="Times New Roman"/>
                <w:sz w:val="24"/>
                <w:szCs w:val="24"/>
                <w:lang w:val="ro-RO"/>
              </w:rPr>
              <w:t xml:space="preserve"> </w:t>
            </w:r>
            <w:r w:rsidRPr="005E74E3">
              <w:rPr>
                <w:rFonts w:ascii="Times New Roman" w:hAnsi="Times New Roman"/>
                <w:sz w:val="24"/>
                <w:szCs w:val="24"/>
                <w:lang w:val="ro-RO"/>
              </w:rPr>
              <w:t xml:space="preserve">unui termen legal existent; abrogarea unei prevederi din legislația privind </w:t>
            </w:r>
            <w:r>
              <w:rPr>
                <w:rFonts w:ascii="Times New Roman" w:hAnsi="Times New Roman"/>
                <w:sz w:val="24"/>
                <w:szCs w:val="24"/>
                <w:lang w:val="ro-RO"/>
              </w:rPr>
              <w:t xml:space="preserve"> </w:t>
            </w:r>
            <w:r w:rsidRPr="005E74E3">
              <w:rPr>
                <w:rFonts w:ascii="Times New Roman" w:hAnsi="Times New Roman"/>
                <w:sz w:val="24"/>
                <w:szCs w:val="24"/>
                <w:lang w:val="ro-RO"/>
              </w:rPr>
              <w:t xml:space="preserve">condominiul.  </w:t>
            </w:r>
          </w:p>
          <w:p w14:paraId="498C2FCD" w14:textId="58E15474"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În context, </w:t>
            </w:r>
            <w:r w:rsidRPr="005E74E3">
              <w:rPr>
                <w:rFonts w:ascii="Times New Roman" w:hAnsi="Times New Roman"/>
                <w:sz w:val="24"/>
                <w:szCs w:val="24"/>
                <w:lang w:val="ro-RO"/>
              </w:rPr>
              <w:t>raționamentele</w:t>
            </w:r>
            <w:r w:rsidRPr="005E74E3">
              <w:rPr>
                <w:rFonts w:ascii="Times New Roman" w:hAnsi="Times New Roman"/>
                <w:sz w:val="24"/>
                <w:szCs w:val="24"/>
                <w:lang w:val="ro-RO"/>
              </w:rPr>
              <w:t xml:space="preserve"> expuse de </w:t>
            </w:r>
            <w:r w:rsidRPr="005E74E3">
              <w:rPr>
                <w:rFonts w:ascii="Times New Roman" w:hAnsi="Times New Roman"/>
                <w:sz w:val="24"/>
                <w:szCs w:val="24"/>
                <w:lang w:val="ro-RO"/>
              </w:rPr>
              <w:t>inițiator</w:t>
            </w:r>
            <w:r w:rsidRPr="005E74E3">
              <w:rPr>
                <w:rFonts w:ascii="Times New Roman" w:hAnsi="Times New Roman"/>
                <w:sz w:val="24"/>
                <w:szCs w:val="24"/>
                <w:lang w:val="ro-RO"/>
              </w:rPr>
              <w:t xml:space="preserve"> în notă reflectă motivul elaborării </w:t>
            </w:r>
          </w:p>
          <w:p w14:paraId="2D29915D" w14:textId="5D36EDB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lastRenderedPageBreak/>
              <w:t>proiectului actului normativ.</w:t>
            </w:r>
          </w:p>
        </w:tc>
        <w:tc>
          <w:tcPr>
            <w:tcW w:w="3126" w:type="dxa"/>
          </w:tcPr>
          <w:p w14:paraId="2EBA5728" w14:textId="026C9BCC" w:rsidR="005E74E3" w:rsidRPr="005E74E3" w:rsidRDefault="005E74E3"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sidRPr="005E74E3">
              <w:rPr>
                <w:rFonts w:ascii="Times New Roman" w:hAnsi="Times New Roman"/>
                <w:b/>
                <w:sz w:val="24"/>
                <w:szCs w:val="24"/>
                <w:lang w:val="ro-RO"/>
              </w:rPr>
              <w:lastRenderedPageBreak/>
              <w:t>S-a luat act de informare.</w:t>
            </w:r>
          </w:p>
        </w:tc>
      </w:tr>
      <w:tr w:rsidR="005E74E3" w:rsidRPr="005E74E3" w14:paraId="32C33D70" w14:textId="77777777" w:rsidTr="005E74E3">
        <w:trPr>
          <w:trHeight w:val="3360"/>
        </w:trPr>
        <w:tc>
          <w:tcPr>
            <w:tcW w:w="2407" w:type="dxa"/>
            <w:vMerge w:val="restart"/>
          </w:tcPr>
          <w:p w14:paraId="5608A6FB" w14:textId="77777777" w:rsidR="005E74E3" w:rsidRPr="005E74E3" w:rsidRDefault="005E74E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bottom w:val="single" w:sz="4" w:space="0" w:color="auto"/>
            </w:tcBorders>
          </w:tcPr>
          <w:p w14:paraId="24FAC83F" w14:textId="1E332E2C"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5E74E3">
              <w:rPr>
                <w:rFonts w:ascii="Times New Roman" w:hAnsi="Times New Roman"/>
                <w:b/>
                <w:sz w:val="24"/>
                <w:szCs w:val="24"/>
                <w:lang w:val="ro-RO"/>
              </w:rPr>
              <w:t>15</w:t>
            </w:r>
          </w:p>
        </w:tc>
        <w:tc>
          <w:tcPr>
            <w:tcW w:w="7934" w:type="dxa"/>
            <w:tcBorders>
              <w:bottom w:val="single" w:sz="4" w:space="0" w:color="auto"/>
            </w:tcBorders>
          </w:tcPr>
          <w:p w14:paraId="0179E0B1"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Aferent rigorilor normative, se vor reține următoarele: </w:t>
            </w:r>
          </w:p>
          <w:p w14:paraId="3BAD9DD3"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La Art. I (Legea nr. 75/2015 cu privire la locuințe): </w:t>
            </w:r>
          </w:p>
          <w:p w14:paraId="0E8C71FC"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La pct. 1: </w:t>
            </w:r>
          </w:p>
          <w:p w14:paraId="678A6BA6" w14:textId="2C6C13C6"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referitor la completarea art. 55 cu alin. (4), semnalăm că, în conținutul art. 55 sunt reglementate restricții la reconstrucția încăperilor și la executarea lucrărilor de </w:t>
            </w:r>
          </w:p>
          <w:p w14:paraId="30A26FB7" w14:textId="77777777" w:rsidR="009315CB"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reconstrucție.</w:t>
            </w:r>
          </w:p>
          <w:p w14:paraId="43E0E34A" w14:textId="62A49A38"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În redacția propusă a alin. (4) se introduce o interdicție expresă privind utilizarea buteliilor de gaz comprimat/lichefiat în blocuri locative și depozitarea acestora în interiorul blocurilor. Măsura este justificată din perspectiva securității antiincendiare și prevenirii exploziilor și accidentelor domestice, însă norma propusă nu se integrează armonios în articolul respectiv care se referă la lucrări de reconstrucție a încăperilor (a se vedea: art. 63 alin. (2) din Legea nr. 100/2017 cu </w:t>
            </w:r>
            <w:r w:rsidRPr="005E74E3">
              <w:rPr>
                <w:rFonts w:ascii="Times New Roman" w:hAnsi="Times New Roman"/>
                <w:sz w:val="24"/>
                <w:szCs w:val="24"/>
                <w:lang w:val="ro-RO"/>
              </w:rPr>
              <w:t xml:space="preserve"> </w:t>
            </w:r>
            <w:r w:rsidRPr="005E74E3">
              <w:rPr>
                <w:rFonts w:ascii="Times New Roman" w:hAnsi="Times New Roman"/>
                <w:sz w:val="24"/>
                <w:szCs w:val="24"/>
                <w:lang w:val="ro-RO"/>
              </w:rPr>
              <w:t xml:space="preserve">privire la actele normative); </w:t>
            </w:r>
          </w:p>
        </w:tc>
        <w:tc>
          <w:tcPr>
            <w:tcW w:w="3126" w:type="dxa"/>
            <w:tcBorders>
              <w:bottom w:val="single" w:sz="4" w:space="0" w:color="auto"/>
            </w:tcBorders>
          </w:tcPr>
          <w:p w14:paraId="05372E73" w14:textId="77777777" w:rsidR="009315CB" w:rsidRDefault="009315CB"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257C75E3" w14:textId="069B154B" w:rsidR="009315CB" w:rsidRPr="009315CB" w:rsidRDefault="009315CB" w:rsidP="005F180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9315CB">
              <w:rPr>
                <w:rFonts w:ascii="Times New Roman" w:hAnsi="Times New Roman"/>
                <w:bCs/>
                <w:sz w:val="24"/>
                <w:szCs w:val="24"/>
                <w:lang w:val="ro-RO"/>
              </w:rPr>
              <w:t>Legea nr. 75/2015 cu privire la locuințe, se va completat cu art. 55</w:t>
            </w:r>
            <w:r w:rsidRPr="009315CB">
              <w:rPr>
                <w:rFonts w:ascii="Times New Roman" w:hAnsi="Times New Roman"/>
                <w:bCs/>
                <w:sz w:val="24"/>
                <w:szCs w:val="24"/>
                <w:vertAlign w:val="superscript"/>
                <w:lang w:val="ro-RO"/>
              </w:rPr>
              <w:t>1</w:t>
            </w:r>
            <w:r w:rsidRPr="009315CB">
              <w:rPr>
                <w:rFonts w:ascii="Times New Roman" w:hAnsi="Times New Roman"/>
                <w:bCs/>
                <w:sz w:val="24"/>
                <w:szCs w:val="24"/>
                <w:lang w:val="ro-RO"/>
              </w:rPr>
              <w:t>, care va conține norma respectivă.</w:t>
            </w:r>
          </w:p>
        </w:tc>
      </w:tr>
      <w:tr w:rsidR="005E74E3" w:rsidRPr="005E74E3" w14:paraId="2C9ADF42" w14:textId="77777777" w:rsidTr="005E74E3">
        <w:trPr>
          <w:trHeight w:val="1425"/>
        </w:trPr>
        <w:tc>
          <w:tcPr>
            <w:tcW w:w="2407" w:type="dxa"/>
            <w:vMerge/>
          </w:tcPr>
          <w:p w14:paraId="17A5022C" w14:textId="77777777" w:rsidR="005E74E3" w:rsidRPr="005E74E3" w:rsidRDefault="005E74E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bottom w:val="single" w:sz="4" w:space="0" w:color="auto"/>
            </w:tcBorders>
          </w:tcPr>
          <w:p w14:paraId="3051145F" w14:textId="52EE66A0"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5E74E3">
              <w:rPr>
                <w:rFonts w:ascii="Times New Roman" w:hAnsi="Times New Roman"/>
                <w:b/>
                <w:sz w:val="24"/>
                <w:szCs w:val="24"/>
                <w:lang w:val="ro-RO"/>
              </w:rPr>
              <w:t>16</w:t>
            </w:r>
          </w:p>
        </w:tc>
        <w:tc>
          <w:tcPr>
            <w:tcW w:w="7934" w:type="dxa"/>
            <w:tcBorders>
              <w:top w:val="single" w:sz="4" w:space="0" w:color="auto"/>
              <w:bottom w:val="single" w:sz="4" w:space="0" w:color="auto"/>
            </w:tcBorders>
          </w:tcPr>
          <w:p w14:paraId="3711844E"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noțiunea „interiorul blocurilor locative” este redată vag și necesită clarificare, </w:t>
            </w:r>
          </w:p>
          <w:p w14:paraId="360D7C3A"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iar sintagma „aparate consumatoare de gaz” urmează a fi definită și corelată cu </w:t>
            </w:r>
          </w:p>
          <w:p w14:paraId="3E639962"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prevederile legislației (a se vedea: Reglementarea tehnică privind aparatele </w:t>
            </w:r>
          </w:p>
          <w:p w14:paraId="0E00160D"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consumatoare de combustibili gazoși, aprobată prin Hotărârea Guvernului nr. </w:t>
            </w:r>
          </w:p>
          <w:p w14:paraId="318757CE"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109/2022);</w:t>
            </w:r>
          </w:p>
        </w:tc>
        <w:tc>
          <w:tcPr>
            <w:tcW w:w="3126" w:type="dxa"/>
            <w:tcBorders>
              <w:top w:val="single" w:sz="4" w:space="0" w:color="auto"/>
              <w:bottom w:val="single" w:sz="4" w:space="0" w:color="auto"/>
            </w:tcBorders>
          </w:tcPr>
          <w:p w14:paraId="6F68654B" w14:textId="77777777" w:rsidR="005E74E3" w:rsidRDefault="009B7BEE"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304044C4" w14:textId="324B4125" w:rsidR="009B7BEE" w:rsidRPr="009B7BEE" w:rsidRDefault="009B7BEE" w:rsidP="005F180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9B7BEE">
              <w:rPr>
                <w:rFonts w:ascii="Times New Roman" w:hAnsi="Times New Roman"/>
                <w:bCs/>
                <w:sz w:val="24"/>
                <w:szCs w:val="24"/>
                <w:lang w:val="ro-RO"/>
              </w:rPr>
              <w:t>Noțiunile au fost ajustate.</w:t>
            </w:r>
          </w:p>
        </w:tc>
      </w:tr>
      <w:tr w:rsidR="005E74E3" w:rsidRPr="005E74E3" w14:paraId="22676824" w14:textId="77777777" w:rsidTr="005E74E3">
        <w:trPr>
          <w:trHeight w:val="369"/>
        </w:trPr>
        <w:tc>
          <w:tcPr>
            <w:tcW w:w="2407" w:type="dxa"/>
            <w:vMerge/>
          </w:tcPr>
          <w:p w14:paraId="32B1D49B" w14:textId="77777777" w:rsidR="005E74E3" w:rsidRPr="005E74E3" w:rsidRDefault="005E74E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bottom w:val="single" w:sz="4" w:space="0" w:color="auto"/>
            </w:tcBorders>
          </w:tcPr>
          <w:p w14:paraId="03C406EE" w14:textId="5B83658D"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17</w:t>
            </w:r>
          </w:p>
          <w:p w14:paraId="6B3619A5" w14:textId="77777777"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p>
        </w:tc>
        <w:tc>
          <w:tcPr>
            <w:tcW w:w="7934" w:type="dxa"/>
            <w:tcBorders>
              <w:top w:val="single" w:sz="4" w:space="0" w:color="auto"/>
              <w:bottom w:val="single" w:sz="4" w:space="0" w:color="auto"/>
            </w:tcBorders>
          </w:tcPr>
          <w:p w14:paraId="4D64DFF2"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cu referire la stabilirea răspunderii proprietarului/locatarului/administratorului </w:t>
            </w:r>
          </w:p>
          <w:p w14:paraId="1582B8E5" w14:textId="49657935"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asociației sau gestionarului condominiului pentru încălcarea acestei interdicții, se va lua în considerare că, prevederile generale privind survenirea răspunderii pentru nerespectarea normelor, poartă un caracter declarativ și necesită a fi excluse. Răspunderea juridică trebuie să fie prevăzută de normele materiale, ce stabilesc tipul concret de răspundere (civilă, contravențională sau penală), determină faptele și sancțiunile pentru comiterea acestora.  </w:t>
            </w:r>
          </w:p>
        </w:tc>
        <w:tc>
          <w:tcPr>
            <w:tcW w:w="3126" w:type="dxa"/>
            <w:tcBorders>
              <w:top w:val="single" w:sz="4" w:space="0" w:color="auto"/>
              <w:bottom w:val="single" w:sz="4" w:space="0" w:color="auto"/>
            </w:tcBorders>
          </w:tcPr>
          <w:p w14:paraId="62C47354" w14:textId="77777777" w:rsidR="005E74E3" w:rsidRDefault="00DD591B"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p w14:paraId="52FBD6AC" w14:textId="6C254D47" w:rsidR="00DD591B" w:rsidRPr="00DD591B" w:rsidRDefault="00DD591B" w:rsidP="005F1808">
            <w:pPr>
              <w:pBdr>
                <w:top w:val="none" w:sz="4" w:space="0" w:color="000000"/>
                <w:left w:val="none" w:sz="4" w:space="0" w:color="000000"/>
                <w:bottom w:val="none" w:sz="4" w:space="0" w:color="000000"/>
                <w:right w:val="none" w:sz="4" w:space="0" w:color="000000"/>
              </w:pBdr>
              <w:ind w:firstLine="0"/>
              <w:rPr>
                <w:rFonts w:ascii="Times New Roman" w:hAnsi="Times New Roman"/>
                <w:bCs/>
                <w:sz w:val="24"/>
                <w:szCs w:val="24"/>
                <w:lang w:val="ro-RO"/>
              </w:rPr>
            </w:pPr>
            <w:r w:rsidRPr="00DD591B">
              <w:rPr>
                <w:rFonts w:ascii="Times New Roman" w:hAnsi="Times New Roman"/>
                <w:bCs/>
                <w:sz w:val="24"/>
                <w:szCs w:val="24"/>
                <w:lang w:val="ro-RO"/>
              </w:rPr>
              <w:t>Norma a fost redactată.</w:t>
            </w:r>
          </w:p>
        </w:tc>
      </w:tr>
      <w:tr w:rsidR="005E74E3" w:rsidRPr="005E74E3" w14:paraId="3CCA52A1" w14:textId="77777777" w:rsidTr="005E74E3">
        <w:trPr>
          <w:trHeight w:val="495"/>
        </w:trPr>
        <w:tc>
          <w:tcPr>
            <w:tcW w:w="2407" w:type="dxa"/>
            <w:vMerge/>
          </w:tcPr>
          <w:p w14:paraId="20C4894A" w14:textId="77777777" w:rsidR="005E74E3" w:rsidRPr="005E74E3" w:rsidRDefault="005E74E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p>
        </w:tc>
        <w:tc>
          <w:tcPr>
            <w:tcW w:w="709" w:type="dxa"/>
            <w:tcBorders>
              <w:top w:val="single" w:sz="4" w:space="0" w:color="auto"/>
            </w:tcBorders>
          </w:tcPr>
          <w:p w14:paraId="2ED3B0B4" w14:textId="5CD1E715"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Pr>
                <w:rFonts w:ascii="Times New Roman" w:hAnsi="Times New Roman"/>
                <w:b/>
                <w:sz w:val="24"/>
                <w:szCs w:val="24"/>
                <w:lang w:val="ro-RO"/>
              </w:rPr>
              <w:t>18</w:t>
            </w:r>
          </w:p>
        </w:tc>
        <w:tc>
          <w:tcPr>
            <w:tcW w:w="7934" w:type="dxa"/>
            <w:tcBorders>
              <w:top w:val="single" w:sz="4" w:space="0" w:color="auto"/>
            </w:tcBorders>
          </w:tcPr>
          <w:p w14:paraId="309C318C"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La pct. 2, dispoziția ce vizează modificarea art. 59 se va expune în modul </w:t>
            </w:r>
          </w:p>
          <w:p w14:paraId="7325A764"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următor: „</w:t>
            </w:r>
            <w:bookmarkStart w:id="2" w:name="_Hlk225322555"/>
            <w:r w:rsidRPr="005E74E3">
              <w:rPr>
                <w:rFonts w:ascii="Times New Roman" w:hAnsi="Times New Roman"/>
                <w:sz w:val="24"/>
                <w:szCs w:val="24"/>
                <w:lang w:val="ro-RO"/>
              </w:rPr>
              <w:t xml:space="preserve">La articolul 59 alineatul (3), textul „31 mai 2026” se substituie cu textul </w:t>
            </w:r>
          </w:p>
          <w:p w14:paraId="0A2EB48C" w14:textId="069397E0"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„31 mai 2029</w:t>
            </w:r>
            <w:bookmarkEnd w:id="2"/>
            <w:r w:rsidRPr="005E74E3">
              <w:rPr>
                <w:rFonts w:ascii="Times New Roman" w:hAnsi="Times New Roman"/>
                <w:sz w:val="24"/>
                <w:szCs w:val="24"/>
                <w:lang w:val="ro-RO"/>
              </w:rPr>
              <w:t>””.</w:t>
            </w:r>
          </w:p>
        </w:tc>
        <w:tc>
          <w:tcPr>
            <w:tcW w:w="3126" w:type="dxa"/>
            <w:tcBorders>
              <w:top w:val="single" w:sz="4" w:space="0" w:color="auto"/>
            </w:tcBorders>
          </w:tcPr>
          <w:p w14:paraId="3CD11974" w14:textId="6F4033D2" w:rsidR="005E74E3" w:rsidRPr="005E74E3" w:rsidRDefault="00DD591B"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t>Se acceptă.</w:t>
            </w:r>
          </w:p>
        </w:tc>
      </w:tr>
      <w:tr w:rsidR="005E74E3" w:rsidRPr="005E74E3" w14:paraId="5EC651AB" w14:textId="77777777" w:rsidTr="00123523">
        <w:trPr>
          <w:trHeight w:val="80"/>
        </w:trPr>
        <w:tc>
          <w:tcPr>
            <w:tcW w:w="2407" w:type="dxa"/>
          </w:tcPr>
          <w:p w14:paraId="09CA93EC" w14:textId="416E062F" w:rsidR="005E74E3" w:rsidRPr="005E74E3" w:rsidRDefault="005E74E3" w:rsidP="00E51EC3">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Pr>
                <w:rFonts w:ascii="Times New Roman" w:hAnsi="Times New Roman"/>
                <w:b/>
                <w:bCs/>
                <w:sz w:val="24"/>
                <w:szCs w:val="24"/>
                <w:lang w:val="ro-RO"/>
              </w:rPr>
              <w:t xml:space="preserve">Centrul Național Anticorupție nr. </w:t>
            </w:r>
            <w:r w:rsidRPr="005E74E3">
              <w:rPr>
                <w:rFonts w:ascii="Times New Roman" w:hAnsi="Times New Roman"/>
                <w:b/>
                <w:bCs/>
                <w:sz w:val="24"/>
                <w:szCs w:val="24"/>
                <w:lang w:val="ro-RO"/>
              </w:rPr>
              <w:t>06/2/4842 din 17.03.2026</w:t>
            </w:r>
          </w:p>
        </w:tc>
        <w:tc>
          <w:tcPr>
            <w:tcW w:w="709" w:type="dxa"/>
          </w:tcPr>
          <w:p w14:paraId="3B9988D8" w14:textId="2173CB40" w:rsidR="005E74E3" w:rsidRPr="005E74E3" w:rsidRDefault="005E74E3" w:rsidP="00E51EC3">
            <w:pPr>
              <w:pBdr>
                <w:top w:val="none" w:sz="4" w:space="0" w:color="000000"/>
                <w:left w:val="none" w:sz="4" w:space="0" w:color="000000"/>
                <w:bottom w:val="none" w:sz="4" w:space="0" w:color="000000"/>
                <w:right w:val="none" w:sz="4" w:space="0" w:color="000000"/>
              </w:pBdr>
              <w:ind w:firstLine="0"/>
              <w:jc w:val="center"/>
              <w:rPr>
                <w:rFonts w:ascii="Times New Roman" w:hAnsi="Times New Roman"/>
                <w:b/>
                <w:sz w:val="24"/>
                <w:szCs w:val="24"/>
                <w:lang w:val="ro-RO"/>
              </w:rPr>
            </w:pPr>
            <w:r w:rsidRPr="005E74E3">
              <w:rPr>
                <w:rFonts w:ascii="Times New Roman" w:hAnsi="Times New Roman"/>
                <w:b/>
                <w:sz w:val="24"/>
                <w:szCs w:val="24"/>
                <w:lang w:val="ro-RO"/>
              </w:rPr>
              <w:t>1</w:t>
            </w:r>
            <w:r>
              <w:rPr>
                <w:rFonts w:ascii="Times New Roman" w:hAnsi="Times New Roman"/>
                <w:b/>
                <w:sz w:val="24"/>
                <w:szCs w:val="24"/>
                <w:lang w:val="ro-RO"/>
              </w:rPr>
              <w:t>9</w:t>
            </w:r>
          </w:p>
        </w:tc>
        <w:tc>
          <w:tcPr>
            <w:tcW w:w="7934" w:type="dxa"/>
          </w:tcPr>
          <w:p w14:paraId="2B31914D" w14:textId="77777777" w:rsidR="005E74E3" w:rsidRP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La </w:t>
            </w:r>
            <w:r w:rsidRPr="005E74E3">
              <w:rPr>
                <w:rFonts w:ascii="Times New Roman" w:hAnsi="Times New Roman"/>
                <w:sz w:val="24"/>
                <w:szCs w:val="24"/>
                <w:lang w:val="ro-RO"/>
              </w:rPr>
              <w:t>Art.I. pct.1</w:t>
            </w:r>
            <w:r w:rsidRPr="005E74E3">
              <w:rPr>
                <w:rFonts w:ascii="Times New Roman" w:hAnsi="Times New Roman"/>
                <w:sz w:val="24"/>
                <w:szCs w:val="24"/>
                <w:lang w:val="ro-RO"/>
              </w:rPr>
              <w:t>:</w:t>
            </w:r>
          </w:p>
          <w:p w14:paraId="1C115F9C" w14:textId="77777777" w:rsidR="0018759C"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b/>
                <w:bCs/>
                <w:i/>
                <w:iCs/>
                <w:sz w:val="24"/>
                <w:szCs w:val="24"/>
                <w:lang w:val="ro-RO"/>
              </w:rPr>
              <w:t>Obiecții:</w:t>
            </w:r>
            <w:r w:rsidRPr="005E74E3">
              <w:rPr>
                <w:rFonts w:ascii="Times New Roman" w:hAnsi="Times New Roman"/>
                <w:sz w:val="24"/>
                <w:szCs w:val="24"/>
                <w:lang w:val="ro-RO"/>
              </w:rPr>
              <w:t xml:space="preserve"> Apreciind prin prisma exigențelor de tehnică legislativă vizate de art.29 alin.(2) al Legii nr.100/2017, se remarcă faptul că prevederile proiectului nu reglementează categoria de răspundere aplicabilă pentru nerespectarea exigențelor impuse, fapt care poate condiționa incertitudine la etapa implementării normei sub aspectul delimitării sancțiunilor aplicabile și multiple riscuri aferente proceselor reglementate. </w:t>
            </w:r>
          </w:p>
          <w:p w14:paraId="13421812" w14:textId="77777777" w:rsidR="0018759C"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lastRenderedPageBreak/>
              <w:t xml:space="preserve">Termenul ”responsabilitate” desemnează o obligație generală de conduită, fără a implica în mod necesar consecințe juridice determinate, în timp ce termenul ”răspundere” desemnează obligația juridică de a suporta consecințele prevăzute de lege în cazul nerespectării normei. </w:t>
            </w:r>
          </w:p>
          <w:p w14:paraId="0BE1EB91" w14:textId="77777777" w:rsidR="0018759C"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Aceste noțiuni constituie concepte juridice distincte, care nu sunt echivalente din punct de vedere juridic și a căror utilizare improprie poate genera 3 ambiguități în aplicarea normei. </w:t>
            </w:r>
          </w:p>
          <w:p w14:paraId="08E86A67" w14:textId="77777777" w:rsidR="0018759C"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 xml:space="preserve">Omisiunile legiuitorului de a reglementa aspecte ale relaţiilor sociale, existenţa cărora rezultă din realitatea obiectivă sau din alte prevederi ale aceluiaşi act, condiționează incertitudine în cadrul relaţiilor sociale reglementate, îndeosebi cele referitoare la mecanismele de realizare a drepturilor, de îndeplinire a obligaţiilor, ambiguitatea atribuţiilor agenților publici şi a procedurilor administrative de care ei sunt responsabili etc., situaţii în care entitățile responsabile de executarea legii respective se pot prevala de această deficienţă pentru a comite abuzuri. </w:t>
            </w:r>
          </w:p>
          <w:p w14:paraId="4A64CB8E" w14:textId="77777777" w:rsidR="005E74E3" w:rsidRDefault="005E74E3" w:rsidP="005E74E3">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5E74E3">
              <w:rPr>
                <w:rFonts w:ascii="Times New Roman" w:hAnsi="Times New Roman"/>
                <w:sz w:val="24"/>
                <w:szCs w:val="24"/>
                <w:lang w:val="ro-RO"/>
              </w:rPr>
              <w:t>În context, reiterăm concluziile vizate de Curtea Constituțională Hotărârea nr.26/2010, după cum urmează: “Pentru a corespunde celor trei criterii de calitate – accesibilitate, previzibilitate şi claritate norma de drept trebuie să fie formulată cu suficientă precizie, astfel încât să permită persoanei să decidă asupra conduitei sale şi să prevadă, în mod rezonabil, în funcţie de circumstanţele cauzei, consecinţele acestei conduite. În caz contrar, cu toate că legea conţine o normă de drept care aparent descrie conduita persoanei în situaţia dată, persoana poate pretinde că nu-şi cunoaşte drepturile şi obligaţiile. Într-o astfel de interpretare, norma ce nu corespunde criteriilor clarităţii este contrară art.23 din Constituţie […].”</w:t>
            </w:r>
          </w:p>
          <w:p w14:paraId="1A018D53" w14:textId="77777777" w:rsidR="0018759C" w:rsidRPr="0018759C" w:rsidRDefault="0018759C" w:rsidP="0018759C">
            <w:pPr>
              <w:pBdr>
                <w:top w:val="none" w:sz="4" w:space="0" w:color="000000"/>
                <w:left w:val="none" w:sz="4" w:space="0" w:color="000000"/>
                <w:bottom w:val="none" w:sz="4" w:space="0" w:color="000000"/>
                <w:right w:val="none" w:sz="4" w:space="0" w:color="000000"/>
              </w:pBdr>
              <w:ind w:firstLine="0"/>
              <w:rPr>
                <w:rFonts w:ascii="Times New Roman" w:hAnsi="Times New Roman"/>
                <w:b/>
                <w:bCs/>
                <w:i/>
                <w:iCs/>
                <w:sz w:val="24"/>
                <w:szCs w:val="24"/>
                <w:lang w:val="ro-RO"/>
              </w:rPr>
            </w:pPr>
            <w:r w:rsidRPr="0018759C">
              <w:rPr>
                <w:rFonts w:ascii="Times New Roman" w:hAnsi="Times New Roman"/>
                <w:b/>
                <w:bCs/>
                <w:i/>
                <w:iCs/>
                <w:sz w:val="24"/>
                <w:szCs w:val="24"/>
                <w:lang w:val="ro-RO"/>
              </w:rPr>
              <w:t>Recomandări:</w:t>
            </w:r>
          </w:p>
          <w:p w14:paraId="0C23A495" w14:textId="48975822" w:rsidR="0018759C" w:rsidRPr="005E74E3" w:rsidRDefault="0018759C" w:rsidP="0018759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18759C">
              <w:rPr>
                <w:rFonts w:ascii="Times New Roman" w:hAnsi="Times New Roman"/>
                <w:sz w:val="24"/>
                <w:szCs w:val="24"/>
                <w:lang w:val="ro-RO"/>
              </w:rPr>
              <w:t>Concretizarea categoriei de răspundere juridică aplicabilă.</w:t>
            </w:r>
          </w:p>
        </w:tc>
        <w:tc>
          <w:tcPr>
            <w:tcW w:w="3126" w:type="dxa"/>
          </w:tcPr>
          <w:p w14:paraId="4E6DA100" w14:textId="70662AD8" w:rsidR="005E74E3" w:rsidRPr="005E74E3" w:rsidRDefault="00DD591B" w:rsidP="005F1808">
            <w:pPr>
              <w:pBdr>
                <w:top w:val="none" w:sz="4" w:space="0" w:color="000000"/>
                <w:left w:val="none" w:sz="4" w:space="0" w:color="000000"/>
                <w:bottom w:val="none" w:sz="4" w:space="0" w:color="000000"/>
                <w:right w:val="none" w:sz="4" w:space="0" w:color="000000"/>
              </w:pBdr>
              <w:ind w:firstLine="0"/>
              <w:rPr>
                <w:rFonts w:ascii="Times New Roman" w:hAnsi="Times New Roman"/>
                <w:b/>
                <w:sz w:val="24"/>
                <w:szCs w:val="24"/>
                <w:lang w:val="ro-RO"/>
              </w:rPr>
            </w:pPr>
            <w:r>
              <w:rPr>
                <w:rFonts w:ascii="Times New Roman" w:hAnsi="Times New Roman"/>
                <w:b/>
                <w:sz w:val="24"/>
                <w:szCs w:val="24"/>
                <w:lang w:val="ro-RO"/>
              </w:rPr>
              <w:lastRenderedPageBreak/>
              <w:t>Se acceptă.</w:t>
            </w:r>
          </w:p>
        </w:tc>
      </w:tr>
      <w:bookmarkEnd w:id="1"/>
    </w:tbl>
    <w:p w14:paraId="478D9477" w14:textId="77777777" w:rsidR="00F92348" w:rsidRPr="005E74E3" w:rsidRDefault="00F92348"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1295CC53" w14:textId="77777777" w:rsidR="00CB7CD7" w:rsidRPr="00436A5E" w:rsidRDefault="00CB7CD7" w:rsidP="0002086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p w14:paraId="42E79DD2" w14:textId="08388E76" w:rsidR="00CB7CD7" w:rsidRPr="00436A5E" w:rsidRDefault="001D66CB" w:rsidP="001D66CB">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1560"/>
        <w:jc w:val="center"/>
        <w:rPr>
          <w:b/>
          <w:sz w:val="24"/>
          <w:szCs w:val="24"/>
          <w:lang w:val="ro-RO"/>
        </w:rPr>
      </w:pPr>
      <w:r>
        <w:rPr>
          <w:b/>
          <w:sz w:val="24"/>
          <w:szCs w:val="24"/>
          <w:lang w:val="ro-RO"/>
        </w:rPr>
        <w:t xml:space="preserve">Viceprim-ministru, ministru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Vladimir BOLEA</w:t>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r w:rsidR="00CB7CD7" w:rsidRPr="00436A5E">
        <w:rPr>
          <w:b/>
          <w:sz w:val="24"/>
          <w:szCs w:val="24"/>
          <w:lang w:val="ro-RO"/>
        </w:rPr>
        <w:tab/>
      </w:r>
    </w:p>
    <w:sectPr w:rsidR="00CB7CD7" w:rsidRPr="00436A5E" w:rsidSect="00FA6063">
      <w:headerReference w:type="default" r:id="rId11"/>
      <w:headerReference w:type="first" r:id="rId12"/>
      <w:pgSz w:w="16840" w:h="11907" w:orient="landscape"/>
      <w:pgMar w:top="567"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FEA2" w14:textId="77777777" w:rsidR="004C6BCF" w:rsidRDefault="004C6BCF">
      <w:r>
        <w:separator/>
      </w:r>
    </w:p>
  </w:endnote>
  <w:endnote w:type="continuationSeparator" w:id="0">
    <w:p w14:paraId="412CAE65" w14:textId="77777777" w:rsidR="004C6BCF" w:rsidRDefault="004C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5A76" w14:textId="77777777" w:rsidR="004C6BCF" w:rsidRDefault="004C6BCF">
      <w:r>
        <w:separator/>
      </w:r>
    </w:p>
  </w:footnote>
  <w:footnote w:type="continuationSeparator" w:id="0">
    <w:p w14:paraId="2603B5B8" w14:textId="77777777" w:rsidR="004C6BCF" w:rsidRDefault="004C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493290" w:rsidRPr="00493290">
      <w:rPr>
        <w:noProof/>
        <w:sz w:val="28"/>
        <w:szCs w:val="28"/>
        <w:lang w:val="ro-RO"/>
      </w:rPr>
      <w:t>4</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C5A18D2"/>
    <w:multiLevelType w:val="hybridMultilevel"/>
    <w:tmpl w:val="D5060288"/>
    <w:lvl w:ilvl="0" w:tplc="9AE4C84C">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84F4391"/>
    <w:multiLevelType w:val="hybridMultilevel"/>
    <w:tmpl w:val="A8A8E19A"/>
    <w:lvl w:ilvl="0" w:tplc="9AE4C8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32491861">
    <w:abstractNumId w:val="33"/>
  </w:num>
  <w:num w:numId="2" w16cid:durableId="601183570">
    <w:abstractNumId w:val="35"/>
  </w:num>
  <w:num w:numId="3" w16cid:durableId="1126047544">
    <w:abstractNumId w:val="14"/>
  </w:num>
  <w:num w:numId="4" w16cid:durableId="1953130477">
    <w:abstractNumId w:val="28"/>
  </w:num>
  <w:num w:numId="5" w16cid:durableId="110055020">
    <w:abstractNumId w:val="17"/>
  </w:num>
  <w:num w:numId="6" w16cid:durableId="1815489630">
    <w:abstractNumId w:val="11"/>
  </w:num>
  <w:num w:numId="7" w16cid:durableId="1096750002">
    <w:abstractNumId w:val="5"/>
  </w:num>
  <w:num w:numId="8" w16cid:durableId="963846231">
    <w:abstractNumId w:val="6"/>
  </w:num>
  <w:num w:numId="9" w16cid:durableId="763232315">
    <w:abstractNumId w:val="25"/>
  </w:num>
  <w:num w:numId="10" w16cid:durableId="1935703497">
    <w:abstractNumId w:val="3"/>
  </w:num>
  <w:num w:numId="11" w16cid:durableId="257174842">
    <w:abstractNumId w:val="24"/>
  </w:num>
  <w:num w:numId="12" w16cid:durableId="1176383241">
    <w:abstractNumId w:val="2"/>
  </w:num>
  <w:num w:numId="13" w16cid:durableId="1941332972">
    <w:abstractNumId w:val="37"/>
  </w:num>
  <w:num w:numId="14" w16cid:durableId="290133654">
    <w:abstractNumId w:val="18"/>
  </w:num>
  <w:num w:numId="15" w16cid:durableId="1946451384">
    <w:abstractNumId w:val="19"/>
  </w:num>
  <w:num w:numId="16" w16cid:durableId="101847020">
    <w:abstractNumId w:val="32"/>
  </w:num>
  <w:num w:numId="17" w16cid:durableId="1019544639">
    <w:abstractNumId w:val="29"/>
  </w:num>
  <w:num w:numId="18" w16cid:durableId="1714228002">
    <w:abstractNumId w:val="23"/>
  </w:num>
  <w:num w:numId="19" w16cid:durableId="1098061706">
    <w:abstractNumId w:val="20"/>
  </w:num>
  <w:num w:numId="20" w16cid:durableId="145438995">
    <w:abstractNumId w:val="8"/>
  </w:num>
  <w:num w:numId="21" w16cid:durableId="1961642646">
    <w:abstractNumId w:val="31"/>
  </w:num>
  <w:num w:numId="22" w16cid:durableId="1205412468">
    <w:abstractNumId w:val="4"/>
  </w:num>
  <w:num w:numId="23" w16cid:durableId="1135102338">
    <w:abstractNumId w:val="13"/>
  </w:num>
  <w:num w:numId="24" w16cid:durableId="1492062978">
    <w:abstractNumId w:val="10"/>
  </w:num>
  <w:num w:numId="25" w16cid:durableId="1387609025">
    <w:abstractNumId w:val="21"/>
  </w:num>
  <w:num w:numId="26" w16cid:durableId="1070271619">
    <w:abstractNumId w:val="34"/>
  </w:num>
  <w:num w:numId="27" w16cid:durableId="1908101143">
    <w:abstractNumId w:val="26"/>
  </w:num>
  <w:num w:numId="28" w16cid:durableId="671299378">
    <w:abstractNumId w:val="39"/>
    <w:lvlOverride w:ilvl="0">
      <w:startOverride w:val="1"/>
    </w:lvlOverride>
  </w:num>
  <w:num w:numId="29" w16cid:durableId="986015581">
    <w:abstractNumId w:val="22"/>
  </w:num>
  <w:num w:numId="30" w16cid:durableId="921990314">
    <w:abstractNumId w:val="7"/>
  </w:num>
  <w:num w:numId="31" w16cid:durableId="570191680">
    <w:abstractNumId w:val="38"/>
  </w:num>
  <w:num w:numId="32" w16cid:durableId="15036326">
    <w:abstractNumId w:val="39"/>
  </w:num>
  <w:num w:numId="33" w16cid:durableId="1964842128">
    <w:abstractNumId w:val="12"/>
  </w:num>
  <w:num w:numId="34" w16cid:durableId="1946692808">
    <w:abstractNumId w:val="41"/>
  </w:num>
  <w:num w:numId="35" w16cid:durableId="643852382">
    <w:abstractNumId w:val="40"/>
  </w:num>
  <w:num w:numId="36" w16cid:durableId="1228809582">
    <w:abstractNumId w:val="0"/>
  </w:num>
  <w:num w:numId="37" w16cid:durableId="1127553194">
    <w:abstractNumId w:val="9"/>
  </w:num>
  <w:num w:numId="38" w16cid:durableId="513153521">
    <w:abstractNumId w:val="30"/>
  </w:num>
  <w:num w:numId="39" w16cid:durableId="68894217">
    <w:abstractNumId w:val="15"/>
  </w:num>
  <w:num w:numId="40" w16cid:durableId="419252191">
    <w:abstractNumId w:val="36"/>
  </w:num>
  <w:num w:numId="41" w16cid:durableId="1883127855">
    <w:abstractNumId w:val="27"/>
  </w:num>
  <w:num w:numId="42" w16cid:durableId="296882176">
    <w:abstractNumId w:val="1"/>
  </w:num>
  <w:num w:numId="43" w16cid:durableId="1556701727">
    <w:abstractNumId w:val="42"/>
  </w:num>
  <w:num w:numId="44" w16cid:durableId="75172770">
    <w:abstractNumId w:val="43"/>
  </w:num>
  <w:num w:numId="45" w16cid:durableId="14391340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4F5"/>
    <w:rsid w:val="0001215B"/>
    <w:rsid w:val="00013460"/>
    <w:rsid w:val="00013804"/>
    <w:rsid w:val="00013AC9"/>
    <w:rsid w:val="000164E0"/>
    <w:rsid w:val="00016FDD"/>
    <w:rsid w:val="0001747F"/>
    <w:rsid w:val="00020864"/>
    <w:rsid w:val="0002217E"/>
    <w:rsid w:val="00022683"/>
    <w:rsid w:val="0002435C"/>
    <w:rsid w:val="00030E81"/>
    <w:rsid w:val="0003103B"/>
    <w:rsid w:val="00031F30"/>
    <w:rsid w:val="00032B46"/>
    <w:rsid w:val="0004289C"/>
    <w:rsid w:val="00043AC7"/>
    <w:rsid w:val="00044D19"/>
    <w:rsid w:val="000450FE"/>
    <w:rsid w:val="00052045"/>
    <w:rsid w:val="00052A68"/>
    <w:rsid w:val="00054810"/>
    <w:rsid w:val="00055EEE"/>
    <w:rsid w:val="000571AB"/>
    <w:rsid w:val="00067011"/>
    <w:rsid w:val="00070260"/>
    <w:rsid w:val="000713DA"/>
    <w:rsid w:val="00071EAA"/>
    <w:rsid w:val="0007236F"/>
    <w:rsid w:val="000737D8"/>
    <w:rsid w:val="00075A5F"/>
    <w:rsid w:val="000767B5"/>
    <w:rsid w:val="00080D95"/>
    <w:rsid w:val="00081267"/>
    <w:rsid w:val="00085029"/>
    <w:rsid w:val="00093363"/>
    <w:rsid w:val="00094030"/>
    <w:rsid w:val="000A6BA5"/>
    <w:rsid w:val="000B3D87"/>
    <w:rsid w:val="000B4219"/>
    <w:rsid w:val="000B50EE"/>
    <w:rsid w:val="000B579A"/>
    <w:rsid w:val="000B58BF"/>
    <w:rsid w:val="000C041B"/>
    <w:rsid w:val="000C2AB4"/>
    <w:rsid w:val="000C58EE"/>
    <w:rsid w:val="000D0EF7"/>
    <w:rsid w:val="000D4204"/>
    <w:rsid w:val="000D5C74"/>
    <w:rsid w:val="000D6F4C"/>
    <w:rsid w:val="000E0146"/>
    <w:rsid w:val="000E1D40"/>
    <w:rsid w:val="000E2800"/>
    <w:rsid w:val="000F2E2E"/>
    <w:rsid w:val="000F36FB"/>
    <w:rsid w:val="000F497A"/>
    <w:rsid w:val="000F6D59"/>
    <w:rsid w:val="00102AD8"/>
    <w:rsid w:val="00107813"/>
    <w:rsid w:val="00113956"/>
    <w:rsid w:val="00114170"/>
    <w:rsid w:val="0011501B"/>
    <w:rsid w:val="001158D1"/>
    <w:rsid w:val="00116035"/>
    <w:rsid w:val="00117451"/>
    <w:rsid w:val="001211EA"/>
    <w:rsid w:val="00122839"/>
    <w:rsid w:val="00123523"/>
    <w:rsid w:val="001238CE"/>
    <w:rsid w:val="00124DD8"/>
    <w:rsid w:val="00135313"/>
    <w:rsid w:val="00135552"/>
    <w:rsid w:val="00135DC8"/>
    <w:rsid w:val="001364B4"/>
    <w:rsid w:val="00143389"/>
    <w:rsid w:val="00143CC4"/>
    <w:rsid w:val="00147B79"/>
    <w:rsid w:val="00147DDD"/>
    <w:rsid w:val="001512F9"/>
    <w:rsid w:val="0015146D"/>
    <w:rsid w:val="00157D40"/>
    <w:rsid w:val="001612AF"/>
    <w:rsid w:val="00162BE7"/>
    <w:rsid w:val="001646A8"/>
    <w:rsid w:val="0017006C"/>
    <w:rsid w:val="00174220"/>
    <w:rsid w:val="00174E20"/>
    <w:rsid w:val="001820B2"/>
    <w:rsid w:val="00184334"/>
    <w:rsid w:val="001845C1"/>
    <w:rsid w:val="00185AC8"/>
    <w:rsid w:val="0018759C"/>
    <w:rsid w:val="00191428"/>
    <w:rsid w:val="001918C8"/>
    <w:rsid w:val="00193846"/>
    <w:rsid w:val="0019388F"/>
    <w:rsid w:val="001A10E2"/>
    <w:rsid w:val="001A25C3"/>
    <w:rsid w:val="001A37C7"/>
    <w:rsid w:val="001B0E12"/>
    <w:rsid w:val="001B1087"/>
    <w:rsid w:val="001B3BE4"/>
    <w:rsid w:val="001B5818"/>
    <w:rsid w:val="001B66A4"/>
    <w:rsid w:val="001B6E6E"/>
    <w:rsid w:val="001C1148"/>
    <w:rsid w:val="001C3F21"/>
    <w:rsid w:val="001C4EEE"/>
    <w:rsid w:val="001C75F6"/>
    <w:rsid w:val="001D2FA2"/>
    <w:rsid w:val="001D3839"/>
    <w:rsid w:val="001D66CB"/>
    <w:rsid w:val="001D6D41"/>
    <w:rsid w:val="001E4497"/>
    <w:rsid w:val="001E5373"/>
    <w:rsid w:val="001F0570"/>
    <w:rsid w:val="001F0B6A"/>
    <w:rsid w:val="001F2097"/>
    <w:rsid w:val="001F2D66"/>
    <w:rsid w:val="001F321F"/>
    <w:rsid w:val="001F340B"/>
    <w:rsid w:val="002000EB"/>
    <w:rsid w:val="00200223"/>
    <w:rsid w:val="00200516"/>
    <w:rsid w:val="00201969"/>
    <w:rsid w:val="002029AC"/>
    <w:rsid w:val="00205100"/>
    <w:rsid w:val="00206797"/>
    <w:rsid w:val="0020794F"/>
    <w:rsid w:val="00214714"/>
    <w:rsid w:val="002164C9"/>
    <w:rsid w:val="002170A5"/>
    <w:rsid w:val="00223437"/>
    <w:rsid w:val="00225DBF"/>
    <w:rsid w:val="0022740B"/>
    <w:rsid w:val="002304D2"/>
    <w:rsid w:val="00230761"/>
    <w:rsid w:val="00236E65"/>
    <w:rsid w:val="002372B8"/>
    <w:rsid w:val="00240AC0"/>
    <w:rsid w:val="002430E0"/>
    <w:rsid w:val="002453BD"/>
    <w:rsid w:val="00246694"/>
    <w:rsid w:val="00252825"/>
    <w:rsid w:val="0025555D"/>
    <w:rsid w:val="00257353"/>
    <w:rsid w:val="00263F65"/>
    <w:rsid w:val="002712FD"/>
    <w:rsid w:val="002721D2"/>
    <w:rsid w:val="0027425A"/>
    <w:rsid w:val="00276DA6"/>
    <w:rsid w:val="0028093A"/>
    <w:rsid w:val="00281C80"/>
    <w:rsid w:val="00284AEA"/>
    <w:rsid w:val="00286E94"/>
    <w:rsid w:val="00290A81"/>
    <w:rsid w:val="002950E0"/>
    <w:rsid w:val="002954C4"/>
    <w:rsid w:val="002B07BD"/>
    <w:rsid w:val="002B0CB5"/>
    <w:rsid w:val="002B1BFF"/>
    <w:rsid w:val="002B5444"/>
    <w:rsid w:val="002B547F"/>
    <w:rsid w:val="002C21E9"/>
    <w:rsid w:val="002C6BB0"/>
    <w:rsid w:val="002D0E01"/>
    <w:rsid w:val="002D38C5"/>
    <w:rsid w:val="002D39FC"/>
    <w:rsid w:val="002D52E8"/>
    <w:rsid w:val="002E1D22"/>
    <w:rsid w:val="002E2017"/>
    <w:rsid w:val="002E413C"/>
    <w:rsid w:val="002E4217"/>
    <w:rsid w:val="002E505B"/>
    <w:rsid w:val="002F30F7"/>
    <w:rsid w:val="002F313B"/>
    <w:rsid w:val="002F3DAA"/>
    <w:rsid w:val="002F5F1E"/>
    <w:rsid w:val="002F78A1"/>
    <w:rsid w:val="002F7FB5"/>
    <w:rsid w:val="00301D7D"/>
    <w:rsid w:val="003045BE"/>
    <w:rsid w:val="00307657"/>
    <w:rsid w:val="003106DD"/>
    <w:rsid w:val="0031555D"/>
    <w:rsid w:val="00315655"/>
    <w:rsid w:val="00315B32"/>
    <w:rsid w:val="00315BDC"/>
    <w:rsid w:val="00317F6C"/>
    <w:rsid w:val="00323D10"/>
    <w:rsid w:val="00323F14"/>
    <w:rsid w:val="00324559"/>
    <w:rsid w:val="00327C88"/>
    <w:rsid w:val="0033454D"/>
    <w:rsid w:val="00334C0F"/>
    <w:rsid w:val="003358FF"/>
    <w:rsid w:val="00341137"/>
    <w:rsid w:val="00347B79"/>
    <w:rsid w:val="003509A8"/>
    <w:rsid w:val="00354545"/>
    <w:rsid w:val="00354A7C"/>
    <w:rsid w:val="00355723"/>
    <w:rsid w:val="00355AEC"/>
    <w:rsid w:val="0036135C"/>
    <w:rsid w:val="00362D0C"/>
    <w:rsid w:val="00363D2A"/>
    <w:rsid w:val="0036518F"/>
    <w:rsid w:val="0036768D"/>
    <w:rsid w:val="0037159D"/>
    <w:rsid w:val="00374362"/>
    <w:rsid w:val="0037732F"/>
    <w:rsid w:val="00377B12"/>
    <w:rsid w:val="00380147"/>
    <w:rsid w:val="00380EC6"/>
    <w:rsid w:val="00381C7D"/>
    <w:rsid w:val="00383FF5"/>
    <w:rsid w:val="00385C9B"/>
    <w:rsid w:val="003872BA"/>
    <w:rsid w:val="00387D77"/>
    <w:rsid w:val="00387E50"/>
    <w:rsid w:val="00390234"/>
    <w:rsid w:val="0039042E"/>
    <w:rsid w:val="003922EF"/>
    <w:rsid w:val="003926C0"/>
    <w:rsid w:val="00394A57"/>
    <w:rsid w:val="00397335"/>
    <w:rsid w:val="00397415"/>
    <w:rsid w:val="003A2CB2"/>
    <w:rsid w:val="003A4D1C"/>
    <w:rsid w:val="003A709B"/>
    <w:rsid w:val="003B0931"/>
    <w:rsid w:val="003B1B40"/>
    <w:rsid w:val="003B257A"/>
    <w:rsid w:val="003B7521"/>
    <w:rsid w:val="003C0C4D"/>
    <w:rsid w:val="003C11CC"/>
    <w:rsid w:val="003C39B0"/>
    <w:rsid w:val="003C3DB4"/>
    <w:rsid w:val="003C3EB9"/>
    <w:rsid w:val="003C7287"/>
    <w:rsid w:val="003D5775"/>
    <w:rsid w:val="003D5E8B"/>
    <w:rsid w:val="003E36BB"/>
    <w:rsid w:val="003E3748"/>
    <w:rsid w:val="003E4DA7"/>
    <w:rsid w:val="003F0CD8"/>
    <w:rsid w:val="003F2549"/>
    <w:rsid w:val="003F3471"/>
    <w:rsid w:val="003F3954"/>
    <w:rsid w:val="0040049D"/>
    <w:rsid w:val="00402A19"/>
    <w:rsid w:val="00405019"/>
    <w:rsid w:val="00406BA9"/>
    <w:rsid w:val="00410C9A"/>
    <w:rsid w:val="0041763F"/>
    <w:rsid w:val="004208B6"/>
    <w:rsid w:val="00421AB5"/>
    <w:rsid w:val="0042275B"/>
    <w:rsid w:val="00424212"/>
    <w:rsid w:val="00424CF9"/>
    <w:rsid w:val="00431A3D"/>
    <w:rsid w:val="0043208D"/>
    <w:rsid w:val="00433165"/>
    <w:rsid w:val="004333B4"/>
    <w:rsid w:val="00434203"/>
    <w:rsid w:val="00436A5E"/>
    <w:rsid w:val="004445D0"/>
    <w:rsid w:val="0045009B"/>
    <w:rsid w:val="00450719"/>
    <w:rsid w:val="00450B13"/>
    <w:rsid w:val="004527F7"/>
    <w:rsid w:val="00452C3E"/>
    <w:rsid w:val="00452C6C"/>
    <w:rsid w:val="00453517"/>
    <w:rsid w:val="0045451B"/>
    <w:rsid w:val="00457674"/>
    <w:rsid w:val="00460BE6"/>
    <w:rsid w:val="0046243C"/>
    <w:rsid w:val="00462B57"/>
    <w:rsid w:val="00464294"/>
    <w:rsid w:val="004735CE"/>
    <w:rsid w:val="0047447F"/>
    <w:rsid w:val="00474658"/>
    <w:rsid w:val="0047797E"/>
    <w:rsid w:val="00480D53"/>
    <w:rsid w:val="004869BF"/>
    <w:rsid w:val="00493290"/>
    <w:rsid w:val="00497F06"/>
    <w:rsid w:val="004A3757"/>
    <w:rsid w:val="004B0F57"/>
    <w:rsid w:val="004B1283"/>
    <w:rsid w:val="004B3A78"/>
    <w:rsid w:val="004C6034"/>
    <w:rsid w:val="004C6BCF"/>
    <w:rsid w:val="004D09D4"/>
    <w:rsid w:val="004D3941"/>
    <w:rsid w:val="004D484A"/>
    <w:rsid w:val="004D5A79"/>
    <w:rsid w:val="004E2421"/>
    <w:rsid w:val="004E34B0"/>
    <w:rsid w:val="004E6489"/>
    <w:rsid w:val="004E6662"/>
    <w:rsid w:val="004E7C76"/>
    <w:rsid w:val="004F0D8E"/>
    <w:rsid w:val="004F1300"/>
    <w:rsid w:val="004F13B9"/>
    <w:rsid w:val="004F1860"/>
    <w:rsid w:val="004F2771"/>
    <w:rsid w:val="004F2C8C"/>
    <w:rsid w:val="004F4BC9"/>
    <w:rsid w:val="004F568A"/>
    <w:rsid w:val="004F5CAF"/>
    <w:rsid w:val="004F5E7A"/>
    <w:rsid w:val="004F70C3"/>
    <w:rsid w:val="0050067A"/>
    <w:rsid w:val="005020EC"/>
    <w:rsid w:val="00504F8B"/>
    <w:rsid w:val="00516555"/>
    <w:rsid w:val="00520429"/>
    <w:rsid w:val="00522401"/>
    <w:rsid w:val="005256CF"/>
    <w:rsid w:val="00530F6F"/>
    <w:rsid w:val="0053207F"/>
    <w:rsid w:val="00534EFE"/>
    <w:rsid w:val="0053531D"/>
    <w:rsid w:val="00536162"/>
    <w:rsid w:val="005416C1"/>
    <w:rsid w:val="00542C43"/>
    <w:rsid w:val="00546F0B"/>
    <w:rsid w:val="00547202"/>
    <w:rsid w:val="00551299"/>
    <w:rsid w:val="00551ECD"/>
    <w:rsid w:val="005526E5"/>
    <w:rsid w:val="00553120"/>
    <w:rsid w:val="005536B1"/>
    <w:rsid w:val="00555AEF"/>
    <w:rsid w:val="00555DF5"/>
    <w:rsid w:val="005564AD"/>
    <w:rsid w:val="00561B4D"/>
    <w:rsid w:val="00563C26"/>
    <w:rsid w:val="005668E7"/>
    <w:rsid w:val="00567C98"/>
    <w:rsid w:val="00572006"/>
    <w:rsid w:val="00573E74"/>
    <w:rsid w:val="00574828"/>
    <w:rsid w:val="00576F32"/>
    <w:rsid w:val="0057790F"/>
    <w:rsid w:val="00582470"/>
    <w:rsid w:val="00583F3E"/>
    <w:rsid w:val="00593DC4"/>
    <w:rsid w:val="00594ABC"/>
    <w:rsid w:val="00594DE5"/>
    <w:rsid w:val="00597BFF"/>
    <w:rsid w:val="005A12D7"/>
    <w:rsid w:val="005A29D6"/>
    <w:rsid w:val="005A65DD"/>
    <w:rsid w:val="005A7356"/>
    <w:rsid w:val="005B0C92"/>
    <w:rsid w:val="005B7067"/>
    <w:rsid w:val="005B785C"/>
    <w:rsid w:val="005B7E20"/>
    <w:rsid w:val="005C1680"/>
    <w:rsid w:val="005C1D42"/>
    <w:rsid w:val="005C412B"/>
    <w:rsid w:val="005C4835"/>
    <w:rsid w:val="005C5A53"/>
    <w:rsid w:val="005C7769"/>
    <w:rsid w:val="005D5F1D"/>
    <w:rsid w:val="005E1684"/>
    <w:rsid w:val="005E37E8"/>
    <w:rsid w:val="005E55E5"/>
    <w:rsid w:val="005E597C"/>
    <w:rsid w:val="005E74E3"/>
    <w:rsid w:val="005F0F53"/>
    <w:rsid w:val="005F1808"/>
    <w:rsid w:val="005F3E91"/>
    <w:rsid w:val="005F584A"/>
    <w:rsid w:val="00601F8B"/>
    <w:rsid w:val="00605B7A"/>
    <w:rsid w:val="0060625D"/>
    <w:rsid w:val="00611BAA"/>
    <w:rsid w:val="00612D18"/>
    <w:rsid w:val="00615BB7"/>
    <w:rsid w:val="00615F7C"/>
    <w:rsid w:val="00616A16"/>
    <w:rsid w:val="00617F23"/>
    <w:rsid w:val="00621954"/>
    <w:rsid w:val="00623361"/>
    <w:rsid w:val="0062465D"/>
    <w:rsid w:val="00624BA9"/>
    <w:rsid w:val="00624EC7"/>
    <w:rsid w:val="0062575C"/>
    <w:rsid w:val="0063381D"/>
    <w:rsid w:val="006339EB"/>
    <w:rsid w:val="00635088"/>
    <w:rsid w:val="00635183"/>
    <w:rsid w:val="00641C17"/>
    <w:rsid w:val="0064766E"/>
    <w:rsid w:val="006510D0"/>
    <w:rsid w:val="006550CF"/>
    <w:rsid w:val="006559E3"/>
    <w:rsid w:val="00657577"/>
    <w:rsid w:val="00664226"/>
    <w:rsid w:val="006660B2"/>
    <w:rsid w:val="0067056E"/>
    <w:rsid w:val="00671F29"/>
    <w:rsid w:val="00673164"/>
    <w:rsid w:val="006739CA"/>
    <w:rsid w:val="00673FCA"/>
    <w:rsid w:val="00675636"/>
    <w:rsid w:val="00676078"/>
    <w:rsid w:val="0067713E"/>
    <w:rsid w:val="0068074A"/>
    <w:rsid w:val="0068258E"/>
    <w:rsid w:val="006855AC"/>
    <w:rsid w:val="00691790"/>
    <w:rsid w:val="006933C3"/>
    <w:rsid w:val="00694409"/>
    <w:rsid w:val="006956E6"/>
    <w:rsid w:val="00697045"/>
    <w:rsid w:val="00697B15"/>
    <w:rsid w:val="006A16A9"/>
    <w:rsid w:val="006A27BD"/>
    <w:rsid w:val="006A337B"/>
    <w:rsid w:val="006A4E08"/>
    <w:rsid w:val="006A57D6"/>
    <w:rsid w:val="006A58BC"/>
    <w:rsid w:val="006B4064"/>
    <w:rsid w:val="006C37D2"/>
    <w:rsid w:val="006C40C7"/>
    <w:rsid w:val="006C4C5D"/>
    <w:rsid w:val="006D31EF"/>
    <w:rsid w:val="006D3EB7"/>
    <w:rsid w:val="006D7B49"/>
    <w:rsid w:val="006E0A2E"/>
    <w:rsid w:val="006E1269"/>
    <w:rsid w:val="006E4BBF"/>
    <w:rsid w:val="006E58C2"/>
    <w:rsid w:val="006E6BAD"/>
    <w:rsid w:val="006E7D38"/>
    <w:rsid w:val="006F0870"/>
    <w:rsid w:val="006F37CF"/>
    <w:rsid w:val="006F43CA"/>
    <w:rsid w:val="006F4D0C"/>
    <w:rsid w:val="006F4D28"/>
    <w:rsid w:val="006F7997"/>
    <w:rsid w:val="006F7EF4"/>
    <w:rsid w:val="007026DD"/>
    <w:rsid w:val="00702770"/>
    <w:rsid w:val="0070353B"/>
    <w:rsid w:val="00703FCE"/>
    <w:rsid w:val="0070696D"/>
    <w:rsid w:val="00707B68"/>
    <w:rsid w:val="007126C4"/>
    <w:rsid w:val="00713850"/>
    <w:rsid w:val="007220D2"/>
    <w:rsid w:val="007258CF"/>
    <w:rsid w:val="00737731"/>
    <w:rsid w:val="00740210"/>
    <w:rsid w:val="007411D5"/>
    <w:rsid w:val="0074693D"/>
    <w:rsid w:val="007509DD"/>
    <w:rsid w:val="00756648"/>
    <w:rsid w:val="00762D50"/>
    <w:rsid w:val="007714FD"/>
    <w:rsid w:val="00771B22"/>
    <w:rsid w:val="007724CE"/>
    <w:rsid w:val="00775A1C"/>
    <w:rsid w:val="00780C21"/>
    <w:rsid w:val="007818B7"/>
    <w:rsid w:val="007842C0"/>
    <w:rsid w:val="0079167D"/>
    <w:rsid w:val="00794ACC"/>
    <w:rsid w:val="00795167"/>
    <w:rsid w:val="007960F8"/>
    <w:rsid w:val="007A025B"/>
    <w:rsid w:val="007A0931"/>
    <w:rsid w:val="007A40BC"/>
    <w:rsid w:val="007A4309"/>
    <w:rsid w:val="007A4FF7"/>
    <w:rsid w:val="007B3728"/>
    <w:rsid w:val="007B627D"/>
    <w:rsid w:val="007B6E7F"/>
    <w:rsid w:val="007C2D15"/>
    <w:rsid w:val="007C4C38"/>
    <w:rsid w:val="007C53A1"/>
    <w:rsid w:val="007C58BD"/>
    <w:rsid w:val="007C5D4B"/>
    <w:rsid w:val="007D00B1"/>
    <w:rsid w:val="007D0E36"/>
    <w:rsid w:val="007D3172"/>
    <w:rsid w:val="007D46A8"/>
    <w:rsid w:val="007D4F48"/>
    <w:rsid w:val="007D5F5D"/>
    <w:rsid w:val="007D61FE"/>
    <w:rsid w:val="007E3F69"/>
    <w:rsid w:val="007E61A0"/>
    <w:rsid w:val="007E7735"/>
    <w:rsid w:val="007F1254"/>
    <w:rsid w:val="007F1374"/>
    <w:rsid w:val="007F399A"/>
    <w:rsid w:val="007F5A23"/>
    <w:rsid w:val="00800EE1"/>
    <w:rsid w:val="0080200D"/>
    <w:rsid w:val="008118EF"/>
    <w:rsid w:val="00811CAE"/>
    <w:rsid w:val="008130C7"/>
    <w:rsid w:val="00820D2E"/>
    <w:rsid w:val="00821316"/>
    <w:rsid w:val="00824932"/>
    <w:rsid w:val="00825DC9"/>
    <w:rsid w:val="008262AA"/>
    <w:rsid w:val="00831DF3"/>
    <w:rsid w:val="008326E7"/>
    <w:rsid w:val="00833B1D"/>
    <w:rsid w:val="0084241F"/>
    <w:rsid w:val="0084434E"/>
    <w:rsid w:val="00844D9F"/>
    <w:rsid w:val="00847C68"/>
    <w:rsid w:val="008506B1"/>
    <w:rsid w:val="008510CC"/>
    <w:rsid w:val="0085163F"/>
    <w:rsid w:val="00855967"/>
    <w:rsid w:val="00860AF6"/>
    <w:rsid w:val="00860C47"/>
    <w:rsid w:val="00863417"/>
    <w:rsid w:val="0086343C"/>
    <w:rsid w:val="00863D76"/>
    <w:rsid w:val="0086509B"/>
    <w:rsid w:val="0087296A"/>
    <w:rsid w:val="00876262"/>
    <w:rsid w:val="00880BFF"/>
    <w:rsid w:val="008821DB"/>
    <w:rsid w:val="00891049"/>
    <w:rsid w:val="00897403"/>
    <w:rsid w:val="008A40B0"/>
    <w:rsid w:val="008A40C0"/>
    <w:rsid w:val="008A5923"/>
    <w:rsid w:val="008B1120"/>
    <w:rsid w:val="008B1428"/>
    <w:rsid w:val="008B1AA1"/>
    <w:rsid w:val="008B1BFF"/>
    <w:rsid w:val="008B2DF7"/>
    <w:rsid w:val="008B34C5"/>
    <w:rsid w:val="008B39F5"/>
    <w:rsid w:val="008B4BE6"/>
    <w:rsid w:val="008B604D"/>
    <w:rsid w:val="008C2871"/>
    <w:rsid w:val="008C2DD5"/>
    <w:rsid w:val="008D092A"/>
    <w:rsid w:val="008D6DAA"/>
    <w:rsid w:val="008E46BD"/>
    <w:rsid w:val="008F051D"/>
    <w:rsid w:val="008F0ABB"/>
    <w:rsid w:val="008F12A1"/>
    <w:rsid w:val="008F277C"/>
    <w:rsid w:val="008F3624"/>
    <w:rsid w:val="008F6BC6"/>
    <w:rsid w:val="008F73D1"/>
    <w:rsid w:val="009002CA"/>
    <w:rsid w:val="00903AF9"/>
    <w:rsid w:val="0090579F"/>
    <w:rsid w:val="0091281B"/>
    <w:rsid w:val="009143C9"/>
    <w:rsid w:val="00915A40"/>
    <w:rsid w:val="009201C9"/>
    <w:rsid w:val="00923CB2"/>
    <w:rsid w:val="009268F6"/>
    <w:rsid w:val="00930424"/>
    <w:rsid w:val="00930FB2"/>
    <w:rsid w:val="00931458"/>
    <w:rsid w:val="009315CB"/>
    <w:rsid w:val="0093372B"/>
    <w:rsid w:val="00937484"/>
    <w:rsid w:val="00942BCB"/>
    <w:rsid w:val="00942F03"/>
    <w:rsid w:val="009455D5"/>
    <w:rsid w:val="00946227"/>
    <w:rsid w:val="00947082"/>
    <w:rsid w:val="00953155"/>
    <w:rsid w:val="00961B81"/>
    <w:rsid w:val="00962ED5"/>
    <w:rsid w:val="009631A9"/>
    <w:rsid w:val="00965052"/>
    <w:rsid w:val="0096675A"/>
    <w:rsid w:val="00971561"/>
    <w:rsid w:val="009761DA"/>
    <w:rsid w:val="00980532"/>
    <w:rsid w:val="00982C95"/>
    <w:rsid w:val="009858FE"/>
    <w:rsid w:val="009860EA"/>
    <w:rsid w:val="00990719"/>
    <w:rsid w:val="009907F3"/>
    <w:rsid w:val="0099315C"/>
    <w:rsid w:val="00993EFD"/>
    <w:rsid w:val="00994D14"/>
    <w:rsid w:val="009A08EB"/>
    <w:rsid w:val="009A205A"/>
    <w:rsid w:val="009A5464"/>
    <w:rsid w:val="009A69AF"/>
    <w:rsid w:val="009B5B37"/>
    <w:rsid w:val="009B7BEE"/>
    <w:rsid w:val="009C02E5"/>
    <w:rsid w:val="009C0E0E"/>
    <w:rsid w:val="009C26E3"/>
    <w:rsid w:val="009C6DD1"/>
    <w:rsid w:val="009C7CD6"/>
    <w:rsid w:val="009D0C8D"/>
    <w:rsid w:val="009D1093"/>
    <w:rsid w:val="009D2789"/>
    <w:rsid w:val="009D4C0F"/>
    <w:rsid w:val="009D7C44"/>
    <w:rsid w:val="009E22EE"/>
    <w:rsid w:val="009E7B86"/>
    <w:rsid w:val="009F366D"/>
    <w:rsid w:val="009F3A50"/>
    <w:rsid w:val="009F45EC"/>
    <w:rsid w:val="00A0002F"/>
    <w:rsid w:val="00A06077"/>
    <w:rsid w:val="00A06362"/>
    <w:rsid w:val="00A115DF"/>
    <w:rsid w:val="00A11D06"/>
    <w:rsid w:val="00A13D8B"/>
    <w:rsid w:val="00A2390C"/>
    <w:rsid w:val="00A244A2"/>
    <w:rsid w:val="00A24A81"/>
    <w:rsid w:val="00A26108"/>
    <w:rsid w:val="00A34443"/>
    <w:rsid w:val="00A345F7"/>
    <w:rsid w:val="00A36966"/>
    <w:rsid w:val="00A404F7"/>
    <w:rsid w:val="00A42581"/>
    <w:rsid w:val="00A51447"/>
    <w:rsid w:val="00A53F34"/>
    <w:rsid w:val="00A540EB"/>
    <w:rsid w:val="00A5539A"/>
    <w:rsid w:val="00A60B97"/>
    <w:rsid w:val="00A61389"/>
    <w:rsid w:val="00A6172D"/>
    <w:rsid w:val="00A61FFF"/>
    <w:rsid w:val="00A630BA"/>
    <w:rsid w:val="00A63D64"/>
    <w:rsid w:val="00A712E8"/>
    <w:rsid w:val="00A71586"/>
    <w:rsid w:val="00A71E51"/>
    <w:rsid w:val="00A731B4"/>
    <w:rsid w:val="00A764E4"/>
    <w:rsid w:val="00A779A7"/>
    <w:rsid w:val="00A77F56"/>
    <w:rsid w:val="00A85099"/>
    <w:rsid w:val="00A946BD"/>
    <w:rsid w:val="00A954D1"/>
    <w:rsid w:val="00A95A2D"/>
    <w:rsid w:val="00AA34B1"/>
    <w:rsid w:val="00AA367B"/>
    <w:rsid w:val="00AA719D"/>
    <w:rsid w:val="00AB06B2"/>
    <w:rsid w:val="00AB1C3D"/>
    <w:rsid w:val="00AB29A8"/>
    <w:rsid w:val="00AB3424"/>
    <w:rsid w:val="00AB478E"/>
    <w:rsid w:val="00AB7057"/>
    <w:rsid w:val="00AB79FC"/>
    <w:rsid w:val="00AB7D22"/>
    <w:rsid w:val="00AC13B3"/>
    <w:rsid w:val="00AC22A5"/>
    <w:rsid w:val="00AC24E0"/>
    <w:rsid w:val="00AC2670"/>
    <w:rsid w:val="00AC4DCB"/>
    <w:rsid w:val="00AD64DF"/>
    <w:rsid w:val="00AE1C50"/>
    <w:rsid w:val="00AE1F78"/>
    <w:rsid w:val="00AF23AF"/>
    <w:rsid w:val="00AF369B"/>
    <w:rsid w:val="00AF4E3A"/>
    <w:rsid w:val="00AF698D"/>
    <w:rsid w:val="00AF6A53"/>
    <w:rsid w:val="00B00257"/>
    <w:rsid w:val="00B035BC"/>
    <w:rsid w:val="00B039D7"/>
    <w:rsid w:val="00B07F61"/>
    <w:rsid w:val="00B11EFC"/>
    <w:rsid w:val="00B15210"/>
    <w:rsid w:val="00B1623B"/>
    <w:rsid w:val="00B235C3"/>
    <w:rsid w:val="00B24403"/>
    <w:rsid w:val="00B248CE"/>
    <w:rsid w:val="00B25206"/>
    <w:rsid w:val="00B26A34"/>
    <w:rsid w:val="00B303DB"/>
    <w:rsid w:val="00B32239"/>
    <w:rsid w:val="00B34F3E"/>
    <w:rsid w:val="00B42DDB"/>
    <w:rsid w:val="00B43D39"/>
    <w:rsid w:val="00B4455B"/>
    <w:rsid w:val="00B472D0"/>
    <w:rsid w:val="00B578EB"/>
    <w:rsid w:val="00B6145A"/>
    <w:rsid w:val="00B61570"/>
    <w:rsid w:val="00B6585E"/>
    <w:rsid w:val="00B67D1B"/>
    <w:rsid w:val="00B72578"/>
    <w:rsid w:val="00B744FB"/>
    <w:rsid w:val="00B75BAF"/>
    <w:rsid w:val="00B8224D"/>
    <w:rsid w:val="00B834EC"/>
    <w:rsid w:val="00B84A8E"/>
    <w:rsid w:val="00B85252"/>
    <w:rsid w:val="00B87A99"/>
    <w:rsid w:val="00B92D67"/>
    <w:rsid w:val="00B952D8"/>
    <w:rsid w:val="00B956A2"/>
    <w:rsid w:val="00B9615A"/>
    <w:rsid w:val="00BA1CBE"/>
    <w:rsid w:val="00BA3831"/>
    <w:rsid w:val="00BA500B"/>
    <w:rsid w:val="00BA5B5B"/>
    <w:rsid w:val="00BA5BBE"/>
    <w:rsid w:val="00BB008B"/>
    <w:rsid w:val="00BB0093"/>
    <w:rsid w:val="00BB0775"/>
    <w:rsid w:val="00BB087B"/>
    <w:rsid w:val="00BB2181"/>
    <w:rsid w:val="00BB3C82"/>
    <w:rsid w:val="00BB50F9"/>
    <w:rsid w:val="00BB52D5"/>
    <w:rsid w:val="00BB57F6"/>
    <w:rsid w:val="00BC2684"/>
    <w:rsid w:val="00BC352B"/>
    <w:rsid w:val="00BC35AA"/>
    <w:rsid w:val="00BC5BB3"/>
    <w:rsid w:val="00BD2F0F"/>
    <w:rsid w:val="00BD4045"/>
    <w:rsid w:val="00BD4E5A"/>
    <w:rsid w:val="00BD53BD"/>
    <w:rsid w:val="00BD5DEF"/>
    <w:rsid w:val="00BD6964"/>
    <w:rsid w:val="00BE06DE"/>
    <w:rsid w:val="00BE4802"/>
    <w:rsid w:val="00BE4882"/>
    <w:rsid w:val="00BF170E"/>
    <w:rsid w:val="00BF509C"/>
    <w:rsid w:val="00BF7CF6"/>
    <w:rsid w:val="00C00559"/>
    <w:rsid w:val="00C01094"/>
    <w:rsid w:val="00C03380"/>
    <w:rsid w:val="00C069DB"/>
    <w:rsid w:val="00C0795C"/>
    <w:rsid w:val="00C10898"/>
    <w:rsid w:val="00C119D6"/>
    <w:rsid w:val="00C141D0"/>
    <w:rsid w:val="00C141F5"/>
    <w:rsid w:val="00C20F98"/>
    <w:rsid w:val="00C217ED"/>
    <w:rsid w:val="00C21F77"/>
    <w:rsid w:val="00C249C9"/>
    <w:rsid w:val="00C27BEF"/>
    <w:rsid w:val="00C27E9D"/>
    <w:rsid w:val="00C31008"/>
    <w:rsid w:val="00C31116"/>
    <w:rsid w:val="00C31695"/>
    <w:rsid w:val="00C316B6"/>
    <w:rsid w:val="00C31CC4"/>
    <w:rsid w:val="00C31D6C"/>
    <w:rsid w:val="00C32567"/>
    <w:rsid w:val="00C32A74"/>
    <w:rsid w:val="00C33BEA"/>
    <w:rsid w:val="00C373BE"/>
    <w:rsid w:val="00C37F8F"/>
    <w:rsid w:val="00C424F1"/>
    <w:rsid w:val="00C435F4"/>
    <w:rsid w:val="00C4424F"/>
    <w:rsid w:val="00C445CC"/>
    <w:rsid w:val="00C44651"/>
    <w:rsid w:val="00C44A98"/>
    <w:rsid w:val="00C4599F"/>
    <w:rsid w:val="00C45F82"/>
    <w:rsid w:val="00C475F7"/>
    <w:rsid w:val="00C53B0F"/>
    <w:rsid w:val="00C53E01"/>
    <w:rsid w:val="00C632BE"/>
    <w:rsid w:val="00C67ECB"/>
    <w:rsid w:val="00C70A1E"/>
    <w:rsid w:val="00C72DD4"/>
    <w:rsid w:val="00C74EB4"/>
    <w:rsid w:val="00C77D50"/>
    <w:rsid w:val="00C811BD"/>
    <w:rsid w:val="00C81CDA"/>
    <w:rsid w:val="00C83148"/>
    <w:rsid w:val="00C846A9"/>
    <w:rsid w:val="00C84787"/>
    <w:rsid w:val="00C87B56"/>
    <w:rsid w:val="00C96F93"/>
    <w:rsid w:val="00C97610"/>
    <w:rsid w:val="00C97CFD"/>
    <w:rsid w:val="00CA0463"/>
    <w:rsid w:val="00CA1C10"/>
    <w:rsid w:val="00CA2822"/>
    <w:rsid w:val="00CA6890"/>
    <w:rsid w:val="00CB128D"/>
    <w:rsid w:val="00CB6841"/>
    <w:rsid w:val="00CB7CD7"/>
    <w:rsid w:val="00CC67C9"/>
    <w:rsid w:val="00CC7044"/>
    <w:rsid w:val="00CC7AC8"/>
    <w:rsid w:val="00CD0459"/>
    <w:rsid w:val="00CD1F68"/>
    <w:rsid w:val="00CD22EC"/>
    <w:rsid w:val="00CD23DD"/>
    <w:rsid w:val="00CD28F6"/>
    <w:rsid w:val="00CD2D98"/>
    <w:rsid w:val="00CD337D"/>
    <w:rsid w:val="00CD3E6A"/>
    <w:rsid w:val="00CD7AD6"/>
    <w:rsid w:val="00CE1C4A"/>
    <w:rsid w:val="00CE224F"/>
    <w:rsid w:val="00CE3117"/>
    <w:rsid w:val="00CF1BF6"/>
    <w:rsid w:val="00CF5BE1"/>
    <w:rsid w:val="00CF6259"/>
    <w:rsid w:val="00CF6B93"/>
    <w:rsid w:val="00CF6CCE"/>
    <w:rsid w:val="00D00C36"/>
    <w:rsid w:val="00D0145D"/>
    <w:rsid w:val="00D02424"/>
    <w:rsid w:val="00D0321A"/>
    <w:rsid w:val="00D070D3"/>
    <w:rsid w:val="00D07A16"/>
    <w:rsid w:val="00D12DE0"/>
    <w:rsid w:val="00D13204"/>
    <w:rsid w:val="00D14E81"/>
    <w:rsid w:val="00D1647F"/>
    <w:rsid w:val="00D16C96"/>
    <w:rsid w:val="00D176AE"/>
    <w:rsid w:val="00D20F95"/>
    <w:rsid w:val="00D2271C"/>
    <w:rsid w:val="00D22A42"/>
    <w:rsid w:val="00D31200"/>
    <w:rsid w:val="00D35CC0"/>
    <w:rsid w:val="00D3779C"/>
    <w:rsid w:val="00D37DCA"/>
    <w:rsid w:val="00D40747"/>
    <w:rsid w:val="00D40A42"/>
    <w:rsid w:val="00D53143"/>
    <w:rsid w:val="00D54373"/>
    <w:rsid w:val="00D54A3E"/>
    <w:rsid w:val="00D565C0"/>
    <w:rsid w:val="00D60C2F"/>
    <w:rsid w:val="00D62225"/>
    <w:rsid w:val="00D64B99"/>
    <w:rsid w:val="00D65D20"/>
    <w:rsid w:val="00D745DA"/>
    <w:rsid w:val="00D77DA5"/>
    <w:rsid w:val="00D82053"/>
    <w:rsid w:val="00D84420"/>
    <w:rsid w:val="00D84440"/>
    <w:rsid w:val="00D85438"/>
    <w:rsid w:val="00D8732D"/>
    <w:rsid w:val="00D927DB"/>
    <w:rsid w:val="00DA0D76"/>
    <w:rsid w:val="00DA1274"/>
    <w:rsid w:val="00DA133C"/>
    <w:rsid w:val="00DA2104"/>
    <w:rsid w:val="00DA2B1D"/>
    <w:rsid w:val="00DA30A3"/>
    <w:rsid w:val="00DA53C8"/>
    <w:rsid w:val="00DA570F"/>
    <w:rsid w:val="00DB54C9"/>
    <w:rsid w:val="00DB637E"/>
    <w:rsid w:val="00DB7EE7"/>
    <w:rsid w:val="00DC0474"/>
    <w:rsid w:val="00DC15F9"/>
    <w:rsid w:val="00DC3E82"/>
    <w:rsid w:val="00DC529B"/>
    <w:rsid w:val="00DD563C"/>
    <w:rsid w:val="00DD591B"/>
    <w:rsid w:val="00DE06EE"/>
    <w:rsid w:val="00DE3729"/>
    <w:rsid w:val="00DE3F96"/>
    <w:rsid w:val="00DE449E"/>
    <w:rsid w:val="00DF0141"/>
    <w:rsid w:val="00DF0807"/>
    <w:rsid w:val="00DF0B6D"/>
    <w:rsid w:val="00DF2F4A"/>
    <w:rsid w:val="00DF513B"/>
    <w:rsid w:val="00DF629E"/>
    <w:rsid w:val="00DF67C3"/>
    <w:rsid w:val="00DF71E8"/>
    <w:rsid w:val="00DF73A2"/>
    <w:rsid w:val="00E02BB5"/>
    <w:rsid w:val="00E0352C"/>
    <w:rsid w:val="00E03D4C"/>
    <w:rsid w:val="00E07BB2"/>
    <w:rsid w:val="00E11E1A"/>
    <w:rsid w:val="00E12038"/>
    <w:rsid w:val="00E12198"/>
    <w:rsid w:val="00E12BA5"/>
    <w:rsid w:val="00E12C95"/>
    <w:rsid w:val="00E1367A"/>
    <w:rsid w:val="00E143EC"/>
    <w:rsid w:val="00E14566"/>
    <w:rsid w:val="00E14911"/>
    <w:rsid w:val="00E173B4"/>
    <w:rsid w:val="00E22660"/>
    <w:rsid w:val="00E232E0"/>
    <w:rsid w:val="00E23A5B"/>
    <w:rsid w:val="00E3030C"/>
    <w:rsid w:val="00E32EAF"/>
    <w:rsid w:val="00E34BF8"/>
    <w:rsid w:val="00E402B2"/>
    <w:rsid w:val="00E42BB2"/>
    <w:rsid w:val="00E42BC7"/>
    <w:rsid w:val="00E4341B"/>
    <w:rsid w:val="00E44F7F"/>
    <w:rsid w:val="00E4574C"/>
    <w:rsid w:val="00E50391"/>
    <w:rsid w:val="00E50CC8"/>
    <w:rsid w:val="00E515DE"/>
    <w:rsid w:val="00E51EC3"/>
    <w:rsid w:val="00E51FE8"/>
    <w:rsid w:val="00E5244F"/>
    <w:rsid w:val="00E55E57"/>
    <w:rsid w:val="00E56249"/>
    <w:rsid w:val="00E61A95"/>
    <w:rsid w:val="00E679FD"/>
    <w:rsid w:val="00E67ACE"/>
    <w:rsid w:val="00E67BA7"/>
    <w:rsid w:val="00E70897"/>
    <w:rsid w:val="00E757FD"/>
    <w:rsid w:val="00E7709B"/>
    <w:rsid w:val="00E77F66"/>
    <w:rsid w:val="00E81100"/>
    <w:rsid w:val="00E815D5"/>
    <w:rsid w:val="00E84140"/>
    <w:rsid w:val="00E87BA0"/>
    <w:rsid w:val="00E909B3"/>
    <w:rsid w:val="00E91759"/>
    <w:rsid w:val="00E91CD7"/>
    <w:rsid w:val="00E93D69"/>
    <w:rsid w:val="00E94FA8"/>
    <w:rsid w:val="00EA234D"/>
    <w:rsid w:val="00EA5E41"/>
    <w:rsid w:val="00EA7C54"/>
    <w:rsid w:val="00EB4FD7"/>
    <w:rsid w:val="00EC2C92"/>
    <w:rsid w:val="00EC564B"/>
    <w:rsid w:val="00EC6F58"/>
    <w:rsid w:val="00EC73DE"/>
    <w:rsid w:val="00ED36AD"/>
    <w:rsid w:val="00ED4634"/>
    <w:rsid w:val="00ED6812"/>
    <w:rsid w:val="00ED7CB3"/>
    <w:rsid w:val="00EE0AC5"/>
    <w:rsid w:val="00EE1123"/>
    <w:rsid w:val="00EE14FD"/>
    <w:rsid w:val="00EE1706"/>
    <w:rsid w:val="00EE1FA8"/>
    <w:rsid w:val="00EE3744"/>
    <w:rsid w:val="00EE3A4F"/>
    <w:rsid w:val="00EE3F2F"/>
    <w:rsid w:val="00EE414E"/>
    <w:rsid w:val="00EF0C91"/>
    <w:rsid w:val="00EF2660"/>
    <w:rsid w:val="00EF26A2"/>
    <w:rsid w:val="00EF2F30"/>
    <w:rsid w:val="00EF5661"/>
    <w:rsid w:val="00F06892"/>
    <w:rsid w:val="00F06CBB"/>
    <w:rsid w:val="00F07BB1"/>
    <w:rsid w:val="00F11363"/>
    <w:rsid w:val="00F16086"/>
    <w:rsid w:val="00F1668A"/>
    <w:rsid w:val="00F238E4"/>
    <w:rsid w:val="00F239BE"/>
    <w:rsid w:val="00F2453F"/>
    <w:rsid w:val="00F269DE"/>
    <w:rsid w:val="00F26A4B"/>
    <w:rsid w:val="00F31636"/>
    <w:rsid w:val="00F376E3"/>
    <w:rsid w:val="00F37ED4"/>
    <w:rsid w:val="00F40A46"/>
    <w:rsid w:val="00F4141B"/>
    <w:rsid w:val="00F41D12"/>
    <w:rsid w:val="00F42D5E"/>
    <w:rsid w:val="00F45235"/>
    <w:rsid w:val="00F46EDB"/>
    <w:rsid w:val="00F50B3C"/>
    <w:rsid w:val="00F54EA9"/>
    <w:rsid w:val="00F5592A"/>
    <w:rsid w:val="00F5755E"/>
    <w:rsid w:val="00F57E9D"/>
    <w:rsid w:val="00F66E1A"/>
    <w:rsid w:val="00F705A1"/>
    <w:rsid w:val="00F715CF"/>
    <w:rsid w:val="00F71EBB"/>
    <w:rsid w:val="00F728DA"/>
    <w:rsid w:val="00F75C8E"/>
    <w:rsid w:val="00F813B7"/>
    <w:rsid w:val="00F81B05"/>
    <w:rsid w:val="00F8554D"/>
    <w:rsid w:val="00F861A0"/>
    <w:rsid w:val="00F870BF"/>
    <w:rsid w:val="00F9178C"/>
    <w:rsid w:val="00F92348"/>
    <w:rsid w:val="00F92B48"/>
    <w:rsid w:val="00FA006C"/>
    <w:rsid w:val="00FA18DD"/>
    <w:rsid w:val="00FA5560"/>
    <w:rsid w:val="00FA6063"/>
    <w:rsid w:val="00FA6CF2"/>
    <w:rsid w:val="00FA7C04"/>
    <w:rsid w:val="00FB3166"/>
    <w:rsid w:val="00FB4E60"/>
    <w:rsid w:val="00FB5AAE"/>
    <w:rsid w:val="00FC1787"/>
    <w:rsid w:val="00FC4ACC"/>
    <w:rsid w:val="00FD0268"/>
    <w:rsid w:val="00FD0892"/>
    <w:rsid w:val="00FD2503"/>
    <w:rsid w:val="00FD4C7B"/>
    <w:rsid w:val="00FD58DB"/>
    <w:rsid w:val="00FD6782"/>
    <w:rsid w:val="00FD727C"/>
    <w:rsid w:val="00FD7FFC"/>
    <w:rsid w:val="00FE3501"/>
    <w:rsid w:val="00FE3C08"/>
    <w:rsid w:val="00FF08AE"/>
    <w:rsid w:val="00FF3986"/>
    <w:rsid w:val="00FF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9"/>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ED6812"/>
    <w:pPr>
      <w:widowControl w:val="0"/>
      <w:ind w:firstLine="0"/>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5BB33-C454-46C3-9C6F-F1C7951F9A65}">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7</Pages>
  <Words>1781</Words>
  <Characters>10153</Characters>
  <Application>Microsoft Office Word</Application>
  <DocSecurity>0</DocSecurity>
  <Lines>84</Lines>
  <Paragraphs>23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70</cp:revision>
  <cp:lastPrinted>2025-03-19T05:52:00Z</cp:lastPrinted>
  <dcterms:created xsi:type="dcterms:W3CDTF">2025-06-24T13:47:00Z</dcterms:created>
  <dcterms:modified xsi:type="dcterms:W3CDTF">2026-03-25T07:16:00Z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