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7777777" w:rsidR="00276DBF" w:rsidRPr="00842154" w:rsidRDefault="00E939CD" w:rsidP="001E1B41">
      <w:pPr>
        <w:pBdr>
          <w:top w:val="none" w:sz="0" w:space="0" w:color="000000"/>
          <w:left w:val="none" w:sz="0" w:space="0" w:color="000000"/>
          <w:bottom w:val="none" w:sz="0" w:space="0" w:color="000000"/>
          <w:right w:val="none" w:sz="0" w:space="0" w:color="000000"/>
        </w:pBdr>
        <w:tabs>
          <w:tab w:val="left" w:pos="884"/>
          <w:tab w:val="left" w:pos="1196"/>
        </w:tabs>
        <w:ind w:firstLine="0"/>
        <w:jc w:val="center"/>
        <w:rPr>
          <w:sz w:val="24"/>
          <w:szCs w:val="24"/>
          <w:lang w:val="ro-RO"/>
        </w:rPr>
      </w:pPr>
      <w:r w:rsidRPr="00842154">
        <w:rPr>
          <w:b/>
          <w:sz w:val="24"/>
          <w:szCs w:val="24"/>
          <w:lang w:val="ro-RO"/>
        </w:rPr>
        <w:t>NOTA DE FUNDAMENTARE</w:t>
      </w:r>
    </w:p>
    <w:p w14:paraId="3647293E" w14:textId="77777777" w:rsidR="001E1B41" w:rsidRDefault="00C653FE" w:rsidP="001E1B41">
      <w:pPr>
        <w:ind w:firstLine="0"/>
        <w:jc w:val="center"/>
        <w:rPr>
          <w:b/>
          <w:bCs/>
          <w:sz w:val="24"/>
          <w:szCs w:val="24"/>
          <w:lang w:val="ro-RO"/>
        </w:rPr>
      </w:pPr>
      <w:r w:rsidRPr="00842154">
        <w:rPr>
          <w:b/>
          <w:color w:val="000000" w:themeColor="text1"/>
          <w:sz w:val="24"/>
          <w:szCs w:val="24"/>
          <w:lang w:val="ro-RO"/>
        </w:rPr>
        <w:t xml:space="preserve">la proiectul de </w:t>
      </w:r>
      <w:r w:rsidR="00833402" w:rsidRPr="001E1B41">
        <w:rPr>
          <w:b/>
          <w:bCs/>
          <w:sz w:val="24"/>
          <w:szCs w:val="24"/>
          <w:lang w:val="ro-RO"/>
        </w:rPr>
        <w:t>h</w:t>
      </w:r>
      <w:r w:rsidR="008B1BB2" w:rsidRPr="001E1B41">
        <w:rPr>
          <w:b/>
          <w:bCs/>
          <w:sz w:val="24"/>
          <w:szCs w:val="24"/>
          <w:lang w:val="ro-RO"/>
        </w:rPr>
        <w:t xml:space="preserve">otărâre </w:t>
      </w:r>
      <w:r w:rsidR="00833402" w:rsidRPr="001E1B41">
        <w:rPr>
          <w:b/>
          <w:bCs/>
          <w:sz w:val="24"/>
          <w:szCs w:val="24"/>
          <w:lang w:val="ro-RO"/>
        </w:rPr>
        <w:t>a</w:t>
      </w:r>
      <w:r w:rsidR="008B1BB2" w:rsidRPr="001E1B41">
        <w:rPr>
          <w:b/>
          <w:bCs/>
          <w:sz w:val="24"/>
          <w:szCs w:val="24"/>
          <w:lang w:val="ro-RO"/>
        </w:rPr>
        <w:t xml:space="preserve"> Guvern</w:t>
      </w:r>
      <w:r w:rsidR="00833402" w:rsidRPr="001E1B41">
        <w:rPr>
          <w:b/>
          <w:bCs/>
          <w:sz w:val="24"/>
          <w:szCs w:val="24"/>
          <w:lang w:val="ro-RO"/>
        </w:rPr>
        <w:t>ului</w:t>
      </w:r>
      <w:r w:rsidRPr="001E1B41">
        <w:rPr>
          <w:b/>
          <w:bCs/>
          <w:sz w:val="24"/>
          <w:szCs w:val="24"/>
          <w:lang w:val="ro-RO"/>
        </w:rPr>
        <w:t xml:space="preserve"> </w:t>
      </w:r>
      <w:r w:rsidRPr="001E1B41">
        <w:rPr>
          <w:b/>
          <w:sz w:val="24"/>
          <w:szCs w:val="24"/>
          <w:lang w:val="ro-RO"/>
        </w:rPr>
        <w:t xml:space="preserve">privind aprobarea </w:t>
      </w:r>
      <w:r w:rsidRPr="001E1B41">
        <w:rPr>
          <w:b/>
          <w:bCs/>
          <w:sz w:val="24"/>
          <w:szCs w:val="24"/>
          <w:lang w:val="ro-RO"/>
        </w:rPr>
        <w:t xml:space="preserve">Planului </w:t>
      </w:r>
      <w:r w:rsidR="000649A1" w:rsidRPr="001E1B41">
        <w:rPr>
          <w:b/>
          <w:bCs/>
          <w:sz w:val="24"/>
          <w:szCs w:val="24"/>
          <w:lang w:val="ro-RO"/>
        </w:rPr>
        <w:t xml:space="preserve">național </w:t>
      </w:r>
      <w:r w:rsidRPr="001E1B41">
        <w:rPr>
          <w:b/>
          <w:bCs/>
          <w:sz w:val="24"/>
          <w:szCs w:val="24"/>
          <w:lang w:val="ro-RO"/>
        </w:rPr>
        <w:t>de</w:t>
      </w:r>
    </w:p>
    <w:p w14:paraId="7A823C5E" w14:textId="77777777" w:rsidR="001E1B41" w:rsidRDefault="00C653FE" w:rsidP="001E1B41">
      <w:pPr>
        <w:ind w:firstLine="0"/>
        <w:jc w:val="center"/>
        <w:rPr>
          <w:b/>
          <w:bCs/>
          <w:sz w:val="24"/>
          <w:szCs w:val="24"/>
          <w:lang w:val="ro-RO"/>
        </w:rPr>
      </w:pPr>
      <w:r w:rsidRPr="001E1B41">
        <w:rPr>
          <w:b/>
          <w:bCs/>
          <w:sz w:val="24"/>
          <w:szCs w:val="24"/>
          <w:lang w:val="ro-RO"/>
        </w:rPr>
        <w:t xml:space="preserve"> prevenire, pregătire și răspuns în situații </w:t>
      </w:r>
      <w:r w:rsidR="00E956E2" w:rsidRPr="001E1B41">
        <w:rPr>
          <w:b/>
          <w:bCs/>
          <w:sz w:val="24"/>
          <w:szCs w:val="24"/>
          <w:lang w:val="ro-RO"/>
        </w:rPr>
        <w:t>de criză</w:t>
      </w:r>
      <w:r w:rsidRPr="001E1B41">
        <w:rPr>
          <w:b/>
          <w:bCs/>
          <w:sz w:val="24"/>
          <w:szCs w:val="24"/>
          <w:lang w:val="ro-RO"/>
        </w:rPr>
        <w:t xml:space="preserve"> și urgențe în sănătate publică</w:t>
      </w:r>
    </w:p>
    <w:p w14:paraId="44EB8DBD" w14:textId="63060F34" w:rsidR="00C653FE" w:rsidRPr="00842154" w:rsidRDefault="00833402" w:rsidP="001E1B41">
      <w:pPr>
        <w:ind w:firstLine="0"/>
        <w:jc w:val="center"/>
        <w:rPr>
          <w:b/>
          <w:color w:val="000000" w:themeColor="text1"/>
          <w:sz w:val="18"/>
          <w:szCs w:val="18"/>
          <w:lang w:val="ro-RO"/>
        </w:rPr>
      </w:pPr>
      <w:r w:rsidRPr="001E1B41">
        <w:t xml:space="preserve"> </w:t>
      </w:r>
      <w:r w:rsidRPr="001E1B41">
        <w:rPr>
          <w:b/>
          <w:bCs/>
          <w:sz w:val="24"/>
          <w:szCs w:val="24"/>
        </w:rPr>
        <w:t>pentru anii 2026–2030</w:t>
      </w:r>
    </w:p>
    <w:tbl>
      <w:tblPr>
        <w:tblStyle w:val="afb"/>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276DBF" w:rsidRPr="00842154" w14:paraId="287A4E29" w14:textId="77777777">
        <w:tc>
          <w:tcPr>
            <w:tcW w:w="9540" w:type="dxa"/>
            <w:shd w:val="clear" w:color="BFBFBF" w:fill="BFBFBF"/>
            <w:tcMar>
              <w:top w:w="0" w:type="dxa"/>
              <w:left w:w="108" w:type="dxa"/>
              <w:bottom w:w="0" w:type="dxa"/>
              <w:right w:w="108" w:type="dxa"/>
            </w:tcMar>
          </w:tcPr>
          <w:p w14:paraId="3A0D3A17" w14:textId="77777777" w:rsidR="00276DBF" w:rsidRPr="00842154" w:rsidRDefault="00E939CD" w:rsidP="00842154">
            <w:pPr>
              <w:spacing w:line="276" w:lineRule="auto"/>
              <w:rPr>
                <w:rFonts w:ascii="Times New Roman" w:eastAsia="Calibri" w:hAnsi="Times New Roman"/>
                <w:b/>
                <w:bCs/>
                <w:sz w:val="24"/>
                <w:szCs w:val="24"/>
                <w:lang w:val="ro-RO"/>
              </w:rPr>
            </w:pPr>
            <w:r w:rsidRPr="00842154">
              <w:rPr>
                <w:rFonts w:ascii="Times New Roman" w:eastAsia="Calibri" w:hAnsi="Times New Roman"/>
                <w:b/>
                <w:bCs/>
                <w:sz w:val="24"/>
                <w:szCs w:val="24"/>
                <w:lang w:val="ro-RO"/>
              </w:rPr>
              <w:t>1. Denumirea sau numele autorului și, după caz, a/al participanților la elaborarea proiectului actului normativ</w:t>
            </w:r>
          </w:p>
        </w:tc>
      </w:tr>
      <w:tr w:rsidR="00276DBF" w:rsidRPr="00842154" w14:paraId="07E4E789" w14:textId="77777777">
        <w:tc>
          <w:tcPr>
            <w:tcW w:w="9540" w:type="dxa"/>
            <w:tcMar>
              <w:top w:w="0" w:type="dxa"/>
              <w:left w:w="108" w:type="dxa"/>
              <w:bottom w:w="0" w:type="dxa"/>
              <w:right w:w="108" w:type="dxa"/>
            </w:tcMar>
          </w:tcPr>
          <w:p w14:paraId="77155182" w14:textId="681C4003" w:rsidR="00276DBF" w:rsidRPr="00842154" w:rsidRDefault="00833402" w:rsidP="000649A1">
            <w:pPr>
              <w:spacing w:line="276" w:lineRule="auto"/>
              <w:ind w:firstLine="225"/>
              <w:rPr>
                <w:rFonts w:ascii="Times New Roman" w:eastAsia="Calibri" w:hAnsi="Times New Roman"/>
                <w:b/>
                <w:color w:val="000000" w:themeColor="text1"/>
                <w:sz w:val="24"/>
                <w:szCs w:val="24"/>
                <w:lang w:val="ro-RO"/>
              </w:rPr>
            </w:pPr>
            <w:r>
              <w:rPr>
                <w:rFonts w:ascii="Times New Roman" w:eastAsia="Calibri" w:hAnsi="Times New Roman"/>
                <w:sz w:val="24"/>
                <w:szCs w:val="24"/>
                <w:lang w:val="ro-MD"/>
              </w:rPr>
              <w:t>P</w:t>
            </w:r>
            <w:r w:rsidRPr="00833402">
              <w:rPr>
                <w:rFonts w:ascii="Times New Roman" w:eastAsia="Calibri" w:hAnsi="Times New Roman"/>
                <w:sz w:val="24"/>
                <w:szCs w:val="24"/>
                <w:lang w:val="ro-MD"/>
              </w:rPr>
              <w:t xml:space="preserve">roiectul de hotărâre a Guvernului privind aprobarea Planului național de prevenire, pregătire și răspuns în situații de criză și urgențe în sănătate publică pentru anii 2026–2030 este elaborat de </w:t>
            </w:r>
            <w:r w:rsidRPr="00833402">
              <w:rPr>
                <w:rFonts w:ascii="Times New Roman" w:eastAsia="Calibri" w:hAnsi="Times New Roman"/>
                <w:b/>
                <w:bCs/>
                <w:sz w:val="24"/>
                <w:szCs w:val="24"/>
                <w:lang w:val="ro-MD"/>
              </w:rPr>
              <w:t>Ministerul Sănătății</w:t>
            </w:r>
            <w:r w:rsidRPr="00833402">
              <w:rPr>
                <w:rFonts w:ascii="Times New Roman" w:eastAsia="Calibri" w:hAnsi="Times New Roman"/>
                <w:sz w:val="24"/>
                <w:szCs w:val="24"/>
                <w:lang w:val="ro-MD"/>
              </w:rPr>
              <w:t xml:space="preserve">, în colaborare cu </w:t>
            </w:r>
            <w:r w:rsidRPr="00833402">
              <w:rPr>
                <w:rFonts w:ascii="Times New Roman" w:eastAsia="Calibri" w:hAnsi="Times New Roman"/>
                <w:b/>
                <w:bCs/>
                <w:sz w:val="24"/>
                <w:szCs w:val="24"/>
                <w:lang w:val="ro-MD"/>
              </w:rPr>
              <w:t>Agenția Națională pentru Sănătate Publică</w:t>
            </w:r>
            <w:r w:rsidRPr="00833402">
              <w:rPr>
                <w:rFonts w:ascii="Times New Roman" w:eastAsia="Calibri" w:hAnsi="Times New Roman"/>
                <w:sz w:val="24"/>
                <w:szCs w:val="24"/>
                <w:lang w:val="ro-MD"/>
              </w:rPr>
              <w:t>.</w:t>
            </w:r>
          </w:p>
        </w:tc>
      </w:tr>
      <w:tr w:rsidR="00276DBF" w:rsidRPr="00842154" w14:paraId="54985D5B" w14:textId="77777777">
        <w:tc>
          <w:tcPr>
            <w:tcW w:w="9540" w:type="dxa"/>
            <w:shd w:val="clear" w:color="BFBFBF" w:fill="BFBFBF"/>
            <w:tcMar>
              <w:top w:w="0" w:type="dxa"/>
              <w:left w:w="108" w:type="dxa"/>
              <w:bottom w:w="0" w:type="dxa"/>
              <w:right w:w="108" w:type="dxa"/>
            </w:tcMar>
          </w:tcPr>
          <w:p w14:paraId="6CF02A6C" w14:textId="77777777" w:rsidR="00276DBF" w:rsidRPr="00842154" w:rsidRDefault="00E939CD" w:rsidP="00842154">
            <w:pPr>
              <w:spacing w:line="276" w:lineRule="auto"/>
              <w:rPr>
                <w:rFonts w:ascii="Times New Roman" w:eastAsia="Calibri" w:hAnsi="Times New Roman"/>
                <w:b/>
                <w:bCs/>
                <w:sz w:val="24"/>
                <w:szCs w:val="24"/>
                <w:lang w:val="ro-RO"/>
              </w:rPr>
            </w:pPr>
            <w:r w:rsidRPr="00842154">
              <w:rPr>
                <w:rFonts w:ascii="Times New Roman" w:eastAsia="Calibri" w:hAnsi="Times New Roman"/>
                <w:b/>
                <w:bCs/>
                <w:sz w:val="24"/>
                <w:szCs w:val="24"/>
                <w:lang w:val="ro-RO"/>
              </w:rPr>
              <w:t>2. Condițiile ce au impus elaborarea proiectului actului normativ</w:t>
            </w:r>
          </w:p>
        </w:tc>
      </w:tr>
      <w:tr w:rsidR="00276DBF" w:rsidRPr="00842154" w14:paraId="4F79667C" w14:textId="77777777">
        <w:tc>
          <w:tcPr>
            <w:tcW w:w="9540" w:type="dxa"/>
            <w:shd w:val="clear" w:color="EDEDED" w:fill="EDEDED"/>
            <w:tcMar>
              <w:top w:w="0" w:type="dxa"/>
              <w:left w:w="108" w:type="dxa"/>
              <w:bottom w:w="0" w:type="dxa"/>
              <w:right w:w="108" w:type="dxa"/>
            </w:tcMar>
          </w:tcPr>
          <w:p w14:paraId="2E2152FC" w14:textId="77777777" w:rsidR="00276DBF" w:rsidRPr="00842154" w:rsidRDefault="00E939CD" w:rsidP="00842154">
            <w:pPr>
              <w:spacing w:line="276" w:lineRule="auto"/>
              <w:rPr>
                <w:rFonts w:ascii="Times New Roman" w:eastAsia="Calibri" w:hAnsi="Times New Roman"/>
                <w:sz w:val="24"/>
                <w:szCs w:val="24"/>
                <w:lang w:val="ro-RO"/>
              </w:rPr>
            </w:pPr>
            <w:r w:rsidRPr="00842154">
              <w:rPr>
                <w:rFonts w:ascii="Times New Roman" w:eastAsia="Calibri" w:hAnsi="Times New Roman"/>
                <w:sz w:val="24"/>
                <w:szCs w:val="24"/>
                <w:lang w:val="ro-RO"/>
              </w:rPr>
              <w:t>2.1. Temeiul legal sau, după caz, sursa proiectului actului normativ</w:t>
            </w:r>
          </w:p>
        </w:tc>
      </w:tr>
      <w:tr w:rsidR="00276DBF" w:rsidRPr="00842154" w14:paraId="43761752" w14:textId="77777777">
        <w:tc>
          <w:tcPr>
            <w:tcW w:w="9540" w:type="dxa"/>
            <w:shd w:val="clear" w:color="auto" w:fill="FFFFFF" w:themeFill="background1"/>
            <w:tcMar>
              <w:top w:w="0" w:type="dxa"/>
              <w:left w:w="108" w:type="dxa"/>
              <w:bottom w:w="0" w:type="dxa"/>
              <w:right w:w="108" w:type="dxa"/>
            </w:tcMar>
          </w:tcPr>
          <w:p w14:paraId="49AF1B9C" w14:textId="6A9317BE" w:rsidR="005C7838" w:rsidRDefault="006C2489" w:rsidP="000649A1">
            <w:pPr>
              <w:tabs>
                <w:tab w:val="left" w:pos="457"/>
              </w:tabs>
              <w:spacing w:after="200" w:line="276" w:lineRule="auto"/>
              <w:ind w:firstLine="225"/>
              <w:rPr>
                <w:rFonts w:ascii="Times New Roman" w:hAnsi="Times New Roman"/>
                <w:sz w:val="24"/>
                <w:szCs w:val="24"/>
                <w:shd w:val="clear" w:color="auto" w:fill="FFFFFF"/>
                <w:lang w:val="ro-MD"/>
              </w:rPr>
            </w:pPr>
            <w:r w:rsidRPr="00842154">
              <w:rPr>
                <w:rFonts w:ascii="Times New Roman" w:hAnsi="Times New Roman"/>
                <w:sz w:val="24"/>
                <w:szCs w:val="24"/>
                <w:shd w:val="clear" w:color="auto" w:fill="FFFFFF"/>
                <w:lang w:val="ro-RO"/>
              </w:rPr>
              <w:t xml:space="preserve">Prezentul proiect de </w:t>
            </w:r>
            <w:r w:rsidR="00833402">
              <w:rPr>
                <w:rFonts w:ascii="Times New Roman" w:hAnsi="Times New Roman"/>
                <w:sz w:val="24"/>
                <w:szCs w:val="24"/>
                <w:shd w:val="clear" w:color="auto" w:fill="FFFFFF"/>
                <w:lang w:val="ro-RO"/>
              </w:rPr>
              <w:t>h</w:t>
            </w:r>
            <w:r w:rsidR="00E431F3">
              <w:rPr>
                <w:rFonts w:ascii="Times New Roman" w:hAnsi="Times New Roman"/>
                <w:sz w:val="24"/>
                <w:szCs w:val="24"/>
                <w:shd w:val="clear" w:color="auto" w:fill="FFFFFF"/>
                <w:lang w:val="ro-RO"/>
              </w:rPr>
              <w:t xml:space="preserve">otărâre </w:t>
            </w:r>
            <w:r w:rsidR="00833402">
              <w:rPr>
                <w:rFonts w:ascii="Times New Roman" w:hAnsi="Times New Roman"/>
                <w:sz w:val="24"/>
                <w:szCs w:val="24"/>
                <w:shd w:val="clear" w:color="auto" w:fill="FFFFFF"/>
                <w:lang w:val="ro-RO"/>
              </w:rPr>
              <w:t>a</w:t>
            </w:r>
            <w:r w:rsidR="00E431F3">
              <w:rPr>
                <w:rFonts w:ascii="Times New Roman" w:hAnsi="Times New Roman"/>
                <w:sz w:val="24"/>
                <w:szCs w:val="24"/>
                <w:shd w:val="clear" w:color="auto" w:fill="FFFFFF"/>
                <w:lang w:val="ro-RO"/>
              </w:rPr>
              <w:t xml:space="preserve"> Guvern</w:t>
            </w:r>
            <w:r w:rsidR="00833402">
              <w:rPr>
                <w:rFonts w:ascii="Times New Roman" w:hAnsi="Times New Roman"/>
                <w:sz w:val="24"/>
                <w:szCs w:val="24"/>
                <w:shd w:val="clear" w:color="auto" w:fill="FFFFFF"/>
                <w:lang w:val="ro-RO"/>
              </w:rPr>
              <w:t>ului</w:t>
            </w:r>
            <w:r w:rsidRPr="00842154">
              <w:rPr>
                <w:rFonts w:ascii="Times New Roman" w:hAnsi="Times New Roman"/>
                <w:sz w:val="24"/>
                <w:szCs w:val="24"/>
                <w:shd w:val="clear" w:color="auto" w:fill="FFFFFF"/>
                <w:lang w:val="ro-RO"/>
              </w:rPr>
              <w:t xml:space="preserve"> are </w:t>
            </w:r>
            <w:r w:rsidR="00833402" w:rsidRPr="00833402">
              <w:rPr>
                <w:rFonts w:ascii="Times New Roman" w:hAnsi="Times New Roman"/>
                <w:sz w:val="24"/>
                <w:szCs w:val="24"/>
                <w:shd w:val="clear" w:color="auto" w:fill="FFFFFF"/>
                <w:lang w:val="ro-MD"/>
              </w:rPr>
              <w:t xml:space="preserve">drept scop </w:t>
            </w:r>
            <w:r w:rsidR="005C7838" w:rsidRPr="005C7838">
              <w:rPr>
                <w:rFonts w:ascii="Times New Roman" w:hAnsi="Times New Roman"/>
                <w:sz w:val="24"/>
                <w:szCs w:val="24"/>
                <w:shd w:val="clear" w:color="auto" w:fill="FFFFFF"/>
                <w:lang w:val="ro-MD"/>
              </w:rPr>
              <w:t>consolidarea capacității statului de a preveni, detecta și răspunde eficient la amenințări transfrontaliere grave pentru sănătate, precum și asigurarea coordonării instituțiilor și a accesului rapid la resurse, prin aprobarea Planului național de prevenire, pregătire și răspuns în situații de criză și urgențe în sănătate publică 2026–2030.</w:t>
            </w:r>
          </w:p>
          <w:p w14:paraId="0D2A828D" w14:textId="77777777" w:rsidR="004A59E8" w:rsidRDefault="005C7838" w:rsidP="00842154">
            <w:pPr>
              <w:spacing w:line="276" w:lineRule="auto"/>
              <w:ind w:firstLine="182"/>
              <w:rPr>
                <w:rFonts w:ascii="Times New Roman" w:hAnsi="Times New Roman"/>
                <w:lang w:val="ro-MD"/>
              </w:rPr>
            </w:pPr>
            <w:r>
              <w:rPr>
                <w:rFonts w:ascii="Times New Roman" w:hAnsi="Times New Roman"/>
                <w:sz w:val="24"/>
                <w:szCs w:val="24"/>
                <w:shd w:val="clear" w:color="auto" w:fill="FFFFFF"/>
                <w:lang w:val="ro-MD"/>
              </w:rPr>
              <w:t xml:space="preserve"> </w:t>
            </w:r>
            <w:r w:rsidRPr="005C7838">
              <w:rPr>
                <w:rFonts w:ascii="Times New Roman" w:hAnsi="Times New Roman"/>
                <w:sz w:val="24"/>
                <w:szCs w:val="24"/>
                <w:shd w:val="clear" w:color="auto" w:fill="FFFFFF"/>
                <w:lang w:val="ro-MD"/>
              </w:rPr>
              <w:t xml:space="preserve">Planul este aliniat la </w:t>
            </w:r>
            <w:r w:rsidRPr="005C7838">
              <w:rPr>
                <w:rFonts w:ascii="Times New Roman" w:hAnsi="Times New Roman"/>
                <w:b/>
                <w:bCs/>
                <w:sz w:val="24"/>
                <w:szCs w:val="24"/>
                <w:shd w:val="clear" w:color="auto" w:fill="FFFFFF"/>
                <w:lang w:val="ro-MD"/>
              </w:rPr>
              <w:t>Planul Uniunii Europene de prevenire, pregătire și răspuns la crize de sănătate</w:t>
            </w:r>
            <w:r w:rsidRPr="005C7838">
              <w:rPr>
                <w:rFonts w:ascii="Times New Roman" w:hAnsi="Times New Roman"/>
                <w:sz w:val="24"/>
                <w:szCs w:val="24"/>
                <w:shd w:val="clear" w:color="auto" w:fill="FFFFFF"/>
                <w:lang w:val="ro-MD"/>
              </w:rPr>
              <w:t>, elaborat de Direcția Generală SANTE a Comisiei Europene</w:t>
            </w:r>
            <w:r w:rsidR="00842154" w:rsidRPr="00842154">
              <w:rPr>
                <w:rFonts w:ascii="Times New Roman" w:hAnsi="Times New Roman"/>
                <w:sz w:val="24"/>
                <w:szCs w:val="24"/>
                <w:shd w:val="clear" w:color="auto" w:fill="FFFFFF"/>
                <w:lang w:val="ro-RO"/>
              </w:rPr>
              <w:t xml:space="preserve">, </w:t>
            </w:r>
            <w:r w:rsidR="00842154" w:rsidRPr="00842154">
              <w:rPr>
                <w:rFonts w:ascii="Times New Roman" w:hAnsi="Times New Roman"/>
                <w:b/>
                <w:bCs/>
                <w:i/>
                <w:iCs/>
                <w:sz w:val="24"/>
                <w:szCs w:val="24"/>
                <w:shd w:val="clear" w:color="auto" w:fill="FFFFFF"/>
                <w:lang w:val="ro-RO"/>
              </w:rPr>
              <w:t xml:space="preserve">„Introducing the Union prevention, preparedness and response plan for health crisesSWD/2025/393 </w:t>
            </w:r>
            <w:r w:rsidR="00842154">
              <w:fldChar w:fldCharType="begin"/>
            </w:r>
            <w:r w:rsidR="00842154" w:rsidRPr="00833402">
              <w:rPr>
                <w:lang w:val="ro-RO"/>
              </w:rPr>
              <w:instrText>HYPERLINK "https://eur-lex.europa.eu/legal-content/EN/TXT/?uri=celex:52025SC0393"</w:instrText>
            </w:r>
            <w:r w:rsidR="00842154">
              <w:fldChar w:fldCharType="separate"/>
            </w:r>
            <w:r w:rsidR="00842154" w:rsidRPr="00842154">
              <w:rPr>
                <w:rStyle w:val="af5"/>
                <w:rFonts w:ascii="Times New Roman" w:hAnsi="Times New Roman"/>
                <w:b/>
                <w:bCs/>
                <w:i/>
                <w:iCs/>
                <w:sz w:val="24"/>
                <w:szCs w:val="24"/>
                <w:shd w:val="clear" w:color="auto" w:fill="FFFFFF"/>
                <w:lang w:val="ro-RO"/>
              </w:rPr>
              <w:t>final</w:t>
            </w:r>
            <w:r w:rsidR="00842154">
              <w:fldChar w:fldCharType="end"/>
            </w:r>
            <w:r w:rsidR="00842154" w:rsidRPr="00842154">
              <w:rPr>
                <w:rFonts w:ascii="Times New Roman" w:hAnsi="Times New Roman"/>
                <w:b/>
                <w:bCs/>
                <w:i/>
                <w:iCs/>
                <w:sz w:val="24"/>
                <w:szCs w:val="24"/>
                <w:shd w:val="clear" w:color="auto" w:fill="FFFFFF"/>
                <w:lang w:val="ro-RO"/>
              </w:rPr>
              <w:t>”,</w:t>
            </w:r>
            <w:r w:rsidR="00842154" w:rsidRPr="00842154">
              <w:rPr>
                <w:rFonts w:ascii="Times New Roman" w:hAnsi="Times New Roman"/>
                <w:sz w:val="24"/>
                <w:szCs w:val="24"/>
                <w:shd w:val="clear" w:color="auto" w:fill="FFFFFF"/>
                <w:lang w:val="ro-RO"/>
              </w:rPr>
              <w:t xml:space="preserve"> în temeiul Regulamentului (UE) 2022/2371.</w:t>
            </w:r>
            <w:r w:rsidRPr="005C7838">
              <w:rPr>
                <w:rFonts w:ascii="Times New Roman" w:hAnsi="Times New Roman"/>
                <w:lang w:val="ro-MD"/>
              </w:rPr>
              <w:t xml:space="preserve"> </w:t>
            </w:r>
          </w:p>
          <w:p w14:paraId="49522033" w14:textId="2802C41E" w:rsidR="005C7838" w:rsidRDefault="005C7838" w:rsidP="00842154">
            <w:pPr>
              <w:spacing w:line="276" w:lineRule="auto"/>
              <w:ind w:firstLine="182"/>
              <w:rPr>
                <w:rFonts w:ascii="Times New Roman" w:hAnsi="Times New Roman"/>
                <w:sz w:val="24"/>
                <w:szCs w:val="24"/>
                <w:shd w:val="clear" w:color="auto" w:fill="FFFFFF"/>
                <w:lang w:val="ro-MD"/>
              </w:rPr>
            </w:pPr>
            <w:r w:rsidRPr="005C7838">
              <w:rPr>
                <w:rFonts w:ascii="Times New Roman" w:hAnsi="Times New Roman"/>
                <w:sz w:val="24"/>
                <w:szCs w:val="24"/>
                <w:shd w:val="clear" w:color="auto" w:fill="FFFFFF"/>
                <w:lang w:val="ro-MD"/>
              </w:rPr>
              <w:t>Acesta descrie rolurile și responsabilitățile actorilor la toate nivelurile sistemului medical, stabilește nivelurile de alertă, procedurile de activare și mecanismele de comunicare menite să reducă timpul de reacție, promovează abordarea „toate riscurile”, principiul „One Health” și coordonarea intersectorială, pentru consolidarea rezilienței sistemului și protecția sănătății populației.</w:t>
            </w:r>
          </w:p>
          <w:p w14:paraId="4BC1DEA5" w14:textId="1AADD664" w:rsidR="00370278" w:rsidRPr="00842154" w:rsidRDefault="004A59E8" w:rsidP="004A59E8">
            <w:pPr>
              <w:pStyle w:val="aff2"/>
              <w:tabs>
                <w:tab w:val="left" w:pos="457"/>
              </w:tabs>
              <w:spacing w:line="276" w:lineRule="auto"/>
              <w:ind w:left="173" w:firstLine="0"/>
              <w:rPr>
                <w:rFonts w:ascii="Times New Roman" w:hAnsi="Times New Roman"/>
                <w:sz w:val="24"/>
                <w:szCs w:val="24"/>
                <w:shd w:val="clear" w:color="auto" w:fill="FFFFFF"/>
                <w:lang w:val="ro-RO"/>
              </w:rPr>
            </w:pPr>
            <w:r>
              <w:rPr>
                <w:rFonts w:ascii="Times New Roman" w:hAnsi="Times New Roman"/>
                <w:sz w:val="24"/>
                <w:szCs w:val="24"/>
                <w:shd w:val="clear" w:color="auto" w:fill="FFFFFF"/>
                <w:lang w:val="ro-MD"/>
              </w:rPr>
              <w:t xml:space="preserve">   </w:t>
            </w:r>
            <w:r w:rsidRPr="004A59E8">
              <w:rPr>
                <w:rFonts w:ascii="Times New Roman" w:hAnsi="Times New Roman"/>
                <w:sz w:val="24"/>
                <w:szCs w:val="24"/>
                <w:shd w:val="clear" w:color="auto" w:fill="FFFFFF"/>
                <w:lang w:val="ro-MD"/>
              </w:rPr>
              <w:t>Planul se bazează pe experiența gestionării crizelor 2020–2025, inclusiv pandemia COVID-19 și criza refugiaților, precum și pe prevederile și angajamentele asumate prin:</w:t>
            </w:r>
            <w:r w:rsidR="00CB1033" w:rsidRPr="00842154">
              <w:rPr>
                <w:rFonts w:ascii="Times New Roman" w:hAnsi="Times New Roman"/>
                <w:sz w:val="24"/>
                <w:szCs w:val="24"/>
                <w:shd w:val="clear" w:color="auto" w:fill="FFFFFF"/>
                <w:lang w:val="ro-RO"/>
              </w:rPr>
              <w:t>Legea nr. 10/2009 privind supravegherea de stat a sănătății publice</w:t>
            </w:r>
            <w:r w:rsidR="000649A1">
              <w:rPr>
                <w:rFonts w:ascii="Times New Roman" w:hAnsi="Times New Roman"/>
                <w:sz w:val="24"/>
                <w:szCs w:val="24"/>
                <w:shd w:val="clear" w:color="auto" w:fill="FFFFFF"/>
                <w:lang w:val="ro-RO"/>
              </w:rPr>
              <w:t>;</w:t>
            </w:r>
          </w:p>
          <w:p w14:paraId="49E77553" w14:textId="5DF28440" w:rsidR="00370278" w:rsidRPr="00842154" w:rsidRDefault="00CB1033" w:rsidP="00842154">
            <w:pPr>
              <w:pStyle w:val="aff2"/>
              <w:numPr>
                <w:ilvl w:val="0"/>
                <w:numId w:val="5"/>
              </w:numPr>
              <w:tabs>
                <w:tab w:val="left" w:pos="457"/>
              </w:tabs>
              <w:spacing w:line="276" w:lineRule="auto"/>
              <w:ind w:left="173" w:firstLine="0"/>
              <w:rPr>
                <w:rFonts w:ascii="Times New Roman" w:hAnsi="Times New Roman"/>
                <w:sz w:val="24"/>
                <w:szCs w:val="24"/>
                <w:shd w:val="clear" w:color="auto" w:fill="FFFFFF"/>
                <w:lang w:val="ro-RO"/>
              </w:rPr>
            </w:pPr>
            <w:r w:rsidRPr="00842154">
              <w:rPr>
                <w:rFonts w:ascii="Times New Roman" w:hAnsi="Times New Roman"/>
                <w:sz w:val="24"/>
                <w:szCs w:val="24"/>
                <w:shd w:val="clear" w:color="auto" w:fill="FFFFFF"/>
                <w:lang w:val="ro-RO"/>
              </w:rPr>
              <w:t>Legea nr. 212/2004 privind regimul stării de urgență, de asediu și de război</w:t>
            </w:r>
            <w:r w:rsidR="000649A1">
              <w:rPr>
                <w:rFonts w:ascii="Times New Roman" w:hAnsi="Times New Roman"/>
                <w:sz w:val="24"/>
                <w:szCs w:val="24"/>
                <w:shd w:val="clear" w:color="auto" w:fill="FFFFFF"/>
                <w:lang w:val="ro-RO"/>
              </w:rPr>
              <w:t>;</w:t>
            </w:r>
          </w:p>
          <w:p w14:paraId="2642FFE1" w14:textId="3BC87619" w:rsidR="00370278" w:rsidRPr="00842154" w:rsidRDefault="00CB1033" w:rsidP="00842154">
            <w:pPr>
              <w:pStyle w:val="aff2"/>
              <w:numPr>
                <w:ilvl w:val="0"/>
                <w:numId w:val="5"/>
              </w:numPr>
              <w:tabs>
                <w:tab w:val="left" w:pos="457"/>
              </w:tabs>
              <w:spacing w:line="276" w:lineRule="auto"/>
              <w:ind w:left="173" w:firstLine="0"/>
              <w:rPr>
                <w:rFonts w:ascii="Times New Roman" w:hAnsi="Times New Roman"/>
                <w:sz w:val="24"/>
                <w:szCs w:val="24"/>
                <w:shd w:val="clear" w:color="auto" w:fill="FFFFFF"/>
                <w:lang w:val="ro-RO"/>
              </w:rPr>
            </w:pPr>
            <w:r w:rsidRPr="00842154">
              <w:rPr>
                <w:rFonts w:ascii="Times New Roman" w:hAnsi="Times New Roman"/>
                <w:sz w:val="24"/>
                <w:szCs w:val="24"/>
                <w:shd w:val="clear" w:color="auto" w:fill="FFFFFF"/>
                <w:lang w:val="ro-RO"/>
              </w:rPr>
              <w:t>Legea nr. 248/2025 privind managementul situațiilor de criză</w:t>
            </w:r>
            <w:r w:rsidR="000649A1">
              <w:rPr>
                <w:rFonts w:ascii="Times New Roman" w:hAnsi="Times New Roman"/>
                <w:sz w:val="24"/>
                <w:szCs w:val="24"/>
                <w:shd w:val="clear" w:color="auto" w:fill="FFFFFF"/>
                <w:lang w:val="ro-RO"/>
              </w:rPr>
              <w:t>;</w:t>
            </w:r>
          </w:p>
          <w:p w14:paraId="341FA731" w14:textId="77777777" w:rsidR="00370278" w:rsidRPr="00842154" w:rsidRDefault="00370278" w:rsidP="00842154">
            <w:pPr>
              <w:pStyle w:val="aff2"/>
              <w:numPr>
                <w:ilvl w:val="0"/>
                <w:numId w:val="5"/>
              </w:numPr>
              <w:tabs>
                <w:tab w:val="left" w:pos="457"/>
              </w:tabs>
              <w:spacing w:after="200" w:line="276" w:lineRule="auto"/>
              <w:ind w:left="173" w:firstLine="0"/>
              <w:rPr>
                <w:rFonts w:ascii="Times New Roman" w:hAnsi="Times New Roman"/>
                <w:sz w:val="24"/>
                <w:szCs w:val="24"/>
                <w:shd w:val="clear" w:color="auto" w:fill="FFFFFF"/>
                <w:lang w:val="ro-RO"/>
              </w:rPr>
            </w:pPr>
            <w:r w:rsidRPr="00842154">
              <w:rPr>
                <w:rFonts w:ascii="Times New Roman" w:hAnsi="Times New Roman"/>
                <w:sz w:val="24"/>
                <w:szCs w:val="24"/>
                <w:shd w:val="clear" w:color="auto" w:fill="FFFFFF"/>
                <w:lang w:val="ro-RO"/>
              </w:rPr>
              <w:t>Hotărârea Guvernului nr. 741/2024 pentru aprobarea Regulamentului privind sistemul de supraveghere epidemiologică a bolilor transmisibile și amenințărilor transfrontaliere grave pentru sănătate (act de transpunere a Regulamentului (UE) 2022/2371);</w:t>
            </w:r>
          </w:p>
          <w:p w14:paraId="3D5DD7FF" w14:textId="77777777" w:rsidR="00370278" w:rsidRPr="00842154" w:rsidRDefault="00370278" w:rsidP="00842154">
            <w:pPr>
              <w:pStyle w:val="aff2"/>
              <w:numPr>
                <w:ilvl w:val="0"/>
                <w:numId w:val="5"/>
              </w:numPr>
              <w:tabs>
                <w:tab w:val="left" w:pos="457"/>
              </w:tabs>
              <w:spacing w:after="200" w:line="276" w:lineRule="auto"/>
              <w:ind w:left="173" w:firstLine="0"/>
              <w:rPr>
                <w:rFonts w:ascii="Times New Roman" w:hAnsi="Times New Roman"/>
                <w:sz w:val="24"/>
                <w:szCs w:val="24"/>
                <w:shd w:val="clear" w:color="auto" w:fill="FFFFFF"/>
                <w:lang w:val="ro-RO"/>
              </w:rPr>
            </w:pPr>
            <w:r w:rsidRPr="00842154">
              <w:rPr>
                <w:rFonts w:ascii="Times New Roman" w:hAnsi="Times New Roman"/>
                <w:sz w:val="24"/>
                <w:szCs w:val="24"/>
                <w:shd w:val="clear" w:color="auto" w:fill="FFFFFF"/>
                <w:lang w:val="ro-RO"/>
              </w:rPr>
              <w:t>Hotărârea Guvernului nr. 30/2024 cu privire la sistemul de alertă precoce și răspuns rapid, instituit în legătură cu amenințările transfrontaliere grave pentru sănătate, la procedurile de notificare a alertelor și la procedurile de schimb de informații, consultare și coordonare a răspunsurilor la astfel de amenințări (act de transpunere a Deciziei (UE) 2017/253);</w:t>
            </w:r>
          </w:p>
          <w:p w14:paraId="0CC46704" w14:textId="6066CC1C" w:rsidR="00370278" w:rsidRPr="00842154" w:rsidRDefault="00370278" w:rsidP="00842154">
            <w:pPr>
              <w:pStyle w:val="aff2"/>
              <w:numPr>
                <w:ilvl w:val="0"/>
                <w:numId w:val="5"/>
              </w:numPr>
              <w:tabs>
                <w:tab w:val="left" w:pos="457"/>
              </w:tabs>
              <w:spacing w:after="200" w:line="276" w:lineRule="auto"/>
              <w:ind w:left="173" w:firstLine="0"/>
              <w:rPr>
                <w:rFonts w:ascii="Times New Roman" w:hAnsi="Times New Roman"/>
                <w:sz w:val="24"/>
                <w:szCs w:val="24"/>
                <w:shd w:val="clear" w:color="auto" w:fill="FFFFFF"/>
                <w:lang w:val="ro-RO"/>
              </w:rPr>
            </w:pPr>
            <w:r w:rsidRPr="00842154">
              <w:rPr>
                <w:rFonts w:ascii="Times New Roman" w:hAnsi="Times New Roman"/>
                <w:sz w:val="24"/>
                <w:szCs w:val="24"/>
                <w:shd w:val="clear" w:color="auto" w:fill="FFFFFF"/>
                <w:lang w:val="ro-RO"/>
              </w:rPr>
              <w:t>Hotărârea Guvernului nr. 222/2023 privind aprobarea Planului de acțiuni pentru implementarea Regulamentului Sanitar Internațional (2005) în Republica Moldova pentru perioada 2023–2027</w:t>
            </w:r>
            <w:r w:rsidR="000649A1">
              <w:rPr>
                <w:rFonts w:ascii="Times New Roman" w:hAnsi="Times New Roman"/>
                <w:sz w:val="24"/>
                <w:szCs w:val="24"/>
                <w:shd w:val="clear" w:color="auto" w:fill="FFFFFF"/>
                <w:lang w:val="ro-RO"/>
              </w:rPr>
              <w:t>;</w:t>
            </w:r>
          </w:p>
          <w:p w14:paraId="5EA2366A" w14:textId="469A103D" w:rsidR="00CB67FA" w:rsidRPr="00842154" w:rsidRDefault="00370278" w:rsidP="00842154">
            <w:pPr>
              <w:pStyle w:val="aff2"/>
              <w:numPr>
                <w:ilvl w:val="0"/>
                <w:numId w:val="5"/>
              </w:numPr>
              <w:tabs>
                <w:tab w:val="left" w:pos="457"/>
              </w:tabs>
              <w:spacing w:after="200" w:line="276" w:lineRule="auto"/>
              <w:ind w:left="173" w:firstLine="11"/>
              <w:rPr>
                <w:rFonts w:ascii="Times New Roman" w:hAnsi="Times New Roman"/>
                <w:sz w:val="24"/>
                <w:szCs w:val="24"/>
                <w:shd w:val="clear" w:color="auto" w:fill="FFFFFF"/>
                <w:lang w:val="ro-RO"/>
              </w:rPr>
            </w:pPr>
            <w:r w:rsidRPr="00842154">
              <w:rPr>
                <w:rFonts w:ascii="Times New Roman" w:hAnsi="Times New Roman"/>
                <w:sz w:val="24"/>
                <w:szCs w:val="24"/>
                <w:shd w:val="clear" w:color="auto" w:fill="FFFFFF"/>
                <w:lang w:val="ro-RO"/>
              </w:rPr>
              <w:t xml:space="preserve">Ordinul Ministerului Sănătății 770/2025 cu privire la aplicarea procedurii de evaluare a planului național de prevenire, pregătire și răspuns în urgențe de sănătate publică (act de transpunere </w:t>
            </w:r>
            <w:r w:rsidR="00C7326C" w:rsidRPr="00842154">
              <w:rPr>
                <w:rFonts w:ascii="Times New Roman" w:hAnsi="Times New Roman"/>
                <w:sz w:val="24"/>
                <w:szCs w:val="24"/>
                <w:shd w:val="clear" w:color="auto" w:fill="FFFFFF"/>
                <w:lang w:val="ro-RO"/>
              </w:rPr>
              <w:t>Regulamentul (UE) 2023/1808</w:t>
            </w:r>
            <w:r w:rsidRPr="00842154">
              <w:rPr>
                <w:rFonts w:ascii="Times New Roman" w:hAnsi="Times New Roman"/>
                <w:sz w:val="24"/>
                <w:szCs w:val="24"/>
                <w:shd w:val="clear" w:color="auto" w:fill="FFFFFF"/>
                <w:lang w:val="ro-RO"/>
              </w:rPr>
              <w:t>)</w:t>
            </w:r>
            <w:r w:rsidR="000649A1">
              <w:rPr>
                <w:rFonts w:ascii="Times New Roman" w:hAnsi="Times New Roman"/>
                <w:sz w:val="24"/>
                <w:szCs w:val="24"/>
                <w:shd w:val="clear" w:color="auto" w:fill="FFFFFF"/>
                <w:lang w:val="ro-RO"/>
              </w:rPr>
              <w:t>;</w:t>
            </w:r>
          </w:p>
          <w:p w14:paraId="6B2A306E" w14:textId="0EC9E643" w:rsidR="00370278" w:rsidRPr="00842154" w:rsidRDefault="000649A1" w:rsidP="00842154">
            <w:pPr>
              <w:pStyle w:val="aff2"/>
              <w:numPr>
                <w:ilvl w:val="0"/>
                <w:numId w:val="5"/>
              </w:numPr>
              <w:tabs>
                <w:tab w:val="left" w:pos="457"/>
              </w:tabs>
              <w:spacing w:after="200" w:line="276" w:lineRule="auto"/>
              <w:ind w:left="173" w:firstLine="11"/>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lastRenderedPageBreak/>
              <w:t>O</w:t>
            </w:r>
            <w:r w:rsidRPr="000649A1">
              <w:rPr>
                <w:rFonts w:ascii="Times New Roman" w:hAnsi="Times New Roman"/>
                <w:sz w:val="24"/>
                <w:szCs w:val="24"/>
                <w:shd w:val="clear" w:color="auto" w:fill="FFFFFF"/>
                <w:lang w:val="ro-RO"/>
              </w:rPr>
              <w:t>rdinul MS Nr. 1235</w:t>
            </w:r>
            <w:r>
              <w:rPr>
                <w:rFonts w:ascii="Times New Roman" w:hAnsi="Times New Roman"/>
                <w:sz w:val="24"/>
                <w:szCs w:val="24"/>
                <w:shd w:val="clear" w:color="auto" w:fill="FFFFFF"/>
                <w:lang w:val="ro-RO"/>
              </w:rPr>
              <w:t xml:space="preserve"> din</w:t>
            </w:r>
            <w:r w:rsidRPr="000649A1">
              <w:rPr>
                <w:rFonts w:ascii="Times New Roman" w:hAnsi="Times New Roman"/>
                <w:sz w:val="24"/>
                <w:szCs w:val="24"/>
                <w:shd w:val="clear" w:color="auto" w:fill="FFFFFF"/>
                <w:lang w:val="ro-RO"/>
              </w:rPr>
              <w:t xml:space="preserve"> 30 decembrie 2025  cu privire la organizarea, monitorizarea, achiziția și distribuția contramăsurilor medicale în situații de criză în cazul unei urgențe de sănătate publică pentru transpunerea Regulamentului (UE) 2022/2372</w:t>
            </w:r>
            <w:r w:rsidR="00370278" w:rsidRPr="00842154">
              <w:rPr>
                <w:rFonts w:ascii="Times New Roman" w:hAnsi="Times New Roman"/>
                <w:sz w:val="24"/>
                <w:szCs w:val="24"/>
                <w:shd w:val="clear" w:color="auto" w:fill="FFFFFF"/>
                <w:lang w:val="ro-RO"/>
              </w:rPr>
              <w:t xml:space="preserve">. </w:t>
            </w:r>
          </w:p>
          <w:p w14:paraId="0B6AD12E" w14:textId="77777777" w:rsidR="005C7838" w:rsidRDefault="005C7838" w:rsidP="00842154">
            <w:pPr>
              <w:tabs>
                <w:tab w:val="left" w:pos="457"/>
              </w:tabs>
              <w:spacing w:after="200" w:line="276" w:lineRule="auto"/>
              <w:rPr>
                <w:rFonts w:ascii="Times New Roman" w:hAnsi="Times New Roman"/>
                <w:sz w:val="24"/>
                <w:szCs w:val="24"/>
                <w:shd w:val="clear" w:color="auto" w:fill="FFFFFF"/>
                <w:lang w:val="ro-MD"/>
              </w:rPr>
            </w:pPr>
            <w:r w:rsidRPr="005C7838">
              <w:rPr>
                <w:rFonts w:ascii="Times New Roman" w:hAnsi="Times New Roman"/>
                <w:sz w:val="24"/>
                <w:szCs w:val="24"/>
                <w:shd w:val="clear" w:color="auto" w:fill="FFFFFF"/>
                <w:lang w:val="ro-MD"/>
              </w:rPr>
              <w:t xml:space="preserve">Prin urmare, proiectul de Hotărâre de Guvern urmărește aprobarea unui cadru operațional unitar pentru prevenirea, pregătirea și răspunsul la amenințări transfrontaliere grave pentru sănătatea publică. Acesta asigură colectarea și transmiterea rapidă a informațiilor relevante, facilitează intervenția eficientă în situații de urgență și consolidează coordonarea interinstituțională și cooperarea internațională. </w:t>
            </w:r>
          </w:p>
          <w:p w14:paraId="1CDADDCC" w14:textId="2D64B46F" w:rsidR="00276DBF" w:rsidRPr="00842154" w:rsidRDefault="005C7838" w:rsidP="00842154">
            <w:pPr>
              <w:tabs>
                <w:tab w:val="left" w:pos="457"/>
              </w:tabs>
              <w:spacing w:after="200" w:line="276" w:lineRule="auto"/>
              <w:rPr>
                <w:rFonts w:ascii="Times New Roman" w:hAnsi="Times New Roman"/>
                <w:sz w:val="24"/>
                <w:szCs w:val="24"/>
                <w:shd w:val="clear" w:color="auto" w:fill="FFFFFF"/>
                <w:lang w:val="ro-RO"/>
              </w:rPr>
            </w:pPr>
            <w:r w:rsidRPr="005C7838">
              <w:rPr>
                <w:rFonts w:ascii="Times New Roman" w:hAnsi="Times New Roman"/>
                <w:sz w:val="24"/>
                <w:szCs w:val="24"/>
                <w:shd w:val="clear" w:color="auto" w:fill="FFFFFF"/>
                <w:lang w:val="ro-MD"/>
              </w:rPr>
              <w:t>Totodată, proiectul aliniează sistemul național de alertă și răspuns rapid la cerințele Uniunii Europene și Organizației Mondiale a Sănătății, sporind eficiența gestionării riscurilor transfrontaliere.</w:t>
            </w:r>
          </w:p>
        </w:tc>
      </w:tr>
      <w:tr w:rsidR="00276DBF" w:rsidRPr="00842154" w14:paraId="6F56D62C" w14:textId="77777777">
        <w:tc>
          <w:tcPr>
            <w:tcW w:w="9540" w:type="dxa"/>
            <w:shd w:val="clear" w:color="EDEDED" w:fill="EDEDED"/>
            <w:tcMar>
              <w:top w:w="0" w:type="dxa"/>
              <w:left w:w="108" w:type="dxa"/>
              <w:bottom w:w="0" w:type="dxa"/>
              <w:right w:w="108" w:type="dxa"/>
            </w:tcMar>
          </w:tcPr>
          <w:p w14:paraId="440AD9EB" w14:textId="77777777" w:rsidR="00276DBF" w:rsidRPr="00842154" w:rsidRDefault="00E939CD" w:rsidP="00842154">
            <w:pPr>
              <w:spacing w:line="276" w:lineRule="auto"/>
              <w:rPr>
                <w:rFonts w:ascii="Times New Roman" w:eastAsia="Calibri" w:hAnsi="Times New Roman"/>
                <w:sz w:val="24"/>
                <w:szCs w:val="24"/>
                <w:lang w:val="ro-RO"/>
              </w:rPr>
            </w:pPr>
            <w:r w:rsidRPr="00842154">
              <w:rPr>
                <w:rFonts w:ascii="Times New Roman" w:eastAsia="Calibri" w:hAnsi="Times New Roman"/>
                <w:sz w:val="24"/>
                <w:szCs w:val="24"/>
                <w:lang w:val="ro-RO"/>
              </w:rPr>
              <w:lastRenderedPageBreak/>
              <w:t>2.2. Descrierea situației actuale și a problemelor care impun intervenția, inclusiv a cadrului normativ aplicabil și a deficiențelor/lacunelor normative</w:t>
            </w:r>
          </w:p>
        </w:tc>
      </w:tr>
      <w:tr w:rsidR="00276DBF" w:rsidRPr="00842154" w14:paraId="30963134" w14:textId="77777777" w:rsidTr="003848C2">
        <w:trPr>
          <w:trHeight w:val="835"/>
        </w:trPr>
        <w:tc>
          <w:tcPr>
            <w:tcW w:w="9540" w:type="dxa"/>
            <w:shd w:val="clear" w:color="auto" w:fill="FFFFFF" w:themeFill="background1"/>
            <w:tcMar>
              <w:top w:w="0" w:type="dxa"/>
              <w:left w:w="108" w:type="dxa"/>
              <w:bottom w:w="0" w:type="dxa"/>
              <w:right w:w="108" w:type="dxa"/>
            </w:tcMar>
          </w:tcPr>
          <w:p w14:paraId="6ED3F04F" w14:textId="3D95057C" w:rsidR="00D949AC" w:rsidRPr="00842154" w:rsidRDefault="004A59E8" w:rsidP="00842154">
            <w:pPr>
              <w:spacing w:line="276" w:lineRule="auto"/>
              <w:rPr>
                <w:rFonts w:ascii="Times New Roman" w:hAnsi="Times New Roman"/>
                <w:sz w:val="24"/>
                <w:szCs w:val="24"/>
                <w:shd w:val="clear" w:color="auto" w:fill="FFFFFF"/>
                <w:lang w:val="ro-RO"/>
              </w:rPr>
            </w:pPr>
            <w:r>
              <w:rPr>
                <w:rFonts w:ascii="Times New Roman" w:hAnsi="Times New Roman"/>
                <w:sz w:val="24"/>
                <w:szCs w:val="24"/>
                <w:shd w:val="clear" w:color="auto" w:fill="FFFFFF"/>
                <w:lang w:val="ro-MD"/>
              </w:rPr>
              <w:t>Actualmente</w:t>
            </w:r>
            <w:r w:rsidR="005C7838" w:rsidRPr="005C7838">
              <w:rPr>
                <w:rFonts w:ascii="Times New Roman" w:hAnsi="Times New Roman"/>
                <w:sz w:val="24"/>
                <w:szCs w:val="24"/>
                <w:shd w:val="clear" w:color="auto" w:fill="FFFFFF"/>
                <w:lang w:val="ro-MD"/>
              </w:rPr>
              <w:t>, sistemul național de gestionare a urgențelor în sănătate publică funcționează pe baza unor reglementări fragmentate, iar expirarea Planului de pregătire și răspuns pentru perioada 2020–2025 subliniază necesitatea unei actualizări și consolidări a cadrului existent. Planul anterior a fost util în gestionarea crizelor trecute, însă nu a anticipat riscurile emergente, cum ar fi pandemia COVID-19, noile boli infecțioase și impactul schimbărilor climatice asupra sănătății. În plus, mecanismele de coordonare interinstituțională și de alertă precoce nu sunt pe deplin integrate, ceea ce limitează viteza și eficiența răspunsului în situații de urgență.</w:t>
            </w:r>
            <w:r w:rsidR="00D949AC" w:rsidRPr="00842154">
              <w:rPr>
                <w:rFonts w:ascii="Times New Roman" w:hAnsi="Times New Roman"/>
                <w:sz w:val="24"/>
                <w:szCs w:val="24"/>
                <w:shd w:val="clear" w:color="auto" w:fill="FFFFFF"/>
                <w:lang w:val="ro-RO"/>
              </w:rPr>
              <w:t>.</w:t>
            </w:r>
          </w:p>
          <w:p w14:paraId="78685603" w14:textId="77777777" w:rsidR="001203A8" w:rsidRDefault="005C7838" w:rsidP="00842154">
            <w:pPr>
              <w:spacing w:line="276" w:lineRule="auto"/>
              <w:rPr>
                <w:rFonts w:ascii="Times New Roman" w:hAnsi="Times New Roman"/>
                <w:sz w:val="24"/>
                <w:szCs w:val="24"/>
                <w:shd w:val="clear" w:color="auto" w:fill="FFFFFF"/>
                <w:lang w:val="ro-MD"/>
              </w:rPr>
            </w:pPr>
            <w:r w:rsidRPr="005C7838">
              <w:rPr>
                <w:rFonts w:ascii="Times New Roman" w:hAnsi="Times New Roman"/>
                <w:sz w:val="24"/>
                <w:szCs w:val="24"/>
                <w:shd w:val="clear" w:color="auto" w:fill="FFFFFF"/>
                <w:lang w:val="ro-MD"/>
              </w:rPr>
              <w:t>Evaluarea riscurilor realizată în 2024 prin instrumentul OMS (STAR) a evidențiat modificări importante față de 2019: 21% dintre riscuri sunt de tip antropic, iar 78% naturale, comparativ cu 42% antropic și 58% natural în 2019. Riscurile emergente includ noi boli infecțioase, schimbări climatice, crize economice și geopolitice, precum și amenințări cibernetice. Fenomenele naturale extreme – secete, valuri de căldură și inundații – s-au intensificat în ultimii ani, afectând sănătatea populației și economia națională, accentuând vulnerabilitatea țării.</w:t>
            </w:r>
          </w:p>
          <w:p w14:paraId="48561B4A" w14:textId="6DB517E3" w:rsidR="00775421" w:rsidRPr="00842154" w:rsidRDefault="001203A8" w:rsidP="00842154">
            <w:pPr>
              <w:spacing w:line="276" w:lineRule="auto"/>
              <w:rPr>
                <w:rFonts w:ascii="Times New Roman" w:hAnsi="Times New Roman"/>
                <w:sz w:val="24"/>
                <w:szCs w:val="24"/>
                <w:shd w:val="clear" w:color="auto" w:fill="FFFFFF"/>
                <w:lang w:val="ro-RO"/>
              </w:rPr>
            </w:pPr>
            <w:r w:rsidRPr="001203A8">
              <w:rPr>
                <w:rFonts w:ascii="Times New Roman" w:hAnsi="Times New Roman"/>
                <w:sz w:val="24"/>
                <w:szCs w:val="24"/>
                <w:shd w:val="clear" w:color="auto" w:fill="FFFFFF"/>
                <w:lang w:val="ro-MD"/>
              </w:rPr>
              <w:t>Planul integrează lecțiile învățate din pandemia COVID-19, care a demonstrat necesitatea unui răspuns rapid, coordonat și eficient, implicând toate instituțiile relevante. Totodată, acesta se aliniază cu Planul Uniunii Europene de prevenire, pregătire și răspuns la crize de sănătate, reflectând standardele europene pentru gestionarea riscurilor transfrontaliere grave și promovând un răspuns coordonat și eficient.</w:t>
            </w:r>
          </w:p>
        </w:tc>
      </w:tr>
      <w:tr w:rsidR="00276DBF" w:rsidRPr="00842154" w14:paraId="595D390F" w14:textId="77777777">
        <w:tc>
          <w:tcPr>
            <w:tcW w:w="9540" w:type="dxa"/>
            <w:shd w:val="clear" w:color="BFBFBF" w:fill="BFBFBF"/>
            <w:tcMar>
              <w:top w:w="0" w:type="dxa"/>
              <w:left w:w="108" w:type="dxa"/>
              <w:bottom w:w="0" w:type="dxa"/>
              <w:right w:w="108" w:type="dxa"/>
            </w:tcMar>
          </w:tcPr>
          <w:p w14:paraId="6434D1B0" w14:textId="77777777" w:rsidR="00276DBF" w:rsidRPr="00842154" w:rsidRDefault="00E939CD" w:rsidP="00842154">
            <w:pPr>
              <w:spacing w:line="276" w:lineRule="auto"/>
              <w:rPr>
                <w:rFonts w:ascii="Times New Roman" w:eastAsia="Calibri" w:hAnsi="Times New Roman"/>
                <w:b/>
                <w:bCs/>
                <w:sz w:val="24"/>
                <w:szCs w:val="24"/>
                <w:lang w:val="ro-RO"/>
              </w:rPr>
            </w:pPr>
            <w:r w:rsidRPr="00842154">
              <w:rPr>
                <w:rFonts w:ascii="Times New Roman" w:eastAsia="Calibri" w:hAnsi="Times New Roman"/>
                <w:b/>
                <w:bCs/>
                <w:sz w:val="24"/>
                <w:szCs w:val="24"/>
                <w:lang w:val="ro-RO"/>
              </w:rPr>
              <w:t>3. Obiectivele urmărite și soluțiile propuse</w:t>
            </w:r>
          </w:p>
        </w:tc>
      </w:tr>
      <w:tr w:rsidR="00276DBF" w:rsidRPr="00842154" w14:paraId="256ADACA" w14:textId="77777777">
        <w:tc>
          <w:tcPr>
            <w:tcW w:w="9540" w:type="dxa"/>
            <w:shd w:val="clear" w:color="auto" w:fill="F2F2F2" w:themeFill="background1" w:themeFillShade="F2"/>
            <w:tcMar>
              <w:top w:w="0" w:type="dxa"/>
              <w:left w:w="108" w:type="dxa"/>
              <w:bottom w:w="0" w:type="dxa"/>
              <w:right w:w="108" w:type="dxa"/>
            </w:tcMar>
          </w:tcPr>
          <w:p w14:paraId="0E4919AE" w14:textId="77777777" w:rsidR="00276DBF" w:rsidRPr="00842154" w:rsidRDefault="00E939CD" w:rsidP="00842154">
            <w:pPr>
              <w:spacing w:line="276" w:lineRule="auto"/>
              <w:rPr>
                <w:rFonts w:ascii="Times New Roman" w:eastAsia="Calibri" w:hAnsi="Times New Roman"/>
                <w:sz w:val="24"/>
                <w:szCs w:val="24"/>
                <w:lang w:val="ro-RO"/>
              </w:rPr>
            </w:pPr>
            <w:r w:rsidRPr="00842154">
              <w:rPr>
                <w:rFonts w:ascii="Times New Roman" w:eastAsia="Calibri" w:hAnsi="Times New Roman"/>
                <w:sz w:val="24"/>
                <w:szCs w:val="24"/>
                <w:lang w:val="ro-RO"/>
              </w:rPr>
              <w:t>3.1. Principalele prevederi ale proiectului și evidențierea elementelor noi</w:t>
            </w:r>
          </w:p>
        </w:tc>
      </w:tr>
      <w:tr w:rsidR="00276DBF" w:rsidRPr="00842154" w14:paraId="14F9A38C" w14:textId="77777777" w:rsidTr="007949A2">
        <w:trPr>
          <w:trHeight w:val="8206"/>
        </w:trPr>
        <w:tc>
          <w:tcPr>
            <w:tcW w:w="9540" w:type="dxa"/>
            <w:shd w:val="clear" w:color="auto" w:fill="FFFFFF" w:themeFill="background1"/>
            <w:tcMar>
              <w:top w:w="0" w:type="dxa"/>
              <w:left w:w="108" w:type="dxa"/>
              <w:bottom w:w="0" w:type="dxa"/>
              <w:right w:w="108" w:type="dxa"/>
            </w:tcMar>
          </w:tcPr>
          <w:p w14:paraId="3A746F91" w14:textId="77777777" w:rsidR="004A59E8" w:rsidRDefault="00775421" w:rsidP="00842154">
            <w:pPr>
              <w:spacing w:line="276" w:lineRule="auto"/>
              <w:ind w:firstLineChars="250" w:firstLine="600"/>
              <w:rPr>
                <w:rFonts w:ascii="Times New Roman" w:eastAsia="Calibri" w:hAnsi="Times New Roman"/>
                <w:sz w:val="24"/>
                <w:szCs w:val="24"/>
                <w:lang w:val="ro-MD"/>
              </w:rPr>
            </w:pPr>
            <w:r w:rsidRPr="00842154">
              <w:rPr>
                <w:rFonts w:ascii="Times New Roman" w:eastAsia="Calibri" w:hAnsi="Times New Roman"/>
                <w:sz w:val="24"/>
                <w:szCs w:val="24"/>
                <w:lang w:val="ro-RO"/>
              </w:rPr>
              <w:lastRenderedPageBreak/>
              <w:t xml:space="preserve">Scopul principal al proiectului de </w:t>
            </w:r>
            <w:r w:rsidR="00ED1BAA">
              <w:rPr>
                <w:rFonts w:ascii="Times New Roman" w:hAnsi="Times New Roman"/>
                <w:sz w:val="24"/>
                <w:szCs w:val="24"/>
                <w:shd w:val="clear" w:color="auto" w:fill="FFFFFF"/>
                <w:lang w:val="ro-RO"/>
              </w:rPr>
              <w:t>Hotărâre de Guvern</w:t>
            </w:r>
            <w:r w:rsidR="00ED1BAA" w:rsidRPr="00842154">
              <w:rPr>
                <w:rFonts w:ascii="Times New Roman" w:hAnsi="Times New Roman"/>
                <w:sz w:val="24"/>
                <w:szCs w:val="24"/>
                <w:shd w:val="clear" w:color="auto" w:fill="FFFFFF"/>
                <w:lang w:val="ro-RO"/>
              </w:rPr>
              <w:t xml:space="preserve"> </w:t>
            </w:r>
            <w:r w:rsidR="001203A8" w:rsidRPr="001203A8">
              <w:rPr>
                <w:rFonts w:ascii="Times New Roman" w:eastAsia="Calibri" w:hAnsi="Times New Roman"/>
                <w:sz w:val="24"/>
                <w:szCs w:val="24"/>
                <w:lang w:val="ro-MD"/>
              </w:rPr>
              <w:t xml:space="preserve">este de a consolida capacitatea statului de a răspunde rapid, coordonat și eficient la urgențele de sănătate publică, indiferent de natura acestora – naturală, tehnologică, biologică, chimică sau radiologică – reducând la minimum impactul asupra vieții și sănătății populației. </w:t>
            </w:r>
          </w:p>
          <w:p w14:paraId="734BF346" w14:textId="1900456F" w:rsidR="001203A8" w:rsidRDefault="001203A8" w:rsidP="00842154">
            <w:pPr>
              <w:spacing w:line="276" w:lineRule="auto"/>
              <w:ind w:firstLineChars="250" w:firstLine="600"/>
              <w:rPr>
                <w:rFonts w:ascii="Times New Roman" w:eastAsia="Calibri" w:hAnsi="Times New Roman"/>
                <w:sz w:val="24"/>
                <w:szCs w:val="24"/>
                <w:lang w:val="ro-MD"/>
              </w:rPr>
            </w:pPr>
            <w:r w:rsidRPr="001203A8">
              <w:rPr>
                <w:rFonts w:ascii="Times New Roman" w:eastAsia="Calibri" w:hAnsi="Times New Roman"/>
                <w:sz w:val="24"/>
                <w:szCs w:val="24"/>
                <w:lang w:val="ro-MD"/>
              </w:rPr>
              <w:t>Planul clarifică rolurile instituțiilor, îmbunătățește cooperarea intersectorială și aliniază sistemul național la reglementările Uniunii Europene, contribuind astfel la consolidarea rezilienței sistemului de sănătate publică.</w:t>
            </w:r>
          </w:p>
          <w:p w14:paraId="3A48B070" w14:textId="77777777" w:rsidR="007949A2" w:rsidRDefault="007949A2" w:rsidP="00842154">
            <w:pPr>
              <w:spacing w:line="276" w:lineRule="auto"/>
              <w:ind w:firstLine="744"/>
              <w:rPr>
                <w:rFonts w:ascii="Times New Roman" w:eastAsia="Calibri" w:hAnsi="Times New Roman"/>
                <w:sz w:val="24"/>
                <w:szCs w:val="24"/>
                <w:lang w:val="ro-MD"/>
              </w:rPr>
            </w:pPr>
            <w:r w:rsidRPr="007949A2">
              <w:rPr>
                <w:rFonts w:ascii="Times New Roman" w:eastAsia="Calibri" w:hAnsi="Times New Roman"/>
                <w:sz w:val="24"/>
                <w:szCs w:val="24"/>
                <w:lang w:val="ro-MD"/>
              </w:rPr>
              <w:t>Planul păstrează obiectivele esențiale ale planului anterior pentru perioada 2020–2025, precum menținerea unui nivel ridicat de pregătire, coordonarea stabilă a acțiunilor și utilizarea optimă a resurselor, și le completează prin alinierea la legislația și strategiile Uniunii Europene. Elaborat în baza Strategiei „Moldova Europeană 2030” și a Strategiei Naționale „Sănătatea 2030”, Planul promovează un sistem integrat de evaluare a riscurilor, coordonare interinstituțională și capacitate operațională modernă.</w:t>
            </w:r>
          </w:p>
          <w:p w14:paraId="64FBD6C0" w14:textId="77777777" w:rsidR="007949A2" w:rsidRDefault="007949A2" w:rsidP="00842154">
            <w:pPr>
              <w:spacing w:line="276" w:lineRule="auto"/>
              <w:ind w:firstLine="602"/>
              <w:rPr>
                <w:rFonts w:ascii="Times New Roman" w:eastAsia="Calibri" w:hAnsi="Times New Roman"/>
                <w:sz w:val="24"/>
                <w:szCs w:val="24"/>
                <w:lang w:val="ro-MD"/>
              </w:rPr>
            </w:pPr>
            <w:r w:rsidRPr="007949A2">
              <w:rPr>
                <w:rFonts w:ascii="Times New Roman" w:eastAsia="Calibri" w:hAnsi="Times New Roman"/>
                <w:sz w:val="24"/>
                <w:szCs w:val="24"/>
                <w:lang w:val="ro-MD"/>
              </w:rPr>
              <w:t>Pentru a răspunde provocărilor emergente, Planul prevede elaborarea de planuri de contingență specifice pentru evenimente biologice, chimice și radiologice, stabilind coduri de alertă și proceduri clare de activare. Se instituie stocuri strategice de contramăsuri medicale și linii de comunicare și decizie bine definite între instituții, asigurând o reacție rapidă și coordonată în situații de urgență.</w:t>
            </w:r>
          </w:p>
          <w:p w14:paraId="141FA69C" w14:textId="77777777" w:rsidR="007949A2" w:rsidRDefault="007949A2" w:rsidP="00842154">
            <w:pPr>
              <w:spacing w:line="276" w:lineRule="auto"/>
              <w:ind w:firstLine="602"/>
              <w:rPr>
                <w:rFonts w:ascii="Times New Roman" w:eastAsia="Calibri" w:hAnsi="Times New Roman"/>
                <w:sz w:val="24"/>
                <w:szCs w:val="24"/>
                <w:lang w:val="ro-MD"/>
              </w:rPr>
            </w:pPr>
            <w:r w:rsidRPr="007949A2">
              <w:rPr>
                <w:rFonts w:ascii="Times New Roman" w:eastAsia="Calibri" w:hAnsi="Times New Roman"/>
                <w:sz w:val="24"/>
                <w:szCs w:val="24"/>
                <w:lang w:val="ro-MD"/>
              </w:rPr>
              <w:t>Abordarea „One Health” este integrată în Plan, prin coordonarea cu sectoarele veterinar și de mediu, monitorizarea agenților zoonotici, a rezistenței la antimicrobiene și a contaminărilor de mediu, pentru a permite o supraveghere integrată și un răspuns eficient la riscurile transfrontaliere. În plus, Planul se aliniază cu Planul Uniunii Europene de prevenire, pregătire și răspuns la crize de sănătate și cu mecanismele ECDC, HERA și UCPM, consolidând mandatul Agenției Naționale pentru Sănătate Publică și transpunând legislația europeană în domeniu.</w:t>
            </w:r>
          </w:p>
          <w:p w14:paraId="3EDD95CD" w14:textId="2913FB06" w:rsidR="00863A3D" w:rsidRPr="00842154" w:rsidRDefault="007949A2" w:rsidP="00842154">
            <w:pPr>
              <w:spacing w:line="276" w:lineRule="auto"/>
              <w:ind w:firstLine="602"/>
              <w:rPr>
                <w:rFonts w:ascii="Times New Roman" w:eastAsia="Calibri" w:hAnsi="Times New Roman"/>
                <w:sz w:val="24"/>
                <w:szCs w:val="24"/>
                <w:lang w:val="ro-RO"/>
              </w:rPr>
            </w:pPr>
            <w:r w:rsidRPr="007949A2">
              <w:rPr>
                <w:rFonts w:ascii="Times New Roman" w:eastAsia="Calibri" w:hAnsi="Times New Roman"/>
                <w:sz w:val="24"/>
                <w:szCs w:val="24"/>
                <w:lang w:val="ro-MD"/>
              </w:rPr>
              <w:t>Pentru testarea și îmbunătățirea capacității de răspuns, Planul introduce exerciții de simulare obligatorii și proceduri de evaluare post-acțiune, care includ cooperarea civilo-militară. De asemenea, Planul promovează o cultură incluzivă a pregătirii și rezilienței, implicând comunitățile, sectorul privat, organizațiile neguvernamentale, mass-media, voluntarii și organizațiile religioase, precum și grupurile vulnerabile, prin campanii de informare, educare și rețele de sprijin.</w:t>
            </w:r>
            <w:r w:rsidR="00863A3D" w:rsidRPr="00842154">
              <w:rPr>
                <w:rFonts w:ascii="Times New Roman" w:eastAsia="Calibri" w:hAnsi="Times New Roman"/>
                <w:sz w:val="24"/>
                <w:szCs w:val="24"/>
                <w:lang w:val="ro-RO"/>
              </w:rPr>
              <w:t xml:space="preserve">. </w:t>
            </w:r>
          </w:p>
          <w:p w14:paraId="2BB54AC7" w14:textId="21820E03" w:rsidR="00EB4762" w:rsidRPr="00842154" w:rsidRDefault="007949A2" w:rsidP="006E7A3D">
            <w:pPr>
              <w:spacing w:line="276" w:lineRule="auto"/>
              <w:ind w:firstLine="602"/>
              <w:rPr>
                <w:rFonts w:ascii="Times New Roman" w:eastAsia="Calibri" w:hAnsi="Times New Roman"/>
                <w:sz w:val="24"/>
                <w:szCs w:val="24"/>
                <w:lang w:val="ro-RO"/>
              </w:rPr>
            </w:pPr>
            <w:r w:rsidRPr="007949A2">
              <w:rPr>
                <w:rFonts w:ascii="Times New Roman" w:eastAsia="Calibri" w:hAnsi="Times New Roman"/>
                <w:sz w:val="24"/>
                <w:szCs w:val="24"/>
                <w:lang w:val="ro-MD"/>
              </w:rPr>
              <w:t>Rolurile instituțiilor sunt clar stabilite, în special ale Ministerului Sănătății, Agenției Naționale pentru Sănătate Publică și Comisiei Naționale Extraordinare pentru Sănătate Publică, iar Planul prevede revizuiri periodice pentru a se adapta la noile riscuri și lecții învățate, asigurând astfel un răspuns rapid, eficient și coordonat la urgențele de sănătate publică.</w:t>
            </w:r>
          </w:p>
        </w:tc>
      </w:tr>
      <w:tr w:rsidR="00276DBF" w:rsidRPr="00842154" w14:paraId="3761439B" w14:textId="77777777">
        <w:tc>
          <w:tcPr>
            <w:tcW w:w="9540" w:type="dxa"/>
            <w:shd w:val="clear" w:color="auto" w:fill="F2F2F2" w:themeFill="background1" w:themeFillShade="F2"/>
            <w:tcMar>
              <w:top w:w="0" w:type="dxa"/>
              <w:left w:w="108" w:type="dxa"/>
              <w:bottom w:w="0" w:type="dxa"/>
              <w:right w:w="108" w:type="dxa"/>
            </w:tcMar>
          </w:tcPr>
          <w:p w14:paraId="47EF0360" w14:textId="77777777" w:rsidR="00276DBF" w:rsidRPr="00842154" w:rsidRDefault="00E939CD" w:rsidP="00842154">
            <w:pPr>
              <w:spacing w:line="276" w:lineRule="auto"/>
              <w:rPr>
                <w:rFonts w:ascii="Times New Roman" w:eastAsia="Calibri" w:hAnsi="Times New Roman"/>
                <w:sz w:val="24"/>
                <w:szCs w:val="24"/>
                <w:lang w:val="ro-RO"/>
              </w:rPr>
            </w:pPr>
            <w:r w:rsidRPr="00842154">
              <w:rPr>
                <w:rFonts w:ascii="Times New Roman" w:eastAsia="Calibri" w:hAnsi="Times New Roman"/>
                <w:sz w:val="24"/>
                <w:szCs w:val="24"/>
                <w:lang w:val="ro-RO"/>
              </w:rPr>
              <w:t>3.2. Opțiunile alternative analizate și motivele pentru care acestea nu au fost luate în considerare</w:t>
            </w:r>
          </w:p>
        </w:tc>
      </w:tr>
      <w:tr w:rsidR="00276DBF" w:rsidRPr="00842154" w14:paraId="322ED771" w14:textId="77777777">
        <w:tc>
          <w:tcPr>
            <w:tcW w:w="9540" w:type="dxa"/>
            <w:tcMar>
              <w:top w:w="0" w:type="dxa"/>
              <w:left w:w="108" w:type="dxa"/>
              <w:bottom w:w="0" w:type="dxa"/>
              <w:right w:w="108" w:type="dxa"/>
            </w:tcMar>
          </w:tcPr>
          <w:p w14:paraId="114CDF83" w14:textId="5E010862" w:rsidR="00276DBF" w:rsidRPr="00842154" w:rsidRDefault="007949A2" w:rsidP="00842154">
            <w:pPr>
              <w:spacing w:line="276" w:lineRule="auto"/>
              <w:ind w:firstLine="182"/>
              <w:rPr>
                <w:rFonts w:ascii="Times New Roman" w:eastAsia="Calibri" w:hAnsi="Times New Roman"/>
                <w:sz w:val="24"/>
                <w:szCs w:val="24"/>
                <w:lang w:val="ro-RO"/>
              </w:rPr>
            </w:pPr>
            <w:r w:rsidRPr="007949A2">
              <w:rPr>
                <w:rFonts w:ascii="Times New Roman" w:eastAsia="Calibri" w:hAnsi="Times New Roman"/>
                <w:sz w:val="24"/>
                <w:szCs w:val="24"/>
                <w:lang w:val="ro-MD"/>
              </w:rPr>
              <w:t>Analiza situației a arătat că nu există opțiuni alternative viabile pentru transpunerea și implementarea unui astfel de instrument de prevenire, pregătire și răspuns la urgențele de sănătate publică. Implementarea unui Plan unitar, coerent și aliniat la standardele Uniunii Europene reprezintă singura soluție eficientă pentru asigurarea unui răspuns rapid, coordonat și adecvat în caz de amenințări transfrontaliere grave pentru sănătate. Lipsa altor opțiuni subliniază necesitatea aprobării și aplicării Planului național propus.</w:t>
            </w:r>
            <w:r w:rsidR="00322915" w:rsidRPr="00842154">
              <w:rPr>
                <w:rFonts w:ascii="Times New Roman" w:eastAsia="Calibri" w:hAnsi="Times New Roman"/>
                <w:sz w:val="24"/>
                <w:szCs w:val="24"/>
                <w:lang w:val="ro-RO"/>
              </w:rPr>
              <w:t>.</w:t>
            </w:r>
          </w:p>
        </w:tc>
      </w:tr>
      <w:tr w:rsidR="00276DBF" w:rsidRPr="00842154" w14:paraId="64CCC468" w14:textId="77777777">
        <w:trPr>
          <w:trHeight w:val="384"/>
        </w:trPr>
        <w:tc>
          <w:tcPr>
            <w:tcW w:w="9540" w:type="dxa"/>
            <w:shd w:val="clear" w:color="BFBFBF" w:fill="BFBFBF"/>
            <w:tcMar>
              <w:top w:w="0" w:type="dxa"/>
              <w:left w:w="108" w:type="dxa"/>
              <w:bottom w:w="0" w:type="dxa"/>
              <w:right w:w="108" w:type="dxa"/>
            </w:tcMar>
          </w:tcPr>
          <w:p w14:paraId="45A84E33" w14:textId="77777777" w:rsidR="00276DBF" w:rsidRPr="00842154" w:rsidRDefault="00E939CD" w:rsidP="00842154">
            <w:pPr>
              <w:spacing w:line="276" w:lineRule="auto"/>
              <w:rPr>
                <w:rFonts w:ascii="Times New Roman" w:eastAsia="Calibri" w:hAnsi="Times New Roman"/>
                <w:b/>
                <w:bCs/>
                <w:sz w:val="24"/>
                <w:szCs w:val="24"/>
                <w:lang w:val="ro-RO"/>
              </w:rPr>
            </w:pPr>
            <w:r w:rsidRPr="00842154">
              <w:rPr>
                <w:rFonts w:ascii="Times New Roman" w:eastAsia="Calibri" w:hAnsi="Times New Roman"/>
                <w:b/>
                <w:bCs/>
                <w:sz w:val="24"/>
                <w:szCs w:val="24"/>
                <w:lang w:val="ro-RO"/>
              </w:rPr>
              <w:t xml:space="preserve">4. Analiza impactului de reglementare </w:t>
            </w:r>
          </w:p>
        </w:tc>
      </w:tr>
      <w:tr w:rsidR="00276DBF" w:rsidRPr="00842154" w14:paraId="1643E836" w14:textId="77777777">
        <w:tc>
          <w:tcPr>
            <w:tcW w:w="9540" w:type="dxa"/>
            <w:shd w:val="clear" w:color="auto" w:fill="FFFFFF" w:themeFill="background1"/>
            <w:tcMar>
              <w:top w:w="0" w:type="dxa"/>
              <w:left w:w="108" w:type="dxa"/>
              <w:bottom w:w="0" w:type="dxa"/>
              <w:right w:w="108" w:type="dxa"/>
            </w:tcMar>
          </w:tcPr>
          <w:p w14:paraId="03CAE78A" w14:textId="77777777" w:rsidR="00D805CE" w:rsidRPr="00842154" w:rsidRDefault="00D805CE" w:rsidP="00842154">
            <w:pPr>
              <w:spacing w:line="276" w:lineRule="auto"/>
              <w:ind w:firstLineChars="135" w:firstLine="325"/>
              <w:rPr>
                <w:rFonts w:ascii="Times New Roman" w:eastAsia="Calibri" w:hAnsi="Times New Roman"/>
                <w:b/>
                <w:bCs/>
                <w:sz w:val="24"/>
                <w:szCs w:val="24"/>
                <w:lang w:val="ro-RO"/>
              </w:rPr>
            </w:pPr>
            <w:r w:rsidRPr="00842154">
              <w:rPr>
                <w:rFonts w:ascii="Times New Roman" w:eastAsia="Calibri" w:hAnsi="Times New Roman"/>
                <w:b/>
                <w:bCs/>
                <w:sz w:val="24"/>
                <w:szCs w:val="24"/>
                <w:lang w:val="ro-RO"/>
              </w:rPr>
              <w:lastRenderedPageBreak/>
              <w:t>Impact juridic:</w:t>
            </w:r>
          </w:p>
          <w:p w14:paraId="49DE0793" w14:textId="77777777" w:rsidR="007949A2" w:rsidRDefault="007949A2" w:rsidP="00842154">
            <w:pPr>
              <w:spacing w:line="276" w:lineRule="auto"/>
              <w:ind w:firstLineChars="135" w:firstLine="324"/>
              <w:rPr>
                <w:rFonts w:ascii="Times New Roman" w:eastAsia="Calibri" w:hAnsi="Times New Roman"/>
                <w:sz w:val="24"/>
                <w:szCs w:val="24"/>
                <w:lang w:val="ro-MD"/>
              </w:rPr>
            </w:pPr>
            <w:r w:rsidRPr="007949A2">
              <w:rPr>
                <w:rFonts w:ascii="Times New Roman" w:eastAsia="Calibri" w:hAnsi="Times New Roman"/>
                <w:sz w:val="24"/>
                <w:szCs w:val="24"/>
                <w:lang w:val="ro-MD"/>
              </w:rPr>
              <w:t>Aprobarea prezentei Hotărâri de Guvern va consolida cadrul normativ secundar în domeniul sănătății publice, prin instituirea unui Plan operațional care să coordoneze eficient acțiunile de prevenire, pregătire și răspuns ale sistemului medical în situații de criză și urgențe în sănătate publică. Planul clarifică rolurile și responsabilitățile instituțiilor implicate, asigurând un răspuns rapid și coordonat în conformitate cu legislația națională și angajamentele internaționale asumate de Republica Moldova.</w:t>
            </w:r>
          </w:p>
          <w:p w14:paraId="78DE22E2" w14:textId="388B0F7D" w:rsidR="00D805CE" w:rsidRPr="00842154" w:rsidRDefault="00D805CE" w:rsidP="00842154">
            <w:pPr>
              <w:spacing w:line="276" w:lineRule="auto"/>
              <w:ind w:firstLineChars="135" w:firstLine="325"/>
              <w:rPr>
                <w:rFonts w:ascii="Times New Roman" w:eastAsia="Calibri" w:hAnsi="Times New Roman"/>
                <w:b/>
                <w:bCs/>
                <w:sz w:val="24"/>
                <w:szCs w:val="24"/>
                <w:lang w:val="ro-RO"/>
              </w:rPr>
            </w:pPr>
            <w:r w:rsidRPr="00842154">
              <w:rPr>
                <w:rFonts w:ascii="Times New Roman" w:eastAsia="Calibri" w:hAnsi="Times New Roman"/>
                <w:b/>
                <w:bCs/>
                <w:sz w:val="24"/>
                <w:szCs w:val="24"/>
                <w:lang w:val="ro-RO"/>
              </w:rPr>
              <w:t>Impact instituțional:</w:t>
            </w:r>
          </w:p>
          <w:p w14:paraId="2C21F5AF" w14:textId="77777777" w:rsidR="007949A2" w:rsidRDefault="007949A2" w:rsidP="00842154">
            <w:pPr>
              <w:spacing w:line="276" w:lineRule="auto"/>
              <w:ind w:firstLineChars="135" w:firstLine="324"/>
              <w:rPr>
                <w:rFonts w:ascii="Times New Roman" w:eastAsia="Calibri" w:hAnsi="Times New Roman"/>
                <w:sz w:val="24"/>
                <w:szCs w:val="24"/>
                <w:lang w:val="ro-MD"/>
              </w:rPr>
            </w:pPr>
            <w:r w:rsidRPr="007949A2">
              <w:rPr>
                <w:rFonts w:ascii="Times New Roman" w:eastAsia="Calibri" w:hAnsi="Times New Roman"/>
                <w:sz w:val="24"/>
                <w:szCs w:val="24"/>
                <w:lang w:val="ro-MD"/>
              </w:rPr>
              <w:t>Planul va oferi claritate în ceea ce privește atribuțiile instituțiilor implicate, va consolida cooperarea și coordonarea intersectorială și va crește capacitatea administrativă și operațională a acestora. Aceasta va permite gestionarea eficientă a resurselor, luarea rapidă a deciziilor și implementarea promptă a măsurilor de răspuns în situații de criză.</w:t>
            </w:r>
          </w:p>
          <w:p w14:paraId="07C71488" w14:textId="322E0FD4" w:rsidR="00D805CE" w:rsidRPr="00842154" w:rsidRDefault="00D805CE" w:rsidP="00842154">
            <w:pPr>
              <w:spacing w:line="276" w:lineRule="auto"/>
              <w:ind w:firstLineChars="135" w:firstLine="325"/>
              <w:rPr>
                <w:rFonts w:ascii="Times New Roman" w:eastAsia="Calibri" w:hAnsi="Times New Roman"/>
                <w:b/>
                <w:bCs/>
                <w:sz w:val="24"/>
                <w:szCs w:val="24"/>
                <w:lang w:val="ro-RO"/>
              </w:rPr>
            </w:pPr>
            <w:r w:rsidRPr="00842154">
              <w:rPr>
                <w:rFonts w:ascii="Times New Roman" w:eastAsia="Calibri" w:hAnsi="Times New Roman"/>
                <w:b/>
                <w:bCs/>
                <w:sz w:val="24"/>
                <w:szCs w:val="24"/>
                <w:lang w:val="ro-RO"/>
              </w:rPr>
              <w:t>Impact asupra sănătății publice:</w:t>
            </w:r>
          </w:p>
          <w:p w14:paraId="0BF1E210" w14:textId="77777777" w:rsidR="007949A2" w:rsidRDefault="007949A2" w:rsidP="00842154">
            <w:pPr>
              <w:spacing w:line="276" w:lineRule="auto"/>
              <w:ind w:firstLineChars="135" w:firstLine="324"/>
              <w:rPr>
                <w:rFonts w:ascii="Times New Roman" w:eastAsia="Calibri" w:hAnsi="Times New Roman"/>
                <w:sz w:val="24"/>
                <w:szCs w:val="24"/>
                <w:lang w:val="ro-MD"/>
              </w:rPr>
            </w:pPr>
            <w:r w:rsidRPr="007949A2">
              <w:rPr>
                <w:rFonts w:ascii="Times New Roman" w:eastAsia="Calibri" w:hAnsi="Times New Roman"/>
                <w:sz w:val="24"/>
                <w:szCs w:val="24"/>
                <w:lang w:val="ro-MD"/>
              </w:rPr>
              <w:t>Planul întărește capacitatea sistemului de sănătate de a preveni, detecta și răspunde rapid la urgențele sanitare, inclusiv la amenințările transfrontaliere. Implementarea sa va contribui la reducerea morbidității și mortalității, protecția grupurilor vulnerabile, asigurarea continuității serviciilor medicale esențiale și creșterea rezilienței sistemului național, în aliniere cu strategiile naționale și standardele internaționale.</w:t>
            </w:r>
          </w:p>
          <w:p w14:paraId="08E21A43" w14:textId="2CBA8E4D" w:rsidR="00D805CE" w:rsidRPr="00842154" w:rsidRDefault="00D805CE" w:rsidP="00842154">
            <w:pPr>
              <w:spacing w:line="276" w:lineRule="auto"/>
              <w:ind w:firstLineChars="135" w:firstLine="325"/>
              <w:rPr>
                <w:rFonts w:ascii="Times New Roman" w:eastAsia="Calibri" w:hAnsi="Times New Roman"/>
                <w:b/>
                <w:bCs/>
                <w:sz w:val="24"/>
                <w:szCs w:val="24"/>
                <w:lang w:val="ro-RO"/>
              </w:rPr>
            </w:pPr>
            <w:r w:rsidRPr="00842154">
              <w:rPr>
                <w:rFonts w:ascii="Times New Roman" w:eastAsia="Calibri" w:hAnsi="Times New Roman"/>
                <w:b/>
                <w:bCs/>
                <w:sz w:val="24"/>
                <w:szCs w:val="24"/>
                <w:lang w:val="ro-RO"/>
              </w:rPr>
              <w:t>Impact financiar:</w:t>
            </w:r>
          </w:p>
          <w:p w14:paraId="7343D201" w14:textId="77777777" w:rsidR="007949A2" w:rsidRDefault="007949A2" w:rsidP="00842154">
            <w:pPr>
              <w:spacing w:line="276" w:lineRule="auto"/>
              <w:ind w:firstLineChars="135" w:firstLine="324"/>
              <w:rPr>
                <w:rFonts w:ascii="Times New Roman" w:eastAsia="Calibri" w:hAnsi="Times New Roman"/>
                <w:sz w:val="24"/>
                <w:szCs w:val="24"/>
                <w:lang w:val="ro-MD"/>
              </w:rPr>
            </w:pPr>
            <w:r w:rsidRPr="007949A2">
              <w:rPr>
                <w:rFonts w:ascii="Times New Roman" w:eastAsia="Calibri" w:hAnsi="Times New Roman"/>
                <w:sz w:val="24"/>
                <w:szCs w:val="24"/>
                <w:lang w:val="ro-MD"/>
              </w:rPr>
              <w:t>Implementarea Planului se va realiza din bugetul Ministerului Sănătății și al instituțiilor subordonate, inclusiv pentru dezvoltarea capacităților operaționale, stocurilor strategice, infrastructurii critice și mecanismelor de coordonare interinstituțională. Planul promovează utilizarea eficientă a resurselor existente, prioritizând acțiunile preventive și de răspuns și contribuind astfel la reducerea costurilor generate de crizele sanitare necontrolate.</w:t>
            </w:r>
          </w:p>
          <w:p w14:paraId="2842890D" w14:textId="173BFC1E" w:rsidR="00D805CE" w:rsidRPr="00842154" w:rsidRDefault="00D805CE" w:rsidP="00842154">
            <w:pPr>
              <w:spacing w:line="276" w:lineRule="auto"/>
              <w:ind w:firstLineChars="135" w:firstLine="325"/>
              <w:rPr>
                <w:rFonts w:ascii="Times New Roman" w:eastAsia="Calibri" w:hAnsi="Times New Roman"/>
                <w:b/>
                <w:bCs/>
                <w:sz w:val="24"/>
                <w:szCs w:val="24"/>
                <w:lang w:val="ro-RO"/>
              </w:rPr>
            </w:pPr>
            <w:r w:rsidRPr="00842154">
              <w:rPr>
                <w:rFonts w:ascii="Times New Roman" w:eastAsia="Calibri" w:hAnsi="Times New Roman"/>
                <w:b/>
                <w:bCs/>
                <w:sz w:val="24"/>
                <w:szCs w:val="24"/>
                <w:lang w:val="ro-RO"/>
              </w:rPr>
              <w:t>Impact asupra procesului de aderare la Uniunea Europeană:</w:t>
            </w:r>
          </w:p>
          <w:p w14:paraId="411B257B" w14:textId="77777777" w:rsidR="00E61D90" w:rsidRDefault="007949A2" w:rsidP="00842154">
            <w:pPr>
              <w:spacing w:line="276" w:lineRule="auto"/>
              <w:ind w:firstLineChars="135" w:firstLine="324"/>
              <w:rPr>
                <w:rFonts w:ascii="Times New Roman" w:eastAsia="Calibri" w:hAnsi="Times New Roman"/>
                <w:sz w:val="24"/>
                <w:szCs w:val="24"/>
                <w:lang w:val="ro-MD"/>
              </w:rPr>
            </w:pPr>
            <w:r w:rsidRPr="007949A2">
              <w:rPr>
                <w:rFonts w:ascii="Times New Roman" w:eastAsia="Calibri" w:hAnsi="Times New Roman"/>
                <w:sz w:val="24"/>
                <w:szCs w:val="24"/>
                <w:lang w:val="ro-MD"/>
              </w:rPr>
              <w:t xml:space="preserve">Adoptarea Planului reprezintă un pas important în armonizarea legislației și a mecanismelor naționale cu acquis-ul Uniunii Europene, demonstrând angajamentul Republicii Moldova de a participa activ la sistemele și standardele UE de securitate sanitară. </w:t>
            </w:r>
          </w:p>
          <w:p w14:paraId="58036B9A" w14:textId="670B8C88" w:rsidR="00276DBF" w:rsidRPr="00842154" w:rsidRDefault="007949A2" w:rsidP="00842154">
            <w:pPr>
              <w:spacing w:line="276" w:lineRule="auto"/>
              <w:ind w:firstLineChars="135" w:firstLine="324"/>
              <w:rPr>
                <w:rFonts w:ascii="Times New Roman" w:eastAsia="Calibri" w:hAnsi="Times New Roman"/>
                <w:sz w:val="24"/>
                <w:szCs w:val="24"/>
                <w:lang w:val="ro-RO"/>
              </w:rPr>
            </w:pPr>
            <w:r w:rsidRPr="007949A2">
              <w:rPr>
                <w:rFonts w:ascii="Times New Roman" w:eastAsia="Calibri" w:hAnsi="Times New Roman"/>
                <w:sz w:val="24"/>
                <w:szCs w:val="24"/>
                <w:lang w:val="ro-MD"/>
              </w:rPr>
              <w:t>Implementarea sa va consolida capacitatea instituțională, interoperabilitatea și coordonarea transfrontalieră, contribuind pozitiv la evaluările intermediare și la progresul procesului de aderare a țării la Uniunea Europeană.</w:t>
            </w:r>
          </w:p>
        </w:tc>
      </w:tr>
      <w:tr w:rsidR="00276DBF" w:rsidRPr="00842154" w14:paraId="3227BD3A" w14:textId="77777777">
        <w:tc>
          <w:tcPr>
            <w:tcW w:w="9540" w:type="dxa"/>
            <w:shd w:val="clear" w:color="BFBFBF" w:fill="BFBFBF"/>
            <w:tcMar>
              <w:top w:w="0" w:type="dxa"/>
              <w:left w:w="108" w:type="dxa"/>
              <w:bottom w:w="0" w:type="dxa"/>
              <w:right w:w="108" w:type="dxa"/>
            </w:tcMar>
          </w:tcPr>
          <w:p w14:paraId="1D2F143A" w14:textId="77777777" w:rsidR="00276DBF" w:rsidRPr="00842154" w:rsidRDefault="00E939CD" w:rsidP="00842154">
            <w:pPr>
              <w:spacing w:line="276" w:lineRule="auto"/>
              <w:rPr>
                <w:rFonts w:ascii="Times New Roman" w:eastAsia="Calibri" w:hAnsi="Times New Roman"/>
                <w:b/>
                <w:bCs/>
                <w:sz w:val="24"/>
                <w:szCs w:val="24"/>
                <w:lang w:val="ro-RO"/>
              </w:rPr>
            </w:pPr>
            <w:r w:rsidRPr="00842154">
              <w:rPr>
                <w:rFonts w:ascii="Times New Roman" w:eastAsia="Calibri" w:hAnsi="Times New Roman"/>
                <w:b/>
                <w:bCs/>
                <w:sz w:val="24"/>
                <w:szCs w:val="24"/>
                <w:lang w:val="ro-RO"/>
              </w:rPr>
              <w:t xml:space="preserve">5. Compatibilitatea proiectului actului normativ cu legislația UE </w:t>
            </w:r>
          </w:p>
        </w:tc>
      </w:tr>
      <w:tr w:rsidR="00276DBF" w:rsidRPr="00842154" w14:paraId="564B5E4C" w14:textId="77777777">
        <w:tc>
          <w:tcPr>
            <w:tcW w:w="9540" w:type="dxa"/>
            <w:shd w:val="clear" w:color="EDEDED" w:fill="EDEDED"/>
            <w:tcMar>
              <w:top w:w="0" w:type="dxa"/>
              <w:left w:w="108" w:type="dxa"/>
              <w:bottom w:w="0" w:type="dxa"/>
              <w:right w:w="108" w:type="dxa"/>
            </w:tcMar>
          </w:tcPr>
          <w:p w14:paraId="5EC5689E" w14:textId="77777777" w:rsidR="00276DBF" w:rsidRPr="00842154" w:rsidRDefault="00E939CD" w:rsidP="00842154">
            <w:pPr>
              <w:spacing w:line="276" w:lineRule="auto"/>
              <w:rPr>
                <w:rFonts w:ascii="Times New Roman" w:eastAsia="Calibri" w:hAnsi="Times New Roman"/>
                <w:sz w:val="24"/>
                <w:szCs w:val="24"/>
                <w:lang w:val="ro-RO"/>
              </w:rPr>
            </w:pPr>
            <w:r w:rsidRPr="00842154">
              <w:rPr>
                <w:rFonts w:ascii="Times New Roman" w:eastAsia="Calibri" w:hAnsi="Times New Roman"/>
                <w:sz w:val="24"/>
                <w:szCs w:val="24"/>
                <w:lang w:val="ro-RO"/>
              </w:rPr>
              <w:t>5.1. Măsuri normative necesare pentru transpunerea actelor juridice ale UE în legislația națională.</w:t>
            </w:r>
          </w:p>
        </w:tc>
      </w:tr>
      <w:tr w:rsidR="00276DBF" w:rsidRPr="00842154" w14:paraId="1903BF6A" w14:textId="77777777">
        <w:tc>
          <w:tcPr>
            <w:tcW w:w="9540" w:type="dxa"/>
            <w:shd w:val="clear" w:color="auto" w:fill="FFFFFF" w:themeFill="background1"/>
            <w:tcMar>
              <w:top w:w="0" w:type="dxa"/>
              <w:left w:w="108" w:type="dxa"/>
              <w:bottom w:w="0" w:type="dxa"/>
              <w:right w:w="108" w:type="dxa"/>
            </w:tcMar>
          </w:tcPr>
          <w:p w14:paraId="0265DE09" w14:textId="5080D968" w:rsidR="00276DBF" w:rsidRPr="00842154" w:rsidRDefault="001E1B41" w:rsidP="00842154">
            <w:pPr>
              <w:spacing w:line="276" w:lineRule="auto"/>
              <w:ind w:firstLine="0"/>
              <w:rPr>
                <w:rFonts w:ascii="Times New Roman" w:eastAsia="Calibri" w:hAnsi="Times New Roman"/>
                <w:sz w:val="24"/>
                <w:szCs w:val="24"/>
                <w:lang w:val="ro-RO"/>
              </w:rPr>
            </w:pPr>
            <w:r w:rsidRPr="001E1B41">
              <w:rPr>
                <w:rFonts w:ascii="Times New Roman" w:hAnsi="Times New Roman"/>
                <w:sz w:val="24"/>
                <w:szCs w:val="24"/>
                <w:lang w:val="ro-MD" w:eastAsia="ru-RU"/>
              </w:rPr>
              <w:t>Proiectul de Hotărâre de Guvern urmărește alinierea legislației naționale la cerințele și standardele Uniunii Europene în domeniul sănătății publice și al gestionării urgențelor. Prin aprobarea Planului național de prevenire, pregătire și răspuns în situații de criză și urgențe de sănătate publică 2026–2030, se asigură transpunerea directă a prevederilor relevante ale Regulamentului (UE) 2022/2371 și altor acte normative UE privind prevenirea, pregătirea și răspunsul la crizele de sănătate, promovând un cadru legal coerent și interoperabil cu standardele europene.</w:t>
            </w:r>
          </w:p>
        </w:tc>
      </w:tr>
      <w:tr w:rsidR="00276DBF" w:rsidRPr="00842154" w14:paraId="1541F0CB" w14:textId="77777777">
        <w:tc>
          <w:tcPr>
            <w:tcW w:w="9540" w:type="dxa"/>
            <w:shd w:val="clear" w:color="EDEDED" w:fill="EDEDED"/>
            <w:tcMar>
              <w:top w:w="0" w:type="dxa"/>
              <w:left w:w="108" w:type="dxa"/>
              <w:bottom w:w="0" w:type="dxa"/>
              <w:right w:w="108" w:type="dxa"/>
            </w:tcMar>
          </w:tcPr>
          <w:p w14:paraId="246D6ED7" w14:textId="77777777" w:rsidR="00276DBF" w:rsidRPr="00842154" w:rsidRDefault="00E939CD" w:rsidP="00842154">
            <w:pPr>
              <w:spacing w:line="276" w:lineRule="auto"/>
              <w:rPr>
                <w:rFonts w:ascii="Times New Roman" w:eastAsia="Calibri" w:hAnsi="Times New Roman"/>
                <w:sz w:val="24"/>
                <w:szCs w:val="24"/>
                <w:lang w:val="ro-RO"/>
              </w:rPr>
            </w:pPr>
            <w:r w:rsidRPr="00842154">
              <w:rPr>
                <w:rFonts w:ascii="Times New Roman" w:eastAsia="Calibri" w:hAnsi="Times New Roman"/>
                <w:sz w:val="24"/>
                <w:szCs w:val="24"/>
                <w:lang w:val="ro-RO"/>
              </w:rPr>
              <w:t>5.2. Măsuri normative care urmăresc crearea cadrului juridic intern necesar pentru implementarea legislației UE</w:t>
            </w:r>
          </w:p>
        </w:tc>
      </w:tr>
      <w:tr w:rsidR="00276DBF" w:rsidRPr="00842154" w14:paraId="531AA3AA" w14:textId="77777777">
        <w:tc>
          <w:tcPr>
            <w:tcW w:w="9540" w:type="dxa"/>
            <w:tcMar>
              <w:top w:w="0" w:type="dxa"/>
              <w:left w:w="108" w:type="dxa"/>
              <w:bottom w:w="0" w:type="dxa"/>
              <w:right w:w="108" w:type="dxa"/>
            </w:tcMar>
          </w:tcPr>
          <w:p w14:paraId="1DBF688D" w14:textId="2D31C41E" w:rsidR="00276DBF" w:rsidRPr="00842154" w:rsidRDefault="001E1B41" w:rsidP="00842154">
            <w:pPr>
              <w:spacing w:line="276" w:lineRule="auto"/>
              <w:ind w:firstLine="0"/>
              <w:rPr>
                <w:rFonts w:ascii="Times New Roman" w:eastAsia="Calibri" w:hAnsi="Times New Roman"/>
                <w:sz w:val="24"/>
                <w:szCs w:val="24"/>
                <w:lang w:val="ro-RO"/>
              </w:rPr>
            </w:pPr>
            <w:r w:rsidRPr="001E1B41">
              <w:rPr>
                <w:rFonts w:ascii="Times New Roman" w:hAnsi="Times New Roman"/>
                <w:sz w:val="24"/>
                <w:szCs w:val="24"/>
                <w:lang w:val="ro-MD" w:eastAsia="ru-RU"/>
              </w:rPr>
              <w:lastRenderedPageBreak/>
              <w:t>Planul stabilește structura operațională și mecanismele de coordonare necesare implementării actelor UE în cadrul național. Aceasta include clarificarea rolurilor și responsabilităților instituțiilor publice implicate, stabilirea procedurilor de alertă precoce, a mecanismelor de răspuns rapid și a fluxurilor de comunicare interinstituțională. În plus, Planul sprijină adoptarea și armonizarea altor acte normative secundare necesare pentru funcționarea eficientă a sistemului național de prevenire și răspuns la urgențele de sănătate publică, consolidând astfel cadrul juridic intern și capacitatea operațională a autorităților implicate.</w:t>
            </w:r>
          </w:p>
        </w:tc>
      </w:tr>
      <w:tr w:rsidR="00276DBF" w:rsidRPr="00842154" w14:paraId="338B3440" w14:textId="77777777">
        <w:tc>
          <w:tcPr>
            <w:tcW w:w="9540" w:type="dxa"/>
            <w:shd w:val="clear" w:color="BFBFBF" w:fill="BFBFBF"/>
            <w:tcMar>
              <w:top w:w="0" w:type="dxa"/>
              <w:left w:w="108" w:type="dxa"/>
              <w:bottom w:w="0" w:type="dxa"/>
              <w:right w:w="108" w:type="dxa"/>
            </w:tcMar>
          </w:tcPr>
          <w:p w14:paraId="4005A4AC" w14:textId="77777777" w:rsidR="00276DBF" w:rsidRPr="00842154" w:rsidRDefault="00E939CD" w:rsidP="00842154">
            <w:pPr>
              <w:spacing w:line="276" w:lineRule="auto"/>
              <w:rPr>
                <w:rFonts w:ascii="Times New Roman" w:eastAsia="Calibri" w:hAnsi="Times New Roman"/>
                <w:b/>
                <w:bCs/>
                <w:sz w:val="24"/>
                <w:szCs w:val="24"/>
                <w:lang w:val="ro-RO"/>
              </w:rPr>
            </w:pPr>
            <w:r w:rsidRPr="00842154">
              <w:rPr>
                <w:rFonts w:ascii="Times New Roman" w:eastAsia="Calibri" w:hAnsi="Times New Roman"/>
                <w:b/>
                <w:bCs/>
                <w:sz w:val="24"/>
                <w:szCs w:val="24"/>
                <w:lang w:val="ro-RO"/>
              </w:rPr>
              <w:t>6. Avizarea și consultarea publică a proiectului actului normativ</w:t>
            </w:r>
          </w:p>
        </w:tc>
      </w:tr>
      <w:tr w:rsidR="00276DBF" w:rsidRPr="00842154" w14:paraId="4E687F27" w14:textId="77777777">
        <w:tc>
          <w:tcPr>
            <w:tcW w:w="9540" w:type="dxa"/>
            <w:tcMar>
              <w:top w:w="0" w:type="dxa"/>
              <w:left w:w="108" w:type="dxa"/>
              <w:bottom w:w="0" w:type="dxa"/>
              <w:right w:w="108" w:type="dxa"/>
            </w:tcMar>
          </w:tcPr>
          <w:p w14:paraId="7E6045F3" w14:textId="6703A2C3" w:rsidR="00276DBF" w:rsidRPr="001E1B41" w:rsidRDefault="00E939CD" w:rsidP="001E1B41">
            <w:pPr>
              <w:pStyle w:val="aff2"/>
              <w:ind w:left="0" w:hanging="111"/>
              <w:rPr>
                <w:rFonts w:ascii="Times New Roman" w:hAnsi="Times New Roman"/>
                <w:lang w:val="es-AR"/>
              </w:rPr>
            </w:pPr>
            <w:r w:rsidRPr="00842154">
              <w:rPr>
                <w:rFonts w:ascii="Times New Roman" w:eastAsia="Calibri" w:hAnsi="Times New Roman"/>
                <w:sz w:val="24"/>
                <w:szCs w:val="24"/>
                <w:lang w:val="ro-RO"/>
              </w:rPr>
              <w:t xml:space="preserve">             </w:t>
            </w:r>
            <w:r w:rsidR="001E1B41" w:rsidRPr="001E1B41">
              <w:rPr>
                <w:rFonts w:ascii="Times New Roman" w:eastAsia="Calibri" w:hAnsi="Times New Roman"/>
                <w:sz w:val="24"/>
                <w:szCs w:val="24"/>
                <w:lang w:val="ro-MD"/>
              </w:rPr>
              <w:t>În conformitate cu prevederile Legii nr. 100/2017 privind actele normative și ale Hotărârii Guvernului nr. 1230/2018 cu privire la mecanismul de consultare publică, a fost plasat anunțul de inițiere a elaborării proiectului de ordin pe pagina oficială particip.gov.md</w:t>
            </w:r>
            <w:r w:rsidR="001E1B41">
              <w:rPr>
                <w:rFonts w:ascii="Times New Roman" w:eastAsia="Calibri" w:hAnsi="Times New Roman"/>
                <w:sz w:val="24"/>
                <w:szCs w:val="24"/>
                <w:lang w:val="ro-MD"/>
              </w:rPr>
              <w:t xml:space="preserve"> </w:t>
            </w:r>
            <w:r w:rsidR="001E1B41" w:rsidRPr="001E1B41">
              <w:rPr>
                <w:lang w:val="ro-RO"/>
              </w:rPr>
              <w:t xml:space="preserve"> </w:t>
            </w:r>
            <w:hyperlink r:id="rId7" w:history="1">
              <w:r w:rsidR="001E1B41" w:rsidRPr="001E1B41">
                <w:rPr>
                  <w:rStyle w:val="af5"/>
                  <w:rFonts w:ascii="Times New Roman" w:hAnsi="Times New Roman"/>
                  <w:sz w:val="24"/>
                  <w:szCs w:val="24"/>
                  <w:lang w:val="es-AR"/>
                </w:rPr>
                <w:t>https://particip.gov.md/ro/document/stages/*/16056</w:t>
              </w:r>
            </w:hyperlink>
            <w:r w:rsidR="001E1B41" w:rsidRPr="001E1B41">
              <w:rPr>
                <w:sz w:val="24"/>
                <w:szCs w:val="24"/>
                <w:lang w:val="ro-RO"/>
              </w:rPr>
              <w:t>.</w:t>
            </w:r>
            <w:r w:rsidR="001E1B41" w:rsidRPr="001E1B41">
              <w:rPr>
                <w:rFonts w:ascii="Times New Roman" w:hAnsi="Times New Roman"/>
                <w:sz w:val="24"/>
                <w:szCs w:val="24"/>
                <w:lang w:val="es-AR"/>
              </w:rPr>
              <w:t xml:space="preserve"> </w:t>
            </w:r>
            <w:r w:rsidR="001E1B41" w:rsidRPr="001E1B41">
              <w:rPr>
                <w:rFonts w:ascii="Times New Roman" w:hAnsi="Times New Roman"/>
                <w:sz w:val="24"/>
                <w:szCs w:val="24"/>
                <w:lang w:val="es-AR"/>
              </w:rPr>
              <w:t xml:space="preserve">Ulterior, </w:t>
            </w:r>
            <w:proofErr w:type="spellStart"/>
            <w:r w:rsidR="001E1B41" w:rsidRPr="001E1B41">
              <w:rPr>
                <w:rFonts w:ascii="Times New Roman" w:hAnsi="Times New Roman"/>
                <w:sz w:val="24"/>
                <w:szCs w:val="24"/>
                <w:lang w:val="es-AR"/>
              </w:rPr>
              <w:t>acesta</w:t>
            </w:r>
            <w:proofErr w:type="spellEnd"/>
            <w:r w:rsidR="001E1B41" w:rsidRPr="001E1B41">
              <w:rPr>
                <w:rFonts w:ascii="Times New Roman" w:hAnsi="Times New Roman"/>
                <w:sz w:val="24"/>
                <w:szCs w:val="24"/>
                <w:lang w:val="es-AR"/>
              </w:rPr>
              <w:t xml:space="preserve"> va fi </w:t>
            </w:r>
            <w:proofErr w:type="spellStart"/>
            <w:r w:rsidR="001E1B41" w:rsidRPr="001E1B41">
              <w:rPr>
                <w:rFonts w:ascii="Times New Roman" w:hAnsi="Times New Roman"/>
                <w:sz w:val="24"/>
                <w:szCs w:val="24"/>
                <w:lang w:val="es-AR"/>
              </w:rPr>
              <w:t>supus</w:t>
            </w:r>
            <w:proofErr w:type="spellEnd"/>
            <w:r w:rsidR="001E1B41" w:rsidRPr="001E1B41">
              <w:rPr>
                <w:rFonts w:ascii="Times New Roman" w:hAnsi="Times New Roman"/>
                <w:sz w:val="24"/>
                <w:szCs w:val="24"/>
                <w:lang w:val="es-AR"/>
              </w:rPr>
              <w:t xml:space="preserve"> </w:t>
            </w:r>
            <w:proofErr w:type="spellStart"/>
            <w:r w:rsidR="001E1B41" w:rsidRPr="001E1B41">
              <w:rPr>
                <w:rFonts w:ascii="Times New Roman" w:hAnsi="Times New Roman"/>
                <w:sz w:val="24"/>
                <w:szCs w:val="24"/>
                <w:lang w:val="es-AR"/>
              </w:rPr>
              <w:t>consultărilor</w:t>
            </w:r>
            <w:proofErr w:type="spellEnd"/>
            <w:r w:rsidR="001E1B41" w:rsidRPr="001E1B41">
              <w:rPr>
                <w:rFonts w:ascii="Times New Roman" w:hAnsi="Times New Roman"/>
                <w:sz w:val="24"/>
                <w:szCs w:val="24"/>
                <w:lang w:val="es-AR"/>
              </w:rPr>
              <w:t xml:space="preserve"> </w:t>
            </w:r>
            <w:proofErr w:type="spellStart"/>
            <w:r w:rsidR="001E1B41" w:rsidRPr="001E1B41">
              <w:rPr>
                <w:rFonts w:ascii="Times New Roman" w:hAnsi="Times New Roman"/>
                <w:sz w:val="24"/>
                <w:szCs w:val="24"/>
                <w:lang w:val="es-AR"/>
              </w:rPr>
              <w:t>publice</w:t>
            </w:r>
            <w:proofErr w:type="spellEnd"/>
            <w:r w:rsidR="001E1B41">
              <w:rPr>
                <w:rFonts w:ascii="Times New Roman" w:hAnsi="Times New Roman"/>
                <w:sz w:val="24"/>
                <w:szCs w:val="24"/>
                <w:lang w:val="es-AR"/>
              </w:rPr>
              <w:t xml:space="preserve"> </w:t>
            </w:r>
            <w:proofErr w:type="spellStart"/>
            <w:r w:rsidR="001E1B41">
              <w:rPr>
                <w:rFonts w:ascii="Times New Roman" w:hAnsi="Times New Roman"/>
                <w:sz w:val="24"/>
                <w:szCs w:val="24"/>
                <w:lang w:val="es-AR"/>
              </w:rPr>
              <w:t>și</w:t>
            </w:r>
            <w:proofErr w:type="spellEnd"/>
            <w:r w:rsidR="001E1B41">
              <w:rPr>
                <w:rFonts w:ascii="Times New Roman" w:hAnsi="Times New Roman"/>
                <w:sz w:val="24"/>
                <w:szCs w:val="24"/>
                <w:lang w:val="es-AR"/>
              </w:rPr>
              <w:t xml:space="preserve"> </w:t>
            </w:r>
            <w:proofErr w:type="spellStart"/>
            <w:r w:rsidR="001E1B41">
              <w:rPr>
                <w:rFonts w:ascii="Times New Roman" w:hAnsi="Times New Roman"/>
                <w:sz w:val="24"/>
                <w:szCs w:val="24"/>
                <w:lang w:val="es-AR"/>
              </w:rPr>
              <w:t>transmis</w:t>
            </w:r>
            <w:proofErr w:type="spellEnd"/>
            <w:r w:rsidR="001E1B41">
              <w:rPr>
                <w:rFonts w:ascii="Times New Roman" w:hAnsi="Times New Roman"/>
                <w:sz w:val="24"/>
                <w:szCs w:val="24"/>
                <w:lang w:val="es-AR"/>
              </w:rPr>
              <w:t xml:space="preserve"> </w:t>
            </w:r>
            <w:proofErr w:type="spellStart"/>
            <w:r w:rsidR="001E1B41">
              <w:rPr>
                <w:rFonts w:ascii="Times New Roman" w:hAnsi="Times New Roman"/>
                <w:sz w:val="24"/>
                <w:szCs w:val="24"/>
                <w:lang w:val="es-AR"/>
              </w:rPr>
              <w:t>spre</w:t>
            </w:r>
            <w:proofErr w:type="spellEnd"/>
            <w:r w:rsidR="001E1B41">
              <w:rPr>
                <w:rFonts w:ascii="Times New Roman" w:hAnsi="Times New Roman"/>
                <w:sz w:val="24"/>
                <w:szCs w:val="24"/>
                <w:lang w:val="es-AR"/>
              </w:rPr>
              <w:t xml:space="preserve"> </w:t>
            </w:r>
            <w:proofErr w:type="spellStart"/>
            <w:r w:rsidR="001E1B41">
              <w:rPr>
                <w:rFonts w:ascii="Times New Roman" w:hAnsi="Times New Roman"/>
                <w:sz w:val="24"/>
                <w:szCs w:val="24"/>
                <w:lang w:val="es-AR"/>
              </w:rPr>
              <w:t>avizare</w:t>
            </w:r>
            <w:proofErr w:type="spellEnd"/>
            <w:r w:rsidR="001E1B41">
              <w:rPr>
                <w:rFonts w:ascii="Times New Roman" w:hAnsi="Times New Roman"/>
                <w:sz w:val="24"/>
                <w:szCs w:val="24"/>
                <w:lang w:val="es-AR"/>
              </w:rPr>
              <w:t xml:space="preserve"> </w:t>
            </w:r>
            <w:proofErr w:type="spellStart"/>
            <w:r w:rsidR="001E1B41">
              <w:rPr>
                <w:rFonts w:ascii="Times New Roman" w:hAnsi="Times New Roman"/>
                <w:sz w:val="24"/>
                <w:szCs w:val="24"/>
                <w:lang w:val="es-AR"/>
              </w:rPr>
              <w:t>autorităților</w:t>
            </w:r>
            <w:proofErr w:type="spellEnd"/>
            <w:r w:rsidR="001E1B41">
              <w:rPr>
                <w:rFonts w:ascii="Times New Roman" w:hAnsi="Times New Roman"/>
                <w:sz w:val="24"/>
                <w:szCs w:val="24"/>
                <w:lang w:val="es-AR"/>
              </w:rPr>
              <w:t xml:space="preserve"> competente.</w:t>
            </w:r>
          </w:p>
        </w:tc>
      </w:tr>
      <w:tr w:rsidR="00276DBF" w:rsidRPr="00842154" w14:paraId="2C469418" w14:textId="77777777">
        <w:tc>
          <w:tcPr>
            <w:tcW w:w="9540" w:type="dxa"/>
            <w:shd w:val="clear" w:color="BFBFBF" w:fill="BFBFBF"/>
            <w:tcMar>
              <w:top w:w="0" w:type="dxa"/>
              <w:left w:w="108" w:type="dxa"/>
              <w:bottom w:w="0" w:type="dxa"/>
              <w:right w:w="108" w:type="dxa"/>
            </w:tcMar>
          </w:tcPr>
          <w:p w14:paraId="19E2C905" w14:textId="77777777" w:rsidR="00276DBF" w:rsidRPr="00842154" w:rsidRDefault="00E939CD" w:rsidP="00842154">
            <w:pPr>
              <w:spacing w:line="276" w:lineRule="auto"/>
              <w:rPr>
                <w:rFonts w:ascii="Times New Roman" w:eastAsia="Calibri" w:hAnsi="Times New Roman"/>
                <w:b/>
                <w:bCs/>
                <w:sz w:val="24"/>
                <w:szCs w:val="24"/>
                <w:lang w:val="ro-RO"/>
              </w:rPr>
            </w:pPr>
            <w:r w:rsidRPr="00842154">
              <w:rPr>
                <w:rFonts w:ascii="Times New Roman" w:eastAsia="Calibri" w:hAnsi="Times New Roman"/>
                <w:b/>
                <w:bCs/>
                <w:sz w:val="24"/>
                <w:szCs w:val="24"/>
                <w:lang w:val="ro-RO"/>
              </w:rPr>
              <w:t>7. Concluziile expertizelor</w:t>
            </w:r>
          </w:p>
        </w:tc>
      </w:tr>
      <w:tr w:rsidR="00276DBF" w:rsidRPr="00842154" w14:paraId="26F8D433" w14:textId="77777777">
        <w:tc>
          <w:tcPr>
            <w:tcW w:w="9540" w:type="dxa"/>
            <w:shd w:val="clear" w:color="FFFFFF" w:fill="FFFFFF"/>
            <w:tcMar>
              <w:top w:w="0" w:type="dxa"/>
              <w:left w:w="108" w:type="dxa"/>
              <w:bottom w:w="0" w:type="dxa"/>
              <w:right w:w="108" w:type="dxa"/>
            </w:tcMar>
          </w:tcPr>
          <w:p w14:paraId="2AAC16F1" w14:textId="1D4803D0" w:rsidR="00276DBF" w:rsidRPr="00842154" w:rsidRDefault="00673AED" w:rsidP="00842154">
            <w:pPr>
              <w:spacing w:line="276" w:lineRule="auto"/>
              <w:ind w:firstLine="0"/>
              <w:rPr>
                <w:rFonts w:ascii="Times New Roman" w:eastAsia="Calibri" w:hAnsi="Times New Roman"/>
                <w:b/>
                <w:bCs/>
                <w:sz w:val="24"/>
                <w:szCs w:val="24"/>
                <w:lang w:val="ro-RO"/>
              </w:rPr>
            </w:pPr>
            <w:r w:rsidRPr="00842154">
              <w:rPr>
                <w:rFonts w:ascii="Times New Roman" w:eastAsia="Calibri" w:hAnsi="Times New Roman"/>
                <w:sz w:val="24"/>
                <w:szCs w:val="24"/>
                <w:lang w:val="ro-RO"/>
              </w:rPr>
              <w:t xml:space="preserve">  </w:t>
            </w:r>
            <w:r w:rsidR="001E1B41" w:rsidRPr="001E1B41">
              <w:rPr>
                <w:rFonts w:ascii="Times New Roman" w:eastAsia="Calibri" w:hAnsi="Times New Roman"/>
                <w:sz w:val="24"/>
                <w:szCs w:val="24"/>
                <w:lang w:val="ro-MD"/>
              </w:rPr>
              <w:t xml:space="preserve">Proiectul Hotărârii Guvernului va fi supus expertizei juridice în conformitate cu prevederile legale aplicabile. Observațiile și propunerile formulate în cadrul expertizei vor fi examinate și, în măsura în care vor fi relevante și compatibile cu obiectivele proiectului, integrate în versiunea finală a actului normativ. </w:t>
            </w:r>
            <w:r w:rsidRPr="00842154">
              <w:rPr>
                <w:rFonts w:ascii="Times New Roman" w:eastAsia="Calibri" w:hAnsi="Times New Roman"/>
                <w:sz w:val="24"/>
                <w:szCs w:val="24"/>
                <w:lang w:val="ro-RO"/>
              </w:rPr>
              <w:t xml:space="preserve">      </w:t>
            </w:r>
          </w:p>
        </w:tc>
      </w:tr>
      <w:tr w:rsidR="00276DBF" w:rsidRPr="00842154" w14:paraId="723ACED3" w14:textId="77777777">
        <w:tc>
          <w:tcPr>
            <w:tcW w:w="9540" w:type="dxa"/>
            <w:shd w:val="clear" w:color="BFBFBF" w:fill="BFBFBF"/>
            <w:tcMar>
              <w:top w:w="0" w:type="dxa"/>
              <w:left w:w="108" w:type="dxa"/>
              <w:bottom w:w="0" w:type="dxa"/>
              <w:right w:w="108" w:type="dxa"/>
            </w:tcMar>
          </w:tcPr>
          <w:p w14:paraId="32F1684B" w14:textId="77777777" w:rsidR="00276DBF" w:rsidRPr="00842154" w:rsidRDefault="00E939CD" w:rsidP="00842154">
            <w:pPr>
              <w:spacing w:line="276" w:lineRule="auto"/>
              <w:rPr>
                <w:rFonts w:ascii="Times New Roman" w:eastAsia="Calibri" w:hAnsi="Times New Roman"/>
                <w:b/>
                <w:bCs/>
                <w:sz w:val="24"/>
                <w:szCs w:val="24"/>
                <w:lang w:val="ro-RO"/>
              </w:rPr>
            </w:pPr>
            <w:r w:rsidRPr="00842154">
              <w:rPr>
                <w:rFonts w:ascii="Times New Roman" w:eastAsia="Calibri" w:hAnsi="Times New Roman"/>
                <w:b/>
                <w:bCs/>
                <w:sz w:val="24"/>
                <w:szCs w:val="24"/>
                <w:lang w:val="ro-RO"/>
              </w:rPr>
              <w:t>8. Modul de încorporare a actului în cadrul normativ existent</w:t>
            </w:r>
          </w:p>
        </w:tc>
      </w:tr>
      <w:tr w:rsidR="00276DBF" w:rsidRPr="00842154" w14:paraId="627B30F2" w14:textId="77777777">
        <w:tc>
          <w:tcPr>
            <w:tcW w:w="9540" w:type="dxa"/>
            <w:tcMar>
              <w:top w:w="0" w:type="dxa"/>
              <w:left w:w="108" w:type="dxa"/>
              <w:bottom w:w="0" w:type="dxa"/>
              <w:right w:w="108" w:type="dxa"/>
            </w:tcMar>
          </w:tcPr>
          <w:p w14:paraId="551D5CBA" w14:textId="1587D6EE" w:rsidR="00276DBF" w:rsidRPr="00842154" w:rsidRDefault="00E939CD" w:rsidP="00842154">
            <w:pPr>
              <w:spacing w:line="276" w:lineRule="auto"/>
              <w:ind w:firstLine="0"/>
              <w:rPr>
                <w:rFonts w:ascii="Times New Roman" w:eastAsia="Calibri" w:hAnsi="Times New Roman"/>
                <w:sz w:val="24"/>
                <w:szCs w:val="24"/>
                <w:lang w:val="ro-RO"/>
              </w:rPr>
            </w:pPr>
            <w:r w:rsidRPr="00842154">
              <w:rPr>
                <w:rFonts w:ascii="Times New Roman" w:hAnsi="Times New Roman"/>
                <w:sz w:val="24"/>
                <w:szCs w:val="24"/>
                <w:lang w:val="ro-RO" w:eastAsia="ru-RU"/>
              </w:rPr>
              <w:t xml:space="preserve">           </w:t>
            </w:r>
            <w:r w:rsidR="001E1B41" w:rsidRPr="001E1B41">
              <w:rPr>
                <w:rFonts w:ascii="Times New Roman" w:hAnsi="Times New Roman"/>
                <w:sz w:val="24"/>
                <w:szCs w:val="24"/>
                <w:lang w:val="ro-MD" w:eastAsia="ru-RU"/>
              </w:rPr>
              <w:t>Prezentul proiect de Hotărâre de Guvern se încadrează în cadrul normativ existent, având ca scop aprobarea unui act normativ aplicabil fără a necesita modificarea altor acte legislative conexe. Planul național de prevenire, pregătire și răspuns în situații de criză și urgențe în sănătate publică se integrează armonios în reglementările în vigoare, completând și operationalizând prevederile legale existente privind sănătatea publică, managementul situațiilor de criză și supravegherea epidemiologică.</w:t>
            </w:r>
          </w:p>
        </w:tc>
      </w:tr>
    </w:tbl>
    <w:p w14:paraId="6C5979B8" w14:textId="77777777" w:rsidR="00276DBF" w:rsidRPr="00842154" w:rsidRDefault="00276DBF">
      <w:pPr>
        <w:pBdr>
          <w:top w:val="none" w:sz="0" w:space="0" w:color="000000"/>
          <w:left w:val="none" w:sz="0" w:space="0" w:color="000000"/>
          <w:bottom w:val="none" w:sz="0" w:space="0" w:color="000000"/>
          <w:right w:val="none" w:sz="0" w:space="0" w:color="000000"/>
        </w:pBdr>
        <w:tabs>
          <w:tab w:val="left" w:pos="884"/>
          <w:tab w:val="left" w:pos="1196"/>
        </w:tabs>
        <w:rPr>
          <w:sz w:val="24"/>
          <w:szCs w:val="24"/>
          <w:lang w:val="ro-RO"/>
        </w:rPr>
      </w:pPr>
    </w:p>
    <w:p w14:paraId="19CBD192" w14:textId="77777777" w:rsidR="00276DBF" w:rsidRPr="00842154" w:rsidRDefault="00276DBF">
      <w:pPr>
        <w:pBdr>
          <w:top w:val="none" w:sz="0" w:space="0" w:color="000000"/>
          <w:left w:val="none" w:sz="0" w:space="0" w:color="000000"/>
          <w:bottom w:val="none" w:sz="0" w:space="0" w:color="000000"/>
          <w:right w:val="none" w:sz="0" w:space="0" w:color="000000"/>
        </w:pBdr>
        <w:tabs>
          <w:tab w:val="left" w:pos="884"/>
          <w:tab w:val="left" w:pos="1196"/>
        </w:tabs>
        <w:rPr>
          <w:sz w:val="24"/>
          <w:szCs w:val="24"/>
          <w:lang w:val="ro-RO"/>
        </w:rPr>
      </w:pPr>
    </w:p>
    <w:p w14:paraId="44833987" w14:textId="05AC8CCC" w:rsidR="00276DBF" w:rsidRPr="00842154" w:rsidRDefault="00E939CD">
      <w:pPr>
        <w:pBdr>
          <w:top w:val="none" w:sz="0" w:space="0" w:color="000000"/>
          <w:left w:val="none" w:sz="0" w:space="0" w:color="000000"/>
          <w:bottom w:val="none" w:sz="0" w:space="0" w:color="000000"/>
          <w:right w:val="none" w:sz="0" w:space="0" w:color="000000"/>
        </w:pBdr>
        <w:tabs>
          <w:tab w:val="left" w:pos="884"/>
          <w:tab w:val="left" w:pos="1196"/>
        </w:tabs>
        <w:rPr>
          <w:b/>
          <w:bCs/>
          <w:sz w:val="24"/>
          <w:szCs w:val="24"/>
          <w:lang w:val="ro-RO"/>
        </w:rPr>
      </w:pPr>
      <w:r w:rsidRPr="00842154">
        <w:rPr>
          <w:b/>
          <w:bCs/>
          <w:sz w:val="24"/>
          <w:szCs w:val="24"/>
          <w:lang w:val="ro-RO"/>
        </w:rPr>
        <w:t xml:space="preserve">   Ministru                                                             </w:t>
      </w:r>
      <w:r w:rsidR="00673AED" w:rsidRPr="00842154">
        <w:rPr>
          <w:b/>
          <w:bCs/>
          <w:sz w:val="24"/>
          <w:szCs w:val="24"/>
          <w:lang w:val="ro-RO"/>
        </w:rPr>
        <w:t>Emil CEBAN</w:t>
      </w:r>
      <w:r w:rsidRPr="00842154">
        <w:rPr>
          <w:b/>
          <w:bCs/>
          <w:sz w:val="24"/>
          <w:szCs w:val="24"/>
          <w:lang w:val="ro-RO"/>
        </w:rPr>
        <w:t xml:space="preserve"> </w:t>
      </w:r>
    </w:p>
    <w:p w14:paraId="1DEDD530" w14:textId="77777777" w:rsidR="00276DBF" w:rsidRPr="00842154" w:rsidRDefault="00276DBF">
      <w:pPr>
        <w:pBdr>
          <w:top w:val="none" w:sz="0" w:space="0" w:color="000000"/>
          <w:left w:val="none" w:sz="0" w:space="0" w:color="000000"/>
          <w:bottom w:val="none" w:sz="0" w:space="0" w:color="000000"/>
          <w:right w:val="none" w:sz="0" w:space="0" w:color="000000"/>
        </w:pBdr>
        <w:tabs>
          <w:tab w:val="left" w:pos="884"/>
          <w:tab w:val="left" w:pos="1196"/>
        </w:tabs>
        <w:rPr>
          <w:b/>
          <w:bCs/>
          <w:sz w:val="24"/>
          <w:szCs w:val="24"/>
          <w:lang w:val="ro-RO"/>
        </w:rPr>
      </w:pPr>
    </w:p>
    <w:p w14:paraId="7C598313" w14:textId="77777777" w:rsidR="00276DBF" w:rsidRPr="00842154" w:rsidRDefault="00276DBF">
      <w:pPr>
        <w:pBdr>
          <w:top w:val="none" w:sz="0" w:space="0" w:color="000000"/>
          <w:left w:val="none" w:sz="0" w:space="0" w:color="000000"/>
          <w:bottom w:val="none" w:sz="0" w:space="0" w:color="000000"/>
          <w:right w:val="none" w:sz="0" w:space="0" w:color="000000"/>
        </w:pBdr>
        <w:tabs>
          <w:tab w:val="left" w:pos="884"/>
          <w:tab w:val="left" w:pos="1196"/>
        </w:tabs>
        <w:rPr>
          <w:b/>
          <w:bCs/>
          <w:sz w:val="24"/>
          <w:szCs w:val="24"/>
          <w:lang w:val="ro-RO"/>
        </w:rPr>
      </w:pPr>
    </w:p>
    <w:p w14:paraId="5A3B25BD" w14:textId="77777777" w:rsidR="00276DBF" w:rsidRPr="00842154" w:rsidRDefault="00276DBF">
      <w:pPr>
        <w:pBdr>
          <w:top w:val="none" w:sz="0" w:space="0" w:color="000000"/>
          <w:left w:val="none" w:sz="0" w:space="0" w:color="000000"/>
          <w:bottom w:val="none" w:sz="0" w:space="0" w:color="000000"/>
          <w:right w:val="none" w:sz="0" w:space="0" w:color="000000"/>
        </w:pBdr>
        <w:tabs>
          <w:tab w:val="left" w:pos="884"/>
          <w:tab w:val="left" w:pos="1196"/>
        </w:tabs>
        <w:rPr>
          <w:b/>
          <w:bCs/>
          <w:sz w:val="24"/>
          <w:szCs w:val="24"/>
          <w:lang w:val="ro-RO"/>
        </w:rPr>
      </w:pPr>
    </w:p>
    <w:p w14:paraId="1BAB4DCB" w14:textId="77777777" w:rsidR="00276DBF" w:rsidRPr="00842154" w:rsidRDefault="00276DBF">
      <w:pPr>
        <w:pBdr>
          <w:top w:val="none" w:sz="0" w:space="0" w:color="000000"/>
          <w:left w:val="none" w:sz="0" w:space="0" w:color="000000"/>
          <w:bottom w:val="none" w:sz="0" w:space="0" w:color="000000"/>
          <w:right w:val="none" w:sz="0" w:space="0" w:color="000000"/>
        </w:pBdr>
        <w:tabs>
          <w:tab w:val="left" w:pos="884"/>
          <w:tab w:val="left" w:pos="1196"/>
        </w:tabs>
        <w:rPr>
          <w:b/>
          <w:bCs/>
          <w:sz w:val="24"/>
          <w:szCs w:val="24"/>
          <w:lang w:val="ro-RO"/>
        </w:rPr>
      </w:pPr>
    </w:p>
    <w:p w14:paraId="2C4B354B" w14:textId="77777777" w:rsidR="00276DBF" w:rsidRPr="00842154" w:rsidRDefault="00276DBF">
      <w:pPr>
        <w:pBdr>
          <w:top w:val="none" w:sz="0" w:space="0" w:color="000000"/>
          <w:left w:val="none" w:sz="0" w:space="0" w:color="000000"/>
          <w:bottom w:val="none" w:sz="0" w:space="0" w:color="000000"/>
          <w:right w:val="none" w:sz="0" w:space="0" w:color="000000"/>
        </w:pBdr>
        <w:tabs>
          <w:tab w:val="left" w:pos="884"/>
          <w:tab w:val="left" w:pos="1196"/>
        </w:tabs>
        <w:rPr>
          <w:b/>
          <w:bCs/>
          <w:sz w:val="24"/>
          <w:szCs w:val="24"/>
          <w:lang w:val="ro-RO"/>
        </w:rPr>
      </w:pPr>
    </w:p>
    <w:p w14:paraId="2ABAD219" w14:textId="77777777" w:rsidR="00276DBF" w:rsidRPr="00842154" w:rsidRDefault="00276DBF">
      <w:pPr>
        <w:pBdr>
          <w:top w:val="none" w:sz="0" w:space="0" w:color="000000"/>
          <w:left w:val="none" w:sz="0" w:space="0" w:color="000000"/>
          <w:bottom w:val="none" w:sz="0" w:space="0" w:color="000000"/>
          <w:right w:val="none" w:sz="0" w:space="0" w:color="000000"/>
        </w:pBdr>
        <w:tabs>
          <w:tab w:val="left" w:pos="884"/>
          <w:tab w:val="left" w:pos="1196"/>
        </w:tabs>
        <w:rPr>
          <w:b/>
          <w:bCs/>
          <w:sz w:val="24"/>
          <w:szCs w:val="24"/>
          <w:lang w:val="ro-RO"/>
        </w:rPr>
      </w:pPr>
    </w:p>
    <w:p w14:paraId="57DBC11C" w14:textId="77777777" w:rsidR="00276DBF" w:rsidRPr="00842154" w:rsidRDefault="00276DBF">
      <w:pPr>
        <w:pBdr>
          <w:top w:val="none" w:sz="0" w:space="0" w:color="000000"/>
          <w:left w:val="none" w:sz="0" w:space="0" w:color="000000"/>
          <w:bottom w:val="none" w:sz="0" w:space="0" w:color="000000"/>
          <w:right w:val="none" w:sz="0" w:space="0" w:color="000000"/>
        </w:pBdr>
        <w:tabs>
          <w:tab w:val="left" w:pos="884"/>
          <w:tab w:val="left" w:pos="1196"/>
        </w:tabs>
        <w:rPr>
          <w:b/>
          <w:bCs/>
          <w:sz w:val="24"/>
          <w:szCs w:val="24"/>
          <w:lang w:val="ro-RO"/>
        </w:rPr>
      </w:pPr>
    </w:p>
    <w:p w14:paraId="27268A22" w14:textId="77777777" w:rsidR="00276DBF" w:rsidRPr="00842154" w:rsidRDefault="00276DBF">
      <w:pPr>
        <w:pBdr>
          <w:top w:val="none" w:sz="0" w:space="0" w:color="000000"/>
          <w:left w:val="none" w:sz="0" w:space="0" w:color="000000"/>
          <w:bottom w:val="none" w:sz="0" w:space="0" w:color="000000"/>
          <w:right w:val="none" w:sz="0" w:space="0" w:color="000000"/>
        </w:pBdr>
        <w:tabs>
          <w:tab w:val="left" w:pos="884"/>
          <w:tab w:val="left" w:pos="1196"/>
        </w:tabs>
        <w:ind w:firstLine="0"/>
        <w:rPr>
          <w:b/>
          <w:bCs/>
          <w:sz w:val="24"/>
          <w:szCs w:val="24"/>
          <w:lang w:val="ro-RO"/>
        </w:rPr>
      </w:pPr>
    </w:p>
    <w:sectPr w:rsidR="00276DBF" w:rsidRPr="00842154">
      <w:headerReference w:type="default" r:id="rId8"/>
      <w:headerReference w:type="first" r:id="rId9"/>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E3DED" w14:textId="77777777" w:rsidR="003B4413" w:rsidRPr="007F416A" w:rsidRDefault="003B4413">
      <w:r w:rsidRPr="007F416A">
        <w:separator/>
      </w:r>
    </w:p>
  </w:endnote>
  <w:endnote w:type="continuationSeparator" w:id="0">
    <w:p w14:paraId="5846BA2A" w14:textId="77777777" w:rsidR="003B4413" w:rsidRPr="007F416A" w:rsidRDefault="003B4413">
      <w:r w:rsidRPr="007F4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9225" w14:textId="77777777" w:rsidR="003B4413" w:rsidRPr="007F416A" w:rsidRDefault="003B4413">
      <w:r w:rsidRPr="007F416A">
        <w:separator/>
      </w:r>
    </w:p>
  </w:footnote>
  <w:footnote w:type="continuationSeparator" w:id="0">
    <w:p w14:paraId="487B76A5" w14:textId="77777777" w:rsidR="003B4413" w:rsidRPr="007F416A" w:rsidRDefault="003B4413">
      <w:r w:rsidRPr="007F4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276DBF" w:rsidRPr="007F416A" w:rsidRDefault="00276DBF">
    <w:pPr>
      <w:pStyle w:val="af3"/>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276DBF" w:rsidRPr="007F416A" w:rsidRDefault="00276DBF">
    <w:pPr>
      <w:pStyle w:val="af3"/>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7E138D"/>
    <w:multiLevelType w:val="singleLevel"/>
    <w:tmpl w:val="F67E138D"/>
    <w:lvl w:ilvl="0">
      <w:start w:val="1"/>
      <w:numFmt w:val="decimal"/>
      <w:suff w:val="space"/>
      <w:lvlText w:val="%1."/>
      <w:lvlJc w:val="left"/>
    </w:lvl>
  </w:abstractNum>
  <w:abstractNum w:abstractNumId="1" w15:restartNumberingAfterBreak="0">
    <w:nsid w:val="09D853A4"/>
    <w:multiLevelType w:val="multilevel"/>
    <w:tmpl w:val="1E50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81869"/>
    <w:multiLevelType w:val="hybridMultilevel"/>
    <w:tmpl w:val="6D5847F8"/>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3" w15:restartNumberingAfterBreak="0">
    <w:nsid w:val="208F359F"/>
    <w:multiLevelType w:val="hybridMultilevel"/>
    <w:tmpl w:val="94180540"/>
    <w:lvl w:ilvl="0" w:tplc="04180001">
      <w:start w:val="1"/>
      <w:numFmt w:val="bullet"/>
      <w:lvlText w:val=""/>
      <w:lvlJc w:val="left"/>
      <w:pPr>
        <w:ind w:left="902" w:hanging="360"/>
      </w:pPr>
      <w:rPr>
        <w:rFonts w:ascii="Symbol" w:hAnsi="Symbol" w:hint="default"/>
      </w:rPr>
    </w:lvl>
    <w:lvl w:ilvl="1" w:tplc="04180003" w:tentative="1">
      <w:start w:val="1"/>
      <w:numFmt w:val="bullet"/>
      <w:lvlText w:val="o"/>
      <w:lvlJc w:val="left"/>
      <w:pPr>
        <w:ind w:left="1622" w:hanging="360"/>
      </w:pPr>
      <w:rPr>
        <w:rFonts w:ascii="Courier New" w:hAnsi="Courier New" w:cs="Courier New" w:hint="default"/>
      </w:rPr>
    </w:lvl>
    <w:lvl w:ilvl="2" w:tplc="04180005" w:tentative="1">
      <w:start w:val="1"/>
      <w:numFmt w:val="bullet"/>
      <w:lvlText w:val=""/>
      <w:lvlJc w:val="left"/>
      <w:pPr>
        <w:ind w:left="2342" w:hanging="360"/>
      </w:pPr>
      <w:rPr>
        <w:rFonts w:ascii="Wingdings" w:hAnsi="Wingdings" w:hint="default"/>
      </w:rPr>
    </w:lvl>
    <w:lvl w:ilvl="3" w:tplc="04180001" w:tentative="1">
      <w:start w:val="1"/>
      <w:numFmt w:val="bullet"/>
      <w:lvlText w:val=""/>
      <w:lvlJc w:val="left"/>
      <w:pPr>
        <w:ind w:left="3062" w:hanging="360"/>
      </w:pPr>
      <w:rPr>
        <w:rFonts w:ascii="Symbol" w:hAnsi="Symbol" w:hint="default"/>
      </w:rPr>
    </w:lvl>
    <w:lvl w:ilvl="4" w:tplc="04180003" w:tentative="1">
      <w:start w:val="1"/>
      <w:numFmt w:val="bullet"/>
      <w:lvlText w:val="o"/>
      <w:lvlJc w:val="left"/>
      <w:pPr>
        <w:ind w:left="3782" w:hanging="360"/>
      </w:pPr>
      <w:rPr>
        <w:rFonts w:ascii="Courier New" w:hAnsi="Courier New" w:cs="Courier New" w:hint="default"/>
      </w:rPr>
    </w:lvl>
    <w:lvl w:ilvl="5" w:tplc="04180005" w:tentative="1">
      <w:start w:val="1"/>
      <w:numFmt w:val="bullet"/>
      <w:lvlText w:val=""/>
      <w:lvlJc w:val="left"/>
      <w:pPr>
        <w:ind w:left="4502" w:hanging="360"/>
      </w:pPr>
      <w:rPr>
        <w:rFonts w:ascii="Wingdings" w:hAnsi="Wingdings" w:hint="default"/>
      </w:rPr>
    </w:lvl>
    <w:lvl w:ilvl="6" w:tplc="04180001" w:tentative="1">
      <w:start w:val="1"/>
      <w:numFmt w:val="bullet"/>
      <w:lvlText w:val=""/>
      <w:lvlJc w:val="left"/>
      <w:pPr>
        <w:ind w:left="5222" w:hanging="360"/>
      </w:pPr>
      <w:rPr>
        <w:rFonts w:ascii="Symbol" w:hAnsi="Symbol" w:hint="default"/>
      </w:rPr>
    </w:lvl>
    <w:lvl w:ilvl="7" w:tplc="04180003" w:tentative="1">
      <w:start w:val="1"/>
      <w:numFmt w:val="bullet"/>
      <w:lvlText w:val="o"/>
      <w:lvlJc w:val="left"/>
      <w:pPr>
        <w:ind w:left="5942" w:hanging="360"/>
      </w:pPr>
      <w:rPr>
        <w:rFonts w:ascii="Courier New" w:hAnsi="Courier New" w:cs="Courier New" w:hint="default"/>
      </w:rPr>
    </w:lvl>
    <w:lvl w:ilvl="8" w:tplc="04180005" w:tentative="1">
      <w:start w:val="1"/>
      <w:numFmt w:val="bullet"/>
      <w:lvlText w:val=""/>
      <w:lvlJc w:val="left"/>
      <w:pPr>
        <w:ind w:left="6662" w:hanging="360"/>
      </w:pPr>
      <w:rPr>
        <w:rFonts w:ascii="Wingdings" w:hAnsi="Wingdings" w:hint="default"/>
      </w:rPr>
    </w:lvl>
  </w:abstractNum>
  <w:abstractNum w:abstractNumId="4" w15:restartNumberingAfterBreak="0">
    <w:nsid w:val="341664D1"/>
    <w:multiLevelType w:val="hybridMultilevel"/>
    <w:tmpl w:val="00BC6D6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16cid:durableId="407312811">
    <w:abstractNumId w:val="0"/>
  </w:num>
  <w:num w:numId="2" w16cid:durableId="2110350632">
    <w:abstractNumId w:val="1"/>
  </w:num>
  <w:num w:numId="3" w16cid:durableId="1007755735">
    <w:abstractNumId w:val="2"/>
  </w:num>
  <w:num w:numId="4" w16cid:durableId="1688672788">
    <w:abstractNumId w:val="4"/>
  </w:num>
  <w:num w:numId="5" w16cid:durableId="1889880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12304"/>
    <w:rsid w:val="00013460"/>
    <w:rsid w:val="00013804"/>
    <w:rsid w:val="00013AC9"/>
    <w:rsid w:val="0001747F"/>
    <w:rsid w:val="0002435C"/>
    <w:rsid w:val="00032B46"/>
    <w:rsid w:val="0004289C"/>
    <w:rsid w:val="00043AC7"/>
    <w:rsid w:val="00044178"/>
    <w:rsid w:val="00044D19"/>
    <w:rsid w:val="00052045"/>
    <w:rsid w:val="00054810"/>
    <w:rsid w:val="000649A1"/>
    <w:rsid w:val="000713DA"/>
    <w:rsid w:val="00071EAA"/>
    <w:rsid w:val="0007236F"/>
    <w:rsid w:val="000735B2"/>
    <w:rsid w:val="00075A5F"/>
    <w:rsid w:val="00081267"/>
    <w:rsid w:val="0008129F"/>
    <w:rsid w:val="00081736"/>
    <w:rsid w:val="00085029"/>
    <w:rsid w:val="000A61BD"/>
    <w:rsid w:val="000A6BA5"/>
    <w:rsid w:val="000B3D87"/>
    <w:rsid w:val="000B50EE"/>
    <w:rsid w:val="000C041B"/>
    <w:rsid w:val="000C06A7"/>
    <w:rsid w:val="000C2AB4"/>
    <w:rsid w:val="000D5C74"/>
    <w:rsid w:val="000E1D40"/>
    <w:rsid w:val="000E2800"/>
    <w:rsid w:val="000E3D20"/>
    <w:rsid w:val="000F145E"/>
    <w:rsid w:val="000F497A"/>
    <w:rsid w:val="00102AD8"/>
    <w:rsid w:val="00113956"/>
    <w:rsid w:val="00116035"/>
    <w:rsid w:val="001203A8"/>
    <w:rsid w:val="001211EA"/>
    <w:rsid w:val="001251A9"/>
    <w:rsid w:val="00134C34"/>
    <w:rsid w:val="00143389"/>
    <w:rsid w:val="00143CC4"/>
    <w:rsid w:val="0015146D"/>
    <w:rsid w:val="00152F5E"/>
    <w:rsid w:val="00157D40"/>
    <w:rsid w:val="00162BE7"/>
    <w:rsid w:val="00163E68"/>
    <w:rsid w:val="0017006C"/>
    <w:rsid w:val="00171CE5"/>
    <w:rsid w:val="00174E20"/>
    <w:rsid w:val="00181FFE"/>
    <w:rsid w:val="00182F6D"/>
    <w:rsid w:val="00184334"/>
    <w:rsid w:val="00185AC8"/>
    <w:rsid w:val="00191428"/>
    <w:rsid w:val="001A0AF8"/>
    <w:rsid w:val="001A25C3"/>
    <w:rsid w:val="001A37C7"/>
    <w:rsid w:val="001B10AE"/>
    <w:rsid w:val="001B3BE4"/>
    <w:rsid w:val="001B5818"/>
    <w:rsid w:val="001B66A4"/>
    <w:rsid w:val="001B6C7B"/>
    <w:rsid w:val="001B6E6E"/>
    <w:rsid w:val="001C3F21"/>
    <w:rsid w:val="001C4C70"/>
    <w:rsid w:val="001C4EEE"/>
    <w:rsid w:val="001C710A"/>
    <w:rsid w:val="001D0D22"/>
    <w:rsid w:val="001D12F8"/>
    <w:rsid w:val="001D2FA2"/>
    <w:rsid w:val="001E1B41"/>
    <w:rsid w:val="001E4497"/>
    <w:rsid w:val="001E4C05"/>
    <w:rsid w:val="001F0570"/>
    <w:rsid w:val="001F2097"/>
    <w:rsid w:val="002000EB"/>
    <w:rsid w:val="00200223"/>
    <w:rsid w:val="00200516"/>
    <w:rsid w:val="00205100"/>
    <w:rsid w:val="0020794F"/>
    <w:rsid w:val="0021524B"/>
    <w:rsid w:val="002164C9"/>
    <w:rsid w:val="002170A5"/>
    <w:rsid w:val="00224D46"/>
    <w:rsid w:val="00224F13"/>
    <w:rsid w:val="00230761"/>
    <w:rsid w:val="0023285A"/>
    <w:rsid w:val="00236E65"/>
    <w:rsid w:val="002372B8"/>
    <w:rsid w:val="00240AC0"/>
    <w:rsid w:val="002453BD"/>
    <w:rsid w:val="00246DDC"/>
    <w:rsid w:val="00257353"/>
    <w:rsid w:val="002605C3"/>
    <w:rsid w:val="00267CA5"/>
    <w:rsid w:val="002721D2"/>
    <w:rsid w:val="0027425A"/>
    <w:rsid w:val="00276DBF"/>
    <w:rsid w:val="00277CDE"/>
    <w:rsid w:val="0028093A"/>
    <w:rsid w:val="00281C80"/>
    <w:rsid w:val="002950E0"/>
    <w:rsid w:val="002954C4"/>
    <w:rsid w:val="002957D8"/>
    <w:rsid w:val="002B07BD"/>
    <w:rsid w:val="002B5444"/>
    <w:rsid w:val="002B547F"/>
    <w:rsid w:val="002C21E9"/>
    <w:rsid w:val="002D38C5"/>
    <w:rsid w:val="002E240C"/>
    <w:rsid w:val="002E4217"/>
    <w:rsid w:val="002E490E"/>
    <w:rsid w:val="002E505B"/>
    <w:rsid w:val="002F30F7"/>
    <w:rsid w:val="002F3DAA"/>
    <w:rsid w:val="002F5F1E"/>
    <w:rsid w:val="002F7FB5"/>
    <w:rsid w:val="00300EE8"/>
    <w:rsid w:val="00301D7D"/>
    <w:rsid w:val="0030210F"/>
    <w:rsid w:val="003146B3"/>
    <w:rsid w:val="0031555D"/>
    <w:rsid w:val="00315655"/>
    <w:rsid w:val="00315B32"/>
    <w:rsid w:val="00315BDC"/>
    <w:rsid w:val="0032156A"/>
    <w:rsid w:val="00322915"/>
    <w:rsid w:val="00324559"/>
    <w:rsid w:val="00327C88"/>
    <w:rsid w:val="003324CC"/>
    <w:rsid w:val="003325D4"/>
    <w:rsid w:val="00334C0F"/>
    <w:rsid w:val="003358FF"/>
    <w:rsid w:val="00347B79"/>
    <w:rsid w:val="003509A8"/>
    <w:rsid w:val="00354545"/>
    <w:rsid w:val="00356B39"/>
    <w:rsid w:val="00360697"/>
    <w:rsid w:val="0036135C"/>
    <w:rsid w:val="00361D7E"/>
    <w:rsid w:val="00362D0C"/>
    <w:rsid w:val="0036518F"/>
    <w:rsid w:val="0036768D"/>
    <w:rsid w:val="00370278"/>
    <w:rsid w:val="00374362"/>
    <w:rsid w:val="00377B12"/>
    <w:rsid w:val="00380147"/>
    <w:rsid w:val="00381C7D"/>
    <w:rsid w:val="003848C2"/>
    <w:rsid w:val="003858B9"/>
    <w:rsid w:val="00385C9B"/>
    <w:rsid w:val="003872BA"/>
    <w:rsid w:val="00387D77"/>
    <w:rsid w:val="00387F86"/>
    <w:rsid w:val="003922EF"/>
    <w:rsid w:val="00394A57"/>
    <w:rsid w:val="00395A19"/>
    <w:rsid w:val="00397415"/>
    <w:rsid w:val="0039753C"/>
    <w:rsid w:val="003A2CB2"/>
    <w:rsid w:val="003A4D1C"/>
    <w:rsid w:val="003B257A"/>
    <w:rsid w:val="003B4413"/>
    <w:rsid w:val="003B7521"/>
    <w:rsid w:val="003C0C4D"/>
    <w:rsid w:val="003C11CC"/>
    <w:rsid w:val="003C3DB4"/>
    <w:rsid w:val="003C3EB9"/>
    <w:rsid w:val="003C4B55"/>
    <w:rsid w:val="003D5E8B"/>
    <w:rsid w:val="003E3748"/>
    <w:rsid w:val="003E4DA7"/>
    <w:rsid w:val="003F0CD8"/>
    <w:rsid w:val="003F45BA"/>
    <w:rsid w:val="00400A12"/>
    <w:rsid w:val="00405019"/>
    <w:rsid w:val="00406BA9"/>
    <w:rsid w:val="00406CF2"/>
    <w:rsid w:val="00407829"/>
    <w:rsid w:val="00410C9A"/>
    <w:rsid w:val="00421AB5"/>
    <w:rsid w:val="00422ACC"/>
    <w:rsid w:val="00424212"/>
    <w:rsid w:val="00424B0D"/>
    <w:rsid w:val="00424CF9"/>
    <w:rsid w:val="00426C40"/>
    <w:rsid w:val="0043208D"/>
    <w:rsid w:val="004333B4"/>
    <w:rsid w:val="00434203"/>
    <w:rsid w:val="00436BC8"/>
    <w:rsid w:val="00452C3E"/>
    <w:rsid w:val="00452C6C"/>
    <w:rsid w:val="0045451B"/>
    <w:rsid w:val="0045553E"/>
    <w:rsid w:val="00464294"/>
    <w:rsid w:val="004735CE"/>
    <w:rsid w:val="00474658"/>
    <w:rsid w:val="0047797E"/>
    <w:rsid w:val="00483D5D"/>
    <w:rsid w:val="00497F06"/>
    <w:rsid w:val="004A3757"/>
    <w:rsid w:val="004A59E8"/>
    <w:rsid w:val="004B1283"/>
    <w:rsid w:val="004C6034"/>
    <w:rsid w:val="004D3941"/>
    <w:rsid w:val="004D77F8"/>
    <w:rsid w:val="004E1A91"/>
    <w:rsid w:val="004E2421"/>
    <w:rsid w:val="004E6489"/>
    <w:rsid w:val="004E6662"/>
    <w:rsid w:val="004F2CAE"/>
    <w:rsid w:val="004F568A"/>
    <w:rsid w:val="005020EC"/>
    <w:rsid w:val="0051202C"/>
    <w:rsid w:val="00516555"/>
    <w:rsid w:val="0052154F"/>
    <w:rsid w:val="005256CF"/>
    <w:rsid w:val="00532D22"/>
    <w:rsid w:val="00536E60"/>
    <w:rsid w:val="0054015B"/>
    <w:rsid w:val="00542C43"/>
    <w:rsid w:val="00547989"/>
    <w:rsid w:val="00551299"/>
    <w:rsid w:val="005535FB"/>
    <w:rsid w:val="00555DF5"/>
    <w:rsid w:val="00571656"/>
    <w:rsid w:val="00571740"/>
    <w:rsid w:val="00572006"/>
    <w:rsid w:val="00573865"/>
    <w:rsid w:val="00573E74"/>
    <w:rsid w:val="0057790F"/>
    <w:rsid w:val="00577F20"/>
    <w:rsid w:val="00582470"/>
    <w:rsid w:val="00586815"/>
    <w:rsid w:val="00590990"/>
    <w:rsid w:val="00594DE5"/>
    <w:rsid w:val="00595395"/>
    <w:rsid w:val="005A12D7"/>
    <w:rsid w:val="005A29D6"/>
    <w:rsid w:val="005A7077"/>
    <w:rsid w:val="005B0C92"/>
    <w:rsid w:val="005B7E20"/>
    <w:rsid w:val="005C1D42"/>
    <w:rsid w:val="005C412B"/>
    <w:rsid w:val="005C4835"/>
    <w:rsid w:val="005C5A53"/>
    <w:rsid w:val="005C7769"/>
    <w:rsid w:val="005C7838"/>
    <w:rsid w:val="005D5F1D"/>
    <w:rsid w:val="005E28D5"/>
    <w:rsid w:val="005E37E8"/>
    <w:rsid w:val="005F0F53"/>
    <w:rsid w:val="005F584A"/>
    <w:rsid w:val="005F6C73"/>
    <w:rsid w:val="005F70B3"/>
    <w:rsid w:val="0060625D"/>
    <w:rsid w:val="006071A0"/>
    <w:rsid w:val="00611BAA"/>
    <w:rsid w:val="00612D18"/>
    <w:rsid w:val="006141F8"/>
    <w:rsid w:val="00615BB7"/>
    <w:rsid w:val="00616A16"/>
    <w:rsid w:val="00621954"/>
    <w:rsid w:val="00623361"/>
    <w:rsid w:val="00624BA9"/>
    <w:rsid w:val="0062575C"/>
    <w:rsid w:val="006339EB"/>
    <w:rsid w:val="00635CBA"/>
    <w:rsid w:val="00636E7A"/>
    <w:rsid w:val="00642169"/>
    <w:rsid w:val="00643DA4"/>
    <w:rsid w:val="0065256C"/>
    <w:rsid w:val="006559E3"/>
    <w:rsid w:val="00656E41"/>
    <w:rsid w:val="00657577"/>
    <w:rsid w:val="0066349C"/>
    <w:rsid w:val="006660B2"/>
    <w:rsid w:val="0067056E"/>
    <w:rsid w:val="006739CA"/>
    <w:rsid w:val="00673AED"/>
    <w:rsid w:val="0068258E"/>
    <w:rsid w:val="006855AC"/>
    <w:rsid w:val="00691790"/>
    <w:rsid w:val="006933C3"/>
    <w:rsid w:val="006956E6"/>
    <w:rsid w:val="00697045"/>
    <w:rsid w:val="006978E8"/>
    <w:rsid w:val="006A27BD"/>
    <w:rsid w:val="006A337B"/>
    <w:rsid w:val="006A4E08"/>
    <w:rsid w:val="006A57D6"/>
    <w:rsid w:val="006A58BC"/>
    <w:rsid w:val="006A62A5"/>
    <w:rsid w:val="006C2489"/>
    <w:rsid w:val="006C40C7"/>
    <w:rsid w:val="006D274C"/>
    <w:rsid w:val="006D377B"/>
    <w:rsid w:val="006D3EB7"/>
    <w:rsid w:val="006D7B49"/>
    <w:rsid w:val="006E0A2E"/>
    <w:rsid w:val="006E1269"/>
    <w:rsid w:val="006E7A3D"/>
    <w:rsid w:val="006E7D38"/>
    <w:rsid w:val="006F0870"/>
    <w:rsid w:val="006F43CA"/>
    <w:rsid w:val="006F69DE"/>
    <w:rsid w:val="006F7EF4"/>
    <w:rsid w:val="007026DD"/>
    <w:rsid w:val="00702770"/>
    <w:rsid w:val="00703FCE"/>
    <w:rsid w:val="00707B68"/>
    <w:rsid w:val="007126C4"/>
    <w:rsid w:val="007258CF"/>
    <w:rsid w:val="007275EB"/>
    <w:rsid w:val="00737731"/>
    <w:rsid w:val="00740210"/>
    <w:rsid w:val="007411D5"/>
    <w:rsid w:val="00742A1A"/>
    <w:rsid w:val="00744F4F"/>
    <w:rsid w:val="00746CF4"/>
    <w:rsid w:val="00756648"/>
    <w:rsid w:val="007724CE"/>
    <w:rsid w:val="00775421"/>
    <w:rsid w:val="007770E1"/>
    <w:rsid w:val="00780C21"/>
    <w:rsid w:val="00787D6D"/>
    <w:rsid w:val="0079167D"/>
    <w:rsid w:val="007949A2"/>
    <w:rsid w:val="007A0931"/>
    <w:rsid w:val="007A4309"/>
    <w:rsid w:val="007B5863"/>
    <w:rsid w:val="007B627D"/>
    <w:rsid w:val="007B6E7F"/>
    <w:rsid w:val="007C53A1"/>
    <w:rsid w:val="007C58BD"/>
    <w:rsid w:val="007C5D4B"/>
    <w:rsid w:val="007D00B1"/>
    <w:rsid w:val="007D0E36"/>
    <w:rsid w:val="007E3F69"/>
    <w:rsid w:val="007E7735"/>
    <w:rsid w:val="007F0E3A"/>
    <w:rsid w:val="007F1254"/>
    <w:rsid w:val="007F1374"/>
    <w:rsid w:val="007F416A"/>
    <w:rsid w:val="007F761B"/>
    <w:rsid w:val="00800EE1"/>
    <w:rsid w:val="00811CAE"/>
    <w:rsid w:val="00825DC9"/>
    <w:rsid w:val="00831DF3"/>
    <w:rsid w:val="008326E7"/>
    <w:rsid w:val="00833402"/>
    <w:rsid w:val="00842154"/>
    <w:rsid w:val="0084241F"/>
    <w:rsid w:val="0084434E"/>
    <w:rsid w:val="008506B1"/>
    <w:rsid w:val="008510CC"/>
    <w:rsid w:val="00860C47"/>
    <w:rsid w:val="00863417"/>
    <w:rsid w:val="0086343C"/>
    <w:rsid w:val="00863A3D"/>
    <w:rsid w:val="00863D76"/>
    <w:rsid w:val="00864C48"/>
    <w:rsid w:val="0086509B"/>
    <w:rsid w:val="0087296A"/>
    <w:rsid w:val="00876262"/>
    <w:rsid w:val="008840DA"/>
    <w:rsid w:val="00886BC2"/>
    <w:rsid w:val="00891049"/>
    <w:rsid w:val="00897011"/>
    <w:rsid w:val="00897403"/>
    <w:rsid w:val="00897E88"/>
    <w:rsid w:val="00897F86"/>
    <w:rsid w:val="008A40C0"/>
    <w:rsid w:val="008A5923"/>
    <w:rsid w:val="008B1120"/>
    <w:rsid w:val="008B1AA1"/>
    <w:rsid w:val="008B1BB2"/>
    <w:rsid w:val="008B1BFF"/>
    <w:rsid w:val="008B26CC"/>
    <w:rsid w:val="008B4BE6"/>
    <w:rsid w:val="008C2DD5"/>
    <w:rsid w:val="008F00E1"/>
    <w:rsid w:val="008F12A1"/>
    <w:rsid w:val="008F3624"/>
    <w:rsid w:val="008F73D1"/>
    <w:rsid w:val="009002CA"/>
    <w:rsid w:val="00901A98"/>
    <w:rsid w:val="00903AF9"/>
    <w:rsid w:val="0090579F"/>
    <w:rsid w:val="00912A77"/>
    <w:rsid w:val="009143C9"/>
    <w:rsid w:val="00915A40"/>
    <w:rsid w:val="009201C9"/>
    <w:rsid w:val="00930424"/>
    <w:rsid w:val="00932928"/>
    <w:rsid w:val="00942BCB"/>
    <w:rsid w:val="00942F03"/>
    <w:rsid w:val="00953155"/>
    <w:rsid w:val="009614F9"/>
    <w:rsid w:val="00961B81"/>
    <w:rsid w:val="00962ED5"/>
    <w:rsid w:val="00971561"/>
    <w:rsid w:val="00972004"/>
    <w:rsid w:val="009761DA"/>
    <w:rsid w:val="009858FE"/>
    <w:rsid w:val="009860EA"/>
    <w:rsid w:val="00990719"/>
    <w:rsid w:val="0099315C"/>
    <w:rsid w:val="009C02E5"/>
    <w:rsid w:val="009C0E0E"/>
    <w:rsid w:val="009C26E3"/>
    <w:rsid w:val="009C6DD1"/>
    <w:rsid w:val="009C7CD6"/>
    <w:rsid w:val="009D2789"/>
    <w:rsid w:val="009D4C0F"/>
    <w:rsid w:val="009D5C7B"/>
    <w:rsid w:val="009D7C44"/>
    <w:rsid w:val="009E28F3"/>
    <w:rsid w:val="009E7B86"/>
    <w:rsid w:val="009F366D"/>
    <w:rsid w:val="009F45EC"/>
    <w:rsid w:val="00A06362"/>
    <w:rsid w:val="00A12859"/>
    <w:rsid w:val="00A13D8B"/>
    <w:rsid w:val="00A2390C"/>
    <w:rsid w:val="00A244A2"/>
    <w:rsid w:val="00A24A81"/>
    <w:rsid w:val="00A34443"/>
    <w:rsid w:val="00A345F7"/>
    <w:rsid w:val="00A404F7"/>
    <w:rsid w:val="00A42581"/>
    <w:rsid w:val="00A51447"/>
    <w:rsid w:val="00A52AA2"/>
    <w:rsid w:val="00A53F34"/>
    <w:rsid w:val="00A540EB"/>
    <w:rsid w:val="00A5539A"/>
    <w:rsid w:val="00A60B97"/>
    <w:rsid w:val="00A651B4"/>
    <w:rsid w:val="00A71E51"/>
    <w:rsid w:val="00A73AE9"/>
    <w:rsid w:val="00A759D7"/>
    <w:rsid w:val="00A764E4"/>
    <w:rsid w:val="00A77F56"/>
    <w:rsid w:val="00A954D1"/>
    <w:rsid w:val="00A95A2D"/>
    <w:rsid w:val="00A964BA"/>
    <w:rsid w:val="00AA2D7F"/>
    <w:rsid w:val="00AA34B1"/>
    <w:rsid w:val="00AA719D"/>
    <w:rsid w:val="00AB06B2"/>
    <w:rsid w:val="00AB1C3D"/>
    <w:rsid w:val="00AB21BB"/>
    <w:rsid w:val="00AB29A8"/>
    <w:rsid w:val="00AB7D22"/>
    <w:rsid w:val="00AC1EEF"/>
    <w:rsid w:val="00AC22A5"/>
    <w:rsid w:val="00AC2670"/>
    <w:rsid w:val="00AD197F"/>
    <w:rsid w:val="00AD5AAE"/>
    <w:rsid w:val="00AE1C50"/>
    <w:rsid w:val="00AE1F78"/>
    <w:rsid w:val="00AF061E"/>
    <w:rsid w:val="00AF16A7"/>
    <w:rsid w:val="00AF23AF"/>
    <w:rsid w:val="00AF4E3A"/>
    <w:rsid w:val="00AF6A53"/>
    <w:rsid w:val="00B00257"/>
    <w:rsid w:val="00B039D7"/>
    <w:rsid w:val="00B0612D"/>
    <w:rsid w:val="00B07F61"/>
    <w:rsid w:val="00B10017"/>
    <w:rsid w:val="00B11EFC"/>
    <w:rsid w:val="00B15210"/>
    <w:rsid w:val="00B15E30"/>
    <w:rsid w:val="00B1623B"/>
    <w:rsid w:val="00B20F72"/>
    <w:rsid w:val="00B24403"/>
    <w:rsid w:val="00B25206"/>
    <w:rsid w:val="00B27E29"/>
    <w:rsid w:val="00B32239"/>
    <w:rsid w:val="00B42DDB"/>
    <w:rsid w:val="00B43712"/>
    <w:rsid w:val="00B472D0"/>
    <w:rsid w:val="00B51A73"/>
    <w:rsid w:val="00B6145A"/>
    <w:rsid w:val="00B61570"/>
    <w:rsid w:val="00B64BDA"/>
    <w:rsid w:val="00B6585E"/>
    <w:rsid w:val="00B72578"/>
    <w:rsid w:val="00B744FB"/>
    <w:rsid w:val="00B76655"/>
    <w:rsid w:val="00B84A8E"/>
    <w:rsid w:val="00B85252"/>
    <w:rsid w:val="00B92D67"/>
    <w:rsid w:val="00B930BB"/>
    <w:rsid w:val="00B952D8"/>
    <w:rsid w:val="00B9615A"/>
    <w:rsid w:val="00BA1CBE"/>
    <w:rsid w:val="00BA3831"/>
    <w:rsid w:val="00BA42F3"/>
    <w:rsid w:val="00BA500B"/>
    <w:rsid w:val="00BA5B5B"/>
    <w:rsid w:val="00BB008B"/>
    <w:rsid w:val="00BB0093"/>
    <w:rsid w:val="00BB2181"/>
    <w:rsid w:val="00BB3C82"/>
    <w:rsid w:val="00BB4096"/>
    <w:rsid w:val="00BB5695"/>
    <w:rsid w:val="00BB57F6"/>
    <w:rsid w:val="00BC2684"/>
    <w:rsid w:val="00BC35AA"/>
    <w:rsid w:val="00BC5BB3"/>
    <w:rsid w:val="00BD2F0F"/>
    <w:rsid w:val="00BD53BD"/>
    <w:rsid w:val="00BD5DEF"/>
    <w:rsid w:val="00BE4802"/>
    <w:rsid w:val="00BE62C6"/>
    <w:rsid w:val="00BF04CD"/>
    <w:rsid w:val="00BF170E"/>
    <w:rsid w:val="00BF509C"/>
    <w:rsid w:val="00BF7CF6"/>
    <w:rsid w:val="00C069DB"/>
    <w:rsid w:val="00C06CE2"/>
    <w:rsid w:val="00C119D6"/>
    <w:rsid w:val="00C141D0"/>
    <w:rsid w:val="00C20F98"/>
    <w:rsid w:val="00C21000"/>
    <w:rsid w:val="00C21F77"/>
    <w:rsid w:val="00C249C9"/>
    <w:rsid w:val="00C27BEF"/>
    <w:rsid w:val="00C32A74"/>
    <w:rsid w:val="00C33BEA"/>
    <w:rsid w:val="00C424F1"/>
    <w:rsid w:val="00C4424F"/>
    <w:rsid w:val="00C445CC"/>
    <w:rsid w:val="00C4599F"/>
    <w:rsid w:val="00C45F82"/>
    <w:rsid w:val="00C475F7"/>
    <w:rsid w:val="00C52E44"/>
    <w:rsid w:val="00C53E01"/>
    <w:rsid w:val="00C53F5C"/>
    <w:rsid w:val="00C653FE"/>
    <w:rsid w:val="00C7326C"/>
    <w:rsid w:val="00C745FF"/>
    <w:rsid w:val="00C77D3E"/>
    <w:rsid w:val="00C81CDA"/>
    <w:rsid w:val="00C83148"/>
    <w:rsid w:val="00C846A9"/>
    <w:rsid w:val="00C87B56"/>
    <w:rsid w:val="00C940E8"/>
    <w:rsid w:val="00C960FE"/>
    <w:rsid w:val="00C97610"/>
    <w:rsid w:val="00CA2822"/>
    <w:rsid w:val="00CB1033"/>
    <w:rsid w:val="00CB128D"/>
    <w:rsid w:val="00CB67FA"/>
    <w:rsid w:val="00CB6841"/>
    <w:rsid w:val="00CB6A7A"/>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2128A"/>
    <w:rsid w:val="00D3779C"/>
    <w:rsid w:val="00D37DCA"/>
    <w:rsid w:val="00D54373"/>
    <w:rsid w:val="00D57617"/>
    <w:rsid w:val="00D62225"/>
    <w:rsid w:val="00D632A4"/>
    <w:rsid w:val="00D65D20"/>
    <w:rsid w:val="00D740DB"/>
    <w:rsid w:val="00D745DA"/>
    <w:rsid w:val="00D747E5"/>
    <w:rsid w:val="00D7552A"/>
    <w:rsid w:val="00D77DA5"/>
    <w:rsid w:val="00D805CE"/>
    <w:rsid w:val="00D83C23"/>
    <w:rsid w:val="00D84420"/>
    <w:rsid w:val="00D847C3"/>
    <w:rsid w:val="00D85438"/>
    <w:rsid w:val="00D8732D"/>
    <w:rsid w:val="00D927DB"/>
    <w:rsid w:val="00D949AC"/>
    <w:rsid w:val="00DA0D76"/>
    <w:rsid w:val="00DA1274"/>
    <w:rsid w:val="00DA133C"/>
    <w:rsid w:val="00DA2B1D"/>
    <w:rsid w:val="00DA30A3"/>
    <w:rsid w:val="00DB6D91"/>
    <w:rsid w:val="00DB7EE7"/>
    <w:rsid w:val="00DC0474"/>
    <w:rsid w:val="00DC3E82"/>
    <w:rsid w:val="00DC529B"/>
    <w:rsid w:val="00DD563C"/>
    <w:rsid w:val="00DD61B3"/>
    <w:rsid w:val="00DE06EE"/>
    <w:rsid w:val="00DE0B80"/>
    <w:rsid w:val="00DE10E1"/>
    <w:rsid w:val="00DF0141"/>
    <w:rsid w:val="00DF0807"/>
    <w:rsid w:val="00DF513B"/>
    <w:rsid w:val="00DF6D40"/>
    <w:rsid w:val="00DF71E8"/>
    <w:rsid w:val="00E0352C"/>
    <w:rsid w:val="00E07BB2"/>
    <w:rsid w:val="00E11E1A"/>
    <w:rsid w:val="00E12C95"/>
    <w:rsid w:val="00E14566"/>
    <w:rsid w:val="00E14911"/>
    <w:rsid w:val="00E22660"/>
    <w:rsid w:val="00E232E0"/>
    <w:rsid w:val="00E23A5B"/>
    <w:rsid w:val="00E2492D"/>
    <w:rsid w:val="00E3030C"/>
    <w:rsid w:val="00E32EAF"/>
    <w:rsid w:val="00E34BF8"/>
    <w:rsid w:val="00E37884"/>
    <w:rsid w:val="00E41A72"/>
    <w:rsid w:val="00E431F3"/>
    <w:rsid w:val="00E44F7F"/>
    <w:rsid w:val="00E50CC8"/>
    <w:rsid w:val="00E51FE8"/>
    <w:rsid w:val="00E5244F"/>
    <w:rsid w:val="00E55E57"/>
    <w:rsid w:val="00E56249"/>
    <w:rsid w:val="00E61D90"/>
    <w:rsid w:val="00E67ACE"/>
    <w:rsid w:val="00E67BA7"/>
    <w:rsid w:val="00E73A36"/>
    <w:rsid w:val="00E74A09"/>
    <w:rsid w:val="00E757FD"/>
    <w:rsid w:val="00E77893"/>
    <w:rsid w:val="00E80472"/>
    <w:rsid w:val="00E84140"/>
    <w:rsid w:val="00E939CD"/>
    <w:rsid w:val="00E93D69"/>
    <w:rsid w:val="00E94FA8"/>
    <w:rsid w:val="00E956E2"/>
    <w:rsid w:val="00EA1DD5"/>
    <w:rsid w:val="00EB1CBD"/>
    <w:rsid w:val="00EB4762"/>
    <w:rsid w:val="00EB4FD7"/>
    <w:rsid w:val="00EC510A"/>
    <w:rsid w:val="00EC564B"/>
    <w:rsid w:val="00EC6F58"/>
    <w:rsid w:val="00ED1BAA"/>
    <w:rsid w:val="00ED4634"/>
    <w:rsid w:val="00ED5FC7"/>
    <w:rsid w:val="00ED66A5"/>
    <w:rsid w:val="00ED7CB3"/>
    <w:rsid w:val="00EE1123"/>
    <w:rsid w:val="00EE1706"/>
    <w:rsid w:val="00EE3A4F"/>
    <w:rsid w:val="00EF0C91"/>
    <w:rsid w:val="00EF17C0"/>
    <w:rsid w:val="00EF2660"/>
    <w:rsid w:val="00EF26A2"/>
    <w:rsid w:val="00EF2E7C"/>
    <w:rsid w:val="00EF3F66"/>
    <w:rsid w:val="00EF4315"/>
    <w:rsid w:val="00F06892"/>
    <w:rsid w:val="00F1668A"/>
    <w:rsid w:val="00F17AC8"/>
    <w:rsid w:val="00F23F4E"/>
    <w:rsid w:val="00F269DE"/>
    <w:rsid w:val="00F26A4B"/>
    <w:rsid w:val="00F31636"/>
    <w:rsid w:val="00F338BF"/>
    <w:rsid w:val="00F376E3"/>
    <w:rsid w:val="00F37ED4"/>
    <w:rsid w:val="00F40A46"/>
    <w:rsid w:val="00F41D12"/>
    <w:rsid w:val="00F445FE"/>
    <w:rsid w:val="00F45235"/>
    <w:rsid w:val="00F50B3C"/>
    <w:rsid w:val="00F5592A"/>
    <w:rsid w:val="00F57E9D"/>
    <w:rsid w:val="00F66E1A"/>
    <w:rsid w:val="00F71EBB"/>
    <w:rsid w:val="00F728DA"/>
    <w:rsid w:val="00F8554D"/>
    <w:rsid w:val="00FB4E60"/>
    <w:rsid w:val="00FC4ACC"/>
    <w:rsid w:val="00FD0892"/>
    <w:rsid w:val="00FD6782"/>
    <w:rsid w:val="00FE0180"/>
    <w:rsid w:val="00FF3986"/>
    <w:rsid w:val="73DCEB71"/>
    <w:rsid w:val="767B3588"/>
    <w:rsid w:val="7F7FAC69"/>
    <w:rsid w:val="CA4BEDC3"/>
    <w:rsid w:val="E7FBD492"/>
    <w:rsid w:val="EDFF85BB"/>
    <w:rsid w:val="FBDD4618"/>
    <w:rsid w:val="FDEF4083"/>
    <w:rsid w:val="FF27E2D4"/>
    <w:rsid w:val="FFBE8AEB"/>
    <w:rsid w:val="FFBFCD0B"/>
    <w:rsid w:val="FFDF7D2E"/>
    <w:rsid w:val="FFDFA5F2"/>
    <w:rsid w:val="FFFF51F9"/>
    <w:rsid w:val="FFFFEAA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EFC4"/>
  <w15:docId w15:val="{2CD0216D-5840-4FB5-B1DB-37F387C7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MD" w:eastAsia="zh-CN" w:bidi="bn-BD"/>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rFonts w:eastAsia="Times New Roman"/>
      <w:lang w:eastAsia="en-US" w:bidi="ar-SA"/>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Tahoma" w:hAnsi="Tahoma"/>
      <w:sz w:val="16"/>
      <w:szCs w:val="16"/>
    </w:rPr>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styleId="a6">
    <w:name w:val="annotation reference"/>
    <w:uiPriority w:val="99"/>
    <w:rPr>
      <w:sz w:val="16"/>
      <w:szCs w:val="16"/>
    </w:rPr>
  </w:style>
  <w:style w:type="paragraph" w:styleId="a7">
    <w:name w:val="annotation text"/>
    <w:basedOn w:val="a"/>
    <w:link w:val="a8"/>
    <w:uiPriority w:val="99"/>
    <w:pPr>
      <w:ind w:firstLine="0"/>
      <w:jc w:val="left"/>
    </w:pPr>
    <w:rPr>
      <w:lang w:val="ro-RO" w:eastAsia="ru-RU"/>
    </w:rPr>
  </w:style>
  <w:style w:type="paragraph" w:styleId="a9">
    <w:name w:val="annotation subject"/>
    <w:basedOn w:val="a7"/>
    <w:next w:val="a7"/>
    <w:link w:val="aa"/>
    <w:uiPriority w:val="99"/>
    <w:rPr>
      <w:b/>
      <w:bCs/>
    </w:rPr>
  </w:style>
  <w:style w:type="character" w:styleId="ab">
    <w:name w:val="endnote reference"/>
    <w:basedOn w:val="a0"/>
    <w:uiPriority w:val="99"/>
    <w:semiHidden/>
    <w:unhideWhenUsed/>
    <w:rPr>
      <w:vertAlign w:val="superscript"/>
    </w:rPr>
  </w:style>
  <w:style w:type="paragraph" w:styleId="ac">
    <w:name w:val="endnote text"/>
    <w:basedOn w:val="a"/>
    <w:link w:val="ad"/>
    <w:uiPriority w:val="99"/>
    <w:semiHidden/>
    <w:unhideWhenUsed/>
  </w:style>
  <w:style w:type="paragraph" w:styleId="ae">
    <w:name w:val="footer"/>
    <w:basedOn w:val="a"/>
    <w:link w:val="af"/>
    <w:pPr>
      <w:tabs>
        <w:tab w:val="center" w:pos="4677"/>
        <w:tab w:val="right" w:pos="9355"/>
      </w:tabs>
    </w:pPr>
  </w:style>
  <w:style w:type="character" w:styleId="af0">
    <w:name w:val="footnote reference"/>
    <w:basedOn w:val="a0"/>
    <w:uiPriority w:val="99"/>
    <w:unhideWhenUsed/>
    <w:rPr>
      <w:vertAlign w:val="superscript"/>
    </w:rPr>
  </w:style>
  <w:style w:type="paragraph" w:styleId="af1">
    <w:name w:val="footnote text"/>
    <w:basedOn w:val="a"/>
    <w:link w:val="af2"/>
    <w:uiPriority w:val="99"/>
    <w:semiHidden/>
    <w:unhideWhenUsed/>
    <w:pPr>
      <w:spacing w:after="40"/>
    </w:pPr>
    <w:rPr>
      <w:sz w:val="18"/>
    </w:rPr>
  </w:style>
  <w:style w:type="paragraph" w:styleId="af3">
    <w:name w:val="header"/>
    <w:basedOn w:val="a"/>
    <w:link w:val="af4"/>
    <w:pPr>
      <w:tabs>
        <w:tab w:val="center" w:pos="4677"/>
        <w:tab w:val="right" w:pos="9355"/>
      </w:tabs>
    </w:pPr>
  </w:style>
  <w:style w:type="paragraph" w:styleId="HTML">
    <w:name w:val="HTML Preformatted"/>
    <w:basedOn w:val="a"/>
    <w:link w:val="HTML0"/>
    <w:uiPriority w:val="99"/>
    <w:unhideWhenUsed/>
    <w:pPr>
      <w:ind w:firstLine="0"/>
      <w:jc w:val="left"/>
    </w:pPr>
    <w:rPr>
      <w:rFonts w:ascii="Consolas" w:hAnsi="Consolas"/>
    </w:rPr>
  </w:style>
  <w:style w:type="character" w:styleId="af5">
    <w:name w:val="Hyperlink"/>
    <w:basedOn w:val="a0"/>
    <w:uiPriority w:val="99"/>
    <w:rPr>
      <w:color w:val="0000FF"/>
      <w:u w:val="single"/>
    </w:rPr>
  </w:style>
  <w:style w:type="paragraph" w:styleId="af6">
    <w:name w:val="Normal (Web)"/>
    <w:basedOn w:val="a"/>
    <w:uiPriority w:val="99"/>
    <w:unhideWhenUsed/>
    <w:pPr>
      <w:ind w:firstLine="567"/>
    </w:pPr>
    <w:rPr>
      <w:sz w:val="24"/>
      <w:szCs w:val="24"/>
      <w:lang w:val="ru-RU" w:eastAsia="ru-RU"/>
    </w:rPr>
  </w:style>
  <w:style w:type="character" w:styleId="af7">
    <w:name w:val="page number"/>
    <w:basedOn w:val="a0"/>
  </w:style>
  <w:style w:type="character" w:styleId="af8">
    <w:name w:val="Strong"/>
    <w:uiPriority w:val="22"/>
    <w:qFormat/>
    <w:rPr>
      <w:b/>
      <w:bCs/>
    </w:rPr>
  </w:style>
  <w:style w:type="paragraph" w:styleId="af9">
    <w:name w:val="Subtitle"/>
    <w:basedOn w:val="a"/>
    <w:next w:val="a"/>
    <w:link w:val="afa"/>
    <w:uiPriority w:val="11"/>
    <w:qFormat/>
    <w:pPr>
      <w:spacing w:before="200" w:after="200"/>
    </w:pPr>
    <w:rPr>
      <w:sz w:val="24"/>
      <w:szCs w:val="24"/>
    </w:rPr>
  </w:style>
  <w:style w:type="table" w:styleId="afb">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table of figures"/>
    <w:basedOn w:val="a"/>
    <w:next w:val="a"/>
    <w:uiPriority w:val="99"/>
    <w:unhideWhenUsed/>
  </w:style>
  <w:style w:type="paragraph" w:styleId="afd">
    <w:name w:val="Title"/>
    <w:basedOn w:val="a"/>
    <w:next w:val="a"/>
    <w:link w:val="afe"/>
    <w:uiPriority w:val="10"/>
    <w:qFormat/>
    <w:pPr>
      <w:spacing w:before="300" w:after="200"/>
      <w:contextualSpacing/>
    </w:pPr>
    <w:rPr>
      <w:sz w:val="48"/>
      <w:szCs w:val="48"/>
    </w:rPr>
  </w:style>
  <w:style w:type="paragraph" w:styleId="11">
    <w:name w:val="toc 1"/>
    <w:basedOn w:val="a"/>
    <w:next w:val="a"/>
    <w:uiPriority w:val="39"/>
    <w:unhideWhenUsed/>
    <w:pPr>
      <w:spacing w:after="57"/>
      <w:ind w:firstLine="0"/>
    </w:pPr>
  </w:style>
  <w:style w:type="paragraph" w:styleId="21">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ff">
    <w:name w:val="No Spacing"/>
    <w:uiPriority w:val="1"/>
    <w:qFormat/>
    <w:pPr>
      <w:ind w:firstLine="709"/>
      <w:jc w:val="both"/>
    </w:pPr>
    <w:rPr>
      <w:rFonts w:eastAsia="Times New Roman"/>
      <w:lang w:val="ru-RU" w:eastAsia="ru-RU" w:bidi="ar-SA"/>
    </w:rPr>
  </w:style>
  <w:style w:type="character" w:customStyle="1" w:styleId="afe">
    <w:name w:val="Заголовок Знак"/>
    <w:basedOn w:val="a0"/>
    <w:link w:val="afd"/>
    <w:uiPriority w:val="10"/>
    <w:rPr>
      <w:sz w:val="48"/>
      <w:szCs w:val="48"/>
    </w:rPr>
  </w:style>
  <w:style w:type="character" w:customStyle="1" w:styleId="afa">
    <w:name w:val="Подзаголовок Знак"/>
    <w:basedOn w:val="a0"/>
    <w:link w:val="af9"/>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ff0">
    <w:name w:val="Intense Quote"/>
    <w:basedOn w:val="a"/>
    <w:next w:val="a"/>
    <w:link w:val="af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1">
    <w:name w:val="Выделенная цитата Знак"/>
    <w:link w:val="aff0"/>
    <w:uiPriority w:val="30"/>
    <w:rPr>
      <w:i/>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1"/>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a1"/>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a1"/>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a1"/>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a1"/>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a1"/>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1">
    <w:name w:val="Grid Table 7 Colorful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1"/>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a1"/>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a1"/>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a1"/>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a1"/>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a1"/>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1">
    <w:name w:val="List Table 1 Light1"/>
    <w:basedOn w:val="a1"/>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a1"/>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a1"/>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a1"/>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a1"/>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a1"/>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1">
    <w:name w:val="List Table 7 Colorful1"/>
    <w:basedOn w:val="a1"/>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1"/>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a1"/>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a1"/>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a1"/>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a1"/>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a1"/>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Pr>
      <w:color w:val="404040"/>
      <w:lang w:val="ro-RO" w:eastAsia="ro-RO"/>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2">
    <w:name w:val="Текст сноски Знак"/>
    <w:link w:val="af1"/>
    <w:uiPriority w:val="99"/>
    <w:rPr>
      <w:sz w:val="18"/>
    </w:rPr>
  </w:style>
  <w:style w:type="character" w:customStyle="1" w:styleId="ad">
    <w:name w:val="Текст концевой сноски Знак"/>
    <w:link w:val="ac"/>
    <w:uiPriority w:val="99"/>
    <w:rPr>
      <w:sz w:val="20"/>
    </w:rPr>
  </w:style>
  <w:style w:type="paragraph" w:customStyle="1" w:styleId="TOCHeading1">
    <w:name w:val="TOC Heading1"/>
    <w:uiPriority w:val="39"/>
    <w:unhideWhenUsed/>
    <w:pPr>
      <w:ind w:firstLine="709"/>
      <w:jc w:val="both"/>
    </w:pPr>
    <w:rPr>
      <w:rFonts w:eastAsia="Times New Roman"/>
      <w:lang w:val="ru-RU" w:eastAsia="ru-RU" w:bidi="ar-SA"/>
    </w:rPr>
  </w:style>
  <w:style w:type="character" w:customStyle="1" w:styleId="a4">
    <w:name w:val="Текст выноски Знак"/>
    <w:link w:val="a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character" w:customStyle="1" w:styleId="af4">
    <w:name w:val="Верхний колонтитул Знак"/>
    <w:link w:val="af3"/>
    <w:uiPriority w:val="99"/>
    <w:rPr>
      <w:lang w:val="en-US" w:eastAsia="en-US"/>
    </w:rPr>
  </w:style>
  <w:style w:type="character" w:customStyle="1" w:styleId="af">
    <w:name w:val="Нижний колонтитул Знак"/>
    <w:link w:val="ae"/>
    <w:uiPriority w:val="99"/>
    <w:rPr>
      <w:lang w:val="en-US" w:eastAsia="en-US"/>
    </w:r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
    <w:uiPriority w:val="34"/>
    <w:qFormat/>
    <w:pPr>
      <w:ind w:left="720"/>
      <w:contextualSpacing/>
    </w:pPr>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customStyle="1" w:styleId="a8">
    <w:name w:val="Текст примечания Знак"/>
    <w:basedOn w:val="a0"/>
    <w:link w:val="a7"/>
    <w:uiPriority w:val="99"/>
    <w:rPr>
      <w:lang w:val="ro-RO"/>
    </w:rPr>
  </w:style>
  <w:style w:type="character" w:customStyle="1" w:styleId="aa">
    <w:name w:val="Тема примечания Знак"/>
    <w:basedOn w:val="a8"/>
    <w:link w:val="a9"/>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character" w:customStyle="1" w:styleId="HTML0">
    <w:name w:val="Стандартный HTML Знак"/>
    <w:basedOn w:val="a0"/>
    <w:link w:val="HTML"/>
    <w:uiPriority w:val="99"/>
    <w:rPr>
      <w:rFonts w:ascii="Consolas" w:hAnsi="Consolas"/>
      <w:lang w:val="en-US" w:eastAsia="en-US"/>
    </w:rPr>
  </w:style>
  <w:style w:type="character" w:styleId="aff3">
    <w:name w:val="Placeholder Text"/>
    <w:basedOn w:val="a0"/>
    <w:uiPriority w:val="99"/>
    <w:semiHidden/>
    <w:rPr>
      <w:color w:val="808080"/>
    </w:rPr>
  </w:style>
  <w:style w:type="paragraph" w:customStyle="1" w:styleId="Revision1">
    <w:name w:val="Revision1"/>
    <w:hidden/>
    <w:uiPriority w:val="99"/>
    <w:semiHidden/>
    <w:rPr>
      <w:rFonts w:eastAsia="Times New Roman"/>
      <w:lang w:val="en-US" w:eastAsia="en-US" w:bidi="ar-SA"/>
    </w:rPr>
  </w:style>
  <w:style w:type="character" w:customStyle="1" w:styleId="UnresolvedMention1">
    <w:name w:val="Unresolved Mention1"/>
    <w:basedOn w:val="a0"/>
    <w:uiPriority w:val="99"/>
    <w:semiHidden/>
    <w:unhideWhenUsed/>
    <w:rPr>
      <w:color w:val="605E5C"/>
      <w:shd w:val="clear" w:color="auto" w:fill="E1DFDD"/>
    </w:rPr>
  </w:style>
  <w:style w:type="character" w:styleId="aff4">
    <w:name w:val="Unresolved Mention"/>
    <w:basedOn w:val="a0"/>
    <w:uiPriority w:val="99"/>
    <w:semiHidden/>
    <w:unhideWhenUsed/>
    <w:rsid w:val="00C7326C"/>
    <w:rPr>
      <w:color w:val="605E5C"/>
      <w:shd w:val="clear" w:color="auto" w:fill="E1DFDD"/>
    </w:rPr>
  </w:style>
  <w:style w:type="character" w:styleId="aff5">
    <w:name w:val="FollowedHyperlink"/>
    <w:basedOn w:val="a0"/>
    <w:uiPriority w:val="99"/>
    <w:semiHidden/>
    <w:unhideWhenUsed/>
    <w:rsid w:val="00842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2956">
      <w:bodyDiv w:val="1"/>
      <w:marLeft w:val="0"/>
      <w:marRight w:val="0"/>
      <w:marTop w:val="0"/>
      <w:marBottom w:val="0"/>
      <w:divBdr>
        <w:top w:val="none" w:sz="0" w:space="0" w:color="auto"/>
        <w:left w:val="none" w:sz="0" w:space="0" w:color="auto"/>
        <w:bottom w:val="none" w:sz="0" w:space="0" w:color="auto"/>
        <w:right w:val="none" w:sz="0" w:space="0" w:color="auto"/>
      </w:divBdr>
    </w:div>
    <w:div w:id="258637162">
      <w:bodyDiv w:val="1"/>
      <w:marLeft w:val="0"/>
      <w:marRight w:val="0"/>
      <w:marTop w:val="0"/>
      <w:marBottom w:val="0"/>
      <w:divBdr>
        <w:top w:val="none" w:sz="0" w:space="0" w:color="auto"/>
        <w:left w:val="none" w:sz="0" w:space="0" w:color="auto"/>
        <w:bottom w:val="none" w:sz="0" w:space="0" w:color="auto"/>
        <w:right w:val="none" w:sz="0" w:space="0" w:color="auto"/>
      </w:divBdr>
    </w:div>
    <w:div w:id="650059300">
      <w:bodyDiv w:val="1"/>
      <w:marLeft w:val="0"/>
      <w:marRight w:val="0"/>
      <w:marTop w:val="0"/>
      <w:marBottom w:val="0"/>
      <w:divBdr>
        <w:top w:val="none" w:sz="0" w:space="0" w:color="auto"/>
        <w:left w:val="none" w:sz="0" w:space="0" w:color="auto"/>
        <w:bottom w:val="none" w:sz="0" w:space="0" w:color="auto"/>
        <w:right w:val="none" w:sz="0" w:space="0" w:color="auto"/>
      </w:divBdr>
    </w:div>
    <w:div w:id="963803863">
      <w:bodyDiv w:val="1"/>
      <w:marLeft w:val="0"/>
      <w:marRight w:val="0"/>
      <w:marTop w:val="0"/>
      <w:marBottom w:val="0"/>
      <w:divBdr>
        <w:top w:val="none" w:sz="0" w:space="0" w:color="auto"/>
        <w:left w:val="none" w:sz="0" w:space="0" w:color="auto"/>
        <w:bottom w:val="none" w:sz="0" w:space="0" w:color="auto"/>
        <w:right w:val="none" w:sz="0" w:space="0" w:color="auto"/>
      </w:divBdr>
    </w:div>
    <w:div w:id="1468937056">
      <w:bodyDiv w:val="1"/>
      <w:marLeft w:val="0"/>
      <w:marRight w:val="0"/>
      <w:marTop w:val="0"/>
      <w:marBottom w:val="0"/>
      <w:divBdr>
        <w:top w:val="none" w:sz="0" w:space="0" w:color="auto"/>
        <w:left w:val="none" w:sz="0" w:space="0" w:color="auto"/>
        <w:bottom w:val="none" w:sz="0" w:space="0" w:color="auto"/>
        <w:right w:val="none" w:sz="0" w:space="0" w:color="auto"/>
      </w:divBdr>
    </w:div>
    <w:div w:id="1821533495">
      <w:bodyDiv w:val="1"/>
      <w:marLeft w:val="0"/>
      <w:marRight w:val="0"/>
      <w:marTop w:val="0"/>
      <w:marBottom w:val="0"/>
      <w:divBdr>
        <w:top w:val="none" w:sz="0" w:space="0" w:color="auto"/>
        <w:left w:val="none" w:sz="0" w:space="0" w:color="auto"/>
        <w:bottom w:val="none" w:sz="0" w:space="0" w:color="auto"/>
        <w:right w:val="none" w:sz="0" w:space="0" w:color="auto"/>
      </w:divBdr>
    </w:div>
    <w:div w:id="1822768221">
      <w:bodyDiv w:val="1"/>
      <w:marLeft w:val="0"/>
      <w:marRight w:val="0"/>
      <w:marTop w:val="0"/>
      <w:marBottom w:val="0"/>
      <w:divBdr>
        <w:top w:val="none" w:sz="0" w:space="0" w:color="auto"/>
        <w:left w:val="none" w:sz="0" w:space="0" w:color="auto"/>
        <w:bottom w:val="none" w:sz="0" w:space="0" w:color="auto"/>
        <w:right w:val="none" w:sz="0" w:space="0" w:color="auto"/>
      </w:divBdr>
    </w:div>
    <w:div w:id="2087609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rticip.gov.md/ro/document/stages/*/160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5</Pages>
  <Words>2263</Words>
  <Characters>12903</Characters>
  <Application>Microsoft Office Word</Application>
  <DocSecurity>0</DocSecurity>
  <Lines>107</Lines>
  <Paragraphs>30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Serviciul Programe Nationale</cp:lastModifiedBy>
  <cp:revision>11</cp:revision>
  <cp:lastPrinted>2024-09-28T02:42:00Z</cp:lastPrinted>
  <dcterms:created xsi:type="dcterms:W3CDTF">2025-12-17T11:24:00Z</dcterms:created>
  <dcterms:modified xsi:type="dcterms:W3CDTF">2026-03-13T09:04:00Z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KSOProductBuildVer">
    <vt:lpwstr>1033-6.12.2.8699</vt:lpwstr>
  </property>
  <property fmtid="{D5CDD505-2E9C-101B-9397-08002B2CF9AE}" pid="5" name="ICV">
    <vt:lpwstr>B1B26C17ED8EFA7A896A51684F5D185A_43</vt:lpwstr>
  </property>
</Properties>
</file>