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E47DA" w14:textId="77777777" w:rsidR="004B29F6" w:rsidRPr="005E78AB" w:rsidRDefault="004B29F6" w:rsidP="004B29F6">
      <w:pPr>
        <w:jc w:val="center"/>
        <w:rPr>
          <w:b/>
          <w:bCs/>
        </w:rPr>
      </w:pPr>
      <w:bookmarkStart w:id="0" w:name="_Hlk208313482"/>
      <w:r w:rsidRPr="005E78AB">
        <w:rPr>
          <w:b/>
          <w:bCs/>
        </w:rPr>
        <w:t xml:space="preserve">Sinteza </w:t>
      </w:r>
      <w:proofErr w:type="spellStart"/>
      <w:r w:rsidRPr="005E78AB">
        <w:rPr>
          <w:b/>
          <w:bCs/>
        </w:rPr>
        <w:t>obiecţiilor</w:t>
      </w:r>
      <w:proofErr w:type="spellEnd"/>
      <w:r w:rsidRPr="005E78AB">
        <w:rPr>
          <w:b/>
          <w:bCs/>
        </w:rPr>
        <w:t xml:space="preserve"> şi propunerilor (recomandărilor)</w:t>
      </w:r>
    </w:p>
    <w:p w14:paraId="07B830B3" w14:textId="77777777" w:rsidR="007E2300" w:rsidRPr="007E2300" w:rsidRDefault="004B29F6" w:rsidP="007E2300">
      <w:pPr>
        <w:jc w:val="center"/>
        <w:rPr>
          <w:b/>
          <w:bCs/>
        </w:rPr>
      </w:pPr>
      <w:r w:rsidRPr="005E78AB">
        <w:rPr>
          <w:b/>
          <w:bCs/>
        </w:rPr>
        <w:t xml:space="preserve">la </w:t>
      </w:r>
      <w:r w:rsidR="007E2300" w:rsidRPr="007E2300">
        <w:rPr>
          <w:b/>
          <w:bCs/>
        </w:rPr>
        <w:t>proiectul hotărârii Guvernului</w:t>
      </w:r>
    </w:p>
    <w:p w14:paraId="0DED4B6D" w14:textId="77777777" w:rsidR="006060C0" w:rsidRPr="006060C0" w:rsidRDefault="006060C0" w:rsidP="006060C0">
      <w:pPr>
        <w:jc w:val="center"/>
        <w:rPr>
          <w:b/>
          <w:bCs/>
        </w:rPr>
      </w:pPr>
      <w:r w:rsidRPr="006060C0">
        <w:rPr>
          <w:b/>
          <w:bCs/>
        </w:rPr>
        <w:t>cu privire la stabilirea cuantumului anual de alcool etilic</w:t>
      </w:r>
    </w:p>
    <w:p w14:paraId="24948FBB" w14:textId="63733E55" w:rsidR="004B29F6" w:rsidRPr="005E78AB" w:rsidRDefault="006060C0" w:rsidP="006060C0">
      <w:pPr>
        <w:jc w:val="center"/>
      </w:pPr>
      <w:r w:rsidRPr="006060C0">
        <w:rPr>
          <w:b/>
          <w:bCs/>
        </w:rPr>
        <w:t>nedenaturat destinat producerii farmaceutice şi utilizării în medicină pentru anul 2026</w:t>
      </w:r>
    </w:p>
    <w:tbl>
      <w:tblPr>
        <w:tblStyle w:val="4"/>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268"/>
        <w:gridCol w:w="567"/>
        <w:gridCol w:w="6388"/>
        <w:gridCol w:w="5094"/>
      </w:tblGrid>
      <w:tr w:rsidR="00A04093" w:rsidRPr="005E78AB" w14:paraId="692B8149" w14:textId="77777777" w:rsidTr="00C612E3">
        <w:trPr>
          <w:trHeight w:val="1270"/>
          <w:jc w:val="center"/>
        </w:trPr>
        <w:tc>
          <w:tcPr>
            <w:tcW w:w="704" w:type="dxa"/>
            <w:vAlign w:val="center"/>
          </w:tcPr>
          <w:p w14:paraId="4537C036" w14:textId="6056ABD2" w:rsidR="00A04093" w:rsidRPr="005E78AB" w:rsidRDefault="00A04093" w:rsidP="00A04093">
            <w:pPr>
              <w:jc w:val="center"/>
              <w:rPr>
                <w:b/>
                <w:lang w:val="ro-RO"/>
              </w:rPr>
            </w:pPr>
            <w:r w:rsidRPr="005E78AB">
              <w:rPr>
                <w:b/>
                <w:lang w:val="ro-RO"/>
              </w:rPr>
              <w:t>N</w:t>
            </w:r>
            <w:r w:rsidR="00526F27" w:rsidRPr="005E78AB">
              <w:rPr>
                <w:b/>
                <w:lang w:val="ro-RO"/>
              </w:rPr>
              <w:t>r</w:t>
            </w:r>
            <w:r w:rsidRPr="005E78AB">
              <w:rPr>
                <w:b/>
                <w:lang w:val="ro-RO"/>
              </w:rPr>
              <w:t>.</w:t>
            </w:r>
          </w:p>
          <w:p w14:paraId="463EF1DD" w14:textId="06D5A087" w:rsidR="00A04093" w:rsidRPr="005E78AB" w:rsidRDefault="00A04093" w:rsidP="00A04093">
            <w:pPr>
              <w:rPr>
                <w:b/>
                <w:bCs/>
                <w:lang w:val="ro-RO"/>
              </w:rPr>
            </w:pPr>
            <w:r w:rsidRPr="005E78AB">
              <w:rPr>
                <w:b/>
                <w:lang w:val="ro-RO"/>
              </w:rPr>
              <w:t>d/o</w:t>
            </w:r>
          </w:p>
        </w:tc>
        <w:tc>
          <w:tcPr>
            <w:tcW w:w="2268" w:type="dxa"/>
            <w:vAlign w:val="center"/>
          </w:tcPr>
          <w:p w14:paraId="77D1923C" w14:textId="4C7C0467" w:rsidR="00A04093" w:rsidRPr="005E78AB" w:rsidRDefault="00A04093" w:rsidP="00A04093">
            <w:pPr>
              <w:rPr>
                <w:b/>
                <w:bCs/>
                <w:lang w:val="ro-RO"/>
              </w:rPr>
            </w:pPr>
            <w:r w:rsidRPr="005E78AB">
              <w:rPr>
                <w:b/>
                <w:lang w:val="ro-RO"/>
              </w:rPr>
              <w:t>Participantul la avizare/(expertizare) consultare publică</w:t>
            </w:r>
          </w:p>
        </w:tc>
        <w:tc>
          <w:tcPr>
            <w:tcW w:w="567" w:type="dxa"/>
          </w:tcPr>
          <w:p w14:paraId="3DE3F7AA" w14:textId="77777777" w:rsidR="00A04093" w:rsidRPr="005E78AB" w:rsidRDefault="00A04093" w:rsidP="00A04093">
            <w:pPr>
              <w:jc w:val="both"/>
              <w:rPr>
                <w:lang w:val="ro-RO"/>
              </w:rPr>
            </w:pPr>
          </w:p>
        </w:tc>
        <w:tc>
          <w:tcPr>
            <w:tcW w:w="6388" w:type="dxa"/>
            <w:tcBorders>
              <w:bottom w:val="single" w:sz="4" w:space="0" w:color="000000"/>
            </w:tcBorders>
          </w:tcPr>
          <w:p w14:paraId="5F79C33B" w14:textId="77777777" w:rsidR="00A04093" w:rsidRPr="005E78AB" w:rsidRDefault="00A04093" w:rsidP="00A04093">
            <w:pPr>
              <w:jc w:val="center"/>
              <w:rPr>
                <w:b/>
                <w:lang w:val="ro-RO"/>
              </w:rPr>
            </w:pPr>
          </w:p>
          <w:p w14:paraId="77EC57B8" w14:textId="16869173" w:rsidR="00A04093" w:rsidRPr="005E78AB" w:rsidRDefault="00A04093" w:rsidP="00A04093">
            <w:pPr>
              <w:jc w:val="center"/>
              <w:rPr>
                <w:b/>
                <w:lang w:val="ro-RO"/>
              </w:rPr>
            </w:pPr>
            <w:r w:rsidRPr="005E78AB">
              <w:rPr>
                <w:b/>
                <w:lang w:val="ro-RO"/>
              </w:rPr>
              <w:t xml:space="preserve">Conţinutul </w:t>
            </w:r>
            <w:r w:rsidR="00E10022" w:rsidRPr="005E78AB">
              <w:rPr>
                <w:b/>
                <w:lang w:val="ro-RO"/>
              </w:rPr>
              <w:t>obiecției</w:t>
            </w:r>
            <w:r w:rsidRPr="005E78AB">
              <w:rPr>
                <w:b/>
                <w:lang w:val="ro-RO"/>
              </w:rPr>
              <w:t>/propunerii (recomandării)</w:t>
            </w:r>
          </w:p>
          <w:p w14:paraId="6DA115F0" w14:textId="77777777" w:rsidR="00A04093" w:rsidRPr="005E78AB" w:rsidRDefault="00A04093" w:rsidP="00A04093">
            <w:pPr>
              <w:ind w:firstLine="314"/>
              <w:jc w:val="both"/>
              <w:rPr>
                <w:lang w:val="ro-RO"/>
              </w:rPr>
            </w:pPr>
          </w:p>
        </w:tc>
        <w:tc>
          <w:tcPr>
            <w:tcW w:w="5094" w:type="dxa"/>
            <w:tcBorders>
              <w:bottom w:val="single" w:sz="4" w:space="0" w:color="000000"/>
            </w:tcBorders>
          </w:tcPr>
          <w:p w14:paraId="027F3ABA" w14:textId="77777777" w:rsidR="00A04093" w:rsidRPr="005E78AB" w:rsidRDefault="00A04093" w:rsidP="00A04093">
            <w:pPr>
              <w:jc w:val="center"/>
              <w:rPr>
                <w:b/>
                <w:lang w:val="ro-RO"/>
              </w:rPr>
            </w:pPr>
          </w:p>
          <w:p w14:paraId="57D38894" w14:textId="5D43862C" w:rsidR="00A04093" w:rsidRPr="005E78AB" w:rsidRDefault="00A04093" w:rsidP="00A04093">
            <w:pPr>
              <w:jc w:val="center"/>
              <w:rPr>
                <w:b/>
                <w:lang w:val="ro-RO"/>
              </w:rPr>
            </w:pPr>
            <w:r w:rsidRPr="005E78AB">
              <w:rPr>
                <w:b/>
                <w:lang w:val="ro-RO"/>
              </w:rPr>
              <w:t>Argumentarea asupra proiectului</w:t>
            </w:r>
          </w:p>
        </w:tc>
      </w:tr>
      <w:tr w:rsidR="004B29F6" w:rsidRPr="005E78AB" w14:paraId="0A1F4D3E" w14:textId="77777777" w:rsidTr="00C612E3">
        <w:trPr>
          <w:trHeight w:val="1270"/>
          <w:jc w:val="center"/>
        </w:trPr>
        <w:tc>
          <w:tcPr>
            <w:tcW w:w="704" w:type="dxa"/>
          </w:tcPr>
          <w:p w14:paraId="1FA3B4FB" w14:textId="77777777" w:rsidR="004B29F6" w:rsidRPr="005E78AB" w:rsidRDefault="004B29F6" w:rsidP="002975A1">
            <w:pPr>
              <w:jc w:val="center"/>
              <w:rPr>
                <w:b/>
                <w:bCs/>
                <w:lang w:val="ro-RO"/>
              </w:rPr>
            </w:pPr>
            <w:bookmarkStart w:id="1" w:name="_Hlk207288971"/>
            <w:r w:rsidRPr="005E78AB">
              <w:rPr>
                <w:b/>
                <w:bCs/>
                <w:lang w:val="ro-RO"/>
              </w:rPr>
              <w:t>1.</w:t>
            </w:r>
          </w:p>
        </w:tc>
        <w:tc>
          <w:tcPr>
            <w:tcW w:w="2268" w:type="dxa"/>
          </w:tcPr>
          <w:p w14:paraId="34A8372E" w14:textId="1B2070CD" w:rsidR="006060C0" w:rsidRPr="006060C0" w:rsidRDefault="006060C0" w:rsidP="006060C0">
            <w:pPr>
              <w:jc w:val="center"/>
              <w:rPr>
                <w:b/>
                <w:bCs/>
                <w:lang w:val="en-US"/>
              </w:rPr>
            </w:pPr>
            <w:r w:rsidRPr="006060C0">
              <w:rPr>
                <w:b/>
                <w:bCs/>
                <w:lang w:val="en-US"/>
              </w:rPr>
              <w:t>MINISTERUL</w:t>
            </w:r>
          </w:p>
          <w:p w14:paraId="3459AD6A" w14:textId="46941A26" w:rsidR="006060C0" w:rsidRPr="006060C0" w:rsidRDefault="006060C0" w:rsidP="006060C0">
            <w:pPr>
              <w:jc w:val="center"/>
              <w:rPr>
                <w:b/>
                <w:bCs/>
                <w:lang w:val="en-US"/>
              </w:rPr>
            </w:pPr>
            <w:r w:rsidRPr="006060C0">
              <w:rPr>
                <w:b/>
                <w:bCs/>
                <w:lang w:val="en-US"/>
              </w:rPr>
              <w:t>AGRICULTURII</w:t>
            </w:r>
          </w:p>
          <w:p w14:paraId="6F5E7CD8" w14:textId="4552F8D2" w:rsidR="006060C0" w:rsidRPr="006060C0" w:rsidRDefault="006060C0" w:rsidP="006060C0">
            <w:pPr>
              <w:jc w:val="center"/>
              <w:rPr>
                <w:b/>
                <w:bCs/>
                <w:lang w:val="en-US"/>
              </w:rPr>
            </w:pPr>
            <w:r w:rsidRPr="006060C0">
              <w:rPr>
                <w:b/>
                <w:bCs/>
                <w:lang w:val="en-US"/>
              </w:rPr>
              <w:t>ȘI INDUSTRIEI ALIMENTARE</w:t>
            </w:r>
          </w:p>
          <w:p w14:paraId="3EEB57DD" w14:textId="3ABC0E0E" w:rsidR="006060C0" w:rsidRPr="006060C0" w:rsidRDefault="006060C0" w:rsidP="006060C0">
            <w:pPr>
              <w:jc w:val="center"/>
              <w:rPr>
                <w:b/>
                <w:bCs/>
                <w:lang w:val="ro-RO"/>
              </w:rPr>
            </w:pPr>
            <w:r w:rsidRPr="006060C0">
              <w:rPr>
                <w:b/>
                <w:bCs/>
                <w:lang w:val="ro-RO"/>
              </w:rPr>
              <w:t>AL REPUBLICII MOLDOVA</w:t>
            </w:r>
          </w:p>
          <w:p w14:paraId="589BA16F" w14:textId="07598602" w:rsidR="004B29F6" w:rsidRPr="006060C0" w:rsidRDefault="006060C0" w:rsidP="006060C0">
            <w:pPr>
              <w:jc w:val="center"/>
              <w:rPr>
                <w:lang w:val="ro-RO"/>
              </w:rPr>
            </w:pPr>
            <w:r w:rsidRPr="006060C0">
              <w:rPr>
                <w:b/>
                <w:bCs/>
                <w:lang w:val="ro-RO"/>
              </w:rPr>
              <w:t xml:space="preserve"> </w:t>
            </w:r>
            <w:r w:rsidRPr="006060C0">
              <w:rPr>
                <w:lang w:val="ro-RO"/>
              </w:rPr>
              <w:t>Nr. 20266PHG-328 din 10.02.2026</w:t>
            </w:r>
          </w:p>
        </w:tc>
        <w:tc>
          <w:tcPr>
            <w:tcW w:w="567" w:type="dxa"/>
          </w:tcPr>
          <w:p w14:paraId="658D006E" w14:textId="77777777" w:rsidR="004B29F6" w:rsidRPr="005E78AB" w:rsidRDefault="004B29F6" w:rsidP="009E72F3">
            <w:pPr>
              <w:jc w:val="both"/>
              <w:rPr>
                <w:lang w:val="ro-RO"/>
              </w:rPr>
            </w:pPr>
            <w:r w:rsidRPr="005E78AB">
              <w:rPr>
                <w:lang w:val="ro-RO"/>
              </w:rPr>
              <w:t>1.</w:t>
            </w:r>
          </w:p>
        </w:tc>
        <w:tc>
          <w:tcPr>
            <w:tcW w:w="6388" w:type="dxa"/>
            <w:tcBorders>
              <w:bottom w:val="single" w:sz="4" w:space="0" w:color="000000"/>
            </w:tcBorders>
          </w:tcPr>
          <w:p w14:paraId="4F3966B3" w14:textId="429C8A66" w:rsidR="006060C0" w:rsidRPr="006060C0" w:rsidRDefault="006060C0" w:rsidP="006060C0">
            <w:pPr>
              <w:jc w:val="both"/>
              <w:rPr>
                <w:bCs/>
                <w:lang w:val="ro-RO"/>
              </w:rPr>
            </w:pPr>
            <w:r w:rsidRPr="006060C0">
              <w:rPr>
                <w:bCs/>
                <w:lang w:val="ro-RO"/>
              </w:rPr>
              <w:t xml:space="preserve">În contextul examinării proiectului hotărârii Guvernului cu privire la stabilirea cuantumului anual de alcool etilic nedenaturat destinat producerii farmaceutice și utilizării în medicină pentru anul 2026 </w:t>
            </w:r>
            <w:r w:rsidRPr="006060C0">
              <w:rPr>
                <w:b/>
                <w:bCs/>
                <w:lang w:val="ro-RO"/>
              </w:rPr>
              <w:t>(număr unic 43/MS/2026)</w:t>
            </w:r>
            <w:r w:rsidRPr="006060C0">
              <w:rPr>
                <w:bCs/>
                <w:lang w:val="ro-RO"/>
              </w:rPr>
              <w:t xml:space="preserve">, Vă comunicăm următoarele. </w:t>
            </w:r>
          </w:p>
          <w:p w14:paraId="6825B8D7" w14:textId="77777777" w:rsidR="006060C0" w:rsidRPr="006060C0" w:rsidRDefault="006060C0" w:rsidP="006060C0">
            <w:pPr>
              <w:jc w:val="both"/>
              <w:rPr>
                <w:bCs/>
                <w:lang w:val="en-US"/>
              </w:rPr>
            </w:pPr>
            <w:r w:rsidRPr="006060C0">
              <w:rPr>
                <w:b/>
                <w:bCs/>
                <w:lang w:val="en-US"/>
              </w:rPr>
              <w:t xml:space="preserve">1) Obiecţii </w:t>
            </w:r>
            <w:proofErr w:type="spellStart"/>
            <w:r w:rsidRPr="006060C0">
              <w:rPr>
                <w:b/>
                <w:bCs/>
                <w:lang w:val="en-US"/>
              </w:rPr>
              <w:t>argumentate</w:t>
            </w:r>
            <w:proofErr w:type="spellEnd"/>
            <w:r w:rsidRPr="006060C0">
              <w:rPr>
                <w:b/>
                <w:bCs/>
                <w:lang w:val="en-US"/>
              </w:rPr>
              <w:t xml:space="preserve"> şi </w:t>
            </w:r>
            <w:proofErr w:type="spellStart"/>
            <w:r w:rsidRPr="006060C0">
              <w:rPr>
                <w:b/>
                <w:bCs/>
                <w:lang w:val="en-US"/>
              </w:rPr>
              <w:t>explicite</w:t>
            </w:r>
            <w:proofErr w:type="spellEnd"/>
            <w:r w:rsidRPr="006060C0">
              <w:rPr>
                <w:b/>
                <w:bCs/>
                <w:lang w:val="en-US"/>
              </w:rPr>
              <w:t xml:space="preserve"> pe </w:t>
            </w:r>
            <w:proofErr w:type="spellStart"/>
            <w:r w:rsidRPr="006060C0">
              <w:rPr>
                <w:b/>
                <w:bCs/>
                <w:lang w:val="en-US"/>
              </w:rPr>
              <w:t>marginea</w:t>
            </w:r>
            <w:proofErr w:type="spellEnd"/>
            <w:r w:rsidRPr="006060C0">
              <w:rPr>
                <w:b/>
                <w:bCs/>
                <w:lang w:val="en-US"/>
              </w:rPr>
              <w:t xml:space="preserve"> </w:t>
            </w:r>
            <w:proofErr w:type="spellStart"/>
            <w:r w:rsidRPr="006060C0">
              <w:rPr>
                <w:b/>
                <w:bCs/>
                <w:lang w:val="en-US"/>
              </w:rPr>
              <w:t>cărora</w:t>
            </w:r>
            <w:proofErr w:type="spellEnd"/>
            <w:r w:rsidRPr="006060C0">
              <w:rPr>
                <w:b/>
                <w:bCs/>
                <w:lang w:val="en-US"/>
              </w:rPr>
              <w:t xml:space="preserve"> </w:t>
            </w:r>
            <w:proofErr w:type="spellStart"/>
            <w:r w:rsidRPr="006060C0">
              <w:rPr>
                <w:b/>
                <w:bCs/>
                <w:lang w:val="en-US"/>
              </w:rPr>
              <w:t>trebuie</w:t>
            </w:r>
            <w:proofErr w:type="spellEnd"/>
            <w:r w:rsidRPr="006060C0">
              <w:rPr>
                <w:b/>
                <w:bCs/>
                <w:lang w:val="en-US"/>
              </w:rPr>
              <w:t xml:space="preserve"> </w:t>
            </w:r>
            <w:proofErr w:type="spellStart"/>
            <w:r w:rsidRPr="006060C0">
              <w:rPr>
                <w:b/>
                <w:bCs/>
                <w:lang w:val="en-US"/>
              </w:rPr>
              <w:t>să</w:t>
            </w:r>
            <w:proofErr w:type="spellEnd"/>
            <w:r w:rsidRPr="006060C0">
              <w:rPr>
                <w:b/>
                <w:bCs/>
                <w:lang w:val="en-US"/>
              </w:rPr>
              <w:t xml:space="preserve"> se </w:t>
            </w:r>
            <w:proofErr w:type="spellStart"/>
            <w:r w:rsidRPr="006060C0">
              <w:rPr>
                <w:b/>
                <w:bCs/>
                <w:lang w:val="en-US"/>
              </w:rPr>
              <w:t>ajungă</w:t>
            </w:r>
            <w:proofErr w:type="spellEnd"/>
            <w:r w:rsidRPr="006060C0">
              <w:rPr>
                <w:b/>
                <w:bCs/>
                <w:lang w:val="en-US"/>
              </w:rPr>
              <w:t xml:space="preserve"> la un </w:t>
            </w:r>
            <w:proofErr w:type="spellStart"/>
            <w:r w:rsidRPr="006060C0">
              <w:rPr>
                <w:b/>
                <w:bCs/>
                <w:lang w:val="en-US"/>
              </w:rPr>
              <w:t>acord</w:t>
            </w:r>
            <w:proofErr w:type="spellEnd"/>
            <w:r w:rsidRPr="006060C0">
              <w:rPr>
                <w:b/>
                <w:bCs/>
                <w:lang w:val="en-US"/>
              </w:rPr>
              <w:t xml:space="preserve">: </w:t>
            </w:r>
          </w:p>
          <w:p w14:paraId="0A310BD1" w14:textId="77777777" w:rsidR="006060C0" w:rsidRPr="006060C0" w:rsidRDefault="006060C0" w:rsidP="006060C0">
            <w:pPr>
              <w:jc w:val="both"/>
              <w:rPr>
                <w:bCs/>
                <w:lang w:val="en-US"/>
              </w:rPr>
            </w:pPr>
            <w:r w:rsidRPr="006060C0">
              <w:rPr>
                <w:bCs/>
                <w:lang w:val="en-US"/>
              </w:rPr>
              <w:t xml:space="preserve">în </w:t>
            </w:r>
            <w:proofErr w:type="spellStart"/>
            <w:r w:rsidRPr="006060C0">
              <w:rPr>
                <w:bCs/>
                <w:lang w:val="en-US"/>
              </w:rPr>
              <w:t>textul</w:t>
            </w:r>
            <w:proofErr w:type="spellEnd"/>
            <w:r w:rsidRPr="006060C0">
              <w:rPr>
                <w:bCs/>
                <w:lang w:val="en-US"/>
              </w:rPr>
              <w:t xml:space="preserve"> </w:t>
            </w:r>
            <w:proofErr w:type="spellStart"/>
            <w:r w:rsidRPr="006060C0">
              <w:rPr>
                <w:bCs/>
                <w:lang w:val="en-US"/>
              </w:rPr>
              <w:t>proiectului</w:t>
            </w:r>
            <w:proofErr w:type="spellEnd"/>
            <w:r w:rsidRPr="006060C0">
              <w:rPr>
                <w:bCs/>
                <w:lang w:val="en-US"/>
              </w:rPr>
              <w:t xml:space="preserve"> </w:t>
            </w:r>
            <w:proofErr w:type="spellStart"/>
            <w:r w:rsidRPr="006060C0">
              <w:rPr>
                <w:bCs/>
                <w:lang w:val="en-US"/>
              </w:rPr>
              <w:t>Hotărârii</w:t>
            </w:r>
            <w:proofErr w:type="spellEnd"/>
            <w:r w:rsidRPr="006060C0">
              <w:rPr>
                <w:bCs/>
                <w:lang w:val="en-US"/>
              </w:rPr>
              <w:t xml:space="preserve">: </w:t>
            </w:r>
          </w:p>
          <w:p w14:paraId="6D566562" w14:textId="169F0022" w:rsidR="004B29F6" w:rsidRPr="00AD0D3E" w:rsidRDefault="006060C0" w:rsidP="006060C0">
            <w:pPr>
              <w:jc w:val="both"/>
              <w:rPr>
                <w:bCs/>
                <w:lang w:val="ro-RO"/>
              </w:rPr>
            </w:pPr>
            <w:r w:rsidRPr="006060C0">
              <w:rPr>
                <w:bCs/>
                <w:lang w:val="ro-RO"/>
              </w:rPr>
              <w:t xml:space="preserve">temeiul legal, de completat cu sintagma </w:t>
            </w:r>
            <w:r w:rsidRPr="006060C0">
              <w:rPr>
                <w:bCs/>
                <w:i/>
                <w:iCs/>
                <w:lang w:val="ro-RO"/>
              </w:rPr>
              <w:t xml:space="preserve">„cu modificările ulterioare” </w:t>
            </w:r>
            <w:r w:rsidRPr="006060C0">
              <w:rPr>
                <w:bCs/>
                <w:lang w:val="ro-RO"/>
              </w:rPr>
              <w:t>din motivul că din momentul republicării până în prezent Codul fiscal a suferit modificări.</w:t>
            </w:r>
          </w:p>
        </w:tc>
        <w:tc>
          <w:tcPr>
            <w:tcW w:w="5094" w:type="dxa"/>
            <w:tcBorders>
              <w:bottom w:val="single" w:sz="4" w:space="0" w:color="000000"/>
            </w:tcBorders>
          </w:tcPr>
          <w:p w14:paraId="7459BCCD" w14:textId="77777777" w:rsidR="004B29F6" w:rsidRDefault="006060C0" w:rsidP="006060C0">
            <w:pPr>
              <w:pStyle w:val="Default"/>
              <w:jc w:val="center"/>
              <w:rPr>
                <w:b/>
                <w:bCs/>
                <w:lang w:val="ro-RO"/>
              </w:rPr>
            </w:pPr>
            <w:r w:rsidRPr="006060C0">
              <w:rPr>
                <w:b/>
                <w:bCs/>
                <w:lang w:val="ro-RO"/>
              </w:rPr>
              <w:t>Se acceptă.</w:t>
            </w:r>
          </w:p>
          <w:p w14:paraId="184D77EE" w14:textId="77777777" w:rsidR="006060C0" w:rsidRDefault="00EA61AB" w:rsidP="00EA61AB">
            <w:pPr>
              <w:pStyle w:val="Default"/>
              <w:jc w:val="both"/>
              <w:rPr>
                <w:lang w:val="ro-RO"/>
              </w:rPr>
            </w:pPr>
            <w:r w:rsidRPr="00EA61AB">
              <w:rPr>
                <w:lang w:val="ro-RO"/>
              </w:rPr>
              <w:t>Temeiul legal a fost reformulat după cum urmează:</w:t>
            </w:r>
          </w:p>
          <w:p w14:paraId="1AEA3B05" w14:textId="77777777" w:rsidR="00EA61AB" w:rsidRDefault="00EA61AB" w:rsidP="00EA61AB">
            <w:pPr>
              <w:pStyle w:val="Default"/>
              <w:jc w:val="both"/>
              <w:rPr>
                <w:lang w:val="ro-RO"/>
              </w:rPr>
            </w:pPr>
          </w:p>
          <w:p w14:paraId="267C503F" w14:textId="1B9A07FC" w:rsidR="00EA61AB" w:rsidRPr="00EA61AB" w:rsidRDefault="00EA61AB" w:rsidP="00EA61AB">
            <w:pPr>
              <w:pStyle w:val="Default"/>
              <w:jc w:val="both"/>
              <w:rPr>
                <w:i/>
                <w:iCs/>
                <w:lang w:val="ro-RO"/>
              </w:rPr>
            </w:pPr>
            <w:r w:rsidRPr="00EA61AB">
              <w:rPr>
                <w:i/>
                <w:iCs/>
                <w:lang w:val="ro-RO"/>
              </w:rPr>
              <w:t>„În temeiul art. 96 lit. b) liniuța a doua şi al art. 124 alin.(15) din Codul fiscal nr. 1163/1997, cu modificările ulterioare (republicat în Monitorul Oficial al Republicii Moldova, ediție specială din 8 februarie 2007)”</w:t>
            </w:r>
          </w:p>
        </w:tc>
      </w:tr>
      <w:bookmarkEnd w:id="0"/>
      <w:bookmarkEnd w:id="1"/>
      <w:tr w:rsidR="00D765E6" w:rsidRPr="005E78AB" w14:paraId="1B934045" w14:textId="77777777" w:rsidTr="00C612E3">
        <w:trPr>
          <w:trHeight w:val="557"/>
          <w:jc w:val="center"/>
        </w:trPr>
        <w:tc>
          <w:tcPr>
            <w:tcW w:w="704" w:type="dxa"/>
            <w:tcBorders>
              <w:top w:val="single" w:sz="4" w:space="0" w:color="auto"/>
              <w:bottom w:val="single" w:sz="4" w:space="0" w:color="auto"/>
            </w:tcBorders>
          </w:tcPr>
          <w:p w14:paraId="35A23AF4" w14:textId="19A8DACF" w:rsidR="00D765E6" w:rsidRPr="002975A1" w:rsidRDefault="002975A1" w:rsidP="002975A1">
            <w:pPr>
              <w:widowControl w:val="0"/>
              <w:pBdr>
                <w:top w:val="nil"/>
                <w:left w:val="nil"/>
                <w:bottom w:val="nil"/>
                <w:right w:val="nil"/>
                <w:between w:val="nil"/>
              </w:pBdr>
              <w:jc w:val="center"/>
              <w:rPr>
                <w:b/>
                <w:bCs/>
                <w:lang w:val="en-US"/>
              </w:rPr>
            </w:pPr>
            <w:r w:rsidRPr="002975A1">
              <w:rPr>
                <w:b/>
                <w:bCs/>
                <w:lang w:val="en-US"/>
              </w:rPr>
              <w:t>2.</w:t>
            </w:r>
          </w:p>
        </w:tc>
        <w:tc>
          <w:tcPr>
            <w:tcW w:w="2268" w:type="dxa"/>
            <w:tcBorders>
              <w:top w:val="single" w:sz="4" w:space="0" w:color="auto"/>
              <w:bottom w:val="single" w:sz="4" w:space="0" w:color="auto"/>
            </w:tcBorders>
          </w:tcPr>
          <w:p w14:paraId="17D3B9CF" w14:textId="11BAF214" w:rsidR="006060C0" w:rsidRPr="006060C0" w:rsidRDefault="006060C0" w:rsidP="006060C0">
            <w:pPr>
              <w:jc w:val="center"/>
              <w:rPr>
                <w:b/>
                <w:bCs/>
                <w:lang w:val="ro-RO"/>
              </w:rPr>
            </w:pPr>
            <w:r w:rsidRPr="006060C0">
              <w:rPr>
                <w:b/>
                <w:bCs/>
                <w:lang w:val="ro-RO"/>
              </w:rPr>
              <w:t>MINISTERUL DEZVOLTĂRII ECONOMICE ȘI DIGITALIZĂRII AL REPUBLICII MOLDOVA</w:t>
            </w:r>
          </w:p>
          <w:p w14:paraId="2BBC8579" w14:textId="308BF71E" w:rsidR="006060C0" w:rsidRPr="006060C0" w:rsidRDefault="006060C0" w:rsidP="006060C0">
            <w:pPr>
              <w:jc w:val="center"/>
              <w:rPr>
                <w:lang w:val="en-US"/>
              </w:rPr>
            </w:pPr>
            <w:r w:rsidRPr="006060C0">
              <w:rPr>
                <w:lang w:val="ro-RO"/>
              </w:rPr>
              <w:t xml:space="preserve"> Nr.03-445 din 11.02.2026</w:t>
            </w:r>
          </w:p>
        </w:tc>
        <w:tc>
          <w:tcPr>
            <w:tcW w:w="567" w:type="dxa"/>
            <w:tcBorders>
              <w:top w:val="single" w:sz="4" w:space="0" w:color="auto"/>
            </w:tcBorders>
          </w:tcPr>
          <w:p w14:paraId="7A593CD5" w14:textId="0B091A7C" w:rsidR="00D765E6" w:rsidRDefault="006060C0" w:rsidP="00F517A1">
            <w:pPr>
              <w:jc w:val="both"/>
              <w:rPr>
                <w:lang w:val="en-US"/>
              </w:rPr>
            </w:pPr>
            <w:r>
              <w:rPr>
                <w:lang w:val="en-US"/>
              </w:rPr>
              <w:t>1.</w:t>
            </w:r>
          </w:p>
        </w:tc>
        <w:tc>
          <w:tcPr>
            <w:tcW w:w="6388" w:type="dxa"/>
            <w:tcBorders>
              <w:top w:val="single" w:sz="4" w:space="0" w:color="auto"/>
              <w:bottom w:val="single" w:sz="4" w:space="0" w:color="000000"/>
            </w:tcBorders>
          </w:tcPr>
          <w:p w14:paraId="4C7FBB54" w14:textId="438A39AF" w:rsidR="00D765E6" w:rsidRPr="00AD0D3E" w:rsidRDefault="006060C0" w:rsidP="006060C0">
            <w:pPr>
              <w:jc w:val="both"/>
              <w:rPr>
                <w:bCs/>
                <w:noProof/>
                <w:lang w:val="ro-MD"/>
              </w:rPr>
            </w:pPr>
            <w:r w:rsidRPr="006060C0">
              <w:rPr>
                <w:bCs/>
                <w:noProof/>
                <w:lang w:val="ro-RO"/>
              </w:rPr>
              <w:t xml:space="preserve"> Cu referire la proiectul de hotărâre cu privire la stabilirea cuantumului anual de alcool etilic nedenaturat destinat producerii farmaceutice şi utilizării în medicină pentru anul 2026 </w:t>
            </w:r>
            <w:r w:rsidRPr="006060C0">
              <w:rPr>
                <w:bCs/>
                <w:i/>
                <w:iCs/>
                <w:noProof/>
                <w:lang w:val="ro-RO"/>
              </w:rPr>
              <w:t xml:space="preserve">(număr unic 43/MS/2026), </w:t>
            </w:r>
            <w:r w:rsidRPr="006060C0">
              <w:rPr>
                <w:bCs/>
                <w:noProof/>
                <w:lang w:val="ro-RO"/>
              </w:rPr>
              <w:t>în limita competențelor funcționale, comunicăm lipsa de obiecții și propuneri.</w:t>
            </w:r>
          </w:p>
        </w:tc>
        <w:tc>
          <w:tcPr>
            <w:tcW w:w="5094" w:type="dxa"/>
            <w:tcBorders>
              <w:top w:val="single" w:sz="4" w:space="0" w:color="000000"/>
              <w:bottom w:val="single" w:sz="4" w:space="0" w:color="000000"/>
            </w:tcBorders>
          </w:tcPr>
          <w:p w14:paraId="5B425A68" w14:textId="0899BBEB" w:rsidR="00D765E6" w:rsidRPr="006060C0" w:rsidRDefault="006060C0" w:rsidP="006060C0">
            <w:pPr>
              <w:jc w:val="center"/>
              <w:rPr>
                <w:b/>
                <w:bCs/>
                <w:lang w:val="en-US"/>
              </w:rPr>
            </w:pPr>
            <w:r w:rsidRPr="006060C0">
              <w:rPr>
                <w:b/>
                <w:bCs/>
                <w:lang w:val="en-US"/>
              </w:rPr>
              <w:t xml:space="preserve">Am </w:t>
            </w:r>
            <w:proofErr w:type="spellStart"/>
            <w:r w:rsidRPr="006060C0">
              <w:rPr>
                <w:b/>
                <w:bCs/>
                <w:lang w:val="en-US"/>
              </w:rPr>
              <w:t>luat</w:t>
            </w:r>
            <w:proofErr w:type="spellEnd"/>
            <w:r w:rsidRPr="006060C0">
              <w:rPr>
                <w:b/>
                <w:bCs/>
                <w:lang w:val="en-US"/>
              </w:rPr>
              <w:t xml:space="preserve"> act.</w:t>
            </w:r>
          </w:p>
        </w:tc>
      </w:tr>
      <w:tr w:rsidR="00874B97" w:rsidRPr="005E78AB" w14:paraId="1A20759A" w14:textId="77777777" w:rsidTr="00C612E3">
        <w:trPr>
          <w:trHeight w:val="557"/>
          <w:jc w:val="center"/>
        </w:trPr>
        <w:tc>
          <w:tcPr>
            <w:tcW w:w="704" w:type="dxa"/>
            <w:tcBorders>
              <w:top w:val="single" w:sz="4" w:space="0" w:color="auto"/>
              <w:bottom w:val="single" w:sz="4" w:space="0" w:color="auto"/>
            </w:tcBorders>
            <w:vAlign w:val="center"/>
          </w:tcPr>
          <w:p w14:paraId="07AF81DE" w14:textId="28137C84" w:rsidR="00874B97" w:rsidRDefault="006060C0" w:rsidP="0089476F">
            <w:pPr>
              <w:widowControl w:val="0"/>
              <w:pBdr>
                <w:top w:val="nil"/>
                <w:left w:val="nil"/>
                <w:bottom w:val="nil"/>
                <w:right w:val="nil"/>
                <w:between w:val="nil"/>
              </w:pBdr>
              <w:rPr>
                <w:b/>
                <w:bCs/>
                <w:lang w:val="ro-MD"/>
              </w:rPr>
            </w:pPr>
            <w:r>
              <w:rPr>
                <w:b/>
                <w:bCs/>
                <w:lang w:val="ro-MD"/>
              </w:rPr>
              <w:t>3.</w:t>
            </w:r>
          </w:p>
        </w:tc>
        <w:tc>
          <w:tcPr>
            <w:tcW w:w="2268" w:type="dxa"/>
            <w:tcBorders>
              <w:top w:val="single" w:sz="4" w:space="0" w:color="auto"/>
              <w:bottom w:val="single" w:sz="4" w:space="0" w:color="auto"/>
            </w:tcBorders>
          </w:tcPr>
          <w:p w14:paraId="117D29C4" w14:textId="77777777" w:rsidR="006060C0" w:rsidRPr="006060C0" w:rsidRDefault="006060C0" w:rsidP="006060C0">
            <w:pPr>
              <w:widowControl w:val="0"/>
              <w:pBdr>
                <w:top w:val="nil"/>
                <w:left w:val="nil"/>
                <w:bottom w:val="nil"/>
                <w:right w:val="nil"/>
                <w:between w:val="nil"/>
              </w:pBdr>
              <w:jc w:val="center"/>
              <w:rPr>
                <w:b/>
                <w:bCs/>
                <w:lang w:val="ro-RO"/>
              </w:rPr>
            </w:pPr>
            <w:r w:rsidRPr="006060C0">
              <w:rPr>
                <w:b/>
                <w:bCs/>
                <w:lang w:val="ro-RO"/>
              </w:rPr>
              <w:t>MINISTERUL FINANŢELOR</w:t>
            </w:r>
          </w:p>
          <w:p w14:paraId="1386DB13" w14:textId="77777777" w:rsidR="00874B97" w:rsidRDefault="006060C0" w:rsidP="006060C0">
            <w:pPr>
              <w:widowControl w:val="0"/>
              <w:pBdr>
                <w:top w:val="nil"/>
                <w:left w:val="nil"/>
                <w:bottom w:val="nil"/>
                <w:right w:val="nil"/>
                <w:between w:val="nil"/>
              </w:pBdr>
              <w:jc w:val="center"/>
              <w:rPr>
                <w:b/>
                <w:bCs/>
                <w:lang w:val="ro-RO"/>
              </w:rPr>
            </w:pPr>
            <w:r w:rsidRPr="006060C0">
              <w:rPr>
                <w:b/>
                <w:bCs/>
                <w:lang w:val="ro-RO"/>
              </w:rPr>
              <w:t>AL REPUBLICII MOLDOVA</w:t>
            </w:r>
          </w:p>
          <w:p w14:paraId="7315E353" w14:textId="1DA89573" w:rsidR="006060C0" w:rsidRPr="006060C0" w:rsidRDefault="006060C0" w:rsidP="006060C0">
            <w:pPr>
              <w:widowControl w:val="0"/>
              <w:pBdr>
                <w:top w:val="nil"/>
                <w:left w:val="nil"/>
                <w:bottom w:val="nil"/>
                <w:right w:val="nil"/>
                <w:between w:val="nil"/>
              </w:pBdr>
              <w:jc w:val="center"/>
              <w:rPr>
                <w:lang w:val="ro-RO"/>
              </w:rPr>
            </w:pPr>
            <w:r w:rsidRPr="006060C0">
              <w:rPr>
                <w:lang w:val="ro-RO"/>
              </w:rPr>
              <w:t>Nr.</w:t>
            </w:r>
            <w:r w:rsidRPr="00C612E3">
              <w:rPr>
                <w:lang w:val="en-US"/>
              </w:rPr>
              <w:t xml:space="preserve"> </w:t>
            </w:r>
            <w:r w:rsidRPr="006060C0">
              <w:rPr>
                <w:lang w:val="ro-RO"/>
              </w:rPr>
              <w:t>15/1-06/20 din 09.02.2026</w:t>
            </w:r>
          </w:p>
        </w:tc>
        <w:tc>
          <w:tcPr>
            <w:tcW w:w="567" w:type="dxa"/>
            <w:tcBorders>
              <w:top w:val="single" w:sz="4" w:space="0" w:color="auto"/>
              <w:bottom w:val="single" w:sz="4" w:space="0" w:color="auto"/>
            </w:tcBorders>
          </w:tcPr>
          <w:p w14:paraId="29BECCC9" w14:textId="61940337" w:rsidR="00874B97" w:rsidRDefault="006060C0" w:rsidP="0089476F">
            <w:pPr>
              <w:jc w:val="both"/>
              <w:rPr>
                <w:lang w:val="ro-MD"/>
              </w:rPr>
            </w:pPr>
            <w:r>
              <w:rPr>
                <w:lang w:val="ro-MD"/>
              </w:rPr>
              <w:t>1.</w:t>
            </w:r>
          </w:p>
        </w:tc>
        <w:tc>
          <w:tcPr>
            <w:tcW w:w="6388" w:type="dxa"/>
            <w:tcBorders>
              <w:top w:val="single" w:sz="4" w:space="0" w:color="auto"/>
              <w:bottom w:val="single" w:sz="4" w:space="0" w:color="auto"/>
            </w:tcBorders>
          </w:tcPr>
          <w:p w14:paraId="58B521FD" w14:textId="77777777" w:rsidR="00874B97" w:rsidRDefault="006060C0" w:rsidP="006060C0">
            <w:pPr>
              <w:pStyle w:val="Default"/>
              <w:jc w:val="both"/>
              <w:rPr>
                <w:sz w:val="23"/>
                <w:szCs w:val="23"/>
                <w:lang w:val="ro-RO"/>
              </w:rPr>
            </w:pPr>
            <w:r w:rsidRPr="006060C0">
              <w:rPr>
                <w:sz w:val="23"/>
                <w:szCs w:val="23"/>
                <w:lang w:val="ro-RO"/>
              </w:rPr>
              <w:t xml:space="preserve"> Ministerul Finanțelor a examinat adresarea nr.DGPȘG-1813-18-69-548 din 26.01.2026 referitor la avizarea proiectului Hotărârii Guvernului cu privire la stabilirea cuantumului anual de alcool etilic nedenaturat destinat producerii farmaceutice și utilizării în medicină pentru anul 2026 (număr unic 43/MS/2026) și comunică lipsa obiecțiilor și propunerilor aferent acestuia.</w:t>
            </w:r>
          </w:p>
          <w:p w14:paraId="0376BF0E" w14:textId="77777777" w:rsidR="006C3811" w:rsidRDefault="006C3811" w:rsidP="006060C0">
            <w:pPr>
              <w:pStyle w:val="Default"/>
              <w:jc w:val="both"/>
              <w:rPr>
                <w:sz w:val="23"/>
                <w:szCs w:val="23"/>
                <w:lang w:val="ro-RO"/>
              </w:rPr>
            </w:pPr>
          </w:p>
          <w:p w14:paraId="07E98364" w14:textId="77777777" w:rsidR="006C3811" w:rsidRDefault="006C3811" w:rsidP="006060C0">
            <w:pPr>
              <w:pStyle w:val="Default"/>
              <w:jc w:val="both"/>
              <w:rPr>
                <w:sz w:val="23"/>
                <w:szCs w:val="23"/>
                <w:lang w:val="ro-RO"/>
              </w:rPr>
            </w:pPr>
          </w:p>
          <w:p w14:paraId="698DDB25" w14:textId="77777777" w:rsidR="006C3811" w:rsidRDefault="006C3811" w:rsidP="006060C0">
            <w:pPr>
              <w:pStyle w:val="Default"/>
              <w:jc w:val="both"/>
              <w:rPr>
                <w:sz w:val="23"/>
                <w:szCs w:val="23"/>
                <w:lang w:val="ro-RO"/>
              </w:rPr>
            </w:pPr>
          </w:p>
          <w:p w14:paraId="17C301AE" w14:textId="2FE689AE" w:rsidR="006C3811" w:rsidRPr="006060C0" w:rsidRDefault="006C3811" w:rsidP="006060C0">
            <w:pPr>
              <w:pStyle w:val="Default"/>
              <w:jc w:val="both"/>
              <w:rPr>
                <w:sz w:val="23"/>
                <w:szCs w:val="23"/>
                <w:lang w:val="ro-RO"/>
              </w:rPr>
            </w:pPr>
          </w:p>
        </w:tc>
        <w:tc>
          <w:tcPr>
            <w:tcW w:w="5094" w:type="dxa"/>
            <w:tcBorders>
              <w:top w:val="single" w:sz="4" w:space="0" w:color="000000"/>
              <w:bottom w:val="single" w:sz="4" w:space="0" w:color="000000"/>
            </w:tcBorders>
          </w:tcPr>
          <w:p w14:paraId="2F242EB4" w14:textId="5C61F385" w:rsidR="00874B97" w:rsidRPr="00D6499E" w:rsidRDefault="006060C0" w:rsidP="006060C0">
            <w:pPr>
              <w:jc w:val="center"/>
              <w:rPr>
                <w:lang w:val="ro-MD"/>
              </w:rPr>
            </w:pPr>
            <w:r w:rsidRPr="006060C0">
              <w:rPr>
                <w:b/>
                <w:bCs/>
                <w:lang w:val="en-US"/>
              </w:rPr>
              <w:t xml:space="preserve">Am </w:t>
            </w:r>
            <w:proofErr w:type="spellStart"/>
            <w:r w:rsidRPr="006060C0">
              <w:rPr>
                <w:b/>
                <w:bCs/>
                <w:lang w:val="en-US"/>
              </w:rPr>
              <w:t>luat</w:t>
            </w:r>
            <w:proofErr w:type="spellEnd"/>
            <w:r w:rsidRPr="006060C0">
              <w:rPr>
                <w:b/>
                <w:bCs/>
                <w:lang w:val="en-US"/>
              </w:rPr>
              <w:t xml:space="preserve"> act.</w:t>
            </w:r>
          </w:p>
        </w:tc>
      </w:tr>
      <w:tr w:rsidR="00C612E3" w:rsidRPr="005E78AB" w14:paraId="551B0E19" w14:textId="77777777" w:rsidTr="00C612E3">
        <w:trPr>
          <w:trHeight w:val="557"/>
          <w:jc w:val="center"/>
        </w:trPr>
        <w:tc>
          <w:tcPr>
            <w:tcW w:w="704" w:type="dxa"/>
            <w:tcBorders>
              <w:top w:val="single" w:sz="4" w:space="0" w:color="auto"/>
              <w:left w:val="single" w:sz="4" w:space="0" w:color="auto"/>
              <w:bottom w:val="single" w:sz="4" w:space="0" w:color="auto"/>
              <w:right w:val="nil"/>
            </w:tcBorders>
            <w:vAlign w:val="center"/>
          </w:tcPr>
          <w:p w14:paraId="40705FAB" w14:textId="77777777" w:rsidR="00C612E3" w:rsidRDefault="00C612E3" w:rsidP="007B217D">
            <w:pPr>
              <w:widowControl w:val="0"/>
              <w:pBdr>
                <w:top w:val="nil"/>
                <w:left w:val="nil"/>
                <w:bottom w:val="nil"/>
                <w:right w:val="nil"/>
                <w:between w:val="nil"/>
              </w:pBdr>
              <w:rPr>
                <w:b/>
                <w:bCs/>
                <w:lang w:val="ro-MD"/>
              </w:rPr>
            </w:pPr>
          </w:p>
        </w:tc>
        <w:tc>
          <w:tcPr>
            <w:tcW w:w="2268" w:type="dxa"/>
            <w:tcBorders>
              <w:top w:val="single" w:sz="4" w:space="0" w:color="auto"/>
              <w:left w:val="nil"/>
              <w:bottom w:val="single" w:sz="4" w:space="0" w:color="auto"/>
              <w:right w:val="nil"/>
            </w:tcBorders>
          </w:tcPr>
          <w:p w14:paraId="3212F458" w14:textId="77777777" w:rsidR="00C612E3" w:rsidRPr="006060C0" w:rsidRDefault="00C612E3" w:rsidP="00C612E3">
            <w:pPr>
              <w:widowControl w:val="0"/>
              <w:pBdr>
                <w:top w:val="nil"/>
                <w:bottom w:val="nil"/>
                <w:right w:val="nil"/>
                <w:between w:val="nil"/>
              </w:pBdr>
              <w:jc w:val="center"/>
              <w:rPr>
                <w:b/>
                <w:bCs/>
              </w:rPr>
            </w:pPr>
          </w:p>
        </w:tc>
        <w:tc>
          <w:tcPr>
            <w:tcW w:w="567" w:type="dxa"/>
            <w:tcBorders>
              <w:top w:val="single" w:sz="4" w:space="0" w:color="auto"/>
              <w:left w:val="nil"/>
              <w:right w:val="nil"/>
            </w:tcBorders>
          </w:tcPr>
          <w:p w14:paraId="1C34A9EA" w14:textId="77777777" w:rsidR="00C612E3" w:rsidRDefault="00C612E3" w:rsidP="007B217D">
            <w:pPr>
              <w:jc w:val="both"/>
              <w:rPr>
                <w:lang w:val="ro-MD"/>
              </w:rPr>
            </w:pPr>
          </w:p>
        </w:tc>
        <w:tc>
          <w:tcPr>
            <w:tcW w:w="6388" w:type="dxa"/>
            <w:tcBorders>
              <w:top w:val="single" w:sz="4" w:space="0" w:color="auto"/>
              <w:left w:val="nil"/>
              <w:bottom w:val="single" w:sz="4" w:space="0" w:color="000000"/>
              <w:right w:val="nil"/>
            </w:tcBorders>
          </w:tcPr>
          <w:p w14:paraId="2B673699" w14:textId="308433E1" w:rsidR="00C612E3" w:rsidRPr="006060C0" w:rsidRDefault="00C612E3" w:rsidP="00C612E3">
            <w:pPr>
              <w:pStyle w:val="Default"/>
              <w:jc w:val="center"/>
              <w:rPr>
                <w:sz w:val="23"/>
                <w:szCs w:val="23"/>
                <w:lang w:val="ro-RO"/>
              </w:rPr>
            </w:pPr>
            <w:proofErr w:type="spellStart"/>
            <w:r w:rsidRPr="00712746">
              <w:rPr>
                <w:b/>
                <w:bCs/>
                <w:sz w:val="30"/>
                <w:szCs w:val="30"/>
              </w:rPr>
              <w:t>Expertiz</w:t>
            </w:r>
            <w:r>
              <w:rPr>
                <w:b/>
                <w:bCs/>
                <w:sz w:val="30"/>
                <w:szCs w:val="30"/>
              </w:rPr>
              <w:t>a</w:t>
            </w:r>
            <w:proofErr w:type="spellEnd"/>
            <w:r w:rsidRPr="00712746">
              <w:rPr>
                <w:b/>
                <w:bCs/>
                <w:sz w:val="30"/>
                <w:szCs w:val="30"/>
              </w:rPr>
              <w:t xml:space="preserve"> juridică și </w:t>
            </w:r>
            <w:proofErr w:type="spellStart"/>
            <w:r w:rsidRPr="00712746">
              <w:rPr>
                <w:b/>
                <w:bCs/>
                <w:sz w:val="30"/>
                <w:szCs w:val="30"/>
              </w:rPr>
              <w:t>anticorupție</w:t>
            </w:r>
            <w:proofErr w:type="spellEnd"/>
          </w:p>
        </w:tc>
        <w:tc>
          <w:tcPr>
            <w:tcW w:w="5094" w:type="dxa"/>
            <w:tcBorders>
              <w:top w:val="single" w:sz="4" w:space="0" w:color="000000"/>
              <w:left w:val="nil"/>
              <w:bottom w:val="single" w:sz="4" w:space="0" w:color="000000"/>
            </w:tcBorders>
          </w:tcPr>
          <w:p w14:paraId="31A65516" w14:textId="77777777" w:rsidR="00C612E3" w:rsidRPr="006060C0" w:rsidRDefault="00C612E3" w:rsidP="007B217D">
            <w:pPr>
              <w:jc w:val="center"/>
              <w:rPr>
                <w:b/>
                <w:bCs/>
                <w:lang w:val="en-US"/>
              </w:rPr>
            </w:pPr>
          </w:p>
        </w:tc>
      </w:tr>
      <w:tr w:rsidR="00C612E3" w:rsidRPr="005E78AB" w14:paraId="5C899207" w14:textId="77777777" w:rsidTr="00C612E3">
        <w:trPr>
          <w:trHeight w:val="557"/>
          <w:jc w:val="center"/>
        </w:trPr>
        <w:tc>
          <w:tcPr>
            <w:tcW w:w="704" w:type="dxa"/>
            <w:tcBorders>
              <w:top w:val="single" w:sz="4" w:space="0" w:color="auto"/>
              <w:bottom w:val="single" w:sz="4" w:space="0" w:color="auto"/>
            </w:tcBorders>
            <w:vAlign w:val="center"/>
          </w:tcPr>
          <w:p w14:paraId="09F8BE82" w14:textId="5E38E23B" w:rsidR="00C612E3" w:rsidRDefault="00C612E3" w:rsidP="007B217D">
            <w:pPr>
              <w:widowControl w:val="0"/>
              <w:pBdr>
                <w:top w:val="nil"/>
                <w:left w:val="nil"/>
                <w:bottom w:val="nil"/>
                <w:right w:val="nil"/>
                <w:between w:val="nil"/>
              </w:pBdr>
              <w:rPr>
                <w:b/>
                <w:bCs/>
                <w:lang w:val="ro-MD"/>
              </w:rPr>
            </w:pPr>
            <w:r>
              <w:rPr>
                <w:b/>
                <w:bCs/>
                <w:lang w:val="ro-MD"/>
              </w:rPr>
              <w:t>1.</w:t>
            </w:r>
          </w:p>
        </w:tc>
        <w:tc>
          <w:tcPr>
            <w:tcW w:w="2268" w:type="dxa"/>
            <w:tcBorders>
              <w:top w:val="single" w:sz="4" w:space="0" w:color="auto"/>
              <w:bottom w:val="single" w:sz="4" w:space="0" w:color="auto"/>
            </w:tcBorders>
          </w:tcPr>
          <w:p w14:paraId="3F9623FC" w14:textId="77777777" w:rsidR="00C612E3" w:rsidRPr="00C612E3" w:rsidRDefault="00C612E3" w:rsidP="00C612E3">
            <w:pPr>
              <w:widowControl w:val="0"/>
              <w:pBdr>
                <w:top w:val="nil"/>
                <w:left w:val="nil"/>
                <w:bottom w:val="nil"/>
                <w:right w:val="nil"/>
                <w:between w:val="nil"/>
              </w:pBdr>
              <w:jc w:val="center"/>
              <w:rPr>
                <w:b/>
                <w:bCs/>
                <w:lang w:val="ro-RO"/>
              </w:rPr>
            </w:pPr>
          </w:p>
          <w:p w14:paraId="7DEF55CE" w14:textId="16616C84" w:rsidR="00C612E3" w:rsidRPr="00C612E3" w:rsidRDefault="00C612E3" w:rsidP="00C612E3">
            <w:pPr>
              <w:widowControl w:val="0"/>
              <w:pBdr>
                <w:top w:val="nil"/>
                <w:left w:val="nil"/>
                <w:bottom w:val="nil"/>
                <w:right w:val="nil"/>
                <w:between w:val="nil"/>
              </w:pBdr>
              <w:jc w:val="center"/>
              <w:rPr>
                <w:b/>
                <w:bCs/>
                <w:lang w:val="ro-RO"/>
              </w:rPr>
            </w:pPr>
            <w:r w:rsidRPr="00C612E3">
              <w:rPr>
                <w:b/>
                <w:bCs/>
                <w:lang w:val="ro-RO"/>
              </w:rPr>
              <w:t xml:space="preserve"> </w:t>
            </w:r>
            <w:r w:rsidR="006C3811" w:rsidRPr="00C612E3">
              <w:rPr>
                <w:b/>
                <w:bCs/>
                <w:lang w:val="ro-RO"/>
              </w:rPr>
              <w:t xml:space="preserve">Ministerul </w:t>
            </w:r>
            <w:proofErr w:type="spellStart"/>
            <w:r w:rsidR="006C3811" w:rsidRPr="00C612E3">
              <w:rPr>
                <w:b/>
                <w:bCs/>
                <w:lang w:val="ro-RO"/>
              </w:rPr>
              <w:t>Justiţiei</w:t>
            </w:r>
            <w:proofErr w:type="spellEnd"/>
            <w:r w:rsidR="006C3811" w:rsidRPr="00C612E3">
              <w:rPr>
                <w:b/>
                <w:bCs/>
                <w:lang w:val="ro-RO"/>
              </w:rPr>
              <w:t xml:space="preserve"> </w:t>
            </w:r>
          </w:p>
          <w:p w14:paraId="4E6D3044" w14:textId="3AE4430C" w:rsidR="00C612E3" w:rsidRPr="00C612E3" w:rsidRDefault="006C3811" w:rsidP="00C612E3">
            <w:pPr>
              <w:widowControl w:val="0"/>
              <w:pBdr>
                <w:top w:val="nil"/>
                <w:left w:val="nil"/>
                <w:bottom w:val="nil"/>
                <w:right w:val="nil"/>
                <w:between w:val="nil"/>
              </w:pBdr>
              <w:jc w:val="center"/>
              <w:rPr>
                <w:b/>
                <w:bCs/>
                <w:lang w:val="ro-RO"/>
              </w:rPr>
            </w:pPr>
            <w:r>
              <w:rPr>
                <w:b/>
                <w:bCs/>
                <w:lang w:val="ro-RO"/>
              </w:rPr>
              <w:t>a</w:t>
            </w:r>
            <w:r w:rsidRPr="00C612E3">
              <w:rPr>
                <w:b/>
                <w:bCs/>
                <w:lang w:val="ro-RO"/>
              </w:rPr>
              <w:t>l Republicii Moldova</w:t>
            </w:r>
          </w:p>
          <w:p w14:paraId="26B14A82" w14:textId="35EB8F29" w:rsidR="00C612E3" w:rsidRPr="00C612E3" w:rsidRDefault="00C612E3" w:rsidP="00C612E3">
            <w:pPr>
              <w:widowControl w:val="0"/>
              <w:pBdr>
                <w:top w:val="nil"/>
                <w:left w:val="nil"/>
                <w:bottom w:val="nil"/>
                <w:right w:val="nil"/>
                <w:between w:val="nil"/>
              </w:pBdr>
              <w:jc w:val="center"/>
              <w:rPr>
                <w:lang w:val="en-US"/>
              </w:rPr>
            </w:pPr>
            <w:r w:rsidRPr="00C612E3">
              <w:rPr>
                <w:lang w:val="ro-RO"/>
              </w:rPr>
              <w:t xml:space="preserve"> nr. 04/1-1885</w:t>
            </w:r>
            <w:r w:rsidRPr="00C612E3">
              <w:rPr>
                <w:lang w:val="ro-RO"/>
              </w:rPr>
              <w:t xml:space="preserve"> din 20.02.2026</w:t>
            </w:r>
          </w:p>
        </w:tc>
        <w:tc>
          <w:tcPr>
            <w:tcW w:w="567" w:type="dxa"/>
            <w:tcBorders>
              <w:top w:val="single" w:sz="4" w:space="0" w:color="auto"/>
            </w:tcBorders>
          </w:tcPr>
          <w:p w14:paraId="7A84296D" w14:textId="6332F20C" w:rsidR="00C612E3" w:rsidRDefault="00C612E3" w:rsidP="007B217D">
            <w:pPr>
              <w:jc w:val="both"/>
              <w:rPr>
                <w:lang w:val="ro-MD"/>
              </w:rPr>
            </w:pPr>
            <w:r>
              <w:rPr>
                <w:lang w:val="ro-MD"/>
              </w:rPr>
              <w:t>1.</w:t>
            </w:r>
          </w:p>
        </w:tc>
        <w:tc>
          <w:tcPr>
            <w:tcW w:w="6388" w:type="dxa"/>
            <w:tcBorders>
              <w:top w:val="single" w:sz="4" w:space="0" w:color="auto"/>
              <w:bottom w:val="single" w:sz="4" w:space="0" w:color="000000"/>
            </w:tcBorders>
          </w:tcPr>
          <w:p w14:paraId="3F9B9226" w14:textId="77777777" w:rsidR="00C612E3" w:rsidRPr="00C612E3" w:rsidRDefault="00C612E3" w:rsidP="00C612E3">
            <w:pPr>
              <w:pStyle w:val="Default"/>
              <w:jc w:val="both"/>
              <w:rPr>
                <w:sz w:val="23"/>
                <w:szCs w:val="23"/>
                <w:lang w:val="ro-RO"/>
              </w:rPr>
            </w:pPr>
            <w:r w:rsidRPr="00C612E3">
              <w:rPr>
                <w:sz w:val="23"/>
                <w:szCs w:val="23"/>
                <w:lang w:val="ro-RO"/>
              </w:rPr>
              <w:t>Cu referire la proiectul hotărârii Guvernului cu privire la stabilirea cuantumului anual de alcool etilic nedenaturat destinat producerii farmaceutice şi utilizării în medicină pentru anul 2026 (număr unic 43/MS/2026), comunicăm lipsa obiecțiilor de ordin conceptual.</w:t>
            </w:r>
          </w:p>
          <w:p w14:paraId="4E428ED3" w14:textId="77777777" w:rsidR="00C612E3" w:rsidRPr="00C612E3" w:rsidRDefault="00C612E3" w:rsidP="00C612E3">
            <w:pPr>
              <w:pStyle w:val="Default"/>
              <w:jc w:val="both"/>
              <w:rPr>
                <w:sz w:val="23"/>
                <w:szCs w:val="23"/>
                <w:lang w:val="ro-RO"/>
              </w:rPr>
            </w:pPr>
            <w:r w:rsidRPr="00C612E3">
              <w:rPr>
                <w:sz w:val="23"/>
                <w:szCs w:val="23"/>
                <w:lang w:val="ro-RO"/>
              </w:rPr>
              <w:t>Totodată, se atestă necesitatea revizuirii proiectului prin prisma regulilor de tehnică legislativă și anume:</w:t>
            </w:r>
          </w:p>
          <w:p w14:paraId="6A6E1861" w14:textId="77777777" w:rsidR="00C612E3" w:rsidRPr="00C612E3" w:rsidRDefault="00C612E3" w:rsidP="00C612E3">
            <w:pPr>
              <w:pStyle w:val="Default"/>
              <w:jc w:val="both"/>
              <w:rPr>
                <w:sz w:val="23"/>
                <w:szCs w:val="23"/>
                <w:lang w:val="ro-RO"/>
              </w:rPr>
            </w:pPr>
            <w:r w:rsidRPr="00C612E3">
              <w:rPr>
                <w:sz w:val="23"/>
                <w:szCs w:val="23"/>
                <w:lang w:val="ro-RO"/>
              </w:rPr>
              <w:t>În clauza de adoptare, textul „ , cu modificările ulterioare” se va poziționa după sursa de publicare a Codului fiscal nr. 1163/1997</w:t>
            </w:r>
          </w:p>
          <w:p w14:paraId="3B363063" w14:textId="1CAA3860" w:rsidR="00C612E3" w:rsidRPr="006060C0" w:rsidRDefault="00C612E3" w:rsidP="00C612E3">
            <w:pPr>
              <w:pStyle w:val="Default"/>
              <w:jc w:val="both"/>
              <w:rPr>
                <w:sz w:val="23"/>
                <w:szCs w:val="23"/>
                <w:lang w:val="ro-RO"/>
              </w:rPr>
            </w:pPr>
            <w:r w:rsidRPr="00C612E3">
              <w:rPr>
                <w:sz w:val="23"/>
                <w:szCs w:val="23"/>
                <w:lang w:val="ro-RO"/>
              </w:rPr>
              <w:t>La pct. 3, inițiala cuvântului „Hotărâre” se va scrie cu literă mică.</w:t>
            </w:r>
          </w:p>
        </w:tc>
        <w:tc>
          <w:tcPr>
            <w:tcW w:w="5094" w:type="dxa"/>
            <w:tcBorders>
              <w:top w:val="single" w:sz="4" w:space="0" w:color="000000"/>
              <w:bottom w:val="single" w:sz="4" w:space="0" w:color="000000"/>
            </w:tcBorders>
          </w:tcPr>
          <w:p w14:paraId="799E00CF" w14:textId="021CFBC7" w:rsidR="00C612E3" w:rsidRDefault="00C612E3" w:rsidP="006C3811">
            <w:pPr>
              <w:jc w:val="center"/>
              <w:rPr>
                <w:b/>
                <w:bCs/>
                <w:lang w:val="ro-MD"/>
              </w:rPr>
            </w:pPr>
            <w:r>
              <w:rPr>
                <w:b/>
                <w:bCs/>
                <w:lang w:val="en-US"/>
              </w:rPr>
              <w:t xml:space="preserve">Se </w:t>
            </w:r>
            <w:proofErr w:type="spellStart"/>
            <w:r>
              <w:rPr>
                <w:b/>
                <w:bCs/>
                <w:lang w:val="en-US"/>
              </w:rPr>
              <w:t>accepat</w:t>
            </w:r>
            <w:proofErr w:type="spellEnd"/>
            <w:r>
              <w:rPr>
                <w:b/>
                <w:bCs/>
                <w:lang w:val="ro-MD"/>
              </w:rPr>
              <w:t>ă.</w:t>
            </w:r>
          </w:p>
          <w:p w14:paraId="1C22DE7A" w14:textId="77777777" w:rsidR="006C3811" w:rsidRPr="00C612E3" w:rsidRDefault="006C3811" w:rsidP="006C3811">
            <w:pPr>
              <w:jc w:val="center"/>
              <w:rPr>
                <w:b/>
                <w:bCs/>
                <w:lang w:val="ro-MD"/>
              </w:rPr>
            </w:pPr>
          </w:p>
          <w:p w14:paraId="15EA62CD" w14:textId="77777777" w:rsidR="00C612E3" w:rsidRDefault="00C612E3" w:rsidP="00C612E3">
            <w:pPr>
              <w:jc w:val="both"/>
              <w:rPr>
                <w:b/>
                <w:bCs/>
                <w:lang w:val="ro-MD"/>
              </w:rPr>
            </w:pPr>
            <w:r w:rsidRPr="00C612E3">
              <w:rPr>
                <w:b/>
                <w:bCs/>
                <w:lang w:val="ro-RO"/>
              </w:rPr>
              <w:t xml:space="preserve"> </w:t>
            </w:r>
            <w:r w:rsidRPr="00C612E3">
              <w:rPr>
                <w:lang w:val="ro-RO"/>
              </w:rPr>
              <w:t>C</w:t>
            </w:r>
            <w:r w:rsidRPr="00C612E3">
              <w:rPr>
                <w:lang w:val="ro-RO"/>
              </w:rPr>
              <w:t>lauza de adoptare</w:t>
            </w:r>
            <w:r w:rsidRPr="00C612E3">
              <w:rPr>
                <w:lang w:val="ro-RO"/>
              </w:rPr>
              <w:t xml:space="preserve"> a fost </w:t>
            </w:r>
            <w:proofErr w:type="spellStart"/>
            <w:r w:rsidRPr="00C612E3">
              <w:rPr>
                <w:lang w:val="ro-RO"/>
              </w:rPr>
              <w:t>madificată</w:t>
            </w:r>
            <w:proofErr w:type="spellEnd"/>
            <w:r w:rsidRPr="00C612E3">
              <w:rPr>
                <w:lang w:val="ro-RO"/>
              </w:rPr>
              <w:t xml:space="preserve"> după cum </w:t>
            </w:r>
            <w:proofErr w:type="spellStart"/>
            <w:r w:rsidRPr="00C612E3">
              <w:rPr>
                <w:lang w:val="ro-RO"/>
              </w:rPr>
              <w:t>urmază</w:t>
            </w:r>
            <w:proofErr w:type="spellEnd"/>
            <w:r w:rsidRPr="00C612E3">
              <w:rPr>
                <w:lang w:val="ro-RO"/>
              </w:rPr>
              <w:t>:</w:t>
            </w:r>
          </w:p>
          <w:p w14:paraId="11D8F7ED" w14:textId="77777777" w:rsidR="00C612E3" w:rsidRPr="006C3811" w:rsidRDefault="00C612E3" w:rsidP="00C612E3">
            <w:pPr>
              <w:jc w:val="both"/>
              <w:rPr>
                <w:i/>
                <w:iCs/>
                <w:lang w:val="ro-MD"/>
              </w:rPr>
            </w:pPr>
            <w:r w:rsidRPr="006C3811">
              <w:rPr>
                <w:i/>
                <w:iCs/>
                <w:lang w:val="ro-MD"/>
              </w:rPr>
              <w:t>„</w:t>
            </w:r>
            <w:r w:rsidRPr="006C3811">
              <w:rPr>
                <w:i/>
                <w:iCs/>
                <w:lang w:val="ro-MD"/>
              </w:rPr>
              <w:t>În temeiul art. 96 lit. b) liniuța a doua şi al art. 124 alin.(15) din Codul fiscal nr. 1163/1997 (republicat în Monitorul Oficial al Republicii Moldova, ediție specială din 8 februarie 2007), cu modificările ulterioare.</w:t>
            </w:r>
            <w:r w:rsidRPr="006C3811">
              <w:rPr>
                <w:i/>
                <w:iCs/>
                <w:lang w:val="ro-MD"/>
              </w:rPr>
              <w:t>”</w:t>
            </w:r>
          </w:p>
          <w:p w14:paraId="28EB0E1F" w14:textId="26C5EB19" w:rsidR="00C612E3" w:rsidRPr="00C612E3" w:rsidRDefault="00C612E3" w:rsidP="00C612E3">
            <w:pPr>
              <w:jc w:val="both"/>
              <w:rPr>
                <w:b/>
                <w:bCs/>
                <w:lang w:val="ro-RO"/>
              </w:rPr>
            </w:pPr>
            <w:r>
              <w:rPr>
                <w:b/>
                <w:bCs/>
                <w:lang w:val="ro-MD"/>
              </w:rPr>
              <w:br/>
            </w:r>
            <w:r w:rsidRPr="00C612E3">
              <w:rPr>
                <w:lang w:val="ro-MD"/>
              </w:rPr>
              <w:t xml:space="preserve">Pct. 3 a fost reformulat după cum </w:t>
            </w:r>
            <w:proofErr w:type="spellStart"/>
            <w:r w:rsidRPr="00C612E3">
              <w:rPr>
                <w:lang w:val="ro-MD"/>
              </w:rPr>
              <w:t>urmază</w:t>
            </w:r>
            <w:proofErr w:type="spellEnd"/>
            <w:r w:rsidRPr="00C612E3">
              <w:rPr>
                <w:lang w:val="ro-MD"/>
              </w:rPr>
              <w:t>:</w:t>
            </w:r>
            <w:r w:rsidRPr="00C612E3">
              <w:rPr>
                <w:lang w:val="en-US"/>
              </w:rPr>
              <w:t xml:space="preserve"> </w:t>
            </w:r>
            <w:r w:rsidRPr="006C3811">
              <w:rPr>
                <w:i/>
                <w:iCs/>
                <w:lang w:val="en-US"/>
              </w:rPr>
              <w:t>„</w:t>
            </w:r>
            <w:r w:rsidRPr="006C3811">
              <w:rPr>
                <w:i/>
                <w:iCs/>
                <w:lang w:val="ro-MD"/>
              </w:rPr>
              <w:t>Prezenta hotărâre intră în vigoare la data publicării în Monitorul Oficial al Republicii Moldova.</w:t>
            </w:r>
            <w:r w:rsidRPr="006C3811">
              <w:rPr>
                <w:i/>
                <w:iCs/>
                <w:lang w:val="ro-MD"/>
              </w:rPr>
              <w:t>”.</w:t>
            </w:r>
          </w:p>
        </w:tc>
      </w:tr>
      <w:tr w:rsidR="00C612E3" w:rsidRPr="005E78AB" w14:paraId="7696F173" w14:textId="77777777" w:rsidTr="00C612E3">
        <w:trPr>
          <w:trHeight w:val="557"/>
          <w:jc w:val="center"/>
        </w:trPr>
        <w:tc>
          <w:tcPr>
            <w:tcW w:w="704" w:type="dxa"/>
            <w:tcBorders>
              <w:top w:val="single" w:sz="4" w:space="0" w:color="auto"/>
              <w:bottom w:val="single" w:sz="4" w:space="0" w:color="auto"/>
            </w:tcBorders>
            <w:vAlign w:val="center"/>
          </w:tcPr>
          <w:p w14:paraId="24B3FD6C" w14:textId="7F689653" w:rsidR="00C612E3" w:rsidRDefault="00C612E3" w:rsidP="007B217D">
            <w:pPr>
              <w:widowControl w:val="0"/>
              <w:pBdr>
                <w:top w:val="nil"/>
                <w:left w:val="nil"/>
                <w:bottom w:val="nil"/>
                <w:right w:val="nil"/>
                <w:between w:val="nil"/>
              </w:pBdr>
              <w:rPr>
                <w:b/>
                <w:bCs/>
                <w:lang w:val="ro-MD"/>
              </w:rPr>
            </w:pPr>
            <w:r>
              <w:rPr>
                <w:b/>
                <w:bCs/>
                <w:lang w:val="ro-MD"/>
              </w:rPr>
              <w:t>2.</w:t>
            </w:r>
          </w:p>
        </w:tc>
        <w:tc>
          <w:tcPr>
            <w:tcW w:w="2268" w:type="dxa"/>
            <w:tcBorders>
              <w:top w:val="single" w:sz="4" w:space="0" w:color="auto"/>
              <w:bottom w:val="single" w:sz="4" w:space="0" w:color="auto"/>
            </w:tcBorders>
          </w:tcPr>
          <w:p w14:paraId="2FF71C8E" w14:textId="0721D070" w:rsidR="00C612E3" w:rsidRPr="006C3811" w:rsidRDefault="006C3811" w:rsidP="007B217D">
            <w:pPr>
              <w:widowControl w:val="0"/>
              <w:pBdr>
                <w:top w:val="nil"/>
                <w:left w:val="nil"/>
                <w:bottom w:val="nil"/>
                <w:right w:val="nil"/>
                <w:between w:val="nil"/>
              </w:pBdr>
              <w:jc w:val="center"/>
              <w:rPr>
                <w:b/>
                <w:bCs/>
                <w:lang w:val="ro-RO"/>
              </w:rPr>
            </w:pPr>
            <w:r w:rsidRPr="006C3811">
              <w:rPr>
                <w:b/>
                <w:bCs/>
                <w:sz w:val="23"/>
                <w:szCs w:val="23"/>
                <w:lang w:val="ro-RO"/>
              </w:rPr>
              <w:t>Centrul Național Anticorupție</w:t>
            </w:r>
          </w:p>
          <w:p w14:paraId="280DDAC6" w14:textId="1AB51519" w:rsidR="00C612E3" w:rsidRPr="00C612E3" w:rsidRDefault="00C612E3" w:rsidP="007B217D">
            <w:pPr>
              <w:widowControl w:val="0"/>
              <w:pBdr>
                <w:top w:val="nil"/>
                <w:left w:val="nil"/>
                <w:bottom w:val="nil"/>
                <w:right w:val="nil"/>
                <w:between w:val="nil"/>
              </w:pBdr>
              <w:jc w:val="center"/>
              <w:rPr>
                <w:lang w:val="en-US"/>
              </w:rPr>
            </w:pPr>
            <w:r w:rsidRPr="00C612E3">
              <w:rPr>
                <w:lang w:val="ro-RO"/>
              </w:rPr>
              <w:t>Nr. EHG26/11203 din 20.02.2026</w:t>
            </w:r>
          </w:p>
        </w:tc>
        <w:tc>
          <w:tcPr>
            <w:tcW w:w="567" w:type="dxa"/>
            <w:tcBorders>
              <w:top w:val="single" w:sz="4" w:space="0" w:color="auto"/>
            </w:tcBorders>
          </w:tcPr>
          <w:p w14:paraId="368E9CCC" w14:textId="2AC5D9EA" w:rsidR="00C612E3" w:rsidRDefault="00C612E3" w:rsidP="007B217D">
            <w:pPr>
              <w:jc w:val="both"/>
              <w:rPr>
                <w:lang w:val="ro-MD"/>
              </w:rPr>
            </w:pPr>
            <w:r>
              <w:rPr>
                <w:lang w:val="ro-MD"/>
              </w:rPr>
              <w:t>2.</w:t>
            </w:r>
          </w:p>
        </w:tc>
        <w:tc>
          <w:tcPr>
            <w:tcW w:w="6388" w:type="dxa"/>
            <w:tcBorders>
              <w:top w:val="single" w:sz="4" w:space="0" w:color="auto"/>
              <w:bottom w:val="single" w:sz="4" w:space="0" w:color="000000"/>
            </w:tcBorders>
          </w:tcPr>
          <w:p w14:paraId="5A3C231C" w14:textId="77777777" w:rsidR="006C3811" w:rsidRPr="006C3811" w:rsidRDefault="006C3811" w:rsidP="006C3811">
            <w:pPr>
              <w:pStyle w:val="Default"/>
              <w:jc w:val="both"/>
              <w:rPr>
                <w:sz w:val="23"/>
                <w:szCs w:val="23"/>
              </w:rPr>
            </w:pPr>
            <w:r w:rsidRPr="006C3811">
              <w:rPr>
                <w:sz w:val="23"/>
                <w:szCs w:val="23"/>
              </w:rPr>
              <w:t xml:space="preserve">În </w:t>
            </w:r>
            <w:proofErr w:type="spellStart"/>
            <w:r w:rsidRPr="006C3811">
              <w:rPr>
                <w:sz w:val="23"/>
                <w:szCs w:val="23"/>
              </w:rPr>
              <w:t>procesul</w:t>
            </w:r>
            <w:proofErr w:type="spellEnd"/>
            <w:r w:rsidRPr="006C3811">
              <w:rPr>
                <w:sz w:val="23"/>
                <w:szCs w:val="23"/>
              </w:rPr>
              <w:t xml:space="preserve"> de </w:t>
            </w:r>
            <w:proofErr w:type="spellStart"/>
            <w:r w:rsidRPr="006C3811">
              <w:rPr>
                <w:sz w:val="23"/>
                <w:szCs w:val="23"/>
              </w:rPr>
              <w:t>promovare</w:t>
            </w:r>
            <w:proofErr w:type="spellEnd"/>
            <w:r w:rsidRPr="006C3811">
              <w:rPr>
                <w:sz w:val="23"/>
                <w:szCs w:val="23"/>
              </w:rPr>
              <w:t xml:space="preserve"> a </w:t>
            </w:r>
            <w:proofErr w:type="spellStart"/>
            <w:r w:rsidRPr="006C3811">
              <w:rPr>
                <w:sz w:val="23"/>
                <w:szCs w:val="23"/>
              </w:rPr>
              <w:t>proiectului</w:t>
            </w:r>
            <w:proofErr w:type="spellEnd"/>
            <w:r w:rsidRPr="006C3811">
              <w:rPr>
                <w:sz w:val="23"/>
                <w:szCs w:val="23"/>
              </w:rPr>
              <w:t xml:space="preserve">, au </w:t>
            </w:r>
            <w:proofErr w:type="spellStart"/>
            <w:r w:rsidRPr="006C3811">
              <w:rPr>
                <w:sz w:val="23"/>
                <w:szCs w:val="23"/>
              </w:rPr>
              <w:t>fost</w:t>
            </w:r>
            <w:proofErr w:type="spellEnd"/>
            <w:r w:rsidRPr="006C3811">
              <w:rPr>
                <w:sz w:val="23"/>
                <w:szCs w:val="23"/>
              </w:rPr>
              <w:t xml:space="preserve"> </w:t>
            </w:r>
            <w:proofErr w:type="spellStart"/>
            <w:r w:rsidRPr="006C3811">
              <w:rPr>
                <w:sz w:val="23"/>
                <w:szCs w:val="23"/>
              </w:rPr>
              <w:t>respectate</w:t>
            </w:r>
            <w:proofErr w:type="spellEnd"/>
            <w:r w:rsidRPr="006C3811">
              <w:rPr>
                <w:sz w:val="23"/>
                <w:szCs w:val="23"/>
              </w:rPr>
              <w:t xml:space="preserve"> </w:t>
            </w:r>
            <w:proofErr w:type="spellStart"/>
            <w:r w:rsidRPr="006C3811">
              <w:rPr>
                <w:sz w:val="23"/>
                <w:szCs w:val="23"/>
              </w:rPr>
              <w:t>rigorile</w:t>
            </w:r>
            <w:proofErr w:type="spellEnd"/>
            <w:r w:rsidRPr="006C3811">
              <w:rPr>
                <w:sz w:val="23"/>
                <w:szCs w:val="23"/>
              </w:rPr>
              <w:t xml:space="preserve"> de </w:t>
            </w:r>
            <w:proofErr w:type="spellStart"/>
            <w:r w:rsidRPr="006C3811">
              <w:rPr>
                <w:sz w:val="23"/>
                <w:szCs w:val="23"/>
              </w:rPr>
              <w:t>asigurare</w:t>
            </w:r>
            <w:proofErr w:type="spellEnd"/>
            <w:r w:rsidRPr="006C3811">
              <w:rPr>
                <w:sz w:val="23"/>
                <w:szCs w:val="23"/>
              </w:rPr>
              <w:t xml:space="preserve"> a </w:t>
            </w:r>
            <w:proofErr w:type="spellStart"/>
            <w:r w:rsidRPr="006C3811">
              <w:rPr>
                <w:sz w:val="23"/>
                <w:szCs w:val="23"/>
              </w:rPr>
              <w:t>transparenţei</w:t>
            </w:r>
            <w:proofErr w:type="spellEnd"/>
          </w:p>
          <w:p w14:paraId="501BC555" w14:textId="77777777" w:rsidR="006C3811" w:rsidRPr="006C3811" w:rsidRDefault="006C3811" w:rsidP="006C3811">
            <w:pPr>
              <w:pStyle w:val="Default"/>
              <w:jc w:val="both"/>
              <w:rPr>
                <w:sz w:val="23"/>
                <w:szCs w:val="23"/>
              </w:rPr>
            </w:pPr>
            <w:proofErr w:type="spellStart"/>
            <w:r w:rsidRPr="006C3811">
              <w:rPr>
                <w:sz w:val="23"/>
                <w:szCs w:val="23"/>
              </w:rPr>
              <w:t>decizionale</w:t>
            </w:r>
            <w:proofErr w:type="spellEnd"/>
            <w:r w:rsidRPr="006C3811">
              <w:rPr>
                <w:sz w:val="23"/>
                <w:szCs w:val="23"/>
              </w:rPr>
              <w:t xml:space="preserve"> </w:t>
            </w:r>
            <w:proofErr w:type="spellStart"/>
            <w:r w:rsidRPr="006C3811">
              <w:rPr>
                <w:sz w:val="23"/>
                <w:szCs w:val="23"/>
              </w:rPr>
              <w:t>statuate</w:t>
            </w:r>
            <w:proofErr w:type="spellEnd"/>
            <w:r w:rsidRPr="006C3811">
              <w:rPr>
                <w:sz w:val="23"/>
                <w:szCs w:val="23"/>
              </w:rPr>
              <w:t xml:space="preserve"> de </w:t>
            </w:r>
            <w:proofErr w:type="spellStart"/>
            <w:r w:rsidRPr="006C3811">
              <w:rPr>
                <w:sz w:val="23"/>
                <w:szCs w:val="23"/>
              </w:rPr>
              <w:t>prevederile</w:t>
            </w:r>
            <w:proofErr w:type="spellEnd"/>
            <w:r w:rsidRPr="006C3811">
              <w:rPr>
                <w:sz w:val="23"/>
                <w:szCs w:val="23"/>
              </w:rPr>
              <w:t xml:space="preserve"> art.8 </w:t>
            </w:r>
            <w:proofErr w:type="spellStart"/>
            <w:proofErr w:type="gramStart"/>
            <w:r w:rsidRPr="006C3811">
              <w:rPr>
                <w:sz w:val="23"/>
                <w:szCs w:val="23"/>
              </w:rPr>
              <w:t>lit.b</w:t>
            </w:r>
            <w:proofErr w:type="spellEnd"/>
            <w:proofErr w:type="gramEnd"/>
            <w:r w:rsidRPr="006C3811">
              <w:rPr>
                <w:sz w:val="23"/>
                <w:szCs w:val="23"/>
              </w:rPr>
              <w:t xml:space="preserve">) al </w:t>
            </w:r>
            <w:proofErr w:type="spellStart"/>
            <w:r w:rsidRPr="006C3811">
              <w:rPr>
                <w:sz w:val="23"/>
                <w:szCs w:val="23"/>
              </w:rPr>
              <w:t>Legii</w:t>
            </w:r>
            <w:proofErr w:type="spellEnd"/>
            <w:r w:rsidRPr="006C3811">
              <w:rPr>
                <w:sz w:val="23"/>
                <w:szCs w:val="23"/>
              </w:rPr>
              <w:t xml:space="preserve"> nr. 239-XVI din 13 </w:t>
            </w:r>
            <w:proofErr w:type="spellStart"/>
            <w:r w:rsidRPr="006C3811">
              <w:rPr>
                <w:sz w:val="23"/>
                <w:szCs w:val="23"/>
              </w:rPr>
              <w:t>noiembrie</w:t>
            </w:r>
            <w:proofErr w:type="spellEnd"/>
            <w:r w:rsidRPr="006C3811">
              <w:rPr>
                <w:sz w:val="23"/>
                <w:szCs w:val="23"/>
              </w:rPr>
              <w:t xml:space="preserve"> 2008 </w:t>
            </w:r>
            <w:proofErr w:type="spellStart"/>
            <w:r w:rsidRPr="006C3811">
              <w:rPr>
                <w:sz w:val="23"/>
                <w:szCs w:val="23"/>
              </w:rPr>
              <w:t>privind</w:t>
            </w:r>
            <w:proofErr w:type="spellEnd"/>
          </w:p>
          <w:p w14:paraId="78963C16" w14:textId="77777777" w:rsidR="00C612E3" w:rsidRDefault="006C3811" w:rsidP="006C3811">
            <w:pPr>
              <w:pStyle w:val="Default"/>
              <w:jc w:val="both"/>
              <w:rPr>
                <w:sz w:val="23"/>
                <w:szCs w:val="23"/>
                <w:lang w:val="ro-RO"/>
              </w:rPr>
            </w:pPr>
            <w:proofErr w:type="spellStart"/>
            <w:r w:rsidRPr="006C3811">
              <w:rPr>
                <w:sz w:val="23"/>
                <w:szCs w:val="23"/>
                <w:lang w:val="ro-RO"/>
              </w:rPr>
              <w:t>transparenţa</w:t>
            </w:r>
            <w:proofErr w:type="spellEnd"/>
            <w:r w:rsidRPr="006C3811">
              <w:rPr>
                <w:sz w:val="23"/>
                <w:szCs w:val="23"/>
                <w:lang w:val="ro-RO"/>
              </w:rPr>
              <w:t xml:space="preserve"> în procesul decizional.</w:t>
            </w:r>
          </w:p>
          <w:p w14:paraId="6B8F7EED" w14:textId="77777777" w:rsidR="006C3811" w:rsidRPr="006C3811" w:rsidRDefault="006C3811" w:rsidP="006C3811">
            <w:pPr>
              <w:pStyle w:val="Default"/>
              <w:jc w:val="both"/>
              <w:rPr>
                <w:sz w:val="23"/>
                <w:szCs w:val="23"/>
              </w:rPr>
            </w:pPr>
            <w:r w:rsidRPr="006C3811">
              <w:rPr>
                <w:sz w:val="23"/>
                <w:szCs w:val="23"/>
              </w:rPr>
              <w:t xml:space="preserve">Nota de </w:t>
            </w:r>
            <w:proofErr w:type="spellStart"/>
            <w:r w:rsidRPr="006C3811">
              <w:rPr>
                <w:sz w:val="23"/>
                <w:szCs w:val="23"/>
              </w:rPr>
              <w:t>fundamentare</w:t>
            </w:r>
            <w:proofErr w:type="spellEnd"/>
            <w:r w:rsidRPr="006C3811">
              <w:rPr>
                <w:sz w:val="23"/>
                <w:szCs w:val="23"/>
              </w:rPr>
              <w:t xml:space="preserve"> a </w:t>
            </w:r>
            <w:proofErr w:type="spellStart"/>
            <w:r w:rsidRPr="006C3811">
              <w:rPr>
                <w:sz w:val="23"/>
                <w:szCs w:val="23"/>
              </w:rPr>
              <w:t>proiectului</w:t>
            </w:r>
            <w:proofErr w:type="spellEnd"/>
            <w:r w:rsidRPr="006C3811">
              <w:rPr>
                <w:sz w:val="23"/>
                <w:szCs w:val="23"/>
              </w:rPr>
              <w:t xml:space="preserve"> a </w:t>
            </w:r>
            <w:proofErr w:type="spellStart"/>
            <w:r w:rsidRPr="006C3811">
              <w:rPr>
                <w:sz w:val="23"/>
                <w:szCs w:val="23"/>
              </w:rPr>
              <w:t>fost</w:t>
            </w:r>
            <w:proofErr w:type="spellEnd"/>
            <w:r w:rsidRPr="006C3811">
              <w:rPr>
                <w:sz w:val="23"/>
                <w:szCs w:val="23"/>
              </w:rPr>
              <w:t xml:space="preserve"> </w:t>
            </w:r>
            <w:proofErr w:type="spellStart"/>
            <w:r w:rsidRPr="006C3811">
              <w:rPr>
                <w:sz w:val="23"/>
                <w:szCs w:val="23"/>
              </w:rPr>
              <w:t>întocmită</w:t>
            </w:r>
            <w:proofErr w:type="spellEnd"/>
            <w:r w:rsidRPr="006C3811">
              <w:rPr>
                <w:sz w:val="23"/>
                <w:szCs w:val="23"/>
              </w:rPr>
              <w:t xml:space="preserve"> cu </w:t>
            </w:r>
            <w:proofErr w:type="spellStart"/>
            <w:r w:rsidRPr="006C3811">
              <w:rPr>
                <w:sz w:val="23"/>
                <w:szCs w:val="23"/>
              </w:rPr>
              <w:t>respectarea</w:t>
            </w:r>
            <w:proofErr w:type="spellEnd"/>
            <w:r w:rsidRPr="006C3811">
              <w:rPr>
                <w:sz w:val="23"/>
                <w:szCs w:val="23"/>
              </w:rPr>
              <w:t xml:space="preserve"> </w:t>
            </w:r>
            <w:proofErr w:type="spellStart"/>
            <w:r w:rsidRPr="006C3811">
              <w:rPr>
                <w:sz w:val="23"/>
                <w:szCs w:val="23"/>
              </w:rPr>
              <w:t>exigențelor</w:t>
            </w:r>
            <w:proofErr w:type="spellEnd"/>
            <w:r w:rsidRPr="006C3811">
              <w:rPr>
                <w:sz w:val="23"/>
                <w:szCs w:val="23"/>
              </w:rPr>
              <w:t xml:space="preserve"> de </w:t>
            </w:r>
            <w:proofErr w:type="spellStart"/>
            <w:r w:rsidRPr="006C3811">
              <w:rPr>
                <w:sz w:val="23"/>
                <w:szCs w:val="23"/>
              </w:rPr>
              <w:t>tehnică</w:t>
            </w:r>
            <w:proofErr w:type="spellEnd"/>
            <w:r w:rsidRPr="006C3811">
              <w:rPr>
                <w:sz w:val="23"/>
                <w:szCs w:val="23"/>
              </w:rPr>
              <w:t xml:space="preserve"> </w:t>
            </w:r>
            <w:proofErr w:type="spellStart"/>
            <w:r w:rsidRPr="006C3811">
              <w:rPr>
                <w:sz w:val="23"/>
                <w:szCs w:val="23"/>
              </w:rPr>
              <w:t>legislativă</w:t>
            </w:r>
            <w:proofErr w:type="spellEnd"/>
          </w:p>
          <w:p w14:paraId="7B053D1C" w14:textId="77777777" w:rsidR="006C3811" w:rsidRPr="006C3811" w:rsidRDefault="006C3811" w:rsidP="006C3811">
            <w:pPr>
              <w:pStyle w:val="Default"/>
              <w:jc w:val="both"/>
              <w:rPr>
                <w:sz w:val="23"/>
                <w:szCs w:val="23"/>
              </w:rPr>
            </w:pPr>
            <w:proofErr w:type="spellStart"/>
            <w:r w:rsidRPr="006C3811">
              <w:rPr>
                <w:sz w:val="23"/>
                <w:szCs w:val="23"/>
              </w:rPr>
              <w:t>statuate</w:t>
            </w:r>
            <w:proofErr w:type="spellEnd"/>
            <w:r w:rsidRPr="006C3811">
              <w:rPr>
                <w:sz w:val="23"/>
                <w:szCs w:val="23"/>
              </w:rPr>
              <w:t xml:space="preserve"> de </w:t>
            </w:r>
            <w:proofErr w:type="spellStart"/>
            <w:r w:rsidRPr="006C3811">
              <w:rPr>
                <w:sz w:val="23"/>
                <w:szCs w:val="23"/>
              </w:rPr>
              <w:t>prevederile</w:t>
            </w:r>
            <w:proofErr w:type="spellEnd"/>
            <w:r w:rsidRPr="006C3811">
              <w:rPr>
                <w:sz w:val="23"/>
                <w:szCs w:val="23"/>
              </w:rPr>
              <w:t xml:space="preserve"> art.30 </w:t>
            </w:r>
            <w:proofErr w:type="spellStart"/>
            <w:proofErr w:type="gramStart"/>
            <w:r w:rsidRPr="006C3811">
              <w:rPr>
                <w:sz w:val="23"/>
                <w:szCs w:val="23"/>
              </w:rPr>
              <w:t>lit.a</w:t>
            </w:r>
            <w:proofErr w:type="spellEnd"/>
            <w:proofErr w:type="gramEnd"/>
            <w:r w:rsidRPr="006C3811">
              <w:rPr>
                <w:sz w:val="23"/>
                <w:szCs w:val="23"/>
              </w:rPr>
              <w:t xml:space="preserve">)-f) al </w:t>
            </w:r>
            <w:proofErr w:type="spellStart"/>
            <w:r w:rsidRPr="006C3811">
              <w:rPr>
                <w:sz w:val="23"/>
                <w:szCs w:val="23"/>
              </w:rPr>
              <w:t>Legii</w:t>
            </w:r>
            <w:proofErr w:type="spellEnd"/>
            <w:r w:rsidRPr="006C3811">
              <w:rPr>
                <w:sz w:val="23"/>
                <w:szCs w:val="23"/>
              </w:rPr>
              <w:t xml:space="preserve"> cu privire la </w:t>
            </w:r>
            <w:proofErr w:type="spellStart"/>
            <w:r w:rsidRPr="006C3811">
              <w:rPr>
                <w:sz w:val="23"/>
                <w:szCs w:val="23"/>
              </w:rPr>
              <w:t>actele</w:t>
            </w:r>
            <w:proofErr w:type="spellEnd"/>
            <w:r w:rsidRPr="006C3811">
              <w:rPr>
                <w:sz w:val="23"/>
                <w:szCs w:val="23"/>
              </w:rPr>
              <w:t xml:space="preserve"> normative nr.100 din 22 </w:t>
            </w:r>
            <w:proofErr w:type="spellStart"/>
            <w:r w:rsidRPr="006C3811">
              <w:rPr>
                <w:sz w:val="23"/>
                <w:szCs w:val="23"/>
              </w:rPr>
              <w:t>decembrie</w:t>
            </w:r>
            <w:proofErr w:type="spellEnd"/>
          </w:p>
          <w:p w14:paraId="67D41EA9" w14:textId="77777777" w:rsidR="006C3811" w:rsidRDefault="006C3811" w:rsidP="006C3811">
            <w:pPr>
              <w:pStyle w:val="Default"/>
              <w:jc w:val="both"/>
              <w:rPr>
                <w:sz w:val="23"/>
                <w:szCs w:val="23"/>
                <w:lang w:val="ro-RO"/>
              </w:rPr>
            </w:pPr>
            <w:r w:rsidRPr="006C3811">
              <w:rPr>
                <w:sz w:val="23"/>
                <w:szCs w:val="23"/>
                <w:lang w:val="ro-RO"/>
              </w:rPr>
              <w:t>2017.</w:t>
            </w:r>
          </w:p>
          <w:p w14:paraId="182200CC" w14:textId="78CD23D5" w:rsidR="006C3811" w:rsidRPr="006060C0" w:rsidRDefault="006C3811" w:rsidP="006C3811">
            <w:pPr>
              <w:pStyle w:val="Default"/>
              <w:jc w:val="both"/>
              <w:rPr>
                <w:sz w:val="23"/>
                <w:szCs w:val="23"/>
                <w:lang w:val="ro-RO"/>
              </w:rPr>
            </w:pPr>
            <w:r w:rsidRPr="006C3811">
              <w:rPr>
                <w:sz w:val="23"/>
                <w:szCs w:val="23"/>
                <w:lang w:val="ro-RO"/>
              </w:rPr>
              <w:t xml:space="preserve">Centrul Național Anticorupție nu a formulat obiecții sau recomandări de modificare. </w:t>
            </w:r>
          </w:p>
        </w:tc>
        <w:tc>
          <w:tcPr>
            <w:tcW w:w="5094" w:type="dxa"/>
            <w:tcBorders>
              <w:top w:val="single" w:sz="4" w:space="0" w:color="000000"/>
              <w:bottom w:val="single" w:sz="4" w:space="0" w:color="000000"/>
            </w:tcBorders>
          </w:tcPr>
          <w:p w14:paraId="6B855EE9" w14:textId="04337BF7" w:rsidR="00C612E3" w:rsidRPr="006060C0" w:rsidRDefault="006C3811" w:rsidP="007B217D">
            <w:pPr>
              <w:jc w:val="center"/>
              <w:rPr>
                <w:b/>
                <w:bCs/>
                <w:lang w:val="en-US"/>
              </w:rPr>
            </w:pPr>
            <w:r>
              <w:rPr>
                <w:b/>
                <w:bCs/>
                <w:lang w:val="en-US"/>
              </w:rPr>
              <w:t xml:space="preserve">Am </w:t>
            </w:r>
            <w:proofErr w:type="spellStart"/>
            <w:r>
              <w:rPr>
                <w:b/>
                <w:bCs/>
                <w:lang w:val="en-US"/>
              </w:rPr>
              <w:t>luat</w:t>
            </w:r>
            <w:proofErr w:type="spellEnd"/>
            <w:r>
              <w:rPr>
                <w:b/>
                <w:bCs/>
                <w:lang w:val="en-US"/>
              </w:rPr>
              <w:t xml:space="preserve"> act.</w:t>
            </w:r>
          </w:p>
        </w:tc>
      </w:tr>
    </w:tbl>
    <w:p w14:paraId="1E9A4708" w14:textId="77777777" w:rsidR="004B29F6" w:rsidRPr="00FA619E" w:rsidRDefault="004B29F6" w:rsidP="00FA619E">
      <w:pPr>
        <w:jc w:val="both"/>
      </w:pPr>
    </w:p>
    <w:sectPr w:rsidR="004B29F6" w:rsidRPr="00FA619E" w:rsidSect="001F5EDC">
      <w:pgSz w:w="15840" w:h="12240" w:orient="landscape"/>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7599"/>
    <w:multiLevelType w:val="hybridMultilevel"/>
    <w:tmpl w:val="80A80B0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FF41050"/>
    <w:multiLevelType w:val="hybridMultilevel"/>
    <w:tmpl w:val="0F964060"/>
    <w:lvl w:ilvl="0" w:tplc="2D2AF936">
      <w:start w:val="1"/>
      <w:numFmt w:val="decimal"/>
      <w:suff w:val="space"/>
      <w:lvlText w:val="%1."/>
      <w:lvlJc w:val="left"/>
      <w:pPr>
        <w:ind w:left="3478" w:hanging="360"/>
      </w:pPr>
      <w:rPr>
        <w:rFonts w:hint="default"/>
        <w:b/>
        <w:bCs/>
        <w:strike w:val="0"/>
        <w:color w:val="auto"/>
        <w:lang w:val="ro-RO"/>
      </w:rPr>
    </w:lvl>
    <w:lvl w:ilvl="1" w:tplc="A4E0C468">
      <w:start w:val="1"/>
      <w:numFmt w:val="lowerLetter"/>
      <w:lvlText w:val="%2)"/>
      <w:lvlJc w:val="left"/>
      <w:pPr>
        <w:ind w:left="2130" w:hanging="105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885221E"/>
    <w:multiLevelType w:val="hybridMultilevel"/>
    <w:tmpl w:val="4E86BDCC"/>
    <w:lvl w:ilvl="0" w:tplc="DD640A6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BE709B9"/>
    <w:multiLevelType w:val="multilevel"/>
    <w:tmpl w:val="403C94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ED54AAE"/>
    <w:multiLevelType w:val="hybridMultilevel"/>
    <w:tmpl w:val="F7D2B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7644621"/>
    <w:multiLevelType w:val="hybridMultilevel"/>
    <w:tmpl w:val="5A98CD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90E06AD"/>
    <w:multiLevelType w:val="hybridMultilevel"/>
    <w:tmpl w:val="10ECB466"/>
    <w:lvl w:ilvl="0" w:tplc="3670F50E">
      <w:start w:val="1"/>
      <w:numFmt w:val="decimal"/>
      <w:lvlText w:val="%1."/>
      <w:lvlJc w:val="left"/>
      <w:pPr>
        <w:ind w:left="1352" w:hanging="360"/>
      </w:pPr>
      <w:rPr>
        <w:rFonts w:hint="default"/>
        <w:b/>
        <w:strike w:val="0"/>
        <w:color w:val="auto"/>
      </w:rPr>
    </w:lvl>
    <w:lvl w:ilvl="1" w:tplc="C2C8F2D2">
      <w:start w:val="1"/>
      <w:numFmt w:val="lowerLetter"/>
      <w:lvlText w:val="%2)"/>
      <w:lvlJc w:val="left"/>
      <w:pPr>
        <w:ind w:left="2520" w:hanging="360"/>
      </w:pPr>
      <w:rPr>
        <w:rFonts w:hint="default"/>
      </w:r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49824ADB"/>
    <w:multiLevelType w:val="hybridMultilevel"/>
    <w:tmpl w:val="089A5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4268A8"/>
    <w:multiLevelType w:val="hybridMultilevel"/>
    <w:tmpl w:val="634842E6"/>
    <w:lvl w:ilvl="0" w:tplc="F9583E36">
      <w:start w:val="1"/>
      <w:numFmt w:val="decimal"/>
      <w:lvlText w:val="%1."/>
      <w:lvlJc w:val="left"/>
      <w:pPr>
        <w:ind w:left="1440" w:hanging="360"/>
      </w:pPr>
      <w:rPr>
        <w:b/>
        <w:bCs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70E72656"/>
    <w:multiLevelType w:val="multilevel"/>
    <w:tmpl w:val="D0EC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F860D9"/>
    <w:multiLevelType w:val="multilevel"/>
    <w:tmpl w:val="4886B0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18179665">
    <w:abstractNumId w:val="3"/>
  </w:num>
  <w:num w:numId="2" w16cid:durableId="916983028">
    <w:abstractNumId w:val="10"/>
  </w:num>
  <w:num w:numId="3" w16cid:durableId="1235894527">
    <w:abstractNumId w:val="9"/>
  </w:num>
  <w:num w:numId="4" w16cid:durableId="2101638345">
    <w:abstractNumId w:val="5"/>
  </w:num>
  <w:num w:numId="5" w16cid:durableId="497038426">
    <w:abstractNumId w:val="4"/>
  </w:num>
  <w:num w:numId="6" w16cid:durableId="1521777207">
    <w:abstractNumId w:val="0"/>
  </w:num>
  <w:num w:numId="7" w16cid:durableId="2129737021">
    <w:abstractNumId w:val="2"/>
  </w:num>
  <w:num w:numId="8" w16cid:durableId="1839034500">
    <w:abstractNumId w:val="6"/>
  </w:num>
  <w:num w:numId="9" w16cid:durableId="227036961">
    <w:abstractNumId w:val="7"/>
  </w:num>
  <w:num w:numId="10" w16cid:durableId="632639258">
    <w:abstractNumId w:val="1"/>
  </w:num>
  <w:num w:numId="11" w16cid:durableId="3678059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9F6"/>
    <w:rsid w:val="0000756E"/>
    <w:rsid w:val="00031232"/>
    <w:rsid w:val="00036409"/>
    <w:rsid w:val="0004057F"/>
    <w:rsid w:val="00055A11"/>
    <w:rsid w:val="00071493"/>
    <w:rsid w:val="00072C9A"/>
    <w:rsid w:val="00077D22"/>
    <w:rsid w:val="00082C0D"/>
    <w:rsid w:val="00092EBE"/>
    <w:rsid w:val="000A1DD9"/>
    <w:rsid w:val="000B27B4"/>
    <w:rsid w:val="000B72F1"/>
    <w:rsid w:val="000C1B85"/>
    <w:rsid w:val="000D7F9C"/>
    <w:rsid w:val="000E4ECE"/>
    <w:rsid w:val="000E62B2"/>
    <w:rsid w:val="000F0EFF"/>
    <w:rsid w:val="00100968"/>
    <w:rsid w:val="00107331"/>
    <w:rsid w:val="00110B08"/>
    <w:rsid w:val="0011126E"/>
    <w:rsid w:val="0012744F"/>
    <w:rsid w:val="0015004D"/>
    <w:rsid w:val="001541DF"/>
    <w:rsid w:val="00156B88"/>
    <w:rsid w:val="001701CA"/>
    <w:rsid w:val="001856FD"/>
    <w:rsid w:val="00196127"/>
    <w:rsid w:val="001A6E0C"/>
    <w:rsid w:val="001C2590"/>
    <w:rsid w:val="001C4DB2"/>
    <w:rsid w:val="001C54A8"/>
    <w:rsid w:val="001E1DF8"/>
    <w:rsid w:val="001E2416"/>
    <w:rsid w:val="001F2453"/>
    <w:rsid w:val="001F285F"/>
    <w:rsid w:val="001F5EDC"/>
    <w:rsid w:val="001F79A6"/>
    <w:rsid w:val="0020214A"/>
    <w:rsid w:val="00204BCA"/>
    <w:rsid w:val="00210263"/>
    <w:rsid w:val="00214B4D"/>
    <w:rsid w:val="00221EF2"/>
    <w:rsid w:val="00230AC7"/>
    <w:rsid w:val="00230F49"/>
    <w:rsid w:val="00231D89"/>
    <w:rsid w:val="00240BB4"/>
    <w:rsid w:val="00241FC5"/>
    <w:rsid w:val="00243A1F"/>
    <w:rsid w:val="002740DE"/>
    <w:rsid w:val="002918C1"/>
    <w:rsid w:val="002972D0"/>
    <w:rsid w:val="002975A1"/>
    <w:rsid w:val="002C46F7"/>
    <w:rsid w:val="002C5191"/>
    <w:rsid w:val="002D49FE"/>
    <w:rsid w:val="002D6134"/>
    <w:rsid w:val="002E1C24"/>
    <w:rsid w:val="002E262C"/>
    <w:rsid w:val="002E7ED6"/>
    <w:rsid w:val="00302DEB"/>
    <w:rsid w:val="003122CF"/>
    <w:rsid w:val="00312D7C"/>
    <w:rsid w:val="00356AA4"/>
    <w:rsid w:val="003707AE"/>
    <w:rsid w:val="00383AEC"/>
    <w:rsid w:val="003848AC"/>
    <w:rsid w:val="00385D96"/>
    <w:rsid w:val="00396D8E"/>
    <w:rsid w:val="003A059D"/>
    <w:rsid w:val="003D0AAA"/>
    <w:rsid w:val="003D1807"/>
    <w:rsid w:val="003D321A"/>
    <w:rsid w:val="003D471F"/>
    <w:rsid w:val="003E1DF9"/>
    <w:rsid w:val="003E6077"/>
    <w:rsid w:val="00411847"/>
    <w:rsid w:val="004137E4"/>
    <w:rsid w:val="004140F0"/>
    <w:rsid w:val="00417E7F"/>
    <w:rsid w:val="004234F9"/>
    <w:rsid w:val="00433AD1"/>
    <w:rsid w:val="0043479F"/>
    <w:rsid w:val="004511AA"/>
    <w:rsid w:val="004516A6"/>
    <w:rsid w:val="004767B8"/>
    <w:rsid w:val="004847AC"/>
    <w:rsid w:val="004921ED"/>
    <w:rsid w:val="004966BE"/>
    <w:rsid w:val="004A369D"/>
    <w:rsid w:val="004A3C84"/>
    <w:rsid w:val="004A4C8C"/>
    <w:rsid w:val="004A7D4A"/>
    <w:rsid w:val="004B29F6"/>
    <w:rsid w:val="004B436D"/>
    <w:rsid w:val="004B472E"/>
    <w:rsid w:val="004C5BBE"/>
    <w:rsid w:val="004C63A8"/>
    <w:rsid w:val="004D4D5D"/>
    <w:rsid w:val="004E1E9B"/>
    <w:rsid w:val="004E74F9"/>
    <w:rsid w:val="004F2275"/>
    <w:rsid w:val="004F27A5"/>
    <w:rsid w:val="004F42CC"/>
    <w:rsid w:val="00510065"/>
    <w:rsid w:val="005215EF"/>
    <w:rsid w:val="00526F27"/>
    <w:rsid w:val="00532D43"/>
    <w:rsid w:val="00536EFA"/>
    <w:rsid w:val="00537E09"/>
    <w:rsid w:val="00545768"/>
    <w:rsid w:val="00546D19"/>
    <w:rsid w:val="00547EFA"/>
    <w:rsid w:val="00575C26"/>
    <w:rsid w:val="00577914"/>
    <w:rsid w:val="00587B1F"/>
    <w:rsid w:val="00596378"/>
    <w:rsid w:val="005A7739"/>
    <w:rsid w:val="005B3701"/>
    <w:rsid w:val="005B42B6"/>
    <w:rsid w:val="005B60DF"/>
    <w:rsid w:val="005E40D1"/>
    <w:rsid w:val="005E71D8"/>
    <w:rsid w:val="005E78AB"/>
    <w:rsid w:val="005F7D03"/>
    <w:rsid w:val="00603A6C"/>
    <w:rsid w:val="006060C0"/>
    <w:rsid w:val="00610970"/>
    <w:rsid w:val="00611C98"/>
    <w:rsid w:val="00615290"/>
    <w:rsid w:val="00617D64"/>
    <w:rsid w:val="00621B72"/>
    <w:rsid w:val="0063436A"/>
    <w:rsid w:val="00640566"/>
    <w:rsid w:val="006421D5"/>
    <w:rsid w:val="0064436F"/>
    <w:rsid w:val="006465AE"/>
    <w:rsid w:val="00655691"/>
    <w:rsid w:val="006612BD"/>
    <w:rsid w:val="0069243A"/>
    <w:rsid w:val="006A3C52"/>
    <w:rsid w:val="006B1F3B"/>
    <w:rsid w:val="006C0809"/>
    <w:rsid w:val="006C3811"/>
    <w:rsid w:val="006C7884"/>
    <w:rsid w:val="006D7C94"/>
    <w:rsid w:val="006E2201"/>
    <w:rsid w:val="006F5624"/>
    <w:rsid w:val="006F73A7"/>
    <w:rsid w:val="007045B1"/>
    <w:rsid w:val="00721944"/>
    <w:rsid w:val="0072252F"/>
    <w:rsid w:val="00722DCE"/>
    <w:rsid w:val="00725918"/>
    <w:rsid w:val="00727F62"/>
    <w:rsid w:val="00740C9E"/>
    <w:rsid w:val="00744624"/>
    <w:rsid w:val="00754116"/>
    <w:rsid w:val="0076080D"/>
    <w:rsid w:val="0076498A"/>
    <w:rsid w:val="007840E5"/>
    <w:rsid w:val="007911CC"/>
    <w:rsid w:val="00794D28"/>
    <w:rsid w:val="007A3756"/>
    <w:rsid w:val="007B4E7E"/>
    <w:rsid w:val="007B55EA"/>
    <w:rsid w:val="007D4EC2"/>
    <w:rsid w:val="007E2300"/>
    <w:rsid w:val="008022BE"/>
    <w:rsid w:val="00810DA3"/>
    <w:rsid w:val="00814BC4"/>
    <w:rsid w:val="00814C96"/>
    <w:rsid w:val="00837F5D"/>
    <w:rsid w:val="00842411"/>
    <w:rsid w:val="00846ECA"/>
    <w:rsid w:val="00860338"/>
    <w:rsid w:val="0087137D"/>
    <w:rsid w:val="00874B97"/>
    <w:rsid w:val="008759CE"/>
    <w:rsid w:val="00881B47"/>
    <w:rsid w:val="0088518E"/>
    <w:rsid w:val="0088542C"/>
    <w:rsid w:val="00885453"/>
    <w:rsid w:val="00890DF6"/>
    <w:rsid w:val="008A2B9B"/>
    <w:rsid w:val="008B7F14"/>
    <w:rsid w:val="008C3994"/>
    <w:rsid w:val="008C62D8"/>
    <w:rsid w:val="008D11BC"/>
    <w:rsid w:val="008E7A3C"/>
    <w:rsid w:val="0090611B"/>
    <w:rsid w:val="009268C9"/>
    <w:rsid w:val="00946E30"/>
    <w:rsid w:val="0094724F"/>
    <w:rsid w:val="0096280F"/>
    <w:rsid w:val="00970BE5"/>
    <w:rsid w:val="009851B2"/>
    <w:rsid w:val="00987FFA"/>
    <w:rsid w:val="00997258"/>
    <w:rsid w:val="009A76C6"/>
    <w:rsid w:val="009B5290"/>
    <w:rsid w:val="009C7D56"/>
    <w:rsid w:val="009D32AE"/>
    <w:rsid w:val="009D388C"/>
    <w:rsid w:val="009D6196"/>
    <w:rsid w:val="009E3077"/>
    <w:rsid w:val="009E72F3"/>
    <w:rsid w:val="00A04093"/>
    <w:rsid w:val="00A21A17"/>
    <w:rsid w:val="00A26D2B"/>
    <w:rsid w:val="00A3191C"/>
    <w:rsid w:val="00A3367B"/>
    <w:rsid w:val="00A524B6"/>
    <w:rsid w:val="00A55B61"/>
    <w:rsid w:val="00A5649A"/>
    <w:rsid w:val="00A808E8"/>
    <w:rsid w:val="00A84120"/>
    <w:rsid w:val="00A87343"/>
    <w:rsid w:val="00A95EB3"/>
    <w:rsid w:val="00AC106A"/>
    <w:rsid w:val="00AC41D5"/>
    <w:rsid w:val="00AD0D3E"/>
    <w:rsid w:val="00AD0F2A"/>
    <w:rsid w:val="00AE221E"/>
    <w:rsid w:val="00AE6585"/>
    <w:rsid w:val="00AE726A"/>
    <w:rsid w:val="00AE7714"/>
    <w:rsid w:val="00AE7BBD"/>
    <w:rsid w:val="00AF33A4"/>
    <w:rsid w:val="00B17FCA"/>
    <w:rsid w:val="00B309EA"/>
    <w:rsid w:val="00B341DC"/>
    <w:rsid w:val="00B40245"/>
    <w:rsid w:val="00B47D39"/>
    <w:rsid w:val="00B601C8"/>
    <w:rsid w:val="00B64679"/>
    <w:rsid w:val="00B857D8"/>
    <w:rsid w:val="00B929DC"/>
    <w:rsid w:val="00B963E5"/>
    <w:rsid w:val="00BA639B"/>
    <w:rsid w:val="00BB2367"/>
    <w:rsid w:val="00BB632B"/>
    <w:rsid w:val="00BD7606"/>
    <w:rsid w:val="00C0336B"/>
    <w:rsid w:val="00C129E6"/>
    <w:rsid w:val="00C1619E"/>
    <w:rsid w:val="00C22663"/>
    <w:rsid w:val="00C228AF"/>
    <w:rsid w:val="00C31667"/>
    <w:rsid w:val="00C422CC"/>
    <w:rsid w:val="00C45357"/>
    <w:rsid w:val="00C46CF5"/>
    <w:rsid w:val="00C612E3"/>
    <w:rsid w:val="00C7772E"/>
    <w:rsid w:val="00C92969"/>
    <w:rsid w:val="00CB165F"/>
    <w:rsid w:val="00CB7BBB"/>
    <w:rsid w:val="00CC29D2"/>
    <w:rsid w:val="00CC438D"/>
    <w:rsid w:val="00CC779E"/>
    <w:rsid w:val="00D01D0D"/>
    <w:rsid w:val="00D0309E"/>
    <w:rsid w:val="00D160D9"/>
    <w:rsid w:val="00D168EE"/>
    <w:rsid w:val="00D24420"/>
    <w:rsid w:val="00D27B54"/>
    <w:rsid w:val="00D3207A"/>
    <w:rsid w:val="00D359FB"/>
    <w:rsid w:val="00D35A38"/>
    <w:rsid w:val="00D555BC"/>
    <w:rsid w:val="00D615BB"/>
    <w:rsid w:val="00D6499E"/>
    <w:rsid w:val="00D674A2"/>
    <w:rsid w:val="00D765E6"/>
    <w:rsid w:val="00DA34C2"/>
    <w:rsid w:val="00DB16D6"/>
    <w:rsid w:val="00DC2CA1"/>
    <w:rsid w:val="00DC4671"/>
    <w:rsid w:val="00DC549B"/>
    <w:rsid w:val="00DD72FA"/>
    <w:rsid w:val="00DF4B21"/>
    <w:rsid w:val="00E10022"/>
    <w:rsid w:val="00E24265"/>
    <w:rsid w:val="00E27DC2"/>
    <w:rsid w:val="00E315A5"/>
    <w:rsid w:val="00E3292F"/>
    <w:rsid w:val="00E32E12"/>
    <w:rsid w:val="00E646E0"/>
    <w:rsid w:val="00E7159B"/>
    <w:rsid w:val="00E7743D"/>
    <w:rsid w:val="00E81441"/>
    <w:rsid w:val="00EA2B20"/>
    <w:rsid w:val="00EA61AB"/>
    <w:rsid w:val="00EB3613"/>
    <w:rsid w:val="00EB6874"/>
    <w:rsid w:val="00EC4BA1"/>
    <w:rsid w:val="00ED34D7"/>
    <w:rsid w:val="00EF39AF"/>
    <w:rsid w:val="00EF3ED7"/>
    <w:rsid w:val="00F17646"/>
    <w:rsid w:val="00F223AF"/>
    <w:rsid w:val="00F338CD"/>
    <w:rsid w:val="00F5201D"/>
    <w:rsid w:val="00F5400A"/>
    <w:rsid w:val="00F56B0B"/>
    <w:rsid w:val="00F61B7C"/>
    <w:rsid w:val="00F6237F"/>
    <w:rsid w:val="00F715B4"/>
    <w:rsid w:val="00F7330E"/>
    <w:rsid w:val="00F866F4"/>
    <w:rsid w:val="00FA1C14"/>
    <w:rsid w:val="00FA619E"/>
    <w:rsid w:val="00FA6B40"/>
    <w:rsid w:val="00FB6B89"/>
    <w:rsid w:val="00FE09B9"/>
    <w:rsid w:val="00FE3E27"/>
    <w:rsid w:val="00FF29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82215"/>
  <w15:chartTrackingRefBased/>
  <w15:docId w15:val="{F5F50C17-42C3-4CE4-9832-2F7E75FD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C8"/>
    <w:pPr>
      <w:spacing w:after="0" w:line="240" w:lineRule="auto"/>
    </w:pPr>
    <w:rPr>
      <w:rFonts w:ascii="Times New Roman" w:eastAsia="Times New Roman" w:hAnsi="Times New Roman" w:cs="Times New Roman"/>
      <w:sz w:val="24"/>
      <w:szCs w:val="24"/>
      <w14:ligatures w14:val="none"/>
    </w:rPr>
  </w:style>
  <w:style w:type="paragraph" w:styleId="Titlu1">
    <w:name w:val="heading 1"/>
    <w:basedOn w:val="Normal"/>
    <w:next w:val="Normal"/>
    <w:link w:val="Titlu1Caracter"/>
    <w:uiPriority w:val="9"/>
    <w:qFormat/>
    <w:rsid w:val="004B2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4B2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4B29F6"/>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4B29F6"/>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4B29F6"/>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4B29F6"/>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B29F6"/>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B29F6"/>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B29F6"/>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B29F6"/>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4B29F6"/>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4B29F6"/>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4B29F6"/>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4B29F6"/>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4B29F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B29F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B29F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B29F6"/>
    <w:rPr>
      <w:rFonts w:eastAsiaTheme="majorEastAsia" w:cstheme="majorBidi"/>
      <w:color w:val="272727" w:themeColor="text1" w:themeTint="D8"/>
    </w:rPr>
  </w:style>
  <w:style w:type="paragraph" w:styleId="Titlu">
    <w:name w:val="Title"/>
    <w:basedOn w:val="Normal"/>
    <w:next w:val="Normal"/>
    <w:link w:val="TitluCaracter"/>
    <w:uiPriority w:val="10"/>
    <w:qFormat/>
    <w:rsid w:val="004B29F6"/>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B29F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B29F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B29F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B29F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B29F6"/>
    <w:rPr>
      <w:i/>
      <w:iCs/>
      <w:color w:val="404040" w:themeColor="text1" w:themeTint="BF"/>
    </w:rPr>
  </w:style>
  <w:style w:type="paragraph" w:styleId="Listparagraf">
    <w:name w:val="List Paragraph"/>
    <w:basedOn w:val="Normal"/>
    <w:link w:val="ListparagrafCaracter"/>
    <w:uiPriority w:val="34"/>
    <w:qFormat/>
    <w:rsid w:val="004B29F6"/>
    <w:pPr>
      <w:ind w:left="720"/>
      <w:contextualSpacing/>
    </w:pPr>
  </w:style>
  <w:style w:type="character" w:styleId="Accentuareintens">
    <w:name w:val="Intense Emphasis"/>
    <w:basedOn w:val="Fontdeparagrafimplicit"/>
    <w:uiPriority w:val="21"/>
    <w:qFormat/>
    <w:rsid w:val="004B29F6"/>
    <w:rPr>
      <w:i/>
      <w:iCs/>
      <w:color w:val="0F4761" w:themeColor="accent1" w:themeShade="BF"/>
    </w:rPr>
  </w:style>
  <w:style w:type="paragraph" w:styleId="Citatintens">
    <w:name w:val="Intense Quote"/>
    <w:basedOn w:val="Normal"/>
    <w:next w:val="Normal"/>
    <w:link w:val="CitatintensCaracter"/>
    <w:uiPriority w:val="30"/>
    <w:qFormat/>
    <w:rsid w:val="004B2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4B29F6"/>
    <w:rPr>
      <w:i/>
      <w:iCs/>
      <w:color w:val="0F4761" w:themeColor="accent1" w:themeShade="BF"/>
    </w:rPr>
  </w:style>
  <w:style w:type="character" w:styleId="Referireintens">
    <w:name w:val="Intense Reference"/>
    <w:basedOn w:val="Fontdeparagrafimplicit"/>
    <w:uiPriority w:val="32"/>
    <w:qFormat/>
    <w:rsid w:val="004B29F6"/>
    <w:rPr>
      <w:b/>
      <w:bCs/>
      <w:smallCaps/>
      <w:color w:val="0F4761" w:themeColor="accent1" w:themeShade="BF"/>
      <w:spacing w:val="5"/>
    </w:rPr>
  </w:style>
  <w:style w:type="table" w:customStyle="1" w:styleId="4">
    <w:name w:val="4"/>
    <w:basedOn w:val="TabelNormal"/>
    <w:rsid w:val="004B29F6"/>
    <w:pPr>
      <w:spacing w:after="0" w:line="240" w:lineRule="auto"/>
    </w:pPr>
    <w:rPr>
      <w:rFonts w:ascii="Times New Roman" w:eastAsia="Times New Roman" w:hAnsi="Times New Roman" w:cs="Times New Roman"/>
      <w:sz w:val="24"/>
      <w:szCs w:val="24"/>
      <w:lang w:val="ru-RU"/>
      <w14:ligatures w14:val="none"/>
    </w:rPr>
    <w:tblPr>
      <w:tblStyleRowBandSize w:val="1"/>
      <w:tblStyleColBandSize w:val="1"/>
      <w:tblCellMar>
        <w:left w:w="115" w:type="dxa"/>
        <w:right w:w="115" w:type="dxa"/>
      </w:tblCellMar>
    </w:tblPr>
  </w:style>
  <w:style w:type="paragraph" w:customStyle="1" w:styleId="Normal0">
    <w:name w:val="[Normal]"/>
    <w:rsid w:val="004B29F6"/>
    <w:pPr>
      <w:autoSpaceDE w:val="0"/>
      <w:autoSpaceDN w:val="0"/>
      <w:adjustRightInd w:val="0"/>
      <w:spacing w:after="0" w:line="240" w:lineRule="auto"/>
    </w:pPr>
    <w:rPr>
      <w:rFonts w:ascii="Arial" w:eastAsia="Times New Roman" w:hAnsi="Arial" w:cs="Arial"/>
      <w:sz w:val="24"/>
      <w:szCs w:val="24"/>
      <w:lang w:val="ru-RU" w:eastAsia="ru-RU"/>
      <w14:ligatures w14:val="none"/>
    </w:rPr>
  </w:style>
  <w:style w:type="character" w:styleId="Hyperlink">
    <w:name w:val="Hyperlink"/>
    <w:basedOn w:val="Fontdeparagrafimplicit"/>
    <w:uiPriority w:val="99"/>
    <w:unhideWhenUsed/>
    <w:rsid w:val="008022BE"/>
    <w:rPr>
      <w:color w:val="467886" w:themeColor="hyperlink"/>
      <w:u w:val="single"/>
    </w:rPr>
  </w:style>
  <w:style w:type="character" w:customStyle="1" w:styleId="MeniuneNerezolvat1">
    <w:name w:val="Mențiune Nerezolvat1"/>
    <w:basedOn w:val="Fontdeparagrafimplicit"/>
    <w:uiPriority w:val="99"/>
    <w:semiHidden/>
    <w:unhideWhenUsed/>
    <w:rsid w:val="008022BE"/>
    <w:rPr>
      <w:color w:val="605E5C"/>
      <w:shd w:val="clear" w:color="auto" w:fill="E1DFDD"/>
    </w:rPr>
  </w:style>
  <w:style w:type="paragraph" w:customStyle="1" w:styleId="Default">
    <w:name w:val="Default"/>
    <w:rsid w:val="004921E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ListparagrafCaracter">
    <w:name w:val="Listă paragraf Caracter"/>
    <w:link w:val="Listparagraf"/>
    <w:uiPriority w:val="34"/>
    <w:locked/>
    <w:rsid w:val="0088518E"/>
    <w:rPr>
      <w:rFonts w:ascii="Times New Roman" w:eastAsia="Times New Roman" w:hAnsi="Times New Roman" w:cs="Times New Roman"/>
      <w:noProof/>
      <w:sz w:val="24"/>
      <w:szCs w:val="24"/>
      <w:lang w:val="en-US"/>
      <w14:ligatures w14:val="none"/>
    </w:rPr>
  </w:style>
  <w:style w:type="character" w:styleId="Referincomentariu">
    <w:name w:val="annotation reference"/>
    <w:basedOn w:val="Fontdeparagrafimplicit"/>
    <w:uiPriority w:val="99"/>
    <w:semiHidden/>
    <w:unhideWhenUsed/>
    <w:rsid w:val="00221EF2"/>
    <w:rPr>
      <w:sz w:val="16"/>
      <w:szCs w:val="16"/>
    </w:rPr>
  </w:style>
  <w:style w:type="paragraph" w:styleId="Textcomentariu">
    <w:name w:val="annotation text"/>
    <w:basedOn w:val="Normal"/>
    <w:link w:val="TextcomentariuCaracter"/>
    <w:uiPriority w:val="99"/>
    <w:semiHidden/>
    <w:unhideWhenUsed/>
    <w:rsid w:val="00221EF2"/>
    <w:pPr>
      <w:spacing w:after="200"/>
    </w:pPr>
    <w:rPr>
      <w:rFonts w:asciiTheme="minorHAnsi" w:eastAsiaTheme="minorHAnsi" w:hAnsiTheme="minorHAnsi" w:cstheme="minorBidi"/>
      <w:sz w:val="20"/>
      <w:szCs w:val="20"/>
    </w:rPr>
  </w:style>
  <w:style w:type="character" w:customStyle="1" w:styleId="TextcomentariuCaracter">
    <w:name w:val="Text comentariu Caracter"/>
    <w:basedOn w:val="Fontdeparagrafimplicit"/>
    <w:link w:val="Textcomentariu"/>
    <w:uiPriority w:val="99"/>
    <w:semiHidden/>
    <w:rsid w:val="00221EF2"/>
    <w:rPr>
      <w:sz w:val="20"/>
      <w:szCs w:val="20"/>
      <w:lang w:val="en-US"/>
      <w14:ligatures w14:val="none"/>
    </w:rPr>
  </w:style>
  <w:style w:type="paragraph" w:styleId="TextnBalon">
    <w:name w:val="Balloon Text"/>
    <w:basedOn w:val="Normal"/>
    <w:link w:val="TextnBalonCaracter"/>
    <w:uiPriority w:val="99"/>
    <w:semiHidden/>
    <w:unhideWhenUsed/>
    <w:rsid w:val="00221EF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21EF2"/>
    <w:rPr>
      <w:rFonts w:ascii="Segoe UI" w:eastAsia="Times New Roman" w:hAnsi="Segoe UI" w:cs="Segoe UI"/>
      <w:noProof/>
      <w:sz w:val="18"/>
      <w:szCs w:val="18"/>
      <w:lang w:val="en-US"/>
      <w14:ligatures w14:val="none"/>
    </w:rPr>
  </w:style>
  <w:style w:type="paragraph" w:customStyle="1" w:styleId="Char">
    <w:name w:val="Char"/>
    <w:basedOn w:val="Normal"/>
    <w:rsid w:val="008C62D8"/>
    <w:pPr>
      <w:spacing w:after="160" w:line="240" w:lineRule="exact"/>
    </w:pPr>
    <w:rPr>
      <w:rFonts w:ascii="Arial" w:eastAsia="Batang" w:hAnsi="Arial" w:cs="Arial"/>
      <w:sz w:val="20"/>
      <w:szCs w:val="20"/>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526305">
      <w:bodyDiv w:val="1"/>
      <w:marLeft w:val="0"/>
      <w:marRight w:val="0"/>
      <w:marTop w:val="0"/>
      <w:marBottom w:val="0"/>
      <w:divBdr>
        <w:top w:val="none" w:sz="0" w:space="0" w:color="auto"/>
        <w:left w:val="none" w:sz="0" w:space="0" w:color="auto"/>
        <w:bottom w:val="none" w:sz="0" w:space="0" w:color="auto"/>
        <w:right w:val="none" w:sz="0" w:space="0" w:color="auto"/>
      </w:divBdr>
    </w:div>
    <w:div w:id="144422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D3DF4-C7FC-4DDC-8E33-F64DE84CE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2</Pages>
  <Words>582</Words>
  <Characters>3376</Characters>
  <Application>Microsoft Office Word</Application>
  <DocSecurity>0</DocSecurity>
  <Lines>28</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Politici  în  Domeniul Medicamentului și Dispozitivelor Medicale</dc:creator>
  <cp:keywords/>
  <dc:description/>
  <cp:lastModifiedBy>Direcția Politici  în  Domeniul Medicamentului și Dispozitivelor Medicale</cp:lastModifiedBy>
  <cp:revision>36</cp:revision>
  <cp:lastPrinted>2026-02-25T05:55:00Z</cp:lastPrinted>
  <dcterms:created xsi:type="dcterms:W3CDTF">2025-09-09T06:25:00Z</dcterms:created>
  <dcterms:modified xsi:type="dcterms:W3CDTF">2026-02-25T05:55:00Z</dcterms:modified>
</cp:coreProperties>
</file>