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4BE6F7" w14:textId="77777777" w:rsidR="00970CC0" w:rsidRDefault="00000000">
      <w:pPr>
        <w:tabs>
          <w:tab w:val="left" w:pos="0"/>
        </w:tabs>
        <w:spacing w:after="0"/>
        <w:ind w:right="659"/>
        <w:jc w:val="both"/>
      </w:pPr>
      <w:r>
        <w:rPr>
          <w:rFonts w:ascii="Times New Roman" w:eastAsia="Times New Roman" w:hAnsi="Times New Roman" w:cs="Times New Roman"/>
          <w:noProof/>
        </w:rPr>
        <w:drawing>
          <wp:inline distT="0" distB="0" distL="0" distR="0" wp14:anchorId="388D3295" wp14:editId="1BDA4F81">
            <wp:extent cx="6106160" cy="1288082"/>
            <wp:effectExtent l="0" t="0" r="0" b="0"/>
            <wp:docPr id="1804289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06160" cy="1288082"/>
                    </a:xfrm>
                    <a:prstGeom prst="rect">
                      <a:avLst/>
                    </a:prstGeom>
                    <a:ln/>
                  </pic:spPr>
                </pic:pic>
              </a:graphicData>
            </a:graphic>
          </wp:inline>
        </w:drawing>
      </w:r>
    </w:p>
    <w:p w14:paraId="73E8675F" w14:textId="77777777" w:rsidR="00970CC0" w:rsidRDefault="00970CC0">
      <w:pPr>
        <w:spacing w:after="0"/>
        <w:ind w:left="360" w:right="659"/>
        <w:rPr>
          <w:rFonts w:ascii="Times New Roman" w:eastAsia="Times New Roman" w:hAnsi="Times New Roman" w:cs="Times New Roman"/>
          <w:sz w:val="24"/>
          <w:szCs w:val="24"/>
        </w:rPr>
      </w:pPr>
    </w:p>
    <w:p w14:paraId="35D298F4" w14:textId="77777777" w:rsidR="00970CC0" w:rsidRDefault="00000000">
      <w:pPr>
        <w:spacing w:after="0"/>
        <w:ind w:left="360" w:right="65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ORDIN</w:t>
      </w:r>
    </w:p>
    <w:p w14:paraId="6B42A2C7" w14:textId="77777777" w:rsidR="00970CC0" w:rsidRDefault="00000000">
      <w:pPr>
        <w:spacing w:after="0"/>
        <w:ind w:right="659" w:firstLine="27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Nr._____ din ________                                                                               mun. Chișinău</w:t>
      </w:r>
    </w:p>
    <w:p w14:paraId="766B99D6" w14:textId="77777777" w:rsidR="00970CC0" w:rsidRDefault="00970CC0">
      <w:pPr>
        <w:spacing w:after="0"/>
        <w:ind w:right="659" w:firstLine="270"/>
        <w:rPr>
          <w:rFonts w:ascii="Times New Roman" w:eastAsia="Times New Roman" w:hAnsi="Times New Roman" w:cs="Times New Roman"/>
          <w:b/>
          <w:bCs/>
          <w:sz w:val="24"/>
          <w:szCs w:val="24"/>
        </w:rPr>
      </w:pPr>
    </w:p>
    <w:p w14:paraId="18F9962A" w14:textId="77777777" w:rsidR="00970CC0" w:rsidRDefault="00970CC0">
      <w:pPr>
        <w:shd w:val="clear" w:color="auto" w:fill="FFFFFF"/>
        <w:spacing w:after="0" w:line="276" w:lineRule="auto"/>
        <w:jc w:val="center"/>
        <w:rPr>
          <w:rFonts w:ascii="Times New Roman" w:eastAsia="Times New Roman" w:hAnsi="Times New Roman" w:cs="Times New Roman"/>
          <w:b/>
          <w:bCs/>
          <w:sz w:val="28"/>
          <w:szCs w:val="28"/>
        </w:rPr>
      </w:pPr>
    </w:p>
    <w:p w14:paraId="3A0280A1" w14:textId="77777777" w:rsidR="00970CC0" w:rsidRDefault="00970CC0">
      <w:pPr>
        <w:shd w:val="clear" w:color="auto" w:fill="FFFFFF"/>
        <w:spacing w:after="0" w:line="276" w:lineRule="auto"/>
        <w:jc w:val="center"/>
        <w:rPr>
          <w:rFonts w:ascii="Times New Roman" w:eastAsia="Times New Roman" w:hAnsi="Times New Roman" w:cs="Times New Roman"/>
          <w:b/>
          <w:bCs/>
          <w:sz w:val="28"/>
          <w:szCs w:val="28"/>
        </w:rPr>
      </w:pPr>
    </w:p>
    <w:p w14:paraId="0D0D833F" w14:textId="77777777" w:rsidR="00970CC0" w:rsidRDefault="00000000">
      <w:pPr>
        <w:shd w:val="clear" w:color="auto" w:fill="FFFFFF"/>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Privind aprobarea Regulamentului </w:t>
      </w:r>
    </w:p>
    <w:p w14:paraId="5A70CACC" w14:textId="77777777" w:rsidR="00970CC0" w:rsidRDefault="00000000">
      <w:pPr>
        <w:shd w:val="clear" w:color="auto" w:fill="FFFFFF"/>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cu privire la mecanismul de finanțare nerambursabilă a proiectelor implementate de organizațiile necomerciale în domeniul turismului</w:t>
      </w:r>
    </w:p>
    <w:p w14:paraId="3420D5D1" w14:textId="77777777" w:rsidR="00970CC0" w:rsidRDefault="00970CC0">
      <w:pPr>
        <w:shd w:val="clear" w:color="auto" w:fill="FFFFFF"/>
        <w:spacing w:after="0" w:line="240" w:lineRule="auto"/>
        <w:rPr>
          <w:rFonts w:ascii="Times New Roman" w:eastAsia="Times New Roman" w:hAnsi="Times New Roman" w:cs="Times New Roman"/>
          <w:sz w:val="28"/>
          <w:szCs w:val="28"/>
        </w:rPr>
      </w:pPr>
    </w:p>
    <w:p w14:paraId="6AB7875E" w14:textId="77777777" w:rsidR="00970CC0" w:rsidRDefault="00000000">
      <w:pPr>
        <w:spacing w:after="0" w:line="240" w:lineRule="auto"/>
        <w:ind w:firstLine="851"/>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w:t>
      </w:r>
    </w:p>
    <w:p w14:paraId="1DD11630" w14:textId="77777777" w:rsidR="00970CC0" w:rsidRDefault="00000000">
      <w:pPr>
        <w:spacing w:after="0"/>
        <w:ind w:firstLine="708"/>
        <w:jc w:val="both"/>
        <w:rPr>
          <w:sz w:val="28"/>
          <w:szCs w:val="28"/>
          <w:highlight w:val="white"/>
        </w:rPr>
      </w:pPr>
      <w:r>
        <w:rPr>
          <w:rFonts w:ascii="Times New Roman" w:eastAsia="Times New Roman" w:hAnsi="Times New Roman" w:cs="Times New Roman"/>
          <w:sz w:val="28"/>
          <w:szCs w:val="28"/>
          <w:highlight w:val="white"/>
        </w:rPr>
        <w:t>În temeiul art. 6 lit. e</w:t>
      </w:r>
      <w:r>
        <w:rPr>
          <w:rFonts w:ascii="Times New Roman" w:eastAsia="Times New Roman" w:hAnsi="Times New Roman" w:cs="Times New Roman"/>
          <w:sz w:val="28"/>
          <w:szCs w:val="28"/>
          <w:highlight w:val="white"/>
          <w:vertAlign w:val="superscript"/>
        </w:rPr>
        <w:t>1</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vertAlign w:val="superscript"/>
        </w:rPr>
        <w:t xml:space="preserve"> </w:t>
      </w:r>
      <w:r>
        <w:rPr>
          <w:rFonts w:ascii="Times New Roman" w:eastAsia="Times New Roman" w:hAnsi="Times New Roman" w:cs="Times New Roman"/>
          <w:sz w:val="28"/>
          <w:szCs w:val="28"/>
          <w:highlight w:val="white"/>
        </w:rPr>
        <w:t xml:space="preserve">din Legea nr. 352/2006 cu privire la organizarea şi desfășurarea activității turistice în Republica Moldova (Monitorul Oficial al Republicii Moldova, 2007, nr. 14-17 art. 40), cu modificările ulterioare,  pct. 2 din Hotărârea Guvernului nr. 656/2022 pentru aprobarea Regulamentului-cadru cu privire la mecanismul de finanțare nerambursabilă a proiectelor organizațiilor necomerciale (Monitorul Oficial al Republicii Moldova, 2022, nr. 343-348, art. 820), </w:t>
      </w:r>
    </w:p>
    <w:p w14:paraId="794CFEA2" w14:textId="77777777" w:rsidR="00970CC0" w:rsidRDefault="00970CC0">
      <w:pPr>
        <w:spacing w:after="0" w:line="240" w:lineRule="auto"/>
        <w:ind w:firstLine="851"/>
        <w:jc w:val="center"/>
        <w:rPr>
          <w:rFonts w:ascii="Times New Roman" w:eastAsia="Times New Roman" w:hAnsi="Times New Roman" w:cs="Times New Roman"/>
          <w:b/>
          <w:bCs/>
          <w:sz w:val="28"/>
          <w:szCs w:val="28"/>
          <w:highlight w:val="white"/>
        </w:rPr>
      </w:pPr>
    </w:p>
    <w:p w14:paraId="19D18CD5" w14:textId="77777777" w:rsidR="00970CC0" w:rsidRDefault="00000000">
      <w:pPr>
        <w:spacing w:after="0" w:line="240" w:lineRule="auto"/>
        <w:ind w:firstLine="851"/>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ORDON:</w:t>
      </w:r>
    </w:p>
    <w:p w14:paraId="17148426" w14:textId="77777777" w:rsidR="00970CC0" w:rsidRDefault="00000000">
      <w:pPr>
        <w:spacing w:after="0" w:line="276" w:lineRule="auto"/>
        <w:ind w:firstLine="851"/>
        <w:jc w:val="both"/>
        <w:rPr>
          <w:rFonts w:ascii="Times New Roman" w:eastAsia="Times New Roman" w:hAnsi="Times New Roman" w:cs="Times New Roman"/>
          <w:sz w:val="28"/>
          <w:szCs w:val="28"/>
        </w:rPr>
      </w:pPr>
      <w:bookmarkStart w:id="0" w:name="_heading=h.wsi2jd3tipe4" w:colFirst="0" w:colLast="0"/>
      <w:bookmarkEnd w:id="0"/>
      <w:r>
        <w:rPr>
          <w:rFonts w:ascii="Times New Roman" w:eastAsia="Times New Roman" w:hAnsi="Times New Roman" w:cs="Times New Roman"/>
          <w:sz w:val="28"/>
          <w:szCs w:val="28"/>
          <w:highlight w:val="white"/>
        </w:rPr>
        <w:t xml:space="preserve">1. Se aprobă </w:t>
      </w:r>
      <w:r>
        <w:rPr>
          <w:rFonts w:ascii="Times New Roman" w:eastAsia="Times New Roman" w:hAnsi="Times New Roman" w:cs="Times New Roman"/>
          <w:sz w:val="28"/>
          <w:szCs w:val="28"/>
        </w:rPr>
        <w:t>Regulamentul cu privire la mecanismul de finanțare nerambursabilă a proiectelor</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sz w:val="28"/>
          <w:szCs w:val="28"/>
        </w:rPr>
        <w:t>implementate de organizațiile necomerciale în domeniul turismului (se anexează).</w:t>
      </w:r>
    </w:p>
    <w:p w14:paraId="091E6533" w14:textId="77777777" w:rsidR="00970CC0" w:rsidRDefault="00000000">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2. Instituția Publică „Oficiul Național al Turismului” va desfășura  concursul de proiecte pentru organizațiile necomerciale în domeniul turismului în conformitate cu prevederile prezentului Regulament.</w:t>
      </w:r>
    </w:p>
    <w:p w14:paraId="6E1CFC43" w14:textId="77777777" w:rsidR="00970CC0" w:rsidRDefault="00000000">
      <w:pPr>
        <w:spacing w:after="0" w:line="276" w:lineRule="auto"/>
        <w:ind w:firstLine="851"/>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În calitate de autoritate finanțatoare se desemnează Instituția Publică „Oficiul Național al Turismului”.</w:t>
      </w:r>
    </w:p>
    <w:p w14:paraId="69069305" w14:textId="77777777" w:rsidR="00970CC0" w:rsidRDefault="00000000">
      <w:pPr>
        <w:spacing w:after="0" w:line="276" w:lineRule="auto"/>
        <w:ind w:firstLine="851"/>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4. </w:t>
      </w:r>
      <w:r>
        <w:rPr>
          <w:rFonts w:ascii="Times New Roman" w:eastAsia="Times New Roman" w:hAnsi="Times New Roman" w:cs="Times New Roman"/>
          <w:sz w:val="28"/>
          <w:szCs w:val="28"/>
        </w:rPr>
        <w:t xml:space="preserve">Directorul </w:t>
      </w:r>
      <w:r>
        <w:rPr>
          <w:rFonts w:ascii="Times New Roman" w:eastAsia="Times New Roman" w:hAnsi="Times New Roman" w:cs="Times New Roman"/>
          <w:sz w:val="28"/>
          <w:szCs w:val="28"/>
          <w:highlight w:val="white"/>
        </w:rPr>
        <w:t>Instituției Publice „Oficiul Național al Turismului” va monitoriza realizarea prezentului ordin.</w:t>
      </w:r>
    </w:p>
    <w:p w14:paraId="3C430A3F" w14:textId="77777777" w:rsidR="00970CC0" w:rsidRDefault="00000000">
      <w:pPr>
        <w:spacing w:after="0" w:line="276" w:lineRule="auto"/>
        <w:ind w:firstLine="851"/>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 Controlul asupra exercitării prevederilor prezentului ordin mi-l asum.</w:t>
      </w:r>
    </w:p>
    <w:p w14:paraId="72ECEE26" w14:textId="77777777" w:rsidR="00970CC0" w:rsidRDefault="00970CC0">
      <w:pPr>
        <w:spacing w:after="0" w:line="276" w:lineRule="auto"/>
        <w:ind w:firstLine="851"/>
        <w:jc w:val="both"/>
        <w:rPr>
          <w:rFonts w:ascii="Times New Roman" w:eastAsia="Times New Roman" w:hAnsi="Times New Roman" w:cs="Times New Roman"/>
          <w:sz w:val="28"/>
          <w:szCs w:val="28"/>
          <w:highlight w:val="white"/>
        </w:rPr>
      </w:pPr>
    </w:p>
    <w:p w14:paraId="06790ACA" w14:textId="77777777" w:rsidR="00970CC0" w:rsidRDefault="00970CC0">
      <w:pPr>
        <w:spacing w:after="0" w:line="240" w:lineRule="auto"/>
        <w:jc w:val="both"/>
        <w:rPr>
          <w:rFonts w:ascii="Times New Roman" w:eastAsia="Times New Roman" w:hAnsi="Times New Roman" w:cs="Times New Roman"/>
          <w:b/>
          <w:bCs/>
          <w:sz w:val="28"/>
          <w:szCs w:val="28"/>
          <w:highlight w:val="white"/>
        </w:rPr>
      </w:pPr>
    </w:p>
    <w:p w14:paraId="6C9F98E8" w14:textId="77777777" w:rsidR="00970CC0" w:rsidRDefault="00000000">
      <w:pPr>
        <w:spacing w:after="0" w:line="24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MINISTRU                                                                         Cristian JARDAN</w:t>
      </w:r>
    </w:p>
    <w:p w14:paraId="41B9FEF5" w14:textId="77777777" w:rsidR="00970CC0" w:rsidRDefault="00970CC0">
      <w:pPr>
        <w:spacing w:after="0" w:line="240" w:lineRule="auto"/>
        <w:ind w:firstLine="851"/>
        <w:jc w:val="both"/>
        <w:rPr>
          <w:rFonts w:ascii="Times New Roman" w:eastAsia="Times New Roman" w:hAnsi="Times New Roman" w:cs="Times New Roman"/>
          <w:sz w:val="28"/>
          <w:szCs w:val="28"/>
          <w:highlight w:val="white"/>
        </w:rPr>
      </w:pPr>
    </w:p>
    <w:p w14:paraId="1776CE74" w14:textId="77777777" w:rsidR="00970CC0" w:rsidRDefault="00970CC0">
      <w:pPr>
        <w:spacing w:after="0" w:line="240" w:lineRule="auto"/>
        <w:ind w:firstLine="851"/>
        <w:jc w:val="both"/>
        <w:rPr>
          <w:rFonts w:ascii="Times New Roman" w:eastAsia="Times New Roman" w:hAnsi="Times New Roman" w:cs="Times New Roman"/>
          <w:sz w:val="28"/>
          <w:szCs w:val="28"/>
          <w:highlight w:val="white"/>
        </w:rPr>
      </w:pPr>
    </w:p>
    <w:p w14:paraId="43DAFCA0" w14:textId="77777777" w:rsidR="00970CC0" w:rsidRDefault="00000000">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w:t>
      </w:r>
      <w:r>
        <w:rPr>
          <w:rFonts w:ascii="Times New Roman" w:eastAsia="Times New Roman" w:hAnsi="Times New Roman" w:cs="Times New Roman"/>
          <w:sz w:val="28"/>
          <w:szCs w:val="28"/>
        </w:rPr>
        <w:t xml:space="preserve">                                                     </w:t>
      </w:r>
    </w:p>
    <w:p w14:paraId="431A60B7" w14:textId="77777777" w:rsidR="00970CC0" w:rsidRDefault="00970CC0">
      <w:pPr>
        <w:spacing w:after="0"/>
        <w:jc w:val="right"/>
        <w:rPr>
          <w:rFonts w:ascii="Times New Roman" w:eastAsia="Times New Roman" w:hAnsi="Times New Roman" w:cs="Times New Roman"/>
          <w:sz w:val="28"/>
          <w:szCs w:val="28"/>
        </w:rPr>
      </w:pPr>
    </w:p>
    <w:p w14:paraId="65FD171B" w14:textId="77777777" w:rsidR="00970CC0" w:rsidRDefault="00970CC0">
      <w:pPr>
        <w:spacing w:after="0"/>
        <w:rPr>
          <w:rFonts w:ascii="Times New Roman" w:eastAsia="Times New Roman" w:hAnsi="Times New Roman" w:cs="Times New Roman"/>
          <w:sz w:val="28"/>
          <w:szCs w:val="28"/>
        </w:rPr>
      </w:pPr>
    </w:p>
    <w:p w14:paraId="396C63B7" w14:textId="77777777" w:rsidR="00970CC0" w:rsidRDefault="00000000">
      <w:pPr>
        <w:spacing w:after="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Anexă</w:t>
      </w:r>
    </w:p>
    <w:p w14:paraId="0E3A3575" w14:textId="77777777" w:rsidR="00970CC0" w:rsidRDefault="00000000">
      <w:pPr>
        <w:spacing w:after="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Aprobat</w:t>
      </w:r>
    </w:p>
    <w:p w14:paraId="6A21720A" w14:textId="77777777" w:rsidR="00970CC0" w:rsidRDefault="00000000">
      <w:pPr>
        <w:spacing w:after="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prin Ordinul ministrului culturii</w:t>
      </w:r>
    </w:p>
    <w:p w14:paraId="2020CDBD" w14:textId="27962C57" w:rsidR="00970CC0" w:rsidRDefault="00000000">
      <w:pPr>
        <w:spacing w:after="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Nr. ______ din ____________ 202</w:t>
      </w:r>
      <w:r w:rsidR="00221D49">
        <w:rPr>
          <w:rFonts w:ascii="Times New Roman" w:eastAsia="Times New Roman" w:hAnsi="Times New Roman" w:cs="Times New Roman"/>
          <w:i/>
          <w:iCs/>
          <w:sz w:val="28"/>
          <w:szCs w:val="28"/>
        </w:rPr>
        <w:t>6</w:t>
      </w:r>
    </w:p>
    <w:p w14:paraId="258198EA" w14:textId="77777777" w:rsidR="00970CC0" w:rsidRDefault="00970CC0">
      <w:pPr>
        <w:spacing w:after="0"/>
        <w:jc w:val="right"/>
        <w:rPr>
          <w:rFonts w:ascii="Times New Roman" w:eastAsia="Times New Roman" w:hAnsi="Times New Roman" w:cs="Times New Roman"/>
          <w:sz w:val="28"/>
          <w:szCs w:val="28"/>
        </w:rPr>
      </w:pPr>
    </w:p>
    <w:p w14:paraId="77D406E5" w14:textId="77777777" w:rsidR="00970CC0" w:rsidRDefault="00970CC0">
      <w:pPr>
        <w:spacing w:after="0" w:line="276" w:lineRule="auto"/>
        <w:jc w:val="center"/>
        <w:rPr>
          <w:rFonts w:ascii="Times New Roman" w:eastAsia="Times New Roman" w:hAnsi="Times New Roman" w:cs="Times New Roman"/>
          <w:b/>
          <w:bCs/>
          <w:sz w:val="28"/>
          <w:szCs w:val="28"/>
        </w:rPr>
      </w:pPr>
    </w:p>
    <w:p w14:paraId="1C1980BF" w14:textId="77777777" w:rsidR="00970CC0" w:rsidRDefault="00000000">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Regulamentul cu privire la mecanismul de </w:t>
      </w:r>
    </w:p>
    <w:p w14:paraId="196CD51D" w14:textId="77777777" w:rsidR="00970CC0" w:rsidRDefault="00000000">
      <w:pPr>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finanțare nerambursabilă a proiectelor</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sz w:val="28"/>
          <w:szCs w:val="28"/>
        </w:rPr>
        <w:t>implementate de organizațiile necomerciale în domeniul turismului</w:t>
      </w:r>
    </w:p>
    <w:p w14:paraId="7F387613" w14:textId="77777777" w:rsidR="00970CC0" w:rsidRDefault="00000000">
      <w:pPr>
        <w:numPr>
          <w:ilvl w:val="0"/>
          <w:numId w:val="1"/>
        </w:numPr>
        <w:pBdr>
          <w:top w:val="nil"/>
          <w:left w:val="nil"/>
          <w:bottom w:val="nil"/>
          <w:right w:val="nil"/>
          <w:between w:val="nil"/>
        </w:pBdr>
        <w:shd w:val="clear" w:color="auto" w:fill="FFFFFF"/>
        <w:spacing w:after="0" w:line="240" w:lineRule="auto"/>
        <w:ind w:left="0" w:firstLine="284"/>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Dispoziții generale</w:t>
      </w:r>
    </w:p>
    <w:p w14:paraId="3416AE1D" w14:textId="77777777" w:rsidR="00970CC0" w:rsidRDefault="00000000">
      <w:pPr>
        <w:pBdr>
          <w:top w:val="nil"/>
          <w:left w:val="nil"/>
          <w:bottom w:val="nil"/>
          <w:right w:val="nil"/>
          <w:between w:val="nil"/>
        </w:pBdr>
        <w:shd w:val="clear" w:color="auto" w:fill="FFFFFF"/>
        <w:spacing w:before="120" w:after="0" w:line="276" w:lineRule="auto"/>
        <w:ind w:firstLine="706"/>
        <w:jc w:val="both"/>
        <w:rPr>
          <w:rFonts w:ascii="Times New Roman" w:eastAsia="Times New Roman" w:hAnsi="Times New Roman" w:cs="Times New Roman"/>
          <w:color w:val="000000"/>
          <w:sz w:val="28"/>
          <w:szCs w:val="28"/>
        </w:rPr>
      </w:pPr>
      <w:bookmarkStart w:id="1" w:name="_heading=h.teypwtuw18ag" w:colFirst="0" w:colLast="0"/>
      <w:bookmarkEnd w:id="1"/>
      <w:r>
        <w:rPr>
          <w:rFonts w:ascii="Times New Roman" w:eastAsia="Times New Roman" w:hAnsi="Times New Roman" w:cs="Times New Roman"/>
          <w:b/>
          <w:bCs/>
          <w:color w:val="000000"/>
          <w:sz w:val="28"/>
          <w:szCs w:val="28"/>
        </w:rPr>
        <w:t>1.</w:t>
      </w:r>
      <w:r>
        <w:rPr>
          <w:rFonts w:ascii="Times New Roman" w:eastAsia="Times New Roman" w:hAnsi="Times New Roman" w:cs="Times New Roman"/>
          <w:color w:val="000000"/>
          <w:sz w:val="28"/>
          <w:szCs w:val="28"/>
        </w:rPr>
        <w:t xml:space="preserve"> Regulamentul cu privire la mecanismul de finanțare nerambursabilă a proiectelor implementate de organizațiile necomerciale în domeniul turismului (în continuare – </w:t>
      </w:r>
      <w:r>
        <w:rPr>
          <w:rFonts w:ascii="Times New Roman" w:eastAsia="Times New Roman" w:hAnsi="Times New Roman" w:cs="Times New Roman"/>
          <w:i/>
          <w:iCs/>
          <w:color w:val="000000"/>
          <w:sz w:val="28"/>
          <w:szCs w:val="28"/>
        </w:rPr>
        <w:t>Regulament</w:t>
      </w:r>
      <w:r>
        <w:rPr>
          <w:rFonts w:ascii="Times New Roman" w:eastAsia="Times New Roman" w:hAnsi="Times New Roman" w:cs="Times New Roman"/>
          <w:color w:val="000000"/>
          <w:sz w:val="28"/>
          <w:szCs w:val="28"/>
        </w:rPr>
        <w:t xml:space="preserve">), stabilește principiile, condițiile și procedurile de atribuire a finanțării nerambursabile pentru proiectele organizațiilor necomerciale în scopul </w:t>
      </w:r>
      <w:r>
        <w:rPr>
          <w:rFonts w:ascii="Times New Roman" w:eastAsia="Times New Roman" w:hAnsi="Times New Roman" w:cs="Times New Roman"/>
          <w:sz w:val="28"/>
          <w:szCs w:val="28"/>
        </w:rPr>
        <w:t xml:space="preserve">dezvoltării și susținerii IMM-urilor, prin </w:t>
      </w:r>
      <w:r>
        <w:rPr>
          <w:rFonts w:ascii="Times New Roman" w:eastAsia="Times New Roman" w:hAnsi="Times New Roman" w:cs="Times New Roman"/>
          <w:color w:val="000000"/>
          <w:sz w:val="28"/>
          <w:szCs w:val="28"/>
        </w:rPr>
        <w:t>încuraj</w:t>
      </w:r>
      <w:r>
        <w:rPr>
          <w:rFonts w:ascii="Times New Roman" w:eastAsia="Times New Roman" w:hAnsi="Times New Roman" w:cs="Times New Roman"/>
          <w:sz w:val="28"/>
          <w:szCs w:val="28"/>
        </w:rPr>
        <w:t xml:space="preserve">area </w:t>
      </w:r>
      <w:r>
        <w:rPr>
          <w:rFonts w:ascii="Times New Roman" w:eastAsia="Times New Roman" w:hAnsi="Times New Roman" w:cs="Times New Roman"/>
          <w:color w:val="000000"/>
          <w:sz w:val="28"/>
          <w:szCs w:val="28"/>
        </w:rPr>
        <w:t>proiectelor în domeniul turismului, valorificării potențialului turistic, precum și al formării condițiilor adecvate pentru desfășurarea activităților turistice</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în crearea de produse noi, dezvoltarea lanțurilor valorice, crearea ecosistemului turistic în regiuni, promovate de societatea civilă și integrarea acesteia în procesul de realizare a obiectivelor naționale în domeniul turismului.</w:t>
      </w:r>
    </w:p>
    <w:p w14:paraId="65226813"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w:t>
      </w:r>
      <w:r>
        <w:rPr>
          <w:rFonts w:ascii="Times New Roman" w:eastAsia="Times New Roman" w:hAnsi="Times New Roman" w:cs="Times New Roman"/>
          <w:color w:val="000000"/>
          <w:sz w:val="28"/>
          <w:szCs w:val="28"/>
        </w:rPr>
        <w:t xml:space="preserve"> Organizațiile necomerciale, care desfășoară activitate de utilitate publică, pot beneficia de sprijin financiar prin finanțare nerambursabilă a proiectelor în domeniul turismului, prezentate de acestea în modul stabilit în prezentul Regulament și în limitele alocațiilor aprobate anual în acest scop în bugetul de stat. </w:t>
      </w:r>
    </w:p>
    <w:p w14:paraId="73FF7D10"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highlight w:val="white"/>
        </w:rPr>
      </w:pPr>
      <w:bookmarkStart w:id="2" w:name="_heading=h.snrn2sm1a989" w:colFirst="0" w:colLast="0"/>
      <w:bookmarkEnd w:id="2"/>
      <w:r>
        <w:rPr>
          <w:rFonts w:ascii="Times New Roman" w:eastAsia="Times New Roman" w:hAnsi="Times New Roman" w:cs="Times New Roman"/>
          <w:b/>
          <w:bCs/>
          <w:color w:val="000000"/>
          <w:sz w:val="28"/>
          <w:szCs w:val="28"/>
          <w:highlight w:val="white"/>
        </w:rPr>
        <w:t>3.</w:t>
      </w:r>
      <w:r>
        <w:rPr>
          <w:rFonts w:ascii="Times New Roman" w:eastAsia="Times New Roman" w:hAnsi="Times New Roman" w:cs="Times New Roman"/>
          <w:color w:val="000000"/>
          <w:sz w:val="28"/>
          <w:szCs w:val="28"/>
        </w:rPr>
        <w:t xml:space="preserve"> Prezentul Regulament stabilește mecanismul de finanțare nerambursabilă</w:t>
      </w:r>
      <w:r>
        <w:rPr>
          <w:rFonts w:ascii="Times New Roman" w:eastAsia="Times New Roman" w:hAnsi="Times New Roman" w:cs="Times New Roman"/>
          <w:color w:val="000000"/>
          <w:sz w:val="28"/>
          <w:szCs w:val="28"/>
          <w:highlight w:val="white"/>
        </w:rPr>
        <w:t xml:space="preserve"> a proiectelor din </w:t>
      </w:r>
      <w:r>
        <w:rPr>
          <w:rFonts w:ascii="Times New Roman" w:eastAsia="Times New Roman" w:hAnsi="Times New Roman" w:cs="Times New Roman"/>
          <w:color w:val="000000"/>
          <w:sz w:val="28"/>
          <w:szCs w:val="28"/>
        </w:rPr>
        <w:t>domeniul turismului</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highlight w:val="white"/>
        </w:rPr>
        <w:t>de interes internațional, național, regional sau local, care se implementează în Republica Moldova,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ce pot varia de la un an la altul, dar care se axează pe </w:t>
      </w:r>
      <w:r>
        <w:rPr>
          <w:rFonts w:ascii="Times New Roman" w:eastAsia="Times New Roman" w:hAnsi="Times New Roman" w:cs="Times New Roman"/>
          <w:sz w:val="28"/>
          <w:szCs w:val="28"/>
          <w:highlight w:val="white"/>
        </w:rPr>
        <w:t>prioritățile de finanțare</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i/>
          <w:iCs/>
          <w:color w:val="000000"/>
          <w:sz w:val="28"/>
          <w:szCs w:val="28"/>
        </w:rPr>
        <w:t>dezvoltarea produselor turistice durabile și sustenabile; furnizarea serviciilor turistice inovatoare și digitale; crearea imaginii, promovarea și creșterea vizibilității destinațiilor turistice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highlight w:val="white"/>
        </w:rPr>
        <w:t xml:space="preserve"> revăzute în anexa nr. 1 și care țin de realizarea priorităților stabilite anual de Instituția Publică „Oficiul Național al Turismului”</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color w:val="000000"/>
          <w:sz w:val="28"/>
          <w:szCs w:val="28"/>
          <w:highlight w:val="white"/>
        </w:rPr>
        <w:t xml:space="preserve">în domeniul turismului și publicate pe pagina web oficială a ONT la începutul anului bugetar. </w:t>
      </w:r>
    </w:p>
    <w:p w14:paraId="2B6DB8B0" w14:textId="77777777" w:rsidR="00970CC0" w:rsidRDefault="00000000">
      <w:pPr>
        <w:pBdr>
          <w:top w:val="nil"/>
          <w:left w:val="nil"/>
          <w:bottom w:val="nil"/>
          <w:right w:val="nil"/>
          <w:between w:val="nil"/>
        </w:pBdr>
        <w:shd w:val="clear" w:color="auto" w:fill="FFFFFF"/>
        <w:spacing w:after="0" w:line="240" w:lineRule="auto"/>
        <w:ind w:firstLine="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4.</w:t>
      </w:r>
      <w:r>
        <w:rPr>
          <w:rFonts w:ascii="Times New Roman" w:eastAsia="Times New Roman" w:hAnsi="Times New Roman" w:cs="Times New Roman"/>
          <w:color w:val="000000"/>
          <w:sz w:val="28"/>
          <w:szCs w:val="28"/>
          <w:highlight w:val="white"/>
        </w:rPr>
        <w:t xml:space="preserve"> În sensul prezentului Regulament, următoarele noțiuni semnifică:</w:t>
      </w:r>
    </w:p>
    <w:p w14:paraId="2B5304BE"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autoritate finanțatoare</w:t>
      </w: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sz w:val="28"/>
          <w:szCs w:val="28"/>
          <w:highlight w:val="white"/>
        </w:rPr>
        <w:t>Instituția Publică „Oficiul Național al Turismului”</w:t>
      </w:r>
      <w:r>
        <w:rPr>
          <w:rFonts w:ascii="Times New Roman" w:eastAsia="Times New Roman" w:hAnsi="Times New Roman" w:cs="Times New Roman"/>
          <w:color w:val="000000"/>
          <w:sz w:val="28"/>
          <w:szCs w:val="28"/>
        </w:rPr>
        <w:t>, în procesul de finanțare nerambursabilă pentru implementarea proiectelor ale organizațiilor necomerciale în domeniul turismului, conform priorităților de dezvoltare stabilite, în baza concursurilor realizate, cu respectarea procedurilor descrise în prezentul Regulament;</w:t>
      </w:r>
    </w:p>
    <w:p w14:paraId="2AE9A778"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contract de finanțare nerambursabilă</w:t>
      </w:r>
      <w:r>
        <w:rPr>
          <w:rFonts w:ascii="Times New Roman" w:eastAsia="Times New Roman" w:hAnsi="Times New Roman" w:cs="Times New Roman"/>
          <w:color w:val="000000"/>
          <w:sz w:val="28"/>
          <w:szCs w:val="28"/>
        </w:rPr>
        <w:t xml:space="preserve"> – contract încheiat în modul stabilit de prezentul Regulament între Ministerul Culturii și una sau mai multe organizații necomerciale care sunt beneficiari de finanțare nerambursabilă;</w:t>
      </w:r>
    </w:p>
    <w:p w14:paraId="60CA7425"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finanțare nerambursabilă</w:t>
      </w:r>
      <w:r>
        <w:rPr>
          <w:rFonts w:ascii="Times New Roman" w:eastAsia="Times New Roman" w:hAnsi="Times New Roman" w:cs="Times New Roman"/>
          <w:color w:val="000000"/>
          <w:sz w:val="28"/>
          <w:szCs w:val="28"/>
        </w:rPr>
        <w:t xml:space="preserve"> – sprijin financiar acordat de stat organizațiilor necomerciale pentru implementarea proiectelor în domeniul turismului, conform priorităților de dezvoltare stabilite pentru fiecare domeniu, care este prevăzut în bugetul de stat;</w:t>
      </w:r>
    </w:p>
    <w:p w14:paraId="51D68934"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cheltuieli eligibile</w:t>
      </w:r>
      <w:r>
        <w:rPr>
          <w:rFonts w:ascii="Times New Roman" w:eastAsia="Times New Roman" w:hAnsi="Times New Roman" w:cs="Times New Roman"/>
          <w:color w:val="000000"/>
          <w:sz w:val="28"/>
          <w:szCs w:val="28"/>
        </w:rPr>
        <w:t xml:space="preserve"> – costuri necesare pentru realizarea proiectului</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color w:val="000000"/>
          <w:sz w:val="28"/>
          <w:szCs w:val="28"/>
        </w:rPr>
        <w:t>în</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color w:val="000000"/>
          <w:sz w:val="28"/>
          <w:szCs w:val="28"/>
        </w:rPr>
        <w:t>domeniul turismului de interes public, pe care beneficiarul de mijloace financiare nerambursabile le include în bugetul detaliat al proiectului și pentru care solicită acoperire totală sau parțială din bugetul de stat;</w:t>
      </w:r>
    </w:p>
    <w:p w14:paraId="2E5A80F5"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solicitant </w:t>
      </w:r>
      <w:r>
        <w:rPr>
          <w:rFonts w:ascii="Times New Roman" w:eastAsia="Times New Roman" w:hAnsi="Times New Roman" w:cs="Times New Roman"/>
          <w:color w:val="000000"/>
          <w:sz w:val="28"/>
          <w:szCs w:val="28"/>
        </w:rPr>
        <w:t>– organizație necomercială care solicită susținerea financiară nerambursabilă pentru implementarea proiectelor de interes public în domeniul turismului;</w:t>
      </w:r>
    </w:p>
    <w:p w14:paraId="61121483"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beneficiar</w:t>
      </w:r>
      <w:r>
        <w:rPr>
          <w:rFonts w:ascii="Times New Roman" w:eastAsia="Times New Roman" w:hAnsi="Times New Roman" w:cs="Times New Roman"/>
          <w:color w:val="000000"/>
          <w:sz w:val="28"/>
          <w:szCs w:val="28"/>
        </w:rPr>
        <w:t xml:space="preserve"> – solicitant, căruia i se atribuie contractul de finanțare nerambursabilă în urma aplicării procedurii selecției publice de proiecte.</w:t>
      </w:r>
    </w:p>
    <w:p w14:paraId="0DA9D9CF" w14:textId="77777777" w:rsidR="00970CC0" w:rsidRDefault="00000000">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5.</w:t>
      </w:r>
      <w:r>
        <w:rPr>
          <w:rFonts w:ascii="Times New Roman" w:eastAsia="Times New Roman" w:hAnsi="Times New Roman" w:cs="Times New Roman"/>
          <w:color w:val="000000"/>
          <w:sz w:val="28"/>
          <w:szCs w:val="28"/>
        </w:rPr>
        <w:t xml:space="preserve"> La baza mecanismului de finanțare nerambursabilă a proiectelor organizațiilor necomerciale din domeniul turismului stau principiile prevăzute la pct. 6 din Regulamentul-cadru cu privire la mecanismul de finanțare nerambursabilă a proiectelor organizațiilor necomerciale aprobat prin Hotărârea Guvernului nr. 656/2022.</w:t>
      </w:r>
    </w:p>
    <w:p w14:paraId="4815831C" w14:textId="77777777" w:rsidR="00970CC0" w:rsidRDefault="00000000">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6.</w:t>
      </w:r>
      <w:r>
        <w:rPr>
          <w:rFonts w:ascii="Times New Roman" w:eastAsia="Times New Roman" w:hAnsi="Times New Roman" w:cs="Times New Roman"/>
          <w:color w:val="000000"/>
          <w:sz w:val="28"/>
          <w:szCs w:val="28"/>
        </w:rPr>
        <w:t xml:space="preserve"> Condițiile generale de acordare a finanțării nerambursabile pentru proiectele  organizațiilor necomerciale în domeniul turismului, sunt următoarele:</w:t>
      </w:r>
    </w:p>
    <w:p w14:paraId="7C53A9C0" w14:textId="77777777" w:rsidR="00970CC0" w:rsidRDefault="00000000">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finanțarea nerambursabilă a proiectelor se realizează anual de către autoritatea finanțatoare conform priorităților stabilite.</w:t>
      </w:r>
    </w:p>
    <w:p w14:paraId="30A43020" w14:textId="77777777" w:rsidR="00970CC0" w:rsidRDefault="00000000">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finanțarea nerambursabilă se atribuie exclusiv în baza concursului public de depunere a propunerilor de proiecte;</w:t>
      </w:r>
    </w:p>
    <w:p w14:paraId="25D6FB64" w14:textId="77777777" w:rsidR="00970CC0" w:rsidRDefault="00000000">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organizațiile necomerciale vor beneficia de finanțarea nerambursabilă doar dintr-un singur buget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(bugetul de stat sau bugetul unității administrativ-teritoriale, sau din contul surselor de asistență externă în cazul în care aplică cu același proiect la diferite surse de finanțare</w:t>
      </w:r>
      <w:r>
        <w:rPr>
          <w:rFonts w:ascii="Times New Roman" w:eastAsia="Times New Roman" w:hAnsi="Times New Roman" w:cs="Times New Roman"/>
          <w:sz w:val="28"/>
          <w:szCs w:val="28"/>
        </w:rPr>
        <w:t>);</w:t>
      </w:r>
    </w:p>
    <w:p w14:paraId="4376F4E8" w14:textId="77777777" w:rsidR="00970CC0" w:rsidRDefault="00000000">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autoritatea finanțatoare asigură respectarea principiilor, care stau la baza mecanismului de finanțare nerambursabilă a proiectelor organizațiilor necomerciale;</w:t>
      </w:r>
    </w:p>
    <w:p w14:paraId="459E505B" w14:textId="77777777" w:rsidR="00970CC0" w:rsidRDefault="00000000">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finanțarea nerambursabilă se oferă pentru implementarea proiectelor pe parcursul anului bugetar, ținând cont de alocațiile aprobate anual în acest scop în bugetul de stat;</w:t>
      </w:r>
    </w:p>
    <w:p w14:paraId="657D985C" w14:textId="77777777" w:rsidR="00970CC0" w:rsidRDefault="00000000">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durata contractului de finanțare se stabilește de către autoritatea finanțatoare, astfel încât să fie asigurată derularea proiectului în anul calendaristic în care s-a acordat finanțarea.</w:t>
      </w:r>
    </w:p>
    <w:p w14:paraId="1E4AF171" w14:textId="77777777" w:rsidR="00970CC0" w:rsidRDefault="00000000">
      <w:pPr>
        <w:pBdr>
          <w:top w:val="nil"/>
          <w:left w:val="nil"/>
          <w:bottom w:val="nil"/>
          <w:right w:val="nil"/>
          <w:between w:val="nil"/>
        </w:pBd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 Finanțarea nerambursabilă se acordă în proporție de 80% din valoarea totală a proiectului.</w:t>
      </w:r>
    </w:p>
    <w:p w14:paraId="3C1D44BB" w14:textId="77777777" w:rsidR="00970CC0" w:rsidRDefault="00000000">
      <w:pPr>
        <w:pBdr>
          <w:top w:val="nil"/>
          <w:left w:val="nil"/>
          <w:bottom w:val="nil"/>
          <w:right w:val="nil"/>
          <w:between w:val="nil"/>
        </w:pBdr>
        <w:spacing w:after="0" w:line="276" w:lineRule="auto"/>
        <w:ind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7.</w:t>
      </w:r>
      <w:r>
        <w:rPr>
          <w:rFonts w:ascii="Times New Roman" w:eastAsia="Times New Roman" w:hAnsi="Times New Roman" w:cs="Times New Roman"/>
          <w:color w:val="000000"/>
          <w:sz w:val="28"/>
          <w:szCs w:val="28"/>
        </w:rPr>
        <w:t xml:space="preserve"> Nu se acordă finanțare nerambursabilă solicitantului, dacă acesta</w:t>
      </w:r>
      <w:r>
        <w:rPr>
          <w:color w:val="000000"/>
        </w:rPr>
        <w:t xml:space="preserve"> </w:t>
      </w:r>
      <w:r>
        <w:rPr>
          <w:rFonts w:ascii="Times New Roman" w:eastAsia="Times New Roman" w:hAnsi="Times New Roman" w:cs="Times New Roman"/>
          <w:color w:val="000000"/>
          <w:sz w:val="28"/>
          <w:szCs w:val="28"/>
        </w:rPr>
        <w:t>se regăsește în cel puțin una din următoarele situații:</w:t>
      </w:r>
    </w:p>
    <w:p w14:paraId="49E29B1E" w14:textId="77777777" w:rsidR="00970CC0" w:rsidRDefault="00000000">
      <w:pPr>
        <w:pBdr>
          <w:top w:val="nil"/>
          <w:left w:val="nil"/>
          <w:bottom w:val="nil"/>
          <w:right w:val="nil"/>
          <w:between w:val="nil"/>
        </w:pBdr>
        <w:spacing w:after="0" w:line="276" w:lineRule="auto"/>
        <w:ind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se află în incapacitate de plată;</w:t>
      </w:r>
    </w:p>
    <w:p w14:paraId="156597EE" w14:textId="77777777" w:rsidR="00970CC0" w:rsidRDefault="00000000">
      <w:pPr>
        <w:pBdr>
          <w:top w:val="nil"/>
          <w:left w:val="nil"/>
          <w:bottom w:val="nil"/>
          <w:right w:val="nil"/>
          <w:between w:val="nil"/>
        </w:pBdr>
        <w:spacing w:after="0" w:line="276" w:lineRule="auto"/>
        <w:ind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are conturile bancare blocate;</w:t>
      </w:r>
    </w:p>
    <w:p w14:paraId="75824A9E" w14:textId="77777777" w:rsidR="00970CC0" w:rsidRDefault="00000000">
      <w:pPr>
        <w:pBdr>
          <w:top w:val="nil"/>
          <w:left w:val="nil"/>
          <w:bottom w:val="nil"/>
          <w:right w:val="nil"/>
          <w:between w:val="nil"/>
        </w:pBdr>
        <w:spacing w:after="0" w:line="276" w:lineRule="auto"/>
        <w:ind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nu a îndeplinit obligațiile în alte contracte asumate (cu autoritatea finanțatoare);</w:t>
      </w:r>
    </w:p>
    <w:p w14:paraId="22758257" w14:textId="77777777" w:rsidR="00970CC0" w:rsidRDefault="00000000">
      <w:pPr>
        <w:pBdr>
          <w:top w:val="nil"/>
          <w:left w:val="nil"/>
          <w:bottom w:val="nil"/>
          <w:right w:val="nil"/>
          <w:between w:val="nil"/>
        </w:pBdr>
        <w:spacing w:after="0" w:line="276" w:lineRule="auto"/>
        <w:ind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nu a utilizat resursele financiare alocate conform clauzelor contractului de finanțare nerambursabilă încheiat anterior;</w:t>
      </w:r>
    </w:p>
    <w:p w14:paraId="11160FA9" w14:textId="77777777" w:rsidR="00970CC0" w:rsidRDefault="00000000">
      <w:pPr>
        <w:pBdr>
          <w:top w:val="nil"/>
          <w:left w:val="nil"/>
          <w:bottom w:val="nil"/>
          <w:right w:val="nil"/>
          <w:between w:val="nil"/>
        </w:pBdr>
        <w:spacing w:after="0" w:line="276" w:lineRule="auto"/>
        <w:ind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a prezentat informații false sau neactuale, în documentele furnizate;</w:t>
      </w:r>
    </w:p>
    <w:p w14:paraId="166387E2" w14:textId="77777777" w:rsidR="00970CC0" w:rsidRDefault="00000000">
      <w:pPr>
        <w:pBdr>
          <w:top w:val="nil"/>
          <w:left w:val="nil"/>
          <w:bottom w:val="nil"/>
          <w:right w:val="nil"/>
          <w:between w:val="nil"/>
        </w:pBdr>
        <w:spacing w:after="0" w:line="276" w:lineRule="auto"/>
        <w:ind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nu a prevăzut în statutul organizației activitatea în domeniul turismului;</w:t>
      </w:r>
    </w:p>
    <w:p w14:paraId="0360B981" w14:textId="77777777" w:rsidR="00970CC0" w:rsidRDefault="00000000">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rPr>
        <w:t>8.</w:t>
      </w:r>
      <w:r>
        <w:rPr>
          <w:rFonts w:ascii="Times New Roman" w:eastAsia="Times New Roman" w:hAnsi="Times New Roman" w:cs="Times New Roman"/>
          <w:color w:val="000000"/>
          <w:sz w:val="28"/>
          <w:szCs w:val="28"/>
        </w:rPr>
        <w:t xml:space="preserve"> Rezultatele realizării proiectelor finanțate în baza priorităților vor fi evaluate de către </w:t>
      </w:r>
      <w:r>
        <w:rPr>
          <w:rFonts w:ascii="Times New Roman" w:eastAsia="Times New Roman" w:hAnsi="Times New Roman" w:cs="Times New Roman"/>
          <w:sz w:val="28"/>
          <w:szCs w:val="28"/>
          <w:highlight w:val="white"/>
        </w:rPr>
        <w:t>Instituția Publică „Oficiul Național al Turismului”</w:t>
      </w:r>
      <w:r>
        <w:rPr>
          <w:rFonts w:ascii="Times New Roman" w:eastAsia="Times New Roman" w:hAnsi="Times New Roman" w:cs="Times New Roman"/>
          <w:color w:val="000000"/>
          <w:sz w:val="28"/>
          <w:szCs w:val="28"/>
        </w:rPr>
        <w:t>, cu elaborarea unor constatări de impact al utilizării resurselor de către organizațiile necomerciale.</w:t>
      </w:r>
    </w:p>
    <w:p w14:paraId="30B93985" w14:textId="77777777" w:rsidR="00970CC0" w:rsidRDefault="00000000">
      <w:pPr>
        <w:pBdr>
          <w:top w:val="nil"/>
          <w:left w:val="nil"/>
          <w:bottom w:val="nil"/>
          <w:right w:val="nil"/>
          <w:between w:val="nil"/>
        </w:pBdr>
        <w:spacing w:before="360" w:after="120" w:line="276"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II. Procedura de desfășurare a concursului</w:t>
      </w:r>
    </w:p>
    <w:p w14:paraId="4CE06ADF" w14:textId="77777777" w:rsidR="00970CC0" w:rsidRDefault="00000000">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highlight w:val="white"/>
        </w:rPr>
      </w:pPr>
      <w:bookmarkStart w:id="3" w:name="_heading=h.118zh5ikptyc" w:colFirst="0" w:colLast="0"/>
      <w:bookmarkEnd w:id="3"/>
      <w:r>
        <w:rPr>
          <w:rFonts w:ascii="Times New Roman" w:eastAsia="Times New Roman" w:hAnsi="Times New Roman" w:cs="Times New Roman"/>
          <w:b/>
          <w:bCs/>
          <w:color w:val="000000"/>
          <w:sz w:val="28"/>
          <w:szCs w:val="28"/>
        </w:rPr>
        <w:t>9.</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Autoritatea finanțatoare asigură procesul de organizare a concursului pentru acordarea finanțării nerambursabile, cu respectarea principiilor transparenței și al tratamentului egal, conform următoarelor etape: </w:t>
      </w:r>
    </w:p>
    <w:p w14:paraId="5870D8C2" w14:textId="77777777" w:rsidR="00970CC0" w:rsidRDefault="00000000">
      <w:pPr>
        <w:pBdr>
          <w:top w:val="nil"/>
          <w:left w:val="nil"/>
          <w:bottom w:val="nil"/>
          <w:right w:val="nil"/>
          <w:between w:val="nil"/>
        </w:pBdr>
        <w:shd w:val="clear" w:color="auto" w:fill="FFFFFF"/>
        <w:spacing w:after="0" w:line="276" w:lineRule="auto"/>
        <w:ind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anunțarea/publicarea condițiilor de participare la concurs;</w:t>
      </w:r>
    </w:p>
    <w:p w14:paraId="7C386BF4"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organizarea sesiunilor de informare privind condițiile de participare la concurs;</w:t>
      </w:r>
    </w:p>
    <w:p w14:paraId="1B927BE9"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aplicarea la concurs (depunerea dosarului de solicitare a finanțării);</w:t>
      </w:r>
    </w:p>
    <w:p w14:paraId="5DA84E51"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evaluarea și selectarea proiectelor;</w:t>
      </w:r>
    </w:p>
    <w:p w14:paraId="1CD16DDE"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comunicarea rezultatelor concursului organizațiilor care au depus dosarul de solicitare a finanțării;</w:t>
      </w:r>
    </w:p>
    <w:p w14:paraId="29709B77"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soluționarea contestațiilor posibile;</w:t>
      </w:r>
    </w:p>
    <w:p w14:paraId="6008F873"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negocierea/încheierea contractelor de finanțare nerambursabilă;</w:t>
      </w:r>
    </w:p>
    <w:p w14:paraId="533033E9"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publicarea  rezultatelor concursului.</w:t>
      </w:r>
    </w:p>
    <w:p w14:paraId="7B444D34"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rPr>
        <w:t xml:space="preserve">10. </w:t>
      </w:r>
      <w:r>
        <w:rPr>
          <w:rFonts w:ascii="Times New Roman" w:eastAsia="Times New Roman" w:hAnsi="Times New Roman" w:cs="Times New Roman"/>
          <w:color w:val="000000"/>
          <w:sz w:val="28"/>
          <w:szCs w:val="28"/>
          <w:highlight w:val="white"/>
        </w:rPr>
        <w:t xml:space="preserve">Anunțul și condițiile de desfășurare a concursului se publică pe pagina web oficială a autorității finanțatoare, cu cel puțin două luni înainte de data-limită pentru depunerea dosarelor de solicitare a finanțării, în conformitate cu prevederile art.5 alin.(7) din </w:t>
      </w:r>
      <w:r>
        <w:rPr>
          <w:rFonts w:ascii="Times New Roman" w:eastAsia="Times New Roman" w:hAnsi="Times New Roman" w:cs="Times New Roman"/>
          <w:color w:val="000000"/>
          <w:sz w:val="28"/>
          <w:szCs w:val="28"/>
        </w:rPr>
        <w:t>Legea nr. 86/2020</w:t>
      </w:r>
      <w:r>
        <w:rPr>
          <w:rFonts w:ascii="Times New Roman" w:eastAsia="Times New Roman" w:hAnsi="Times New Roman" w:cs="Times New Roman"/>
          <w:color w:val="000000"/>
          <w:sz w:val="28"/>
          <w:szCs w:val="28"/>
          <w:highlight w:val="white"/>
        </w:rPr>
        <w:t xml:space="preserve"> cu privire la organizațiile necomerciale.</w:t>
      </w:r>
    </w:p>
    <w:p w14:paraId="0652C2C0"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11.</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Anunțul public de lansare a concursului de finanțare nerambursabilă conține:</w:t>
      </w:r>
    </w:p>
    <w:p w14:paraId="3005E0CB"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1) informația privind autoritatea finanțatoare;</w:t>
      </w:r>
    </w:p>
    <w:p w14:paraId="6C8DA98E"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cuantumul total al alocațiilor bugetare pentru finanțarea nerambursabilă în anul respectiv și suma maximă per proiect;</w:t>
      </w:r>
    </w:p>
    <w:p w14:paraId="11AE9650"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3) formularul cererii de finanțare, al bugetului estimativ şi al declarației privind neadmiterea conflictului de interese, conform modelelor prevăzute în anexele nr. 2– nr. 4;</w:t>
      </w:r>
    </w:p>
    <w:p w14:paraId="71C939ED"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4) situațiile în care solicitanților nu li se acordă finanțare, în conformitate cu</w:t>
      </w:r>
    </w:p>
    <w:p w14:paraId="4FC02226" w14:textId="77777777" w:rsidR="00970CC0" w:rsidRDefault="00000000">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prevederile pct.7;</w:t>
      </w:r>
    </w:p>
    <w:p w14:paraId="18EAD8C2"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5) structura dosarului de solicitare a finanțării, criteriile de evaluare etc.;</w:t>
      </w:r>
    </w:p>
    <w:p w14:paraId="048A52DC"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6) termenele de depunere a proiectelor și de desfășurare a concursului;</w:t>
      </w:r>
    </w:p>
    <w:p w14:paraId="4999873B"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7) datele despre organizarea sesiunii de informare și instruire pentru organizațiile interesate să depună proiectele la concurs.</w:t>
      </w:r>
    </w:p>
    <w:p w14:paraId="21E5BCF3"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12.</w:t>
      </w:r>
      <w:r>
        <w:rPr>
          <w:rFonts w:ascii="Times New Roman" w:eastAsia="Times New Roman" w:hAnsi="Times New Roman" w:cs="Times New Roman"/>
          <w:color w:val="000000"/>
          <w:sz w:val="28"/>
          <w:szCs w:val="28"/>
        </w:rPr>
        <w:t xml:space="preserve"> Condițiile de depunere a cererii de finanțare:</w:t>
      </w:r>
    </w:p>
    <w:p w14:paraId="058E79F1" w14:textId="77777777" w:rsidR="00970CC0" w:rsidRDefault="00000000">
      <w:pPr>
        <w:pBdr>
          <w:top w:val="nil"/>
          <w:left w:val="nil"/>
          <w:bottom w:val="nil"/>
          <w:right w:val="nil"/>
          <w:between w:val="nil"/>
        </w:pBdr>
        <w:shd w:val="clear" w:color="auto" w:fill="FFFFFF"/>
        <w:spacing w:after="0" w:line="276" w:lineRule="auto"/>
        <w:ind w:firstLine="5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 solicitanții vor utiliza doar formularele prevăzute în prezentul Regulament;</w:t>
      </w:r>
    </w:p>
    <w:p w14:paraId="45E8C6DA" w14:textId="77777777" w:rsidR="00970CC0" w:rsidRDefault="00000000">
      <w:pPr>
        <w:pBdr>
          <w:top w:val="nil"/>
          <w:left w:val="nil"/>
          <w:bottom w:val="nil"/>
          <w:right w:val="nil"/>
          <w:between w:val="nil"/>
        </w:pBdr>
        <w:shd w:val="clear" w:color="auto" w:fill="FFFFFF"/>
        <w:spacing w:after="0" w:line="276" w:lineRule="auto"/>
        <w:ind w:firstLine="5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 toate documentele aferente cererilor de finanțare vor fi completate în limba română;</w:t>
      </w:r>
    </w:p>
    <w:p w14:paraId="0E216ACC" w14:textId="77777777" w:rsidR="00970CC0" w:rsidRDefault="00000000">
      <w:pPr>
        <w:pBdr>
          <w:top w:val="nil"/>
          <w:left w:val="nil"/>
          <w:bottom w:val="nil"/>
          <w:right w:val="nil"/>
          <w:between w:val="nil"/>
        </w:pBdr>
        <w:shd w:val="clear" w:color="auto" w:fill="FFFFFF"/>
        <w:spacing w:after="0" w:line="276" w:lineRule="auto"/>
        <w:ind w:firstLine="5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3) solicitanții pot depune un singur proiect care poate include una sau mai multe priorități de finanțare;</w:t>
      </w:r>
    </w:p>
    <w:p w14:paraId="330AC02B" w14:textId="77777777" w:rsidR="00970CC0" w:rsidRDefault="00000000">
      <w:pPr>
        <w:pBdr>
          <w:top w:val="nil"/>
          <w:left w:val="nil"/>
          <w:bottom w:val="nil"/>
          <w:right w:val="nil"/>
          <w:between w:val="nil"/>
        </w:pBdr>
        <w:shd w:val="clear" w:color="auto" w:fill="FFFFFF"/>
        <w:spacing w:after="0" w:line="276" w:lineRule="auto"/>
        <w:ind w:firstLine="5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4) în cazul în care informațiile prezentate nu sunt suficient de clare, comisia de evaluare este în drept să solicite clarificarea informațiilor. Nu se vor accepta actele emise după data depunerii dosarului de aplicare la concurs;</w:t>
      </w:r>
    </w:p>
    <w:p w14:paraId="3E7B03F8" w14:textId="77777777" w:rsidR="00970CC0" w:rsidRDefault="00000000">
      <w:pPr>
        <w:pBdr>
          <w:top w:val="nil"/>
          <w:left w:val="nil"/>
          <w:bottom w:val="nil"/>
          <w:right w:val="nil"/>
          <w:between w:val="nil"/>
        </w:pBdr>
        <w:shd w:val="clear" w:color="auto" w:fill="FFFFFF"/>
        <w:spacing w:after="0" w:line="276" w:lineRule="auto"/>
        <w:ind w:firstLine="5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5) dosarul de solicitare a finanțării nerambursabile se transmite în format electronic, într-un singur sau mai multe fișiere scanate în format PDF, la adresa de e-mail indicată în anunțul public.</w:t>
      </w:r>
    </w:p>
    <w:p w14:paraId="10540C7A" w14:textId="77777777" w:rsidR="00970CC0" w:rsidRDefault="00000000">
      <w:pPr>
        <w:pBdr>
          <w:top w:val="nil"/>
          <w:left w:val="nil"/>
          <w:bottom w:val="nil"/>
          <w:right w:val="nil"/>
          <w:between w:val="nil"/>
        </w:pBdr>
        <w:shd w:val="clear" w:color="auto" w:fill="FFFFFF"/>
        <w:spacing w:after="0" w:line="276" w:lineRule="auto"/>
        <w:ind w:firstLine="5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6) durata de implementare a proiectelor finanțate nu poate depăși data de 30 noiembrie al anului calendaristic.</w:t>
      </w:r>
    </w:p>
    <w:p w14:paraId="036F4D76"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13.</w:t>
      </w:r>
      <w:r>
        <w:rPr>
          <w:rFonts w:ascii="Times New Roman" w:eastAsia="Times New Roman" w:hAnsi="Times New Roman" w:cs="Times New Roman"/>
          <w:color w:val="000000"/>
          <w:sz w:val="28"/>
          <w:szCs w:val="28"/>
        </w:rPr>
        <w:t xml:space="preserve"> Dosarul de solicitare a finanțării nerambursabile va conține următoarele documente:</w:t>
      </w:r>
    </w:p>
    <w:p w14:paraId="5FFB50A0" w14:textId="77777777" w:rsidR="00970CC0" w:rsidRDefault="00000000">
      <w:pPr>
        <w:pBdr>
          <w:top w:val="nil"/>
          <w:left w:val="nil"/>
          <w:bottom w:val="nil"/>
          <w:right w:val="nil"/>
          <w:between w:val="nil"/>
        </w:pBdr>
        <w:shd w:val="clear" w:color="auto" w:fill="FFFFFF"/>
        <w:spacing w:after="0" w:line="276"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 formularul privind cererea de finanțare nerambursabilă (anexa nr. 1);</w:t>
      </w:r>
    </w:p>
    <w:p w14:paraId="47510322" w14:textId="77777777" w:rsidR="00970CC0" w:rsidRDefault="00000000">
      <w:pPr>
        <w:pBdr>
          <w:top w:val="nil"/>
          <w:left w:val="nil"/>
          <w:bottom w:val="nil"/>
          <w:right w:val="nil"/>
          <w:between w:val="nil"/>
        </w:pBdr>
        <w:shd w:val="clear" w:color="auto" w:fill="FFFFFF"/>
        <w:spacing w:after="0" w:line="276"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 bugetul estimativ; </w:t>
      </w:r>
    </w:p>
    <w:p w14:paraId="09F2169B" w14:textId="77777777" w:rsidR="00970CC0" w:rsidRDefault="00000000">
      <w:pPr>
        <w:pBdr>
          <w:top w:val="nil"/>
          <w:left w:val="nil"/>
          <w:bottom w:val="nil"/>
          <w:right w:val="nil"/>
          <w:between w:val="nil"/>
        </w:pBdr>
        <w:shd w:val="clear" w:color="auto" w:fill="FFFFFF"/>
        <w:spacing w:after="0" w:line="276"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3) CV-ul managerului </w:t>
      </w:r>
      <w:r>
        <w:rPr>
          <w:rFonts w:ascii="Times New Roman" w:eastAsia="Times New Roman" w:hAnsi="Times New Roman" w:cs="Times New Roman"/>
          <w:sz w:val="28"/>
          <w:szCs w:val="28"/>
        </w:rPr>
        <w:t xml:space="preserve">și al echipei </w:t>
      </w:r>
      <w:r>
        <w:rPr>
          <w:rFonts w:ascii="Times New Roman" w:eastAsia="Times New Roman" w:hAnsi="Times New Roman" w:cs="Times New Roman"/>
          <w:color w:val="000000"/>
          <w:sz w:val="28"/>
          <w:szCs w:val="28"/>
        </w:rPr>
        <w:t>de proiect;</w:t>
      </w:r>
    </w:p>
    <w:p w14:paraId="2759F753" w14:textId="77777777" w:rsidR="00970CC0" w:rsidRDefault="00000000">
      <w:pPr>
        <w:pBdr>
          <w:top w:val="nil"/>
          <w:left w:val="nil"/>
          <w:bottom w:val="nil"/>
          <w:right w:val="nil"/>
          <w:between w:val="nil"/>
        </w:pBdr>
        <w:shd w:val="clear" w:color="auto" w:fill="FFFFFF"/>
        <w:spacing w:after="0" w:line="276"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4) copia statutului organizației;</w:t>
      </w:r>
    </w:p>
    <w:p w14:paraId="4171FBC7" w14:textId="77777777" w:rsidR="00970CC0" w:rsidRDefault="00000000">
      <w:pPr>
        <w:pBdr>
          <w:top w:val="nil"/>
          <w:left w:val="nil"/>
          <w:bottom w:val="nil"/>
          <w:right w:val="nil"/>
          <w:between w:val="nil"/>
        </w:pBdr>
        <w:shd w:val="clear" w:color="auto" w:fill="FFFFFF"/>
        <w:spacing w:after="0" w:line="276"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5) dovada existenței surselor de finanțare proprii sau oferite de terți (scrisori de intenție, contracte de sponsorizare, alte forme de sprijin financiar);</w:t>
      </w:r>
    </w:p>
    <w:p w14:paraId="4CD4C5DA" w14:textId="77777777" w:rsidR="00970CC0" w:rsidRDefault="00000000">
      <w:pPr>
        <w:pBdr>
          <w:top w:val="nil"/>
          <w:left w:val="nil"/>
          <w:bottom w:val="nil"/>
          <w:right w:val="nil"/>
          <w:between w:val="nil"/>
        </w:pBdr>
        <w:shd w:val="clear" w:color="auto" w:fill="FFFFFF"/>
        <w:spacing w:after="0" w:line="276"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6) copiile situațiilor financiare pentru anul precedent;</w:t>
      </w:r>
    </w:p>
    <w:p w14:paraId="19B71DC1" w14:textId="77777777" w:rsidR="00970CC0" w:rsidRDefault="00000000">
      <w:pPr>
        <w:pBdr>
          <w:top w:val="nil"/>
          <w:left w:val="nil"/>
          <w:bottom w:val="nil"/>
          <w:right w:val="nil"/>
          <w:between w:val="nil"/>
        </w:pBdr>
        <w:shd w:val="clear" w:color="auto" w:fill="FFFFFF"/>
        <w:spacing w:after="0" w:line="276"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7) certificatul privind lipsa sau existența restanțelor față de buget;</w:t>
      </w:r>
    </w:p>
    <w:p w14:paraId="20FD3B9F" w14:textId="77777777" w:rsidR="00970CC0" w:rsidRDefault="00000000">
      <w:pPr>
        <w:pBdr>
          <w:top w:val="nil"/>
          <w:left w:val="nil"/>
          <w:bottom w:val="nil"/>
          <w:right w:val="nil"/>
          <w:between w:val="nil"/>
        </w:pBdr>
        <w:shd w:val="clear" w:color="auto" w:fill="FFFFFF"/>
        <w:spacing w:after="0" w:line="276"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8) alte acte ce prezintă informații relevante despre proiect.</w:t>
      </w:r>
    </w:p>
    <w:p w14:paraId="2DE519AE"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highlight w:val="white"/>
        </w:rPr>
        <w:t>14.</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Dosarele de solicitare a finanțării nerambursabile vor conține informații cu privire la: aria tematică; locul desfășurării; perioada de desfășurare și planul de activități; descrierea; relevanța și valoarea adăugată; grupul-țintă și beneficiarii; rezultatul și impactul; metodele de implementare, continuitate și sustenabilitate; actele de colaborare/parteneriat.</w:t>
      </w:r>
    </w:p>
    <w:p w14:paraId="4916F6A9"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lastRenderedPageBreak/>
        <w:t>15.</w:t>
      </w:r>
      <w:r>
        <w:rPr>
          <w:rFonts w:ascii="Times New Roman" w:eastAsia="Times New Roman" w:hAnsi="Times New Roman" w:cs="Times New Roman"/>
          <w:color w:val="000000"/>
          <w:sz w:val="28"/>
          <w:szCs w:val="28"/>
          <w:highlight w:val="white"/>
        </w:rPr>
        <w:t xml:space="preserve"> Acordarea finanțării nerambursabile este însoțită de o contribuție din partea </w:t>
      </w:r>
      <w:r>
        <w:rPr>
          <w:rFonts w:ascii="Times New Roman" w:eastAsia="Times New Roman" w:hAnsi="Times New Roman" w:cs="Times New Roman"/>
          <w:color w:val="000000"/>
          <w:sz w:val="28"/>
          <w:szCs w:val="28"/>
        </w:rPr>
        <w:t xml:space="preserve">beneficiarului de cel puțin </w:t>
      </w:r>
      <w:r>
        <w:rPr>
          <w:rFonts w:ascii="Times New Roman" w:eastAsia="Times New Roman" w:hAnsi="Times New Roman" w:cs="Times New Roman"/>
          <w:sz w:val="28"/>
          <w:szCs w:val="28"/>
        </w:rPr>
        <w:t>2</w:t>
      </w:r>
      <w:r>
        <w:rPr>
          <w:rFonts w:ascii="Times New Roman" w:eastAsia="Times New Roman" w:hAnsi="Times New Roman" w:cs="Times New Roman"/>
          <w:color w:val="000000"/>
          <w:sz w:val="28"/>
          <w:szCs w:val="28"/>
        </w:rPr>
        <w:t>0% din valoarea totală a proiectului</w:t>
      </w:r>
      <w:r>
        <w:rPr>
          <w:rFonts w:ascii="Times New Roman" w:eastAsia="Times New Roman" w:hAnsi="Times New Roman" w:cs="Times New Roman"/>
          <w:sz w:val="28"/>
          <w:szCs w:val="28"/>
        </w:rPr>
        <w:t>.</w:t>
      </w:r>
    </w:p>
    <w:p w14:paraId="1101920E"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16.</w:t>
      </w:r>
      <w:r>
        <w:rPr>
          <w:rFonts w:ascii="Times New Roman" w:eastAsia="Times New Roman" w:hAnsi="Times New Roman" w:cs="Times New Roman"/>
          <w:color w:val="000000"/>
          <w:sz w:val="28"/>
          <w:szCs w:val="28"/>
        </w:rPr>
        <w:t xml:space="preserve"> Pentru înscrierea la concurs, organizațiile necomerciale prezintă dosarele de solicitare a finanțării, corespunzător ariilor tematice stabilite la pct. 3 și potrivit anunțului publicat de către autoritatea finanțatoare. </w:t>
      </w:r>
    </w:p>
    <w:p w14:paraId="044CE2B4"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17. </w:t>
      </w:r>
      <w:r>
        <w:rPr>
          <w:rFonts w:ascii="Times New Roman" w:eastAsia="Times New Roman" w:hAnsi="Times New Roman" w:cs="Times New Roman"/>
          <w:color w:val="000000"/>
          <w:sz w:val="28"/>
          <w:szCs w:val="28"/>
        </w:rPr>
        <w:t>Dosarele de solicitare a finanțării care sunt incomplete nu vor fi evaluate, iar dosarele care nu au fost depuse în termenul stabilit conform anunțului nu vor fi înregistrate și evaluate</w:t>
      </w:r>
      <w:r>
        <w:rPr>
          <w:rFonts w:ascii="Times New Roman" w:eastAsia="Times New Roman" w:hAnsi="Times New Roman" w:cs="Times New Roman"/>
          <w:sz w:val="28"/>
          <w:szCs w:val="28"/>
        </w:rPr>
        <w:t>.</w:t>
      </w:r>
    </w:p>
    <w:p w14:paraId="14A1CF09"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18</w:t>
      </w:r>
      <w:r>
        <w:rPr>
          <w:rFonts w:ascii="Times New Roman" w:eastAsia="Times New Roman" w:hAnsi="Times New Roman" w:cs="Times New Roman"/>
          <w:color w:val="000000"/>
          <w:sz w:val="28"/>
          <w:szCs w:val="28"/>
        </w:rPr>
        <w:t>. Costurile proiectelor se estimează, se justifică și se prezintă în mod detaliat sub aspectul articolelor și alineatelor de cheltuieli, conform clasificației bugetare.</w:t>
      </w:r>
    </w:p>
    <w:p w14:paraId="1E90563A"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19</w:t>
      </w:r>
      <w:r>
        <w:rPr>
          <w:rFonts w:ascii="Times New Roman" w:eastAsia="Times New Roman" w:hAnsi="Times New Roman" w:cs="Times New Roman"/>
          <w:color w:val="000000"/>
          <w:sz w:val="28"/>
          <w:szCs w:val="28"/>
        </w:rPr>
        <w:t>. Cheltuielile necesare pentru realizarea proiectelor se divizează în cheltuieli asigurate din contul veniturilor proprii ale solicitantului de finanțare și cheltuieli propuse spre a fi acoperite din bugetul de stat. Propunerile bazate în exclusivitate pe suportul bugetului de stat nu vor fi examinate.</w:t>
      </w:r>
    </w:p>
    <w:p w14:paraId="2248AD43"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20</w:t>
      </w:r>
      <w:r>
        <w:rPr>
          <w:rFonts w:ascii="Times New Roman" w:eastAsia="Times New Roman" w:hAnsi="Times New Roman" w:cs="Times New Roman"/>
          <w:color w:val="000000"/>
          <w:sz w:val="28"/>
          <w:szCs w:val="28"/>
        </w:rPr>
        <w:t>. În cadrul proiectului urmează a fi separate cheltuielile directe legate de desfășurarea proiectului în domeniul turismului de cheltuielile generale și administrative ale beneficiarului.</w:t>
      </w:r>
    </w:p>
    <w:p w14:paraId="592BB409"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21.</w:t>
      </w:r>
      <w:r>
        <w:rPr>
          <w:rFonts w:ascii="Times New Roman" w:eastAsia="Times New Roman" w:hAnsi="Times New Roman" w:cs="Times New Roman"/>
          <w:color w:val="000000"/>
          <w:sz w:val="28"/>
          <w:szCs w:val="28"/>
        </w:rPr>
        <w:t xml:space="preserve"> Cheltuielile directe, atribuite unei anumite activități individuale din cadrul proiectului, includ cazare, transport, închirieri (spații, utilaje, standuri, etc.), birotică și rechizite, alte cheltuieli specifice legate nemijlocit de realizarea proiectului. </w:t>
      </w:r>
    </w:p>
    <w:p w14:paraId="7CA6AF28"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22.</w:t>
      </w:r>
      <w:r>
        <w:rPr>
          <w:rFonts w:ascii="Times New Roman" w:eastAsia="Times New Roman" w:hAnsi="Times New Roman" w:cs="Times New Roman"/>
          <w:color w:val="000000"/>
          <w:sz w:val="28"/>
          <w:szCs w:val="28"/>
        </w:rPr>
        <w:t xml:space="preserve"> Cheltuielile de salarizare a echipei de implementare a proiectului și cheltuielile administrative (plăți pentru chiria birourilor, servicii de întreținere, internet, telefonie și altele care nu pot fi atribuite la articolele directe pentru activități) nu vor depăși mai mult de 10% din valoarea totală a proiectului. </w:t>
      </w:r>
    </w:p>
    <w:p w14:paraId="219A9555"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23.</w:t>
      </w:r>
      <w:r>
        <w:rPr>
          <w:rFonts w:ascii="Times New Roman" w:eastAsia="Times New Roman" w:hAnsi="Times New Roman" w:cs="Times New Roman"/>
          <w:sz w:val="28"/>
          <w:szCs w:val="28"/>
        </w:rPr>
        <w:t xml:space="preserve"> Cheltuieli neeligibile sunt considerate următoarele: cheltuielile suportate anterior semnării contractului de finanțare nerambursabilă (inclusiv costurile legate de pregătirea proiectului); cheltuieli destinate cumpărării de terenuri, de clădiri sau construcție a acestora; garanții bancare; taxe bancare, dobândă și alte comisioane aferente creditelor; amenzi, penalități, cheltuieli de judecată; datoriile sau rezervele pentru pierderi; cheltuieli pentru cadouri; cheltuieli destinate achiziției de echipamente second-hand; alte cheltuieli ce nu corespund obiectivelor proiectului.</w:t>
      </w:r>
    </w:p>
    <w:p w14:paraId="425FA4D6" w14:textId="77777777" w:rsidR="00970CC0" w:rsidRDefault="00970CC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rPr>
      </w:pPr>
    </w:p>
    <w:p w14:paraId="6A43801A" w14:textId="77777777" w:rsidR="00970CC0" w:rsidRDefault="00000000">
      <w:pPr>
        <w:numPr>
          <w:ilvl w:val="0"/>
          <w:numId w:val="1"/>
        </w:numPr>
        <w:pBdr>
          <w:top w:val="nil"/>
          <w:left w:val="nil"/>
          <w:bottom w:val="nil"/>
          <w:right w:val="nil"/>
          <w:between w:val="nil"/>
        </w:pBdr>
        <w:shd w:val="clear" w:color="auto" w:fill="FFFFFF"/>
        <w:tabs>
          <w:tab w:val="left" w:pos="709"/>
        </w:tabs>
        <w:spacing w:after="120" w:line="276" w:lineRule="auto"/>
        <w:ind w:left="0" w:firstLine="36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Procedura de selectare și evaluare a proiectelor în domeniul turismului</w:t>
      </w:r>
    </w:p>
    <w:p w14:paraId="3A9667E5"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b/>
          <w:bCs/>
          <w:color w:val="000000"/>
          <w:sz w:val="28"/>
          <w:szCs w:val="28"/>
        </w:rPr>
      </w:pPr>
      <w:bookmarkStart w:id="4" w:name="_heading=h.pa9tfa1wc55s" w:colFirst="0" w:colLast="0"/>
      <w:bookmarkEnd w:id="4"/>
      <w:r>
        <w:rPr>
          <w:rFonts w:ascii="Times New Roman" w:eastAsia="Times New Roman" w:hAnsi="Times New Roman" w:cs="Times New Roman"/>
          <w:b/>
          <w:bCs/>
          <w:color w:val="000000"/>
          <w:sz w:val="28"/>
          <w:szCs w:val="28"/>
          <w:highlight w:val="white"/>
        </w:rPr>
        <w:t>2</w:t>
      </w:r>
      <w:r>
        <w:rPr>
          <w:rFonts w:ascii="Times New Roman" w:eastAsia="Times New Roman" w:hAnsi="Times New Roman" w:cs="Times New Roman"/>
          <w:b/>
          <w:bCs/>
          <w:sz w:val="28"/>
          <w:szCs w:val="28"/>
          <w:highlight w:val="white"/>
        </w:rPr>
        <w:t>4</w:t>
      </w:r>
      <w:r>
        <w:rPr>
          <w:rFonts w:ascii="Times New Roman" w:eastAsia="Times New Roman" w:hAnsi="Times New Roman" w:cs="Times New Roman"/>
          <w:b/>
          <w:bCs/>
          <w:color w:val="000000"/>
          <w:sz w:val="28"/>
          <w:szCs w:val="28"/>
          <w:highlight w:val="white"/>
        </w:rPr>
        <w:t>.</w:t>
      </w:r>
      <w:r>
        <w:rPr>
          <w:rFonts w:ascii="Times New Roman" w:eastAsia="Times New Roman" w:hAnsi="Times New Roman" w:cs="Times New Roman"/>
          <w:color w:val="000000"/>
          <w:sz w:val="28"/>
          <w:szCs w:val="28"/>
          <w:highlight w:val="white"/>
        </w:rPr>
        <w:t xml:space="preserve"> Finanțarea nerambursabilă se atribuie exclusiv pe bază de concurs. Evaluarea, selectarea, aprobarea și transmiterea rezultatelor către Ministerul Culturii este pusă în sarcina Comisiei de evaluare și selectare a proiectelor (în continuare – </w:t>
      </w:r>
      <w:r>
        <w:rPr>
          <w:rFonts w:ascii="Times New Roman" w:eastAsia="Times New Roman" w:hAnsi="Times New Roman" w:cs="Times New Roman"/>
          <w:i/>
          <w:iCs/>
          <w:color w:val="000000"/>
          <w:sz w:val="28"/>
          <w:szCs w:val="28"/>
          <w:highlight w:val="white"/>
        </w:rPr>
        <w:t>Comisie</w:t>
      </w:r>
      <w:r>
        <w:rPr>
          <w:rFonts w:ascii="Times New Roman" w:eastAsia="Times New Roman" w:hAnsi="Times New Roman" w:cs="Times New Roman"/>
          <w:color w:val="000000"/>
          <w:sz w:val="28"/>
          <w:szCs w:val="28"/>
          <w:highlight w:val="white"/>
        </w:rPr>
        <w:t>), instituită prin Ordinul ministrului,  pentru o perioadă de un an.</w:t>
      </w:r>
    </w:p>
    <w:p w14:paraId="371C9F19" w14:textId="77777777" w:rsidR="00970CC0" w:rsidRDefault="00000000">
      <w:pPr>
        <w:pBdr>
          <w:top w:val="nil"/>
          <w:left w:val="nil"/>
          <w:bottom w:val="nil"/>
          <w:right w:val="nil"/>
          <w:between w:val="nil"/>
        </w:pBdr>
        <w:shd w:val="clear" w:color="auto" w:fill="FFFFFF"/>
        <w:spacing w:after="0" w:line="276"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2</w:t>
      </w:r>
      <w:r>
        <w:rPr>
          <w:rFonts w:ascii="Times New Roman" w:eastAsia="Times New Roman" w:hAnsi="Times New Roman" w:cs="Times New Roman"/>
          <w:b/>
          <w:bCs/>
          <w:sz w:val="28"/>
          <w:szCs w:val="28"/>
          <w:highlight w:val="white"/>
        </w:rPr>
        <w:t>5</w:t>
      </w:r>
      <w:r>
        <w:rPr>
          <w:rFonts w:ascii="Times New Roman" w:eastAsia="Times New Roman" w:hAnsi="Times New Roman" w:cs="Times New Roman"/>
          <w:b/>
          <w:bCs/>
          <w:color w:val="000000"/>
          <w:sz w:val="28"/>
          <w:szCs w:val="28"/>
          <w:highlight w:val="white"/>
        </w:rPr>
        <w:t xml:space="preserve">. </w:t>
      </w:r>
      <w:r>
        <w:rPr>
          <w:rFonts w:ascii="Times New Roman" w:eastAsia="Times New Roman" w:hAnsi="Times New Roman" w:cs="Times New Roman"/>
          <w:color w:val="000000"/>
          <w:sz w:val="28"/>
          <w:szCs w:val="28"/>
          <w:highlight w:val="white"/>
        </w:rPr>
        <w:t>Comisia este formată dintr-un număr</w:t>
      </w:r>
      <w:r>
        <w:rPr>
          <w:rFonts w:ascii="Times New Roman" w:eastAsia="Times New Roman" w:hAnsi="Times New Roman" w:cs="Times New Roman"/>
          <w:color w:val="000000"/>
          <w:sz w:val="28"/>
          <w:szCs w:val="28"/>
        </w:rPr>
        <w:t xml:space="preserve"> de 5 membri, reprezentanți Ministerului C</w:t>
      </w:r>
      <w:r>
        <w:rPr>
          <w:rFonts w:ascii="Times New Roman" w:eastAsia="Times New Roman" w:hAnsi="Times New Roman" w:cs="Times New Roman"/>
          <w:sz w:val="28"/>
          <w:szCs w:val="28"/>
        </w:rPr>
        <w:t xml:space="preserve">ulturii, </w:t>
      </w:r>
      <w:r>
        <w:rPr>
          <w:rFonts w:ascii="Times New Roman" w:eastAsia="Times New Roman" w:hAnsi="Times New Roman" w:cs="Times New Roman"/>
          <w:color w:val="000000"/>
          <w:sz w:val="28"/>
          <w:szCs w:val="28"/>
        </w:rPr>
        <w:t>ai autorității finanțatoare, reprezentanți ai societății civile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mediului academic sau experți independenți.</w:t>
      </w:r>
      <w:r>
        <w:rPr>
          <w:rFonts w:ascii="Times New Roman" w:eastAsia="Times New Roman" w:hAnsi="Times New Roman" w:cs="Times New Roman"/>
          <w:color w:val="000000"/>
          <w:sz w:val="28"/>
          <w:szCs w:val="28"/>
          <w:highlight w:val="white"/>
        </w:rPr>
        <w:t xml:space="preserve"> Cel puțin 1/3 din membri sunt din afara </w:t>
      </w:r>
      <w:r>
        <w:rPr>
          <w:rFonts w:ascii="Times New Roman" w:eastAsia="Times New Roman" w:hAnsi="Times New Roman" w:cs="Times New Roman"/>
          <w:color w:val="000000"/>
          <w:sz w:val="28"/>
          <w:szCs w:val="28"/>
          <w:highlight w:val="white"/>
        </w:rPr>
        <w:lastRenderedPageBreak/>
        <w:t>autorității finanțatoare. Cel puțin un membru al Comisiei este din partea organizațiilor necomerciale, selectat de autoritatea finanțatoare prin concurs public. În cadrul Comisiei pot fi invitați experți cu rol consultativ din diferite domenii. Membrii Comisiei nu sunt remunerați pentru activitatea lor.</w:t>
      </w:r>
    </w:p>
    <w:p w14:paraId="601052EE" w14:textId="77777777" w:rsidR="00970CC0" w:rsidRDefault="00000000">
      <w:pPr>
        <w:pBdr>
          <w:top w:val="nil"/>
          <w:left w:val="nil"/>
          <w:bottom w:val="nil"/>
          <w:right w:val="nil"/>
          <w:between w:val="nil"/>
        </w:pBdr>
        <w:shd w:val="clear" w:color="auto" w:fill="FFFFFF"/>
        <w:spacing w:after="0" w:line="276"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2</w:t>
      </w:r>
      <w:r>
        <w:rPr>
          <w:rFonts w:ascii="Times New Roman" w:eastAsia="Times New Roman" w:hAnsi="Times New Roman" w:cs="Times New Roman"/>
          <w:b/>
          <w:bCs/>
          <w:sz w:val="28"/>
          <w:szCs w:val="28"/>
          <w:highlight w:val="white"/>
        </w:rPr>
        <w:t>6</w:t>
      </w:r>
      <w:r>
        <w:rPr>
          <w:rFonts w:ascii="Times New Roman" w:eastAsia="Times New Roman" w:hAnsi="Times New Roman" w:cs="Times New Roman"/>
          <w:color w:val="000000"/>
          <w:sz w:val="28"/>
          <w:szCs w:val="28"/>
          <w:highlight w:val="white"/>
        </w:rPr>
        <w:t>. Comisia activează în baza Regulamentului de activitate prevăzut în anexa nr. 5. Regulamentul de activitate se publică pe pagina web oficială a autorității finanțatoare. Informația despre componența nominală a Comisiei se publică pe pagina web oficială a autorității finanțatoare după anunțarea rezultatelor concursului de selectare a dosarelor de solicitare a finanțării.</w:t>
      </w:r>
    </w:p>
    <w:p w14:paraId="6D4A4DEC" w14:textId="77777777" w:rsidR="00970CC0" w:rsidRDefault="00000000">
      <w:pPr>
        <w:pBdr>
          <w:top w:val="nil"/>
          <w:left w:val="nil"/>
          <w:bottom w:val="nil"/>
          <w:right w:val="nil"/>
          <w:between w:val="nil"/>
        </w:pBdr>
        <w:shd w:val="clear" w:color="auto" w:fill="FFFFFF"/>
        <w:spacing w:after="0" w:line="276"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2</w:t>
      </w:r>
      <w:r>
        <w:rPr>
          <w:rFonts w:ascii="Times New Roman" w:eastAsia="Times New Roman" w:hAnsi="Times New Roman" w:cs="Times New Roman"/>
          <w:b/>
          <w:bCs/>
          <w:sz w:val="28"/>
          <w:szCs w:val="28"/>
          <w:highlight w:val="white"/>
        </w:rPr>
        <w:t>7</w:t>
      </w:r>
      <w:r>
        <w:rPr>
          <w:rFonts w:ascii="Times New Roman" w:eastAsia="Times New Roman" w:hAnsi="Times New Roman" w:cs="Times New Roman"/>
          <w:color w:val="000000"/>
          <w:sz w:val="28"/>
          <w:szCs w:val="28"/>
          <w:highlight w:val="white"/>
        </w:rPr>
        <w:t>. Președintele și secretarul Comisiei sunt numiți de către autoritatea finanțatoare. Președintele asigură convocarea ședințelor și buna desfășurare a procesului de evaluare, selectare și aprobare a dosarelor. Secretarul Comisiei recepționează dosarele, convoacă membrii Comisiei, asigură transmiterea rezultatelor concursului și îndeplinește alte sarcini specifice necesare pentru buna desfășurare a concursului.</w:t>
      </w:r>
    </w:p>
    <w:p w14:paraId="569C524A" w14:textId="77777777" w:rsidR="00970CC0" w:rsidRDefault="00000000">
      <w:pPr>
        <w:pBdr>
          <w:top w:val="nil"/>
          <w:left w:val="nil"/>
          <w:bottom w:val="nil"/>
          <w:right w:val="nil"/>
          <w:between w:val="nil"/>
        </w:pBdr>
        <w:shd w:val="clear" w:color="auto" w:fill="FFFFFF"/>
        <w:spacing w:after="0" w:line="276"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2</w:t>
      </w:r>
      <w:r>
        <w:rPr>
          <w:rFonts w:ascii="Times New Roman" w:eastAsia="Times New Roman" w:hAnsi="Times New Roman" w:cs="Times New Roman"/>
          <w:b/>
          <w:bCs/>
          <w:sz w:val="28"/>
          <w:szCs w:val="28"/>
          <w:highlight w:val="white"/>
        </w:rPr>
        <w:t>8</w:t>
      </w:r>
      <w:r>
        <w:rPr>
          <w:rFonts w:ascii="Times New Roman" w:eastAsia="Times New Roman" w:hAnsi="Times New Roman" w:cs="Times New Roman"/>
          <w:color w:val="000000"/>
          <w:sz w:val="28"/>
          <w:szCs w:val="28"/>
          <w:highlight w:val="white"/>
        </w:rPr>
        <w:t>. Membrii Comisiei semnează declarații de confidențialitate, imparțialitate și neadmitere a conflictelor de interes, conform modelului din anexa nr. 6.</w:t>
      </w:r>
    </w:p>
    <w:p w14:paraId="460DCEF4" w14:textId="77777777" w:rsidR="00970CC0" w:rsidRDefault="00000000">
      <w:pPr>
        <w:pBdr>
          <w:top w:val="nil"/>
          <w:left w:val="nil"/>
          <w:bottom w:val="nil"/>
          <w:right w:val="nil"/>
          <w:between w:val="nil"/>
        </w:pBdr>
        <w:shd w:val="clear" w:color="auto" w:fill="FFFFFF"/>
        <w:spacing w:after="0" w:line="276"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2</w:t>
      </w:r>
      <w:r>
        <w:rPr>
          <w:rFonts w:ascii="Times New Roman" w:eastAsia="Times New Roman" w:hAnsi="Times New Roman" w:cs="Times New Roman"/>
          <w:b/>
          <w:bCs/>
          <w:sz w:val="28"/>
          <w:szCs w:val="28"/>
          <w:highlight w:val="white"/>
        </w:rPr>
        <w:t>9</w:t>
      </w:r>
      <w:r>
        <w:rPr>
          <w:rFonts w:ascii="Times New Roman" w:eastAsia="Times New Roman" w:hAnsi="Times New Roman" w:cs="Times New Roman"/>
          <w:color w:val="000000"/>
          <w:sz w:val="28"/>
          <w:szCs w:val="28"/>
          <w:highlight w:val="white"/>
        </w:rPr>
        <w:t>. Comisia examinează toate dosarele depuse conform condițiilor și termenelor indicate în anunțul de concurs publicat.</w:t>
      </w:r>
    </w:p>
    <w:p w14:paraId="1AC939F7" w14:textId="77777777" w:rsidR="00970CC0" w:rsidRDefault="00000000">
      <w:pPr>
        <w:pBdr>
          <w:top w:val="nil"/>
          <w:left w:val="nil"/>
          <w:bottom w:val="nil"/>
          <w:right w:val="nil"/>
          <w:between w:val="nil"/>
        </w:pBdr>
        <w:shd w:val="clear" w:color="auto" w:fill="FFFFFF"/>
        <w:spacing w:after="0" w:line="276"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sz w:val="28"/>
          <w:szCs w:val="28"/>
          <w:highlight w:val="white"/>
        </w:rPr>
        <w:t>30</w:t>
      </w:r>
      <w:r>
        <w:rPr>
          <w:rFonts w:ascii="Times New Roman" w:eastAsia="Times New Roman" w:hAnsi="Times New Roman" w:cs="Times New Roman"/>
          <w:b/>
          <w:bCs/>
          <w:color w:val="000000"/>
          <w:sz w:val="28"/>
          <w:szCs w:val="28"/>
          <w:highlight w:val="white"/>
        </w:rPr>
        <w:t>.</w:t>
      </w:r>
      <w:r>
        <w:rPr>
          <w:rFonts w:ascii="Times New Roman" w:eastAsia="Times New Roman" w:hAnsi="Times New Roman" w:cs="Times New Roman"/>
          <w:color w:val="000000"/>
          <w:sz w:val="28"/>
          <w:szCs w:val="28"/>
          <w:highlight w:val="white"/>
        </w:rPr>
        <w:t xml:space="preserve"> În cazurile în care doar o singură organizație necomercială a depus dosarul pentru participare la concurs, Comisia decide desfășurarea concursului, fără a anunța concurs repetat.</w:t>
      </w:r>
    </w:p>
    <w:p w14:paraId="34C16B9C" w14:textId="77777777" w:rsidR="00970CC0" w:rsidRDefault="00000000">
      <w:pPr>
        <w:pBdr>
          <w:top w:val="nil"/>
          <w:left w:val="nil"/>
          <w:bottom w:val="nil"/>
          <w:right w:val="nil"/>
          <w:between w:val="nil"/>
        </w:pBdr>
        <w:shd w:val="clear" w:color="auto" w:fill="FFFFFF"/>
        <w:spacing w:after="0" w:line="276"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3</w:t>
      </w:r>
      <w:r>
        <w:rPr>
          <w:rFonts w:ascii="Times New Roman" w:eastAsia="Times New Roman" w:hAnsi="Times New Roman" w:cs="Times New Roman"/>
          <w:b/>
          <w:bCs/>
          <w:sz w:val="28"/>
          <w:szCs w:val="28"/>
          <w:highlight w:val="white"/>
        </w:rPr>
        <w:t>1</w:t>
      </w:r>
      <w:r>
        <w:rPr>
          <w:rFonts w:ascii="Times New Roman" w:eastAsia="Times New Roman" w:hAnsi="Times New Roman" w:cs="Times New Roman"/>
          <w:color w:val="000000"/>
          <w:sz w:val="28"/>
          <w:szCs w:val="28"/>
          <w:highlight w:val="white"/>
        </w:rPr>
        <w:t>. Decizia de aprobare a listei proiectelor câștigătoare, conform criteriilor de evaluare, se adoptă prin consens. În cazul în care consensul nu poate fi obținut, decizia se aprobă cu majoritatea simplă a membrilor prezenți la ședință.</w:t>
      </w:r>
    </w:p>
    <w:p w14:paraId="7B49FFF5" w14:textId="77777777" w:rsidR="00970CC0" w:rsidRDefault="00000000">
      <w:pPr>
        <w:pBdr>
          <w:top w:val="nil"/>
          <w:left w:val="nil"/>
          <w:bottom w:val="nil"/>
          <w:right w:val="nil"/>
          <w:between w:val="nil"/>
        </w:pBdr>
        <w:shd w:val="clear" w:color="auto" w:fill="FFFFFF"/>
        <w:spacing w:after="0" w:line="276"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3</w:t>
      </w:r>
      <w:r>
        <w:rPr>
          <w:rFonts w:ascii="Times New Roman" w:eastAsia="Times New Roman" w:hAnsi="Times New Roman" w:cs="Times New Roman"/>
          <w:b/>
          <w:bCs/>
          <w:sz w:val="28"/>
          <w:szCs w:val="28"/>
          <w:highlight w:val="white"/>
        </w:rPr>
        <w:t>2</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 xml:space="preserve">Comisia prezintă directorului </w:t>
      </w:r>
      <w:r>
        <w:rPr>
          <w:rFonts w:ascii="Times New Roman" w:eastAsia="Times New Roman" w:hAnsi="Times New Roman" w:cs="Times New Roman"/>
          <w:sz w:val="28"/>
          <w:szCs w:val="28"/>
        </w:rPr>
        <w:t>Instituției Publice „Oficiul Național al Turismului”</w:t>
      </w:r>
      <w:r>
        <w:rPr>
          <w:rFonts w:ascii="Times New Roman" w:eastAsia="Times New Roman" w:hAnsi="Times New Roman" w:cs="Times New Roman"/>
          <w:color w:val="000000"/>
          <w:sz w:val="28"/>
          <w:szCs w:val="28"/>
        </w:rPr>
        <w:t xml:space="preserve"> propunerea de atribuire a finanțării nerambursabile. </w:t>
      </w:r>
      <w:r>
        <w:rPr>
          <w:rFonts w:ascii="Times New Roman" w:eastAsia="Times New Roman" w:hAnsi="Times New Roman" w:cs="Times New Roman"/>
          <w:sz w:val="28"/>
          <w:szCs w:val="28"/>
          <w:highlight w:val="white"/>
        </w:rPr>
        <w:t xml:space="preserve">Instituția Publică „Oficiul Național al Turismului” </w:t>
      </w:r>
      <w:r>
        <w:rPr>
          <w:rFonts w:ascii="Times New Roman" w:eastAsia="Times New Roman" w:hAnsi="Times New Roman" w:cs="Times New Roman"/>
          <w:color w:val="000000"/>
          <w:sz w:val="28"/>
          <w:szCs w:val="28"/>
          <w:highlight w:val="white"/>
        </w:rPr>
        <w:t>în limitele bugetului anual aprobat, aprobă prin ordinul directorului, lista proiectelor declarate câștigătoare și o publică pe pagina sa web oficială.</w:t>
      </w:r>
    </w:p>
    <w:p w14:paraId="60ED545C"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w:t>
      </w:r>
      <w:r>
        <w:rPr>
          <w:rFonts w:ascii="Times New Roman" w:eastAsia="Times New Roman" w:hAnsi="Times New Roman" w:cs="Times New Roman"/>
          <w:b/>
          <w:bCs/>
          <w:sz w:val="28"/>
          <w:szCs w:val="28"/>
        </w:rPr>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Propunerile de proiect ale organizațiilor necomerciale sunt evaluate de către membrii Comisiei în baza următoarelor criterii:</w:t>
      </w:r>
    </w:p>
    <w:p w14:paraId="0BCA3F17"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 importanța – în contextul realizării priorităților stabilite pentru domeniul de dezvoltare relevant, anunțat în condițiile de desfășurare a concursului;</w:t>
      </w:r>
    </w:p>
    <w:p w14:paraId="68E31DE2"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 calitatea și relevanța – descrierea problemei și măsurile de soluționare a acesteia, gradul de corelare dintre scop, obiective, activități și rezultatele așteptate;</w:t>
      </w:r>
    </w:p>
    <w:p w14:paraId="6BFE60B5"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calitatea întocmirii bugetului (buget întocmit realist, corect, în conformitate cu liniile de buget și articolele de cheltuieli, în baza clasificației bugetare care reflectă toate activitățile planificate, inclusiv cu justificarea cheltuielilor);</w:t>
      </w:r>
    </w:p>
    <w:p w14:paraId="18D0F864"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 mecanismul propus de monitorizare, evaluare și prezentare a rezultatelor proiectului;</w:t>
      </w:r>
    </w:p>
    <w:p w14:paraId="23D5D8E4"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vizibilitatea proiectului și metodele de promovare;</w:t>
      </w:r>
    </w:p>
    <w:p w14:paraId="5DEE5E05"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sustenabilitatea proiectului și măsurile de gestionare a riscurilor interne/externe;</w:t>
      </w:r>
    </w:p>
    <w:p w14:paraId="1C99D2B1"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experiența organizației și a echipei privind realizarea acțiunilor propuse;</w:t>
      </w:r>
    </w:p>
    <w:p w14:paraId="543480DA"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experiența privind colaborarea, parteneriatul cu autoritățile publice și organizațiile necomerciale din țară și din străinătate, după caz;</w:t>
      </w:r>
    </w:p>
    <w:p w14:paraId="7D402001"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capacitatea financiară a organizațiilor necomerciale de a atrage resurse, altele decât cele oferite de autoritatea finanțatoare, inclusiv de la alți cofinanțatori.</w:t>
      </w:r>
    </w:p>
    <w:p w14:paraId="2018CD63"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rPr>
        <w:t>3</w:t>
      </w:r>
      <w:r>
        <w:rPr>
          <w:rFonts w:ascii="Times New Roman" w:eastAsia="Times New Roman" w:hAnsi="Times New Roman" w:cs="Times New Roman"/>
          <w:b/>
          <w:bCs/>
          <w:sz w:val="28"/>
          <w:szCs w:val="28"/>
        </w:rPr>
        <w:t>4</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highlight w:val="white"/>
        </w:rPr>
        <w:t xml:space="preserve">Cuantumul finanțării unui proiect anual în </w:t>
      </w:r>
      <w:r>
        <w:rPr>
          <w:rFonts w:ascii="Times New Roman" w:eastAsia="Times New Roman" w:hAnsi="Times New Roman" w:cs="Times New Roman"/>
          <w:color w:val="000000"/>
          <w:sz w:val="28"/>
          <w:szCs w:val="28"/>
        </w:rPr>
        <w:t>domeniul turismului,</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highlight w:val="white"/>
        </w:rPr>
        <w:t>se stabilește la maximum</w:t>
      </w:r>
      <w:r>
        <w:rPr>
          <w:rFonts w:ascii="Times New Roman" w:eastAsia="Times New Roman" w:hAnsi="Times New Roman" w:cs="Times New Roman"/>
          <w:color w:val="000000"/>
          <w:sz w:val="28"/>
          <w:szCs w:val="28"/>
        </w:rPr>
        <w:t xml:space="preserve"> 80% din costul proiectului, dar nu mai mult de </w:t>
      </w:r>
      <w:r>
        <w:rPr>
          <w:rFonts w:ascii="Times New Roman" w:eastAsia="Times New Roman" w:hAnsi="Times New Roman" w:cs="Times New Roman"/>
          <w:sz w:val="28"/>
          <w:szCs w:val="28"/>
        </w:rPr>
        <w:t>750</w:t>
      </w:r>
      <w:r>
        <w:rPr>
          <w:rFonts w:ascii="Times New Roman" w:eastAsia="Times New Roman" w:hAnsi="Times New Roman" w:cs="Times New Roman"/>
          <w:color w:val="000000"/>
          <w:sz w:val="28"/>
          <w:szCs w:val="28"/>
        </w:rPr>
        <w:t xml:space="preserve"> mii lei pentru un proiect. Contribuția organizațiilor necomerciale la realizarea proiectului este de minimum 20% </w:t>
      </w:r>
      <w:r>
        <w:rPr>
          <w:rFonts w:ascii="Times New Roman" w:eastAsia="Times New Roman" w:hAnsi="Times New Roman" w:cs="Times New Roman"/>
          <w:color w:val="000000"/>
          <w:sz w:val="28"/>
          <w:szCs w:val="28"/>
          <w:highlight w:val="white"/>
        </w:rPr>
        <w:t>din costul proiectului, asigurate din surse proprii sau prin cofinanțare.</w:t>
      </w:r>
    </w:p>
    <w:p w14:paraId="728C0EBA"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highlight w:val="white"/>
        </w:rPr>
      </w:pPr>
      <w:bookmarkStart w:id="5" w:name="_heading=h.kz5vgik1kgo" w:colFirst="0" w:colLast="0"/>
      <w:bookmarkEnd w:id="5"/>
      <w:r>
        <w:rPr>
          <w:rFonts w:ascii="Times New Roman" w:eastAsia="Times New Roman" w:hAnsi="Times New Roman" w:cs="Times New Roman"/>
          <w:b/>
          <w:bCs/>
          <w:color w:val="000000"/>
          <w:sz w:val="28"/>
          <w:szCs w:val="28"/>
        </w:rPr>
        <w:t>3</w:t>
      </w:r>
      <w:r>
        <w:rPr>
          <w:rFonts w:ascii="Times New Roman" w:eastAsia="Times New Roman" w:hAnsi="Times New Roman" w:cs="Times New Roman"/>
          <w:b/>
          <w:bCs/>
          <w:sz w:val="28"/>
          <w:szCs w:val="28"/>
        </w:rPr>
        <w:t>5</w:t>
      </w:r>
      <w:r>
        <w:rPr>
          <w:rFonts w:ascii="Times New Roman" w:eastAsia="Times New Roman" w:hAnsi="Times New Roman" w:cs="Times New Roman"/>
          <w:color w:val="000000"/>
          <w:sz w:val="28"/>
          <w:szCs w:val="28"/>
        </w:rPr>
        <w:t>. Algoritmul de calcul se stabilește prin cumularea punctajului obținut în urma evaluării dosarului de solicitare a finanțării, conform criteriilor de evaluare a propunerii de proiect stabilite la pct. 3</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w:t>
      </w:r>
    </w:p>
    <w:p w14:paraId="021DE584"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3</w:t>
      </w:r>
      <w:r>
        <w:rPr>
          <w:rFonts w:ascii="Times New Roman" w:eastAsia="Times New Roman" w:hAnsi="Times New Roman" w:cs="Times New Roman"/>
          <w:b/>
          <w:bCs/>
          <w:sz w:val="28"/>
          <w:szCs w:val="28"/>
          <w:highlight w:val="white"/>
        </w:rPr>
        <w:t>6</w:t>
      </w:r>
      <w:r>
        <w:rPr>
          <w:rFonts w:ascii="Times New Roman" w:eastAsia="Times New Roman" w:hAnsi="Times New Roman" w:cs="Times New Roman"/>
          <w:b/>
          <w:bCs/>
          <w:color w:val="000000"/>
          <w:sz w:val="28"/>
          <w:szCs w:val="28"/>
          <w:highlight w:val="white"/>
        </w:rPr>
        <w:t xml:space="preserve">. </w:t>
      </w:r>
      <w:r>
        <w:rPr>
          <w:rFonts w:ascii="Times New Roman" w:eastAsia="Times New Roman" w:hAnsi="Times New Roman" w:cs="Times New Roman"/>
          <w:color w:val="000000"/>
          <w:sz w:val="28"/>
          <w:szCs w:val="28"/>
          <w:highlight w:val="white"/>
        </w:rPr>
        <w:t>Punctajul final al fiecărui proiect este reprezentat de media aritmetică a punctajelor acordate de membrii comisiei. Proiectele care acumulează o medie aritmetică a punctajului mai mică de 60 – nu se finanțează.</w:t>
      </w:r>
    </w:p>
    <w:p w14:paraId="4FFABAD0"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3</w:t>
      </w:r>
      <w:r>
        <w:rPr>
          <w:rFonts w:ascii="Times New Roman" w:eastAsia="Times New Roman" w:hAnsi="Times New Roman" w:cs="Times New Roman"/>
          <w:b/>
          <w:bCs/>
          <w:sz w:val="28"/>
          <w:szCs w:val="28"/>
          <w:highlight w:val="white"/>
        </w:rPr>
        <w:t>7</w:t>
      </w:r>
      <w:r>
        <w:rPr>
          <w:rFonts w:ascii="Times New Roman" w:eastAsia="Times New Roman" w:hAnsi="Times New Roman" w:cs="Times New Roman"/>
          <w:b/>
          <w:bCs/>
          <w:color w:val="000000"/>
          <w:sz w:val="28"/>
          <w:szCs w:val="28"/>
          <w:highlight w:val="white"/>
        </w:rPr>
        <w:t>.</w:t>
      </w:r>
      <w:r>
        <w:rPr>
          <w:rFonts w:ascii="Times New Roman" w:eastAsia="Times New Roman" w:hAnsi="Times New Roman" w:cs="Times New Roman"/>
          <w:color w:val="000000"/>
          <w:sz w:val="28"/>
          <w:szCs w:val="28"/>
          <w:highlight w:val="white"/>
        </w:rPr>
        <w:t xml:space="preserve"> Proiectele câștigătoare se stabilesc prin punctajele obținute, în descreștere: de la 100 la 60 de puncte sau de la 100 până la epuizarea bugetului stabilit pentru fiecare </w:t>
      </w:r>
      <w:r>
        <w:rPr>
          <w:rFonts w:ascii="Times New Roman" w:eastAsia="Times New Roman" w:hAnsi="Times New Roman" w:cs="Times New Roman"/>
          <w:sz w:val="28"/>
          <w:szCs w:val="28"/>
          <w:highlight w:val="white"/>
        </w:rPr>
        <w:t>prioritate de finanțare</w:t>
      </w:r>
      <w:r>
        <w:rPr>
          <w:rFonts w:ascii="Times New Roman" w:eastAsia="Times New Roman" w:hAnsi="Times New Roman" w:cs="Times New Roman"/>
          <w:color w:val="000000"/>
          <w:sz w:val="28"/>
          <w:szCs w:val="28"/>
          <w:highlight w:val="white"/>
        </w:rPr>
        <w:t xml:space="preserve"> în parte.</w:t>
      </w:r>
    </w:p>
    <w:p w14:paraId="60DDB0CE" w14:textId="77777777" w:rsidR="00970CC0" w:rsidRDefault="00000000">
      <w:pPr>
        <w:pBdr>
          <w:top w:val="nil"/>
          <w:left w:val="nil"/>
          <w:bottom w:val="nil"/>
          <w:right w:val="nil"/>
          <w:between w:val="nil"/>
        </w:pBdr>
        <w:shd w:val="clear" w:color="auto" w:fill="FFFFFF"/>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w:t>
      </w:r>
      <w:r>
        <w:rPr>
          <w:rFonts w:ascii="Times New Roman" w:eastAsia="Times New Roman" w:hAnsi="Times New Roman" w:cs="Times New Roman"/>
          <w:b/>
          <w:bCs/>
          <w:sz w:val="28"/>
          <w:szCs w:val="28"/>
        </w:rPr>
        <w:t>8</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Rezultatele evaluării fiecărui proiect sunt introduse în fișa de evaluare, conform modelului din anexa nr. 5, care este semnată de către membrii Comisiei.</w:t>
      </w:r>
    </w:p>
    <w:p w14:paraId="33D4A741"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bookmarkStart w:id="6" w:name="_heading=h.5k8atwucxwun" w:colFirst="0" w:colLast="0"/>
      <w:bookmarkEnd w:id="6"/>
      <w:r>
        <w:rPr>
          <w:rFonts w:ascii="Times New Roman" w:eastAsia="Times New Roman" w:hAnsi="Times New Roman" w:cs="Times New Roman"/>
          <w:b/>
          <w:bCs/>
          <w:sz w:val="28"/>
          <w:szCs w:val="28"/>
          <w:highlight w:val="white"/>
        </w:rPr>
        <w:t>39</w:t>
      </w:r>
      <w:r>
        <w:rPr>
          <w:rFonts w:ascii="Times New Roman" w:eastAsia="Times New Roman" w:hAnsi="Times New Roman" w:cs="Times New Roman"/>
          <w:b/>
          <w:bCs/>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În cazul în care o arie tematică nu și-a valorificat întregul buget stabilit, acesta se transferă proporțional la alte </w:t>
      </w:r>
      <w:r>
        <w:rPr>
          <w:rFonts w:ascii="Times New Roman" w:eastAsia="Times New Roman" w:hAnsi="Times New Roman" w:cs="Times New Roman"/>
          <w:sz w:val="28"/>
          <w:szCs w:val="28"/>
          <w:highlight w:val="white"/>
        </w:rPr>
        <w:t>priorități de finanțare</w:t>
      </w:r>
      <w:r>
        <w:rPr>
          <w:rFonts w:ascii="Times New Roman" w:eastAsia="Times New Roman" w:hAnsi="Times New Roman" w:cs="Times New Roman"/>
          <w:color w:val="000000"/>
          <w:sz w:val="28"/>
          <w:szCs w:val="28"/>
          <w:highlight w:val="white"/>
        </w:rPr>
        <w:t xml:space="preserve">, cu mai multe solicitări de proiecte în </w:t>
      </w:r>
      <w:r>
        <w:rPr>
          <w:rFonts w:ascii="Times New Roman" w:eastAsia="Times New Roman" w:hAnsi="Times New Roman" w:cs="Times New Roman"/>
          <w:color w:val="000000"/>
          <w:sz w:val="28"/>
          <w:szCs w:val="28"/>
        </w:rPr>
        <w:t>domeniul turism</w:t>
      </w:r>
      <w:r>
        <w:rPr>
          <w:rFonts w:ascii="Times New Roman" w:eastAsia="Times New Roman" w:hAnsi="Times New Roman" w:cs="Times New Roman"/>
          <w:color w:val="000000"/>
          <w:sz w:val="28"/>
          <w:szCs w:val="28"/>
          <w:highlight w:val="white"/>
        </w:rPr>
        <w:t>, care au obținut un punctaj mediu de minim 60 de puncte.</w:t>
      </w:r>
    </w:p>
    <w:p w14:paraId="002128FB" w14:textId="77777777" w:rsidR="00970CC0" w:rsidRDefault="00000000">
      <w:pPr>
        <w:numPr>
          <w:ilvl w:val="0"/>
          <w:numId w:val="1"/>
        </w:numPr>
        <w:pBdr>
          <w:top w:val="nil"/>
          <w:left w:val="nil"/>
          <w:bottom w:val="nil"/>
          <w:right w:val="nil"/>
          <w:between w:val="nil"/>
        </w:pBdr>
        <w:shd w:val="clear" w:color="auto" w:fill="FFFFFF"/>
        <w:tabs>
          <w:tab w:val="left" w:pos="993"/>
        </w:tabs>
        <w:spacing w:before="360" w:after="120" w:line="276" w:lineRule="auto"/>
        <w:ind w:left="288" w:firstLine="28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Comunicarea rezultatelor concursului și procedura</w:t>
      </w:r>
      <w:r>
        <w:rPr>
          <w:rFonts w:ascii="Times New Roman" w:eastAsia="Times New Roman" w:hAnsi="Times New Roman" w:cs="Times New Roman"/>
          <w:b/>
          <w:bCs/>
          <w:color w:val="000000"/>
          <w:sz w:val="28"/>
          <w:szCs w:val="28"/>
        </w:rPr>
        <w:br/>
        <w:t>de soluționare a contestațiilor</w:t>
      </w:r>
    </w:p>
    <w:p w14:paraId="132DD9C9" w14:textId="77777777" w:rsidR="00970CC0" w:rsidRDefault="00000000">
      <w:pPr>
        <w:pBdr>
          <w:top w:val="nil"/>
          <w:left w:val="nil"/>
          <w:bottom w:val="nil"/>
          <w:right w:val="nil"/>
          <w:between w:val="nil"/>
        </w:pBdr>
        <w:shd w:val="clear" w:color="auto" w:fill="FFFFFF"/>
        <w:spacing w:after="0" w:line="276" w:lineRule="auto"/>
        <w:ind w:firstLine="708"/>
        <w:jc w:val="both"/>
        <w:rPr>
          <w:rFonts w:ascii="Times New Roman" w:eastAsia="Times New Roman" w:hAnsi="Times New Roman" w:cs="Times New Roman"/>
          <w:color w:val="000000"/>
          <w:sz w:val="28"/>
          <w:szCs w:val="28"/>
        </w:rPr>
      </w:pPr>
      <w:bookmarkStart w:id="7" w:name="_heading=h.tak5cavz6xd6" w:colFirst="0" w:colLast="0"/>
      <w:bookmarkEnd w:id="7"/>
      <w:r>
        <w:rPr>
          <w:rFonts w:ascii="Times New Roman" w:eastAsia="Times New Roman" w:hAnsi="Times New Roman" w:cs="Times New Roman"/>
          <w:b/>
          <w:bCs/>
          <w:color w:val="000000"/>
          <w:sz w:val="28"/>
          <w:szCs w:val="28"/>
        </w:rPr>
        <w:t>4</w:t>
      </w:r>
      <w:r>
        <w:rPr>
          <w:rFonts w:ascii="Times New Roman" w:eastAsia="Times New Roman" w:hAnsi="Times New Roman" w:cs="Times New Roman"/>
          <w:b/>
          <w:bCs/>
          <w:sz w:val="28"/>
          <w:szCs w:val="28"/>
        </w:rPr>
        <w:t>0</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highlight w:val="white"/>
        </w:rPr>
        <w:t>Instituția Publică „Oficiul Național al Turismului”</w:t>
      </w:r>
      <w:r>
        <w:rPr>
          <w:rFonts w:ascii="Times New Roman" w:eastAsia="Times New Roman" w:hAnsi="Times New Roman" w:cs="Times New Roman"/>
          <w:color w:val="000000"/>
          <w:sz w:val="28"/>
          <w:szCs w:val="28"/>
        </w:rPr>
        <w:t xml:space="preserve"> asigură comunicarea și publicarea pe pagina web oficială, a rezultatelor concursului, în termen de cinci zile lucrătoare de la data aprobării listei proiectelor câștigătoare.</w:t>
      </w:r>
    </w:p>
    <w:p w14:paraId="6108BB20" w14:textId="77777777" w:rsidR="00970CC0" w:rsidRDefault="00000000">
      <w:pPr>
        <w:pBdr>
          <w:top w:val="nil"/>
          <w:left w:val="nil"/>
          <w:bottom w:val="nil"/>
          <w:right w:val="nil"/>
          <w:between w:val="nil"/>
        </w:pBdr>
        <w:shd w:val="clear" w:color="auto" w:fill="FFFFFF"/>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w:t>
      </w:r>
      <w:r>
        <w:rPr>
          <w:rFonts w:ascii="Times New Roman" w:eastAsia="Times New Roman" w:hAnsi="Times New Roman" w:cs="Times New Roman"/>
          <w:b/>
          <w:bCs/>
          <w:sz w:val="28"/>
          <w:szCs w:val="28"/>
        </w:rPr>
        <w:t>1</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highlight w:val="white"/>
        </w:rPr>
        <w:t>Instituția Publică „Oficiul Național al Turismului”</w:t>
      </w:r>
      <w:r>
        <w:rPr>
          <w:rFonts w:ascii="Times New Roman" w:eastAsia="Times New Roman" w:hAnsi="Times New Roman" w:cs="Times New Roman"/>
          <w:color w:val="000000"/>
          <w:sz w:val="28"/>
          <w:szCs w:val="28"/>
        </w:rPr>
        <w:t xml:space="preserve"> comunică, prin mijloace electronice, rezultatele concursului de selectare a proiectelor în domeniul turismului tuturor participanților.</w:t>
      </w:r>
    </w:p>
    <w:p w14:paraId="26FFB14B" w14:textId="77777777" w:rsidR="00970CC0" w:rsidRDefault="00000000">
      <w:pPr>
        <w:pBdr>
          <w:top w:val="nil"/>
          <w:left w:val="nil"/>
          <w:bottom w:val="nil"/>
          <w:right w:val="nil"/>
          <w:between w:val="nil"/>
        </w:pBdr>
        <w:shd w:val="clear" w:color="auto" w:fill="FFFFFF"/>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w:t>
      </w:r>
      <w:r>
        <w:rPr>
          <w:rFonts w:ascii="Times New Roman" w:eastAsia="Times New Roman" w:hAnsi="Times New Roman" w:cs="Times New Roman"/>
          <w:b/>
          <w:bCs/>
          <w:sz w:val="28"/>
          <w:szCs w:val="28"/>
        </w:rPr>
        <w:t>2</w:t>
      </w:r>
      <w:r>
        <w:rPr>
          <w:rFonts w:ascii="Times New Roman" w:eastAsia="Times New Roman" w:hAnsi="Times New Roman" w:cs="Times New Roman"/>
          <w:color w:val="000000"/>
          <w:sz w:val="28"/>
          <w:szCs w:val="28"/>
        </w:rPr>
        <w:t>. Organizațiile necomerciale ale căror proiecte nu sunt acceptate pentru finanțare, sunt informate despre cauzele neselectării proiectelor depuse.</w:t>
      </w:r>
    </w:p>
    <w:p w14:paraId="3A41612A" w14:textId="77777777" w:rsidR="00970CC0" w:rsidRDefault="00000000">
      <w:pPr>
        <w:pBdr>
          <w:top w:val="nil"/>
          <w:left w:val="nil"/>
          <w:bottom w:val="nil"/>
          <w:right w:val="nil"/>
          <w:between w:val="nil"/>
        </w:pBdr>
        <w:shd w:val="clear" w:color="auto" w:fill="FFFFFF"/>
        <w:spacing w:after="0" w:line="276"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lastRenderedPageBreak/>
        <w:t>4</w:t>
      </w:r>
      <w:r>
        <w:rPr>
          <w:rFonts w:ascii="Times New Roman" w:eastAsia="Times New Roman" w:hAnsi="Times New Roman" w:cs="Times New Roman"/>
          <w:b/>
          <w:bCs/>
          <w:sz w:val="28"/>
          <w:szCs w:val="28"/>
          <w:highlight w:val="white"/>
        </w:rPr>
        <w:t>3</w:t>
      </w:r>
      <w:r>
        <w:rPr>
          <w:rFonts w:ascii="Times New Roman" w:eastAsia="Times New Roman" w:hAnsi="Times New Roman" w:cs="Times New Roman"/>
          <w:b/>
          <w:bCs/>
          <w:color w:val="000000"/>
          <w:sz w:val="28"/>
          <w:szCs w:val="28"/>
          <w:highlight w:val="white"/>
        </w:rPr>
        <w:t>.</w:t>
      </w:r>
      <w:r>
        <w:rPr>
          <w:rFonts w:ascii="Times New Roman" w:eastAsia="Times New Roman" w:hAnsi="Times New Roman" w:cs="Times New Roman"/>
          <w:color w:val="000000"/>
          <w:sz w:val="28"/>
          <w:szCs w:val="28"/>
          <w:highlight w:val="white"/>
        </w:rPr>
        <w:t xml:space="preserve"> Organizațiile necomerciale care au depus dosarul de solicitare a finanțării și ale căror proiecte nu au fost selectate pentru finanțare, au dreptul să formuleze contestații timp de 10 zile calendaristice de la data publicării rezultatelor finale ale concursului de selectare.</w:t>
      </w:r>
    </w:p>
    <w:p w14:paraId="793956B4" w14:textId="77777777" w:rsidR="00970CC0" w:rsidRDefault="0000000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4</w:t>
      </w:r>
      <w:r>
        <w:rPr>
          <w:rFonts w:ascii="Times New Roman" w:eastAsia="Times New Roman" w:hAnsi="Times New Roman" w:cs="Times New Roman"/>
          <w:b/>
          <w:bCs/>
          <w:sz w:val="28"/>
          <w:szCs w:val="28"/>
          <w:highlight w:val="white"/>
        </w:rPr>
        <w:t>4</w:t>
      </w:r>
      <w:r>
        <w:rPr>
          <w:rFonts w:ascii="Times New Roman" w:eastAsia="Times New Roman" w:hAnsi="Times New Roman" w:cs="Times New Roman"/>
          <w:b/>
          <w:bCs/>
          <w:color w:val="000000"/>
          <w:sz w:val="28"/>
          <w:szCs w:val="28"/>
          <w:highlight w:val="white"/>
        </w:rPr>
        <w:t>.</w:t>
      </w:r>
      <w:r>
        <w:rPr>
          <w:rFonts w:ascii="Times New Roman" w:eastAsia="Times New Roman" w:hAnsi="Times New Roman" w:cs="Times New Roman"/>
          <w:color w:val="000000"/>
          <w:sz w:val="28"/>
          <w:szCs w:val="28"/>
          <w:highlight w:val="white"/>
        </w:rPr>
        <w:t xml:space="preserve"> Contestația, conform modelului din anexa nr. 8, este trimisă pentru examinare </w:t>
      </w:r>
      <w:r>
        <w:rPr>
          <w:rFonts w:ascii="Times New Roman" w:eastAsia="Times New Roman" w:hAnsi="Times New Roman" w:cs="Times New Roman"/>
          <w:color w:val="000000"/>
          <w:sz w:val="28"/>
          <w:szCs w:val="28"/>
        </w:rPr>
        <w:t xml:space="preserve">către </w:t>
      </w:r>
      <w:r>
        <w:rPr>
          <w:rFonts w:ascii="Times New Roman" w:eastAsia="Times New Roman" w:hAnsi="Times New Roman" w:cs="Times New Roman"/>
          <w:sz w:val="28"/>
          <w:szCs w:val="28"/>
          <w:highlight w:val="white"/>
        </w:rPr>
        <w:t>Instituția Publică „Oficiul Național al Turismului”</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Termenul de soluționare a contestațiilor este de 10 zile calendaristice de la expirarea termenului de depunere a acestora.</w:t>
      </w:r>
    </w:p>
    <w:p w14:paraId="27C03E6A" w14:textId="77777777" w:rsidR="00970CC0" w:rsidRDefault="00000000">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color w:val="000000"/>
          <w:sz w:val="28"/>
          <w:szCs w:val="28"/>
        </w:rPr>
        <w:t>4</w:t>
      </w:r>
      <w:r>
        <w:rPr>
          <w:rFonts w:ascii="Times New Roman" w:eastAsia="Times New Roman" w:hAnsi="Times New Roman" w:cs="Times New Roman"/>
          <w:b/>
          <w:bCs/>
          <w:sz w:val="28"/>
          <w:szCs w:val="28"/>
        </w:rPr>
        <w:t>5</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După expirarea termenului de contestare și de soluționare a contestațiilor, </w:t>
      </w:r>
      <w:r>
        <w:rPr>
          <w:rFonts w:ascii="Times New Roman" w:eastAsia="Times New Roman" w:hAnsi="Times New Roman" w:cs="Times New Roman"/>
          <w:sz w:val="28"/>
          <w:szCs w:val="28"/>
          <w:highlight w:val="white"/>
        </w:rPr>
        <w:t>Instituția Publică „Oficiul Național al Turismului”</w:t>
      </w:r>
      <w:r>
        <w:rPr>
          <w:rFonts w:ascii="Times New Roman" w:eastAsia="Times New Roman" w:hAnsi="Times New Roman" w:cs="Times New Roman"/>
          <w:color w:val="000000"/>
          <w:sz w:val="28"/>
          <w:szCs w:val="28"/>
        </w:rPr>
        <w:t xml:space="preserve">, în maximum 15 zile, aprobă prin ordinul </w:t>
      </w:r>
      <w:r>
        <w:rPr>
          <w:rFonts w:ascii="Times New Roman" w:eastAsia="Times New Roman" w:hAnsi="Times New Roman" w:cs="Times New Roman"/>
          <w:sz w:val="28"/>
          <w:szCs w:val="28"/>
        </w:rPr>
        <w:t>directorului</w:t>
      </w:r>
      <w:r>
        <w:rPr>
          <w:rFonts w:ascii="Times New Roman" w:eastAsia="Times New Roman" w:hAnsi="Times New Roman" w:cs="Times New Roman"/>
          <w:color w:val="000000"/>
          <w:sz w:val="28"/>
          <w:szCs w:val="28"/>
        </w:rPr>
        <w:t>, lista proiectelor selectate de Comisie.</w:t>
      </w:r>
    </w:p>
    <w:p w14:paraId="15272846" w14:textId="77777777" w:rsidR="00970CC0" w:rsidRDefault="00000000">
      <w:pPr>
        <w:numPr>
          <w:ilvl w:val="0"/>
          <w:numId w:val="1"/>
        </w:numPr>
        <w:pBdr>
          <w:top w:val="nil"/>
          <w:left w:val="nil"/>
          <w:bottom w:val="nil"/>
          <w:right w:val="nil"/>
          <w:between w:val="nil"/>
        </w:pBdr>
        <w:shd w:val="clear" w:color="auto" w:fill="FFFFFF"/>
        <w:tabs>
          <w:tab w:val="left" w:pos="709"/>
        </w:tabs>
        <w:spacing w:before="360" w:after="120" w:line="276" w:lineRule="auto"/>
        <w:ind w:left="0" w:firstLine="28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Procedura de încheiere a contractelor de finanțare nerambursabilă</w:t>
      </w:r>
    </w:p>
    <w:p w14:paraId="1A40CF03"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highlight w:val="white"/>
        </w:rPr>
      </w:pPr>
      <w:bookmarkStart w:id="8" w:name="_heading=h.4tggzv2addwx" w:colFirst="0" w:colLast="0"/>
      <w:bookmarkEnd w:id="8"/>
      <w:r>
        <w:rPr>
          <w:rFonts w:ascii="Times New Roman" w:eastAsia="Times New Roman" w:hAnsi="Times New Roman" w:cs="Times New Roman"/>
          <w:b/>
          <w:bCs/>
          <w:color w:val="000000"/>
          <w:sz w:val="28"/>
          <w:szCs w:val="28"/>
          <w:highlight w:val="white"/>
        </w:rPr>
        <w:t>4</w:t>
      </w:r>
      <w:r>
        <w:rPr>
          <w:rFonts w:ascii="Times New Roman" w:eastAsia="Times New Roman" w:hAnsi="Times New Roman" w:cs="Times New Roman"/>
          <w:b/>
          <w:bCs/>
          <w:sz w:val="28"/>
          <w:szCs w:val="28"/>
          <w:highlight w:val="white"/>
        </w:rPr>
        <w:t>6</w:t>
      </w:r>
      <w:r>
        <w:rPr>
          <w:rFonts w:ascii="Times New Roman" w:eastAsia="Times New Roman" w:hAnsi="Times New Roman" w:cs="Times New Roman"/>
          <w:b/>
          <w:bCs/>
          <w:color w:val="000000"/>
          <w:sz w:val="28"/>
          <w:szCs w:val="28"/>
          <w:highlight w:val="white"/>
        </w:rPr>
        <w:t>.</w:t>
      </w:r>
      <w:r>
        <w:rPr>
          <w:rFonts w:ascii="Times New Roman" w:eastAsia="Times New Roman" w:hAnsi="Times New Roman" w:cs="Times New Roman"/>
          <w:color w:val="000000"/>
          <w:sz w:val="28"/>
          <w:szCs w:val="28"/>
          <w:highlight w:val="white"/>
        </w:rPr>
        <w:t xml:space="preserve"> Susținerea financiară a proiectelor organizațiilor necomerciale se efectuează anual în baza contractului de finanțare nerambursabilă, semnat de către autoritatea finanțatoare cu organizația/organizațiile necomercială/necomerciale, conform modelului din anexa nr. 9.</w:t>
      </w:r>
    </w:p>
    <w:p w14:paraId="435267CD"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4</w:t>
      </w:r>
      <w:r>
        <w:rPr>
          <w:rFonts w:ascii="Times New Roman" w:eastAsia="Times New Roman" w:hAnsi="Times New Roman" w:cs="Times New Roman"/>
          <w:b/>
          <w:bCs/>
          <w:sz w:val="28"/>
          <w:szCs w:val="28"/>
          <w:highlight w:val="white"/>
        </w:rPr>
        <w:t>7</w:t>
      </w:r>
      <w:r>
        <w:rPr>
          <w:rFonts w:ascii="Times New Roman" w:eastAsia="Times New Roman" w:hAnsi="Times New Roman" w:cs="Times New Roman"/>
          <w:color w:val="000000"/>
          <w:sz w:val="28"/>
          <w:szCs w:val="28"/>
          <w:highlight w:val="white"/>
        </w:rPr>
        <w:t>. Contractul de finanțare nerambursabilă conține clauze cu privire la sumele acordate, la termenele de valorificare a susținerii financiare, la obligațiile părților, la tranșele de debursare a resurselor financiare și la consecințele neexecutării sau executării necorespunzătoare a obligațiilor contractuale.</w:t>
      </w:r>
      <w:r>
        <w:rPr>
          <w:rFonts w:ascii="Times New Roman" w:eastAsia="Times New Roman" w:hAnsi="Times New Roman" w:cs="Times New Roman"/>
          <w:color w:val="000000"/>
          <w:sz w:val="28"/>
          <w:szCs w:val="28"/>
        </w:rPr>
        <w:t xml:space="preserve"> </w:t>
      </w:r>
    </w:p>
    <w:p w14:paraId="4B6508C6"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4</w:t>
      </w:r>
      <w:r>
        <w:rPr>
          <w:rFonts w:ascii="Times New Roman" w:eastAsia="Times New Roman" w:hAnsi="Times New Roman" w:cs="Times New Roman"/>
          <w:b/>
          <w:bCs/>
          <w:sz w:val="28"/>
          <w:szCs w:val="28"/>
          <w:highlight w:val="white"/>
        </w:rPr>
        <w:t>8</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sz w:val="28"/>
          <w:szCs w:val="28"/>
          <w:highlight w:val="white"/>
        </w:rPr>
        <w:t>Instituția Publică „Oficiul Național al Turismului”</w:t>
      </w:r>
      <w:r>
        <w:rPr>
          <w:rFonts w:ascii="Times New Roman" w:eastAsia="Times New Roman" w:hAnsi="Times New Roman" w:cs="Times New Roman"/>
          <w:color w:val="000000"/>
          <w:sz w:val="28"/>
          <w:szCs w:val="28"/>
          <w:highlight w:val="white"/>
        </w:rPr>
        <w:t xml:space="preserve"> încheie contracte de finanțare nerambursabilă doar cu organizațiile necomerciale aprobate prin ordinul ministrului culturii ca urmare a deciziei Comisiei.</w:t>
      </w:r>
    </w:p>
    <w:p w14:paraId="7E0E83F2"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sz w:val="28"/>
          <w:szCs w:val="28"/>
          <w:highlight w:val="white"/>
        </w:rPr>
        <w:t>49</w:t>
      </w:r>
      <w:r>
        <w:rPr>
          <w:rFonts w:ascii="Times New Roman" w:eastAsia="Times New Roman" w:hAnsi="Times New Roman" w:cs="Times New Roman"/>
          <w:b/>
          <w:bCs/>
          <w:color w:val="000000"/>
          <w:sz w:val="28"/>
          <w:szCs w:val="28"/>
          <w:highlight w:val="white"/>
        </w:rPr>
        <w:t xml:space="preserve">. </w:t>
      </w:r>
      <w:r>
        <w:rPr>
          <w:rFonts w:ascii="Times New Roman" w:eastAsia="Times New Roman" w:hAnsi="Times New Roman" w:cs="Times New Roman"/>
          <w:color w:val="000000"/>
          <w:sz w:val="28"/>
          <w:szCs w:val="28"/>
          <w:highlight w:val="white"/>
        </w:rPr>
        <w:t>La contractul de finanțare nerambursabilă se anexează formularul de cerere de finanțare și bugetul estimativ.</w:t>
      </w:r>
    </w:p>
    <w:p w14:paraId="0DE8C9F6"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bookmarkStart w:id="9" w:name="_heading=h.zv41cx7mwld" w:colFirst="0" w:colLast="0"/>
      <w:bookmarkEnd w:id="9"/>
      <w:r>
        <w:rPr>
          <w:rFonts w:ascii="Times New Roman" w:eastAsia="Times New Roman" w:hAnsi="Times New Roman" w:cs="Times New Roman"/>
          <w:b/>
          <w:bCs/>
          <w:color w:val="000000"/>
          <w:sz w:val="28"/>
          <w:szCs w:val="28"/>
        </w:rPr>
        <w:t>5</w:t>
      </w:r>
      <w:r>
        <w:rPr>
          <w:rFonts w:ascii="Times New Roman" w:eastAsia="Times New Roman" w:hAnsi="Times New Roman" w:cs="Times New Roman"/>
          <w:b/>
          <w:bCs/>
          <w:sz w:val="28"/>
          <w:szCs w:val="28"/>
        </w:rPr>
        <w:t>0</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Organizațiile necomerciale sunt obligate să încheie contractul de finanțare în termen de maximum 30 de zile de la data publicării rezultatelor concursului pe pagina web oficială. În cazul neprezentării în termenele stabilite, organizația va fi exclusă din lista beneficiarilor, suma alocată fiind distribuită altor beneficiari.</w:t>
      </w:r>
    </w:p>
    <w:p w14:paraId="36989D56"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bookmarkStart w:id="10" w:name="_heading=h.yvew7klzp8yk" w:colFirst="0" w:colLast="0"/>
      <w:bookmarkEnd w:id="10"/>
      <w:r>
        <w:rPr>
          <w:rFonts w:ascii="Times New Roman" w:eastAsia="Times New Roman" w:hAnsi="Times New Roman" w:cs="Times New Roman"/>
          <w:b/>
          <w:bCs/>
          <w:color w:val="000000"/>
          <w:sz w:val="28"/>
          <w:szCs w:val="28"/>
        </w:rPr>
        <w:t>5</w:t>
      </w:r>
      <w:r>
        <w:rPr>
          <w:rFonts w:ascii="Times New Roman" w:eastAsia="Times New Roman" w:hAnsi="Times New Roman" w:cs="Times New Roman"/>
          <w:b/>
          <w:bCs/>
          <w:sz w:val="28"/>
          <w:szCs w:val="28"/>
        </w:rPr>
        <w:t>1</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Valoarea totală a finanțării pentru proiect va fi transferată către beneficiar în trei tranșe. Prima tranșă constituie un avans de 30% din valoarea totală a finanțării nerambursabile, ce va fi transferat în contul beneficiarului, la solicitarea acestuia, în maximum 15 zile lucrătoare de la data semnării contractului și a prezentării dovezii contribuției proprii. Pentru avansul primit, beneficiarul va prezenta, în termenele stabilite, documente justificative cu privire la utilizarea acestuia. Plata celei de-a doua tranșe  (60%) se va face în baza solicitării de plată a beneficiarului, după validarea primului raport narativ de implementare a proiectului și financiar intermediar, a documentelor justificative privind utilizarea tranșei anterioare, dar nu mai târziu de șase luni de la începerea proiectului. Transferul se va efectua în termen de maximum </w:t>
      </w:r>
      <w:r>
        <w:rPr>
          <w:rFonts w:ascii="Times New Roman" w:eastAsia="Times New Roman" w:hAnsi="Times New Roman" w:cs="Times New Roman"/>
          <w:color w:val="000000"/>
          <w:sz w:val="28"/>
          <w:szCs w:val="28"/>
          <w:highlight w:val="white"/>
        </w:rPr>
        <w:lastRenderedPageBreak/>
        <w:t>15 zile lucrătoare de la validarea rapoartelor. A treia tranșă (10%) din bugetul total al proiectului, se eliberează de către autoritatea finanțatoare beneficiarului după prezentarea și validarea raportului narativ final de implementare a proiectului și a raportului final financiar, dar nu mai târziu de data de 30 noiembrie a anului bugetar. Transferul se efectuează în termen de cel mult 30 de zile calendaristice. Această tranșă va fi asigurată din sursele proprii ale beneficiarului, care, ulterior, va fi rambursată de către autoritatea finanțatoare în baza verificării și validării raportului narativ final de implementare și financiar final.</w:t>
      </w:r>
    </w:p>
    <w:p w14:paraId="17D8C436"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5</w:t>
      </w:r>
      <w:r>
        <w:rPr>
          <w:rFonts w:ascii="Times New Roman" w:eastAsia="Times New Roman" w:hAnsi="Times New Roman" w:cs="Times New Roman"/>
          <w:b/>
          <w:bCs/>
          <w:sz w:val="28"/>
          <w:szCs w:val="28"/>
          <w:highlight w:val="white"/>
        </w:rPr>
        <w:t>2</w:t>
      </w:r>
      <w:r>
        <w:rPr>
          <w:rFonts w:ascii="Times New Roman" w:eastAsia="Times New Roman" w:hAnsi="Times New Roman" w:cs="Times New Roman"/>
          <w:b/>
          <w:bCs/>
          <w:color w:val="000000"/>
          <w:sz w:val="28"/>
          <w:szCs w:val="28"/>
          <w:highlight w:val="white"/>
        </w:rPr>
        <w:t>.</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Validarea raportului final se efectuează în termen de cel mult 30 de zile de la depunerea de către beneficiar a raportului narativ final de implementare și a raportului financiar final.</w:t>
      </w:r>
    </w:p>
    <w:p w14:paraId="71EC0888"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5</w:t>
      </w:r>
      <w:r>
        <w:rPr>
          <w:rFonts w:ascii="Times New Roman" w:eastAsia="Times New Roman" w:hAnsi="Times New Roman" w:cs="Times New Roman"/>
          <w:b/>
          <w:bCs/>
          <w:sz w:val="28"/>
          <w:szCs w:val="28"/>
        </w:rPr>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Controlul conformității și eficienței utilizării mijloacelor financiare este asigurat de către instituțiile cu competențe în domeniu.</w:t>
      </w:r>
    </w:p>
    <w:p w14:paraId="07103D19"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5</w:t>
      </w:r>
      <w:r>
        <w:rPr>
          <w:rFonts w:ascii="Times New Roman" w:eastAsia="Times New Roman" w:hAnsi="Times New Roman" w:cs="Times New Roman"/>
          <w:b/>
          <w:bCs/>
          <w:sz w:val="28"/>
          <w:szCs w:val="28"/>
        </w:rPr>
        <w:t>4</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Schimbarea destinației mijloacelor financiare prevăzute în contractul de finanțare a proiectelor din domeniul turismului încheiat de către organizațiile necomerciale cu </w:t>
      </w:r>
      <w:r>
        <w:rPr>
          <w:rFonts w:ascii="Times New Roman" w:eastAsia="Times New Roman" w:hAnsi="Times New Roman" w:cs="Times New Roman"/>
          <w:sz w:val="28"/>
          <w:szCs w:val="28"/>
          <w:highlight w:val="white"/>
        </w:rPr>
        <w:t>Instituția Publică „Oficiul Național al Turismului”</w:t>
      </w:r>
      <w:r>
        <w:rPr>
          <w:rFonts w:ascii="Times New Roman" w:eastAsia="Times New Roman" w:hAnsi="Times New Roman" w:cs="Times New Roman"/>
          <w:color w:val="000000"/>
          <w:sz w:val="28"/>
          <w:szCs w:val="28"/>
        </w:rPr>
        <w:t>, se interzice.</w:t>
      </w:r>
    </w:p>
    <w:p w14:paraId="1504ACF2" w14:textId="77777777" w:rsidR="00970CC0" w:rsidRDefault="00000000">
      <w:pPr>
        <w:pBdr>
          <w:top w:val="nil"/>
          <w:left w:val="nil"/>
          <w:bottom w:val="nil"/>
          <w:right w:val="nil"/>
          <w:between w:val="nil"/>
        </w:pBdr>
        <w:shd w:val="clear" w:color="auto" w:fill="FFFFFF"/>
        <w:spacing w:after="12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5</w:t>
      </w:r>
      <w:r>
        <w:rPr>
          <w:rFonts w:ascii="Times New Roman" w:eastAsia="Times New Roman" w:hAnsi="Times New Roman" w:cs="Times New Roman"/>
          <w:b/>
          <w:bCs/>
          <w:sz w:val="28"/>
          <w:szCs w:val="28"/>
        </w:rPr>
        <w:t>5</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Sumele neutilizate după finalizarea proiectului se virează pe contul bugetului de stat în termen de maximum 30 de zile</w:t>
      </w:r>
    </w:p>
    <w:p w14:paraId="6F6B709D" w14:textId="77777777" w:rsidR="00970CC0" w:rsidRDefault="00000000">
      <w:pPr>
        <w:numPr>
          <w:ilvl w:val="0"/>
          <w:numId w:val="1"/>
        </w:numPr>
        <w:pBdr>
          <w:top w:val="nil"/>
          <w:left w:val="nil"/>
          <w:bottom w:val="nil"/>
          <w:right w:val="nil"/>
          <w:between w:val="nil"/>
        </w:pBdr>
        <w:shd w:val="clear" w:color="auto" w:fill="FFFFFF"/>
        <w:tabs>
          <w:tab w:val="left" w:pos="567"/>
        </w:tabs>
        <w:spacing w:before="360" w:after="120" w:line="276" w:lineRule="auto"/>
        <w:ind w:left="0" w:firstLine="28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Procedura de implementare a contractului de finanțare nerambursabilă</w:t>
      </w:r>
    </w:p>
    <w:p w14:paraId="07CC39CA" w14:textId="77777777" w:rsidR="00970CC0" w:rsidRDefault="00000000">
      <w:pPr>
        <w:pBdr>
          <w:top w:val="nil"/>
          <w:left w:val="nil"/>
          <w:bottom w:val="nil"/>
          <w:right w:val="nil"/>
          <w:between w:val="nil"/>
        </w:pBdr>
        <w:shd w:val="clear" w:color="auto" w:fill="FFFFFF"/>
        <w:spacing w:before="120"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5</w:t>
      </w:r>
      <w:r>
        <w:rPr>
          <w:rFonts w:ascii="Times New Roman" w:eastAsia="Times New Roman" w:hAnsi="Times New Roman" w:cs="Times New Roman"/>
          <w:b/>
          <w:bCs/>
          <w:sz w:val="28"/>
          <w:szCs w:val="28"/>
        </w:rPr>
        <w:t>6</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sz w:val="28"/>
          <w:szCs w:val="28"/>
          <w:highlight w:val="white"/>
        </w:rPr>
        <w:t>Instituția Publică „Oficiul Național al Turismului”</w:t>
      </w:r>
      <w:r>
        <w:rPr>
          <w:rFonts w:ascii="Times New Roman" w:eastAsia="Times New Roman" w:hAnsi="Times New Roman" w:cs="Times New Roman"/>
          <w:color w:val="000000"/>
          <w:sz w:val="28"/>
          <w:szCs w:val="28"/>
        </w:rPr>
        <w:t xml:space="preserve"> efectuează verificări, atât în perioada derulării contractului de finanțare nerambursabilă, cât și ulterior validării raportului financiar final, în scopul completării dosarului finanțării nerambursabile, dar nu mai târziu de un an de la expirarea termenului de implementare a proiectului.</w:t>
      </w:r>
    </w:p>
    <w:p w14:paraId="40D1AC83"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5</w:t>
      </w:r>
      <w:r>
        <w:rPr>
          <w:rFonts w:ascii="Times New Roman" w:eastAsia="Times New Roman" w:hAnsi="Times New Roman" w:cs="Times New Roman"/>
          <w:b/>
          <w:bCs/>
          <w:sz w:val="28"/>
          <w:szCs w:val="28"/>
        </w:rPr>
        <w:t>7</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Organizațiile necomerciale achiziționează produse, lucrări și servicii din resursele financiare nerambursabile, prevăzute în bugetul proiectului, cu respectarea legislației din domeniul achizițiilor publice.</w:t>
      </w:r>
    </w:p>
    <w:p w14:paraId="46D3E4EC"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5</w:t>
      </w:r>
      <w:r>
        <w:rPr>
          <w:rFonts w:ascii="Times New Roman" w:eastAsia="Times New Roman" w:hAnsi="Times New Roman" w:cs="Times New Roman"/>
          <w:b/>
          <w:bCs/>
          <w:sz w:val="28"/>
          <w:szCs w:val="28"/>
        </w:rPr>
        <w:t>8</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La sfârșitul anului bugetar, </w:t>
      </w:r>
      <w:r>
        <w:rPr>
          <w:rFonts w:ascii="Times New Roman" w:eastAsia="Times New Roman" w:hAnsi="Times New Roman" w:cs="Times New Roman"/>
          <w:sz w:val="28"/>
          <w:szCs w:val="28"/>
          <w:highlight w:val="white"/>
        </w:rPr>
        <w:t>Instituția Publică „Oficiul Național al Turismului”</w:t>
      </w:r>
      <w:r>
        <w:rPr>
          <w:rFonts w:ascii="Times New Roman" w:eastAsia="Times New Roman" w:hAnsi="Times New Roman" w:cs="Times New Roman"/>
          <w:color w:val="000000"/>
          <w:sz w:val="28"/>
          <w:szCs w:val="28"/>
        </w:rPr>
        <w:t xml:space="preserve"> are obligația de a întocmi și a publica un raport cu privire la contractele de finanțare nerambursabilă încheiate în cursul anului bugetar, care va cuprinde informație despre proiectele finanțate, sumele alocate, beneficiari și rezultatele fiecărui proiect.</w:t>
      </w:r>
    </w:p>
    <w:p w14:paraId="4A020893"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59</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Dosarul organizației beneficiare de finanțare nerambursabilă, inclusiv raportul financiar final, se păstrează în arhiva </w:t>
      </w:r>
      <w:r>
        <w:rPr>
          <w:rFonts w:ascii="Times New Roman" w:eastAsia="Times New Roman" w:hAnsi="Times New Roman" w:cs="Times New Roman"/>
          <w:sz w:val="28"/>
          <w:szCs w:val="28"/>
          <w:highlight w:val="white"/>
        </w:rPr>
        <w:t>Instituția Publică „Oficiul Național al Turismului”</w:t>
      </w:r>
      <w:r>
        <w:rPr>
          <w:rFonts w:ascii="Times New Roman" w:eastAsia="Times New Roman" w:hAnsi="Times New Roman" w:cs="Times New Roman"/>
          <w:color w:val="000000"/>
          <w:sz w:val="28"/>
          <w:szCs w:val="28"/>
        </w:rPr>
        <w:t xml:space="preserve"> și a beneficiarului, pentru un eventual audit ulterior, pentru o perioadă de cinci ani după încetarea contractului.</w:t>
      </w:r>
    </w:p>
    <w:p w14:paraId="4B0FDD3F" w14:textId="77777777" w:rsidR="00970CC0" w:rsidRDefault="00000000">
      <w:pPr>
        <w:pBdr>
          <w:top w:val="nil"/>
          <w:left w:val="nil"/>
          <w:bottom w:val="nil"/>
          <w:right w:val="nil"/>
          <w:between w:val="nil"/>
        </w:pBdr>
        <w:shd w:val="clear" w:color="auto" w:fill="FFFFFF"/>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6</w:t>
      </w:r>
      <w:r>
        <w:rPr>
          <w:rFonts w:ascii="Times New Roman" w:eastAsia="Times New Roman" w:hAnsi="Times New Roman" w:cs="Times New Roman"/>
          <w:b/>
          <w:bCs/>
          <w:sz w:val="28"/>
          <w:szCs w:val="28"/>
        </w:rPr>
        <w:t>0</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Se interzice perceperea oricăror taxe de participare la evenimentele organizate în cadrul proiectelor finanțate de către </w:t>
      </w:r>
      <w:r>
        <w:rPr>
          <w:rFonts w:ascii="Times New Roman" w:eastAsia="Times New Roman" w:hAnsi="Times New Roman" w:cs="Times New Roman"/>
          <w:sz w:val="28"/>
          <w:szCs w:val="28"/>
          <w:highlight w:val="white"/>
        </w:rPr>
        <w:t>Instituția Publică „Oficiul Național al Turismului”</w:t>
      </w:r>
      <w:r>
        <w:rPr>
          <w:rFonts w:ascii="Times New Roman" w:eastAsia="Times New Roman" w:hAnsi="Times New Roman" w:cs="Times New Roman"/>
          <w:color w:val="000000"/>
          <w:sz w:val="28"/>
          <w:szCs w:val="28"/>
        </w:rPr>
        <w:t xml:space="preserve"> în condițiile prezentului Regulament.</w:t>
      </w:r>
    </w:p>
    <w:p w14:paraId="3AA79EAA" w14:textId="77777777" w:rsidR="00970CC0" w:rsidRDefault="00000000">
      <w:pPr>
        <w:pBdr>
          <w:top w:val="nil"/>
          <w:left w:val="nil"/>
          <w:bottom w:val="nil"/>
          <w:right w:val="nil"/>
          <w:between w:val="nil"/>
        </w:pBdr>
        <w:shd w:val="clear" w:color="auto" w:fill="FFFFFF"/>
        <w:spacing w:before="360" w:after="120" w:line="276" w:lineRule="auto"/>
        <w:ind w:firstLine="144"/>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VII. Litigii și sancțiuni</w:t>
      </w:r>
    </w:p>
    <w:p w14:paraId="4B7EC55C" w14:textId="77777777" w:rsidR="00970CC0" w:rsidRDefault="00000000">
      <w:pPr>
        <w:pBdr>
          <w:top w:val="nil"/>
          <w:left w:val="nil"/>
          <w:bottom w:val="nil"/>
          <w:right w:val="nil"/>
          <w:between w:val="nil"/>
        </w:pBdr>
        <w:shd w:val="clear" w:color="auto" w:fill="FFFFFF"/>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6</w:t>
      </w:r>
      <w:r>
        <w:rPr>
          <w:rFonts w:ascii="Times New Roman" w:eastAsia="Times New Roman" w:hAnsi="Times New Roman" w:cs="Times New Roman"/>
          <w:b/>
          <w:bCs/>
          <w:sz w:val="28"/>
          <w:szCs w:val="28"/>
        </w:rPr>
        <w:t>1</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Actele sau deciziile, care determină sau sunt rezultatul încălcării prevederilor prezentului Regulament, pot fi contestate în condițiile legii.</w:t>
      </w:r>
    </w:p>
    <w:p w14:paraId="59663FF3"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6</w:t>
      </w:r>
      <w:r>
        <w:rPr>
          <w:rFonts w:ascii="Times New Roman" w:eastAsia="Times New Roman" w:hAnsi="Times New Roman" w:cs="Times New Roman"/>
          <w:b/>
          <w:bCs/>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Contractele de finanțare nerambursabilă pot fi rezoluționate în termen de 10 zile de la data primirii notificării, prin care părții, care nu a respectat condițiile prevăzute de lege și de contractul de finanțare nerambursabilă, i s-a adus la cunoștință că aceasta nu și-a îndeplinit obligațiile contractuale. Partea înștiințată este obligată să ofere un răspuns în decurs de cinci zile de la primirea notificării privind neîndeplinirea obligațiilor contractuale.</w:t>
      </w:r>
    </w:p>
    <w:p w14:paraId="42B02BD6"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6</w:t>
      </w:r>
      <w:r>
        <w:rPr>
          <w:rFonts w:ascii="Times New Roman" w:eastAsia="Times New Roman" w:hAnsi="Times New Roman" w:cs="Times New Roman"/>
          <w:b/>
          <w:bCs/>
          <w:sz w:val="28"/>
          <w:szCs w:val="28"/>
        </w:rPr>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În cazul rezoluțiunii contractului, ca urmare a neîndeplinirii clauzelor contractuale de către beneficiar, acesta este obligat, în termen de 15 zile, să restituie ministerului resursele financiare alocate.</w:t>
      </w:r>
    </w:p>
    <w:p w14:paraId="7B8E936B"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6</w:t>
      </w:r>
      <w:r>
        <w:rPr>
          <w:rFonts w:ascii="Times New Roman" w:eastAsia="Times New Roman" w:hAnsi="Times New Roman" w:cs="Times New Roman"/>
          <w:b/>
          <w:bCs/>
          <w:sz w:val="28"/>
          <w:szCs w:val="28"/>
        </w:rPr>
        <w:t>4</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highlight w:val="white"/>
        </w:rPr>
        <w:t xml:space="preserve">Instituția Publică „Oficiul Național al Turismului” </w:t>
      </w:r>
      <w:r>
        <w:rPr>
          <w:rFonts w:ascii="Times New Roman" w:eastAsia="Times New Roman" w:hAnsi="Times New Roman" w:cs="Times New Roman"/>
          <w:color w:val="000000"/>
          <w:sz w:val="28"/>
          <w:szCs w:val="28"/>
        </w:rPr>
        <w:t>își rezervă dreptul de sesizare a organelor și a instituțiilor abilitate, în cazurile de încălcare a prevederilor contractuale de către beneficiarul finanțării nerambursabile, în vederea atragerii beneficiarului la răspunderea civilă, contravențională sau penală, precum și a recuperării mijloacelor financiare alocate conform prevederilor contractuale.</w:t>
      </w:r>
    </w:p>
    <w:p w14:paraId="27BA788B" w14:textId="77777777" w:rsidR="00970CC0" w:rsidRDefault="00000000">
      <w:pPr>
        <w:pBdr>
          <w:top w:val="nil"/>
          <w:left w:val="nil"/>
          <w:bottom w:val="nil"/>
          <w:right w:val="nil"/>
          <w:between w:val="nil"/>
        </w:pBdr>
        <w:shd w:val="clear" w:color="auto" w:fill="FFFFFF"/>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6</w:t>
      </w:r>
      <w:r>
        <w:rPr>
          <w:rFonts w:ascii="Times New Roman" w:eastAsia="Times New Roman" w:hAnsi="Times New Roman" w:cs="Times New Roman"/>
          <w:b/>
          <w:bCs/>
          <w:sz w:val="28"/>
          <w:szCs w:val="28"/>
        </w:rPr>
        <w:t>5</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În cazul utilizării neconforme a resurselor financiare alocate, organizațiile necomerciale, care au utilizat mijloacele financiare contrar prevederilor stabilite în contractul de finanțare nerambursabilă, nu vor fi eligibile pentru participare la alte concursuri de finanțare organizate de către o autoritate finanțatoare timp de doi ani.</w:t>
      </w:r>
    </w:p>
    <w:p w14:paraId="37AF2BF6" w14:textId="77777777" w:rsidR="00970CC0" w:rsidRDefault="00000000">
      <w:pPr>
        <w:pBdr>
          <w:top w:val="nil"/>
          <w:left w:val="nil"/>
          <w:bottom w:val="nil"/>
          <w:right w:val="nil"/>
          <w:between w:val="nil"/>
        </w:pBdr>
        <w:shd w:val="clear" w:color="auto" w:fill="FFFFFF"/>
        <w:spacing w:after="0" w:line="276"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6</w:t>
      </w:r>
      <w:r>
        <w:rPr>
          <w:rFonts w:ascii="Times New Roman" w:eastAsia="Times New Roman" w:hAnsi="Times New Roman" w:cs="Times New Roman"/>
          <w:b/>
          <w:bCs/>
          <w:sz w:val="28"/>
          <w:szCs w:val="28"/>
        </w:rPr>
        <w:t>6</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În cazul utilizării mijloacelor bugetare în alte scopuri decât cele prevăzute în prezentul Regulament, beneficiarul poartă răspundere civilă, contravențională sau penală în condițiile legii.  </w:t>
      </w:r>
    </w:p>
    <w:p w14:paraId="56365070" w14:textId="77777777" w:rsidR="00970CC0" w:rsidRDefault="00970CC0">
      <w:pPr>
        <w:pBdr>
          <w:top w:val="nil"/>
          <w:left w:val="nil"/>
          <w:bottom w:val="nil"/>
          <w:right w:val="nil"/>
          <w:between w:val="nil"/>
        </w:pBdr>
        <w:shd w:val="clear" w:color="auto" w:fill="FFFFFF"/>
        <w:spacing w:after="0" w:line="276" w:lineRule="auto"/>
        <w:rPr>
          <w:rFonts w:ascii="Times New Roman" w:eastAsia="Times New Roman" w:hAnsi="Times New Roman" w:cs="Times New Roman"/>
          <w:i/>
          <w:iCs/>
          <w:sz w:val="28"/>
          <w:szCs w:val="28"/>
        </w:rPr>
      </w:pPr>
    </w:p>
    <w:p w14:paraId="7CB8AAE1" w14:textId="77777777" w:rsidR="00970CC0" w:rsidRDefault="00970CC0">
      <w:pPr>
        <w:pBdr>
          <w:top w:val="nil"/>
          <w:left w:val="nil"/>
          <w:bottom w:val="nil"/>
          <w:right w:val="nil"/>
          <w:between w:val="nil"/>
        </w:pBdr>
        <w:shd w:val="clear" w:color="auto" w:fill="FFFFFF"/>
        <w:spacing w:after="0" w:line="276" w:lineRule="auto"/>
        <w:rPr>
          <w:rFonts w:ascii="Times New Roman" w:eastAsia="Times New Roman" w:hAnsi="Times New Roman" w:cs="Times New Roman"/>
          <w:i/>
          <w:iCs/>
          <w:sz w:val="28"/>
          <w:szCs w:val="28"/>
        </w:rPr>
      </w:pPr>
    </w:p>
    <w:p w14:paraId="538083E8" w14:textId="77777777" w:rsidR="00970CC0" w:rsidRDefault="00000000">
      <w:pPr>
        <w:pBdr>
          <w:top w:val="nil"/>
          <w:left w:val="nil"/>
          <w:bottom w:val="nil"/>
          <w:right w:val="nil"/>
          <w:between w:val="nil"/>
        </w:pBdr>
        <w:shd w:val="clear" w:color="auto" w:fill="FFFFFF"/>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Anexa nr. 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Priorități de finanțare </w:t>
      </w:r>
    </w:p>
    <w:p w14:paraId="04513307" w14:textId="77777777" w:rsidR="00970CC0" w:rsidRDefault="00000000">
      <w:pPr>
        <w:pBdr>
          <w:top w:val="nil"/>
          <w:left w:val="nil"/>
          <w:bottom w:val="nil"/>
          <w:right w:val="nil"/>
          <w:between w:val="nil"/>
        </w:pBd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Anexa nr. 2.</w:t>
      </w:r>
      <w:r>
        <w:rPr>
          <w:rFonts w:ascii="Times New Roman" w:eastAsia="Times New Roman" w:hAnsi="Times New Roman" w:cs="Times New Roman"/>
          <w:color w:val="000000"/>
          <w:sz w:val="28"/>
          <w:szCs w:val="28"/>
        </w:rPr>
        <w:t xml:space="preserve"> Formular de cerere</w:t>
      </w:r>
    </w:p>
    <w:p w14:paraId="3A1F3B8E" w14:textId="77777777" w:rsidR="00970CC0" w:rsidRDefault="00000000">
      <w:pPr>
        <w:pBdr>
          <w:top w:val="nil"/>
          <w:left w:val="nil"/>
          <w:bottom w:val="nil"/>
          <w:right w:val="nil"/>
          <w:between w:val="nil"/>
        </w:pBd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Anexa nr. 3.</w:t>
      </w:r>
      <w:r>
        <w:rPr>
          <w:rFonts w:ascii="Times New Roman" w:eastAsia="Times New Roman" w:hAnsi="Times New Roman" w:cs="Times New Roman"/>
          <w:color w:val="000000"/>
          <w:sz w:val="28"/>
          <w:szCs w:val="28"/>
        </w:rPr>
        <w:t xml:space="preserve"> Buget estimativ</w:t>
      </w:r>
    </w:p>
    <w:p w14:paraId="5B3C9046" w14:textId="77777777" w:rsidR="00970CC0" w:rsidRDefault="00000000">
      <w:pPr>
        <w:pBdr>
          <w:top w:val="nil"/>
          <w:left w:val="nil"/>
          <w:bottom w:val="nil"/>
          <w:right w:val="nil"/>
          <w:between w:val="nil"/>
        </w:pBd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Anexa nr. 4.</w:t>
      </w:r>
      <w:r>
        <w:rPr>
          <w:rFonts w:ascii="Times New Roman" w:eastAsia="Times New Roman" w:hAnsi="Times New Roman" w:cs="Times New Roman"/>
          <w:color w:val="000000"/>
          <w:sz w:val="28"/>
          <w:szCs w:val="28"/>
        </w:rPr>
        <w:t xml:space="preserve"> Declarația conflict de interes</w:t>
      </w:r>
    </w:p>
    <w:p w14:paraId="3D77B787" w14:textId="77777777" w:rsidR="00970CC0" w:rsidRDefault="00000000">
      <w:pPr>
        <w:pBdr>
          <w:top w:val="nil"/>
          <w:left w:val="nil"/>
          <w:bottom w:val="nil"/>
          <w:right w:val="nil"/>
          <w:between w:val="nil"/>
        </w:pBd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Anexa nr. 5.</w:t>
      </w:r>
      <w:r>
        <w:rPr>
          <w:rFonts w:ascii="Times New Roman" w:eastAsia="Times New Roman" w:hAnsi="Times New Roman" w:cs="Times New Roman"/>
          <w:color w:val="000000"/>
          <w:sz w:val="28"/>
          <w:szCs w:val="28"/>
        </w:rPr>
        <w:t xml:space="preserve"> Regulamentul Comisiei de evaluare si selectare </w:t>
      </w:r>
    </w:p>
    <w:p w14:paraId="34C897AD" w14:textId="77777777" w:rsidR="00970CC0" w:rsidRDefault="00000000">
      <w:pPr>
        <w:pBdr>
          <w:top w:val="nil"/>
          <w:left w:val="nil"/>
          <w:bottom w:val="nil"/>
          <w:right w:val="nil"/>
          <w:between w:val="nil"/>
        </w:pBd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Anexa nr. 6.</w:t>
      </w:r>
      <w:r>
        <w:rPr>
          <w:rFonts w:ascii="Times New Roman" w:eastAsia="Times New Roman" w:hAnsi="Times New Roman" w:cs="Times New Roman"/>
          <w:color w:val="000000"/>
          <w:sz w:val="28"/>
          <w:szCs w:val="28"/>
        </w:rPr>
        <w:t xml:space="preserve"> Declarația membrilor comisiei</w:t>
      </w:r>
    </w:p>
    <w:p w14:paraId="0E6F9554" w14:textId="77777777" w:rsidR="00970CC0" w:rsidRDefault="00000000">
      <w:pPr>
        <w:pBdr>
          <w:top w:val="nil"/>
          <w:left w:val="nil"/>
          <w:bottom w:val="nil"/>
          <w:right w:val="nil"/>
          <w:between w:val="nil"/>
        </w:pBd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Anexa nr. 7.</w:t>
      </w:r>
      <w:r>
        <w:rPr>
          <w:rFonts w:ascii="Times New Roman" w:eastAsia="Times New Roman" w:hAnsi="Times New Roman" w:cs="Times New Roman"/>
          <w:color w:val="000000"/>
          <w:sz w:val="28"/>
          <w:szCs w:val="28"/>
        </w:rPr>
        <w:t xml:space="preserve"> Fișa de evaluare</w:t>
      </w:r>
    </w:p>
    <w:p w14:paraId="69C063F2" w14:textId="77777777" w:rsidR="00970CC0" w:rsidRDefault="00000000">
      <w:pPr>
        <w:pBdr>
          <w:top w:val="nil"/>
          <w:left w:val="nil"/>
          <w:bottom w:val="nil"/>
          <w:right w:val="nil"/>
          <w:between w:val="nil"/>
        </w:pBd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Anexa nr. 8.</w:t>
      </w:r>
      <w:r>
        <w:rPr>
          <w:rFonts w:ascii="Times New Roman" w:eastAsia="Times New Roman" w:hAnsi="Times New Roman" w:cs="Times New Roman"/>
          <w:color w:val="000000"/>
          <w:sz w:val="28"/>
          <w:szCs w:val="28"/>
        </w:rPr>
        <w:t xml:space="preserve"> Contestație</w:t>
      </w:r>
    </w:p>
    <w:p w14:paraId="14C7301B" w14:textId="77777777" w:rsidR="00970CC0" w:rsidRDefault="00000000">
      <w:pPr>
        <w:pBdr>
          <w:top w:val="nil"/>
          <w:left w:val="nil"/>
          <w:bottom w:val="nil"/>
          <w:right w:val="nil"/>
          <w:between w:val="nil"/>
        </w:pBd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Anexa nr. 9.</w:t>
      </w:r>
      <w:r>
        <w:rPr>
          <w:rFonts w:ascii="Times New Roman" w:eastAsia="Times New Roman" w:hAnsi="Times New Roman" w:cs="Times New Roman"/>
          <w:color w:val="000000"/>
          <w:sz w:val="28"/>
          <w:szCs w:val="28"/>
        </w:rPr>
        <w:t xml:space="preserve"> Contract de finanțare</w:t>
      </w:r>
    </w:p>
    <w:sectPr w:rsidR="00970CC0">
      <w:footerReference w:type="default" r:id="rId9"/>
      <w:pgSz w:w="11906" w:h="16838"/>
      <w:pgMar w:top="851" w:right="849" w:bottom="900" w:left="1440" w:header="708" w:footer="101"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008D1" w14:textId="77777777" w:rsidR="00370C94" w:rsidRDefault="00370C94">
      <w:pPr>
        <w:spacing w:after="0" w:line="240" w:lineRule="auto"/>
      </w:pPr>
      <w:r>
        <w:separator/>
      </w:r>
    </w:p>
  </w:endnote>
  <w:endnote w:type="continuationSeparator" w:id="0">
    <w:p w14:paraId="56C56595" w14:textId="77777777" w:rsidR="00370C94" w:rsidRDefault="00370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embedRegular r:id="rId1" w:fontKey="{B9FE95D7-F7C7-421B-B421-6FC7CC9280F0}"/>
    <w:embedBold r:id="rId2" w:fontKey="{D5EDB152-669D-4D19-BCCC-3D2395A80F6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3" w:fontKey="{1CF7AAC8-95E7-460C-8BA8-8C62A0897462}"/>
  </w:font>
  <w:font w:name="Georgia">
    <w:panose1 w:val="02040502050405020303"/>
    <w:charset w:val="CC"/>
    <w:family w:val="roman"/>
    <w:pitch w:val="variable"/>
    <w:sig w:usb0="00000287" w:usb1="00000000" w:usb2="00000000" w:usb3="00000000" w:csb0="0000009F" w:csb1="00000000"/>
    <w:embedItalic r:id="rId4" w:fontKey="{60F162E9-98A3-44B5-8FC0-7069DF83A78E}"/>
  </w:font>
  <w:font w:name="Calibri Light">
    <w:panose1 w:val="020F0302020204030204"/>
    <w:charset w:val="CC"/>
    <w:family w:val="swiss"/>
    <w:pitch w:val="variable"/>
    <w:sig w:usb0="E4002EFF" w:usb1="C200247B" w:usb2="00000009" w:usb3="00000000" w:csb0="000001FF" w:csb1="00000000"/>
    <w:embedRegular r:id="rId5" w:fontKey="{B20A28D8-DFFF-4212-98FF-0B0895F7D0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77DDD" w14:textId="77777777" w:rsidR="00970CC0" w:rsidRDefault="00000000">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21D49">
      <w:rPr>
        <w:noProof/>
        <w:color w:val="000000"/>
      </w:rPr>
      <w:t>1</w:t>
    </w:r>
    <w:r>
      <w:rPr>
        <w:color w:val="000000"/>
      </w:rPr>
      <w:fldChar w:fldCharType="end"/>
    </w:r>
  </w:p>
  <w:p w14:paraId="11B44D59" w14:textId="77777777" w:rsidR="00970CC0" w:rsidRDefault="00970CC0">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B420C5" w14:textId="77777777" w:rsidR="00370C94" w:rsidRDefault="00370C94">
      <w:pPr>
        <w:spacing w:after="0" w:line="240" w:lineRule="auto"/>
      </w:pPr>
      <w:r>
        <w:separator/>
      </w:r>
    </w:p>
  </w:footnote>
  <w:footnote w:type="continuationSeparator" w:id="0">
    <w:p w14:paraId="23C7D48B" w14:textId="77777777" w:rsidR="00370C94" w:rsidRDefault="00370C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063917"/>
    <w:multiLevelType w:val="multilevel"/>
    <w:tmpl w:val="E5F6A67E"/>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16cid:durableId="986209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CC0"/>
    <w:rsid w:val="00221D49"/>
    <w:rsid w:val="00370C94"/>
    <w:rsid w:val="00970CC0"/>
    <w:rsid w:val="00F2734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D6069"/>
  <w15:docId w15:val="{4C57C089-7392-4036-9B1D-E67DAFBC2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o-MD"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4Char">
    <w:name w:val="Heading 4 Char"/>
    <w:basedOn w:val="DefaultParagraphFont"/>
    <w:link w:val="Heading4"/>
    <w:uiPriority w:val="9"/>
    <w:rsid w:val="00A3763A"/>
    <w:rPr>
      <w:rFonts w:ascii="Times New Roman" w:eastAsia="Times New Roman" w:hAnsi="Times New Roman" w:cs="Times New Roman"/>
      <w:b/>
      <w:bCs/>
      <w:kern w:val="0"/>
      <w:sz w:val="24"/>
      <w:szCs w:val="24"/>
      <w:lang w:eastAsia="ru-RU"/>
    </w:rPr>
  </w:style>
  <w:style w:type="character" w:styleId="Strong">
    <w:name w:val="Strong"/>
    <w:basedOn w:val="DefaultParagraphFont"/>
    <w:uiPriority w:val="22"/>
    <w:qFormat/>
    <w:rsid w:val="00A3763A"/>
    <w:rPr>
      <w:b/>
      <w:bCs/>
    </w:rPr>
  </w:style>
  <w:style w:type="paragraph" w:styleId="NormalWeb">
    <w:name w:val="Normal (Web)"/>
    <w:basedOn w:val="Normal"/>
    <w:uiPriority w:val="99"/>
    <w:unhideWhenUsed/>
    <w:rsid w:val="00A376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Emphasis">
    <w:name w:val="Emphasis"/>
    <w:basedOn w:val="DefaultParagraphFont"/>
    <w:uiPriority w:val="20"/>
    <w:qFormat/>
    <w:rsid w:val="002707AE"/>
    <w:rPr>
      <w:i/>
      <w:iCs/>
    </w:rPr>
  </w:style>
  <w:style w:type="paragraph" w:styleId="BalloonText">
    <w:name w:val="Balloon Text"/>
    <w:basedOn w:val="Normal"/>
    <w:link w:val="BalloonTextChar"/>
    <w:uiPriority w:val="99"/>
    <w:semiHidden/>
    <w:unhideWhenUsed/>
    <w:rsid w:val="00B61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F9B"/>
    <w:rPr>
      <w:rFonts w:ascii="Tahoma" w:hAnsi="Tahoma" w:cs="Tahoma"/>
      <w:sz w:val="16"/>
      <w:szCs w:val="16"/>
    </w:rPr>
  </w:style>
  <w:style w:type="paragraph" w:styleId="Header">
    <w:name w:val="header"/>
    <w:basedOn w:val="Normal"/>
    <w:link w:val="HeaderChar"/>
    <w:uiPriority w:val="99"/>
    <w:unhideWhenUsed/>
    <w:rsid w:val="008F7A57"/>
    <w:pPr>
      <w:tabs>
        <w:tab w:val="center" w:pos="4677"/>
        <w:tab w:val="right" w:pos="9355"/>
      </w:tabs>
      <w:spacing w:after="0" w:line="240" w:lineRule="auto"/>
    </w:pPr>
  </w:style>
  <w:style w:type="character" w:customStyle="1" w:styleId="HeaderChar">
    <w:name w:val="Header Char"/>
    <w:basedOn w:val="DefaultParagraphFont"/>
    <w:link w:val="Header"/>
    <w:uiPriority w:val="99"/>
    <w:rsid w:val="008F7A57"/>
  </w:style>
  <w:style w:type="paragraph" w:styleId="Footer">
    <w:name w:val="footer"/>
    <w:basedOn w:val="Normal"/>
    <w:link w:val="FooterChar"/>
    <w:uiPriority w:val="99"/>
    <w:unhideWhenUsed/>
    <w:rsid w:val="008F7A57"/>
    <w:pPr>
      <w:tabs>
        <w:tab w:val="center" w:pos="4677"/>
        <w:tab w:val="right" w:pos="9355"/>
      </w:tabs>
      <w:spacing w:after="0" w:line="240" w:lineRule="auto"/>
    </w:pPr>
  </w:style>
  <w:style w:type="character" w:customStyle="1" w:styleId="FooterChar">
    <w:name w:val="Footer Char"/>
    <w:basedOn w:val="DefaultParagraphFont"/>
    <w:link w:val="Footer"/>
    <w:uiPriority w:val="99"/>
    <w:rsid w:val="008F7A57"/>
  </w:style>
  <w:style w:type="table" w:styleId="TableGrid">
    <w:name w:val="Table Grid"/>
    <w:basedOn w:val="TableNormal"/>
    <w:uiPriority w:val="39"/>
    <w:rsid w:val="00FE2EB5"/>
    <w:pPr>
      <w:spacing w:after="0" w:line="240" w:lineRule="auto"/>
      <w:ind w:firstLine="709"/>
      <w:jc w:val="both"/>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2EB5"/>
    <w:pPr>
      <w:spacing w:after="0" w:line="240" w:lineRule="auto"/>
      <w:ind w:left="720" w:firstLine="709"/>
      <w:contextualSpacing/>
      <w:jc w:val="both"/>
    </w:pPr>
    <w:rPr>
      <w:rFonts w:ascii="Times New Roman" w:eastAsia="Times New Roman" w:hAnsi="Times New Roman" w:cs="Times New Roman"/>
      <w:sz w:val="20"/>
      <w:szCs w:val="20"/>
      <w:lang w:val="en-US"/>
    </w:rPr>
  </w:style>
  <w:style w:type="paragraph" w:styleId="NoSpacing">
    <w:name w:val="No Spacing"/>
    <w:uiPriority w:val="1"/>
    <w:qFormat/>
    <w:rsid w:val="00FE2EB5"/>
    <w:pPr>
      <w:spacing w:after="0" w:line="240" w:lineRule="auto"/>
    </w:pPr>
    <w:rPr>
      <w:rFonts w:ascii="Times New Roman" w:eastAsia="Times New Roman" w:hAnsi="Times New Roman" w:cs="Times New Roman"/>
      <w:sz w:val="24"/>
      <w:szCs w:val="24"/>
      <w:lang w:val="en-US"/>
    </w:rPr>
  </w:style>
  <w:style w:type="character" w:customStyle="1" w:styleId="FontStyle21">
    <w:name w:val="Font Style21"/>
    <w:rsid w:val="00FE2EB5"/>
    <w:rPr>
      <w:rFonts w:ascii="Times New Roman" w:hAnsi="Times New Roman" w:cs="Times New Roman"/>
      <w:b/>
      <w:bCs/>
      <w:sz w:val="28"/>
      <w:szCs w:val="28"/>
    </w:rPr>
  </w:style>
  <w:style w:type="paragraph" w:customStyle="1" w:styleId="Style6">
    <w:name w:val="Style6"/>
    <w:basedOn w:val="Normal"/>
    <w:rsid w:val="00FE2EB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styleId="Revision">
    <w:name w:val="Revision"/>
    <w:hidden/>
    <w:uiPriority w:val="99"/>
    <w:semiHidden/>
    <w:rsid w:val="006A727C"/>
    <w:pPr>
      <w:spacing w:after="0" w:line="240" w:lineRule="auto"/>
    </w:pPr>
  </w:style>
  <w:style w:type="character" w:styleId="CommentReference">
    <w:name w:val="annotation reference"/>
    <w:basedOn w:val="DefaultParagraphFont"/>
    <w:uiPriority w:val="99"/>
    <w:semiHidden/>
    <w:unhideWhenUsed/>
    <w:rsid w:val="0069568D"/>
    <w:rPr>
      <w:sz w:val="16"/>
      <w:szCs w:val="16"/>
    </w:rPr>
  </w:style>
  <w:style w:type="paragraph" w:styleId="CommentText">
    <w:name w:val="annotation text"/>
    <w:basedOn w:val="Normal"/>
    <w:link w:val="CommentTextChar"/>
    <w:uiPriority w:val="99"/>
    <w:semiHidden/>
    <w:unhideWhenUsed/>
    <w:rsid w:val="0069568D"/>
    <w:pPr>
      <w:spacing w:line="240" w:lineRule="auto"/>
    </w:pPr>
    <w:rPr>
      <w:sz w:val="20"/>
      <w:szCs w:val="20"/>
    </w:rPr>
  </w:style>
  <w:style w:type="character" w:customStyle="1" w:styleId="CommentTextChar">
    <w:name w:val="Comment Text Char"/>
    <w:basedOn w:val="DefaultParagraphFont"/>
    <w:link w:val="CommentText"/>
    <w:uiPriority w:val="99"/>
    <w:semiHidden/>
    <w:rsid w:val="0069568D"/>
    <w:rPr>
      <w:sz w:val="20"/>
      <w:szCs w:val="20"/>
    </w:rPr>
  </w:style>
  <w:style w:type="paragraph" w:styleId="CommentSubject">
    <w:name w:val="annotation subject"/>
    <w:basedOn w:val="CommentText"/>
    <w:next w:val="CommentText"/>
    <w:link w:val="CommentSubjectChar"/>
    <w:uiPriority w:val="99"/>
    <w:semiHidden/>
    <w:unhideWhenUsed/>
    <w:rsid w:val="0069568D"/>
    <w:rPr>
      <w:b/>
      <w:bCs/>
    </w:rPr>
  </w:style>
  <w:style w:type="character" w:customStyle="1" w:styleId="CommentSubjectChar">
    <w:name w:val="Comment Subject Char"/>
    <w:basedOn w:val="CommentTextChar"/>
    <w:link w:val="CommentSubject"/>
    <w:uiPriority w:val="99"/>
    <w:semiHidden/>
    <w:rsid w:val="0069568D"/>
    <w:rPr>
      <w:b/>
      <w:bCs/>
      <w:sz w:val="20"/>
      <w:szCs w:val="20"/>
    </w:rPr>
  </w:style>
  <w:style w:type="character" w:styleId="Hyperlink">
    <w:name w:val="Hyperlink"/>
    <w:basedOn w:val="DefaultParagraphFont"/>
    <w:uiPriority w:val="99"/>
    <w:semiHidden/>
    <w:unhideWhenUsed/>
    <w:rsid w:val="00DC37C0"/>
    <w:rPr>
      <w:color w:val="0000FF"/>
      <w:u w:val="single"/>
    </w:rPr>
  </w:style>
  <w:style w:type="character" w:styleId="FollowedHyperlink">
    <w:name w:val="FollowedHyperlink"/>
    <w:basedOn w:val="DefaultParagraphFont"/>
    <w:uiPriority w:val="99"/>
    <w:semiHidden/>
    <w:unhideWhenUsed/>
    <w:rsid w:val="009D10A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kJpaGJu8UlCIiPCct5gGZjQb5g==">CgMxLjAyDmgud3NpMmpkM3RpcGU0Mg5oLnRleXB3dHV3MThhZzIOaC5zbnJuMnNtMWE5ODkyDmguMTE4emg1aWtwdHljMg5oLnBhOXRmYTF3YzU1czINaC5rejV2Z2lrMWtnbzIOaC41azhhdHd1Y3h3dW4yDmgudGFrNWNhdno2eGQ2Mg5oLjR0Z2d6djJhZGR3eDINaC56djQxY3g3bXdsZDIOaC55dmV3N2tsenA4eWs4AHIhMTN0a0VxTlItY0doYnU3VndERU4wMjJJQTlRQk00RkF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4098</Words>
  <Characters>23772</Characters>
  <Application>Microsoft Office Word</Application>
  <DocSecurity>0</DocSecurity>
  <Lines>198</Lines>
  <Paragraphs>55</Paragraphs>
  <ScaleCrop>false</ScaleCrop>
  <Company/>
  <LinksUpToDate>false</LinksUpToDate>
  <CharactersWithSpaces>27815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ASUS;Dumitru Ivanov</dc:creator>
  <cp:lastModifiedBy>Ana Mura</cp:lastModifiedBy>
  <cp:revision>3</cp:revision>
  <dcterms:created xsi:type="dcterms:W3CDTF">2025-08-19T10:30:00Z</dcterms:created>
  <dcterms:modified xsi:type="dcterms:W3CDTF">2026-03-04T07:23:00Z</dcterms:modified>
</cp:coreProperties>
</file>