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23E39" w14:textId="77777777" w:rsidR="008B4BE6" w:rsidRPr="0089642F"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rPr>
      </w:pPr>
      <w:r w:rsidRPr="0089642F">
        <w:rPr>
          <w:b/>
          <w:sz w:val="24"/>
          <w:szCs w:val="24"/>
        </w:rPr>
        <w:t>NOTA</w:t>
      </w:r>
      <w:r w:rsidR="00032B46" w:rsidRPr="0089642F">
        <w:rPr>
          <w:b/>
          <w:sz w:val="24"/>
          <w:szCs w:val="24"/>
        </w:rPr>
        <w:t xml:space="preserve"> </w:t>
      </w:r>
      <w:r w:rsidRPr="0089642F">
        <w:rPr>
          <w:b/>
          <w:sz w:val="24"/>
          <w:szCs w:val="24"/>
        </w:rPr>
        <w:t>DE</w:t>
      </w:r>
      <w:r w:rsidR="00032B46" w:rsidRPr="0089642F">
        <w:rPr>
          <w:b/>
          <w:sz w:val="24"/>
          <w:szCs w:val="24"/>
        </w:rPr>
        <w:t xml:space="preserve"> </w:t>
      </w:r>
      <w:r w:rsidRPr="0089642F">
        <w:rPr>
          <w:b/>
          <w:sz w:val="24"/>
          <w:szCs w:val="24"/>
        </w:rPr>
        <w:t>FUNDAMENTARE</w:t>
      </w:r>
    </w:p>
    <w:p w14:paraId="2A1FA344" w14:textId="77777777" w:rsidR="00D842C7" w:rsidRPr="0089642F" w:rsidRDefault="00D842C7"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rPr>
      </w:pPr>
    </w:p>
    <w:p w14:paraId="227CFAF5" w14:textId="0B50C5D7" w:rsidR="00627AB7" w:rsidRPr="00627AB7" w:rsidRDefault="006933C3" w:rsidP="0069071B">
      <w:pPr>
        <w:ind w:firstLine="0"/>
        <w:jc w:val="center"/>
        <w:rPr>
          <w:sz w:val="24"/>
          <w:szCs w:val="24"/>
          <w:u w:val="single"/>
        </w:rPr>
      </w:pPr>
      <w:r w:rsidRPr="00143DAC">
        <w:rPr>
          <w:bCs/>
          <w:sz w:val="24"/>
          <w:szCs w:val="24"/>
        </w:rPr>
        <w:t>la</w:t>
      </w:r>
      <w:r w:rsidR="00032B46" w:rsidRPr="00143DAC">
        <w:rPr>
          <w:bCs/>
          <w:sz w:val="24"/>
          <w:szCs w:val="24"/>
        </w:rPr>
        <w:t xml:space="preserve"> </w:t>
      </w:r>
      <w:r w:rsidRPr="00143DAC">
        <w:rPr>
          <w:bCs/>
          <w:sz w:val="24"/>
          <w:szCs w:val="24"/>
        </w:rPr>
        <w:t>proiectul</w:t>
      </w:r>
      <w:r w:rsidR="00032B46" w:rsidRPr="00143DAC">
        <w:rPr>
          <w:bCs/>
          <w:sz w:val="24"/>
          <w:szCs w:val="24"/>
        </w:rPr>
        <w:t xml:space="preserve"> </w:t>
      </w:r>
      <w:r w:rsidR="00143DAC" w:rsidRPr="00143DAC">
        <w:rPr>
          <w:bCs/>
          <w:sz w:val="24"/>
          <w:szCs w:val="24"/>
        </w:rPr>
        <w:t>de</w:t>
      </w:r>
      <w:r w:rsidR="00143DAC">
        <w:rPr>
          <w:b/>
          <w:sz w:val="24"/>
          <w:szCs w:val="24"/>
        </w:rPr>
        <w:t xml:space="preserve"> </w:t>
      </w:r>
      <w:r w:rsidR="00CC4A6B" w:rsidRPr="00EB4ECA">
        <w:rPr>
          <w:bCs/>
          <w:sz w:val="24"/>
          <w:szCs w:val="24"/>
          <w:u w:val="single"/>
        </w:rPr>
        <w:t>hotărâr</w:t>
      </w:r>
      <w:r w:rsidR="00143DAC">
        <w:rPr>
          <w:bCs/>
          <w:sz w:val="24"/>
          <w:szCs w:val="24"/>
          <w:u w:val="single"/>
        </w:rPr>
        <w:t>e a</w:t>
      </w:r>
      <w:r w:rsidR="00CC4A6B" w:rsidRPr="00EB4ECA">
        <w:rPr>
          <w:bCs/>
          <w:sz w:val="24"/>
          <w:szCs w:val="24"/>
          <w:u w:val="single"/>
        </w:rPr>
        <w:t xml:space="preserve"> Guvernului</w:t>
      </w:r>
      <w:r w:rsidR="00CC4A6B" w:rsidRPr="00EB4ECA">
        <w:rPr>
          <w:b/>
          <w:sz w:val="24"/>
          <w:szCs w:val="24"/>
        </w:rPr>
        <w:t xml:space="preserve"> </w:t>
      </w:r>
      <w:r w:rsidR="00E67FE6" w:rsidRPr="00EB4ECA">
        <w:rPr>
          <w:bCs/>
          <w:sz w:val="24"/>
          <w:szCs w:val="24"/>
          <w:u w:val="single"/>
        </w:rPr>
        <w:t xml:space="preserve">cu privire la </w:t>
      </w:r>
      <w:r w:rsidR="00627AB7" w:rsidRPr="00627AB7">
        <w:rPr>
          <w:sz w:val="24"/>
          <w:szCs w:val="24"/>
          <w:u w:val="single"/>
        </w:rPr>
        <w:t xml:space="preserve">stabilirea cuantumului anual de alcool etilic nedenaturat destinat producerii farmaceutice și utilizării în medicină </w:t>
      </w:r>
    </w:p>
    <w:p w14:paraId="3939DA5D" w14:textId="13A91E70" w:rsidR="008B4BE6" w:rsidRPr="00627AB7" w:rsidRDefault="00627AB7" w:rsidP="00627AB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u w:val="single"/>
        </w:rPr>
      </w:pPr>
      <w:r w:rsidRPr="00627AB7">
        <w:rPr>
          <w:sz w:val="24"/>
          <w:szCs w:val="24"/>
          <w:u w:val="single"/>
        </w:rPr>
        <w:t>pentru anul 202</w:t>
      </w:r>
      <w:r w:rsidR="004356C3">
        <w:rPr>
          <w:sz w:val="24"/>
          <w:szCs w:val="24"/>
          <w:u w:val="single"/>
        </w:rPr>
        <w:t>6</w:t>
      </w:r>
    </w:p>
    <w:p w14:paraId="7B7AEA76" w14:textId="28AF763B" w:rsidR="008B4BE6" w:rsidRPr="00EB4ECA" w:rsidRDefault="008B4BE6" w:rsidP="00627AB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rPr>
      </w:pPr>
    </w:p>
    <w:tbl>
      <w:tblPr>
        <w:tblStyle w:val="Tabelgril"/>
        <w:tblW w:w="0" w:type="auto"/>
        <w:tblInd w:w="-294"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301"/>
      </w:tblGrid>
      <w:tr w:rsidR="006D3EB7" w:rsidRPr="00EB4ECA" w14:paraId="4C8C849D" w14:textId="77777777" w:rsidTr="0069071B">
        <w:tc>
          <w:tcPr>
            <w:tcW w:w="9356"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581B86A" w14:textId="77777777" w:rsidR="007258CF" w:rsidRPr="00EB4ECA" w:rsidRDefault="0036135C" w:rsidP="002721D2">
            <w:pPr>
              <w:rPr>
                <w:rFonts w:ascii="Times New Roman" w:hAnsi="Times New Roman"/>
                <w:b/>
                <w:bCs/>
                <w:sz w:val="24"/>
                <w:szCs w:val="24"/>
              </w:rPr>
            </w:pPr>
            <w:r w:rsidRPr="00EB4ECA">
              <w:rPr>
                <w:rFonts w:ascii="Times New Roman" w:hAnsi="Times New Roman"/>
                <w:b/>
                <w:bCs/>
                <w:sz w:val="24"/>
                <w:szCs w:val="24"/>
              </w:rPr>
              <w:t>1.</w:t>
            </w:r>
            <w:r w:rsidR="00032B46" w:rsidRPr="00EB4ECA">
              <w:rPr>
                <w:rFonts w:ascii="Times New Roman" w:hAnsi="Times New Roman"/>
                <w:b/>
                <w:bCs/>
                <w:sz w:val="24"/>
                <w:szCs w:val="24"/>
              </w:rPr>
              <w:t xml:space="preserve"> </w:t>
            </w:r>
            <w:r w:rsidR="006933C3" w:rsidRPr="00EB4ECA">
              <w:rPr>
                <w:rFonts w:ascii="Times New Roman" w:hAnsi="Times New Roman"/>
                <w:b/>
                <w:bCs/>
                <w:sz w:val="24"/>
                <w:szCs w:val="24"/>
              </w:rPr>
              <w:t>Denumirea</w:t>
            </w:r>
            <w:r w:rsidR="00032B46" w:rsidRPr="00EB4ECA">
              <w:rPr>
                <w:rFonts w:ascii="Times New Roman" w:hAnsi="Times New Roman"/>
                <w:b/>
                <w:bCs/>
                <w:sz w:val="24"/>
                <w:szCs w:val="24"/>
              </w:rPr>
              <w:t xml:space="preserve"> </w:t>
            </w:r>
            <w:r w:rsidR="006933C3" w:rsidRPr="00EB4ECA">
              <w:rPr>
                <w:rFonts w:ascii="Times New Roman" w:hAnsi="Times New Roman"/>
                <w:b/>
                <w:bCs/>
                <w:sz w:val="24"/>
                <w:szCs w:val="24"/>
              </w:rPr>
              <w:t>sau</w:t>
            </w:r>
            <w:r w:rsidR="00032B46" w:rsidRPr="00EB4ECA">
              <w:rPr>
                <w:rFonts w:ascii="Times New Roman" w:hAnsi="Times New Roman"/>
                <w:b/>
                <w:bCs/>
                <w:sz w:val="24"/>
                <w:szCs w:val="24"/>
              </w:rPr>
              <w:t xml:space="preserve"> </w:t>
            </w:r>
            <w:r w:rsidR="006933C3" w:rsidRPr="00EB4ECA">
              <w:rPr>
                <w:rFonts w:ascii="Times New Roman" w:hAnsi="Times New Roman"/>
                <w:b/>
                <w:bCs/>
                <w:sz w:val="24"/>
                <w:szCs w:val="24"/>
              </w:rPr>
              <w:t>numele</w:t>
            </w:r>
            <w:r w:rsidR="00032B46" w:rsidRPr="00EB4ECA">
              <w:rPr>
                <w:rFonts w:ascii="Times New Roman" w:hAnsi="Times New Roman"/>
                <w:b/>
                <w:bCs/>
                <w:sz w:val="24"/>
                <w:szCs w:val="24"/>
              </w:rPr>
              <w:t xml:space="preserve"> </w:t>
            </w:r>
            <w:r w:rsidR="006933C3" w:rsidRPr="00EB4ECA">
              <w:rPr>
                <w:rFonts w:ascii="Times New Roman" w:hAnsi="Times New Roman"/>
                <w:b/>
                <w:bCs/>
                <w:sz w:val="24"/>
                <w:szCs w:val="24"/>
              </w:rPr>
              <w:t>autorului</w:t>
            </w:r>
            <w:r w:rsidR="00032B46" w:rsidRPr="00EB4ECA">
              <w:rPr>
                <w:rFonts w:ascii="Times New Roman" w:hAnsi="Times New Roman"/>
                <w:b/>
                <w:bCs/>
                <w:sz w:val="24"/>
                <w:szCs w:val="24"/>
              </w:rPr>
              <w:t xml:space="preserve"> </w:t>
            </w:r>
            <w:r w:rsidR="00863417" w:rsidRPr="00EB4ECA">
              <w:rPr>
                <w:rFonts w:ascii="Times New Roman" w:hAnsi="Times New Roman"/>
                <w:b/>
                <w:bCs/>
                <w:sz w:val="24"/>
                <w:szCs w:val="24"/>
              </w:rPr>
              <w:t>ș</w:t>
            </w:r>
            <w:r w:rsidR="006933C3" w:rsidRPr="00EB4ECA">
              <w:rPr>
                <w:rFonts w:ascii="Times New Roman" w:hAnsi="Times New Roman"/>
                <w:b/>
                <w:bCs/>
                <w:sz w:val="24"/>
                <w:szCs w:val="24"/>
              </w:rPr>
              <w:t>i,</w:t>
            </w:r>
            <w:r w:rsidR="00032B46" w:rsidRPr="00EB4ECA">
              <w:rPr>
                <w:rFonts w:ascii="Times New Roman" w:hAnsi="Times New Roman"/>
                <w:b/>
                <w:bCs/>
                <w:sz w:val="24"/>
                <w:szCs w:val="24"/>
              </w:rPr>
              <w:t xml:space="preserve"> </w:t>
            </w:r>
            <w:r w:rsidR="006933C3" w:rsidRPr="00EB4ECA">
              <w:rPr>
                <w:rFonts w:ascii="Times New Roman" w:hAnsi="Times New Roman"/>
                <w:b/>
                <w:bCs/>
                <w:sz w:val="24"/>
                <w:szCs w:val="24"/>
              </w:rPr>
              <w:t>după</w:t>
            </w:r>
            <w:r w:rsidR="00032B46" w:rsidRPr="00EB4ECA">
              <w:rPr>
                <w:rFonts w:ascii="Times New Roman" w:hAnsi="Times New Roman"/>
                <w:b/>
                <w:bCs/>
                <w:sz w:val="24"/>
                <w:szCs w:val="24"/>
              </w:rPr>
              <w:t xml:space="preserve"> </w:t>
            </w:r>
            <w:r w:rsidR="006933C3" w:rsidRPr="00EB4ECA">
              <w:rPr>
                <w:rFonts w:ascii="Times New Roman" w:hAnsi="Times New Roman"/>
                <w:b/>
                <w:bCs/>
                <w:sz w:val="24"/>
                <w:szCs w:val="24"/>
              </w:rPr>
              <w:t>caz,</w:t>
            </w:r>
            <w:r w:rsidR="00032B46" w:rsidRPr="00EB4ECA">
              <w:rPr>
                <w:rFonts w:ascii="Times New Roman" w:hAnsi="Times New Roman"/>
                <w:b/>
                <w:bCs/>
                <w:sz w:val="24"/>
                <w:szCs w:val="24"/>
              </w:rPr>
              <w:t xml:space="preserve"> </w:t>
            </w:r>
            <w:r w:rsidR="006933C3" w:rsidRPr="00EB4ECA">
              <w:rPr>
                <w:rFonts w:ascii="Times New Roman" w:hAnsi="Times New Roman"/>
                <w:b/>
                <w:bCs/>
                <w:sz w:val="24"/>
                <w:szCs w:val="24"/>
              </w:rPr>
              <w:t>a</w:t>
            </w:r>
            <w:r w:rsidR="00E94FA8" w:rsidRPr="00EB4ECA">
              <w:rPr>
                <w:rFonts w:ascii="Times New Roman" w:hAnsi="Times New Roman"/>
                <w:b/>
                <w:bCs/>
                <w:sz w:val="24"/>
                <w:szCs w:val="24"/>
              </w:rPr>
              <w:t>/al</w:t>
            </w:r>
            <w:r w:rsidR="00032B46" w:rsidRPr="00EB4ECA">
              <w:rPr>
                <w:rFonts w:ascii="Times New Roman" w:hAnsi="Times New Roman"/>
                <w:b/>
                <w:bCs/>
                <w:sz w:val="24"/>
                <w:szCs w:val="24"/>
              </w:rPr>
              <w:t xml:space="preserve"> </w:t>
            </w:r>
            <w:r w:rsidR="006933C3" w:rsidRPr="00EB4ECA">
              <w:rPr>
                <w:rFonts w:ascii="Times New Roman" w:hAnsi="Times New Roman"/>
                <w:b/>
                <w:bCs/>
                <w:sz w:val="24"/>
                <w:szCs w:val="24"/>
              </w:rPr>
              <w:t>participan</w:t>
            </w:r>
            <w:r w:rsidR="00863417" w:rsidRPr="00EB4ECA">
              <w:rPr>
                <w:rFonts w:ascii="Times New Roman" w:hAnsi="Times New Roman"/>
                <w:b/>
                <w:bCs/>
                <w:sz w:val="24"/>
                <w:szCs w:val="24"/>
              </w:rPr>
              <w:t>ț</w:t>
            </w:r>
            <w:r w:rsidR="006933C3" w:rsidRPr="00EB4ECA">
              <w:rPr>
                <w:rFonts w:ascii="Times New Roman" w:hAnsi="Times New Roman"/>
                <w:b/>
                <w:bCs/>
                <w:sz w:val="24"/>
                <w:szCs w:val="24"/>
              </w:rPr>
              <w:t>ilor</w:t>
            </w:r>
            <w:r w:rsidR="00032B46" w:rsidRPr="00EB4ECA">
              <w:rPr>
                <w:rFonts w:ascii="Times New Roman" w:hAnsi="Times New Roman"/>
                <w:b/>
                <w:bCs/>
                <w:sz w:val="24"/>
                <w:szCs w:val="24"/>
              </w:rPr>
              <w:t xml:space="preserve"> </w:t>
            </w:r>
            <w:r w:rsidR="006933C3" w:rsidRPr="00EB4ECA">
              <w:rPr>
                <w:rFonts w:ascii="Times New Roman" w:hAnsi="Times New Roman"/>
                <w:b/>
                <w:bCs/>
                <w:sz w:val="24"/>
                <w:szCs w:val="24"/>
              </w:rPr>
              <w:t>la</w:t>
            </w:r>
            <w:r w:rsidR="00032B46" w:rsidRPr="00EB4ECA">
              <w:rPr>
                <w:rFonts w:ascii="Times New Roman" w:hAnsi="Times New Roman"/>
                <w:b/>
                <w:bCs/>
                <w:sz w:val="24"/>
                <w:szCs w:val="24"/>
              </w:rPr>
              <w:t xml:space="preserve"> </w:t>
            </w:r>
            <w:r w:rsidR="006933C3" w:rsidRPr="00EB4ECA">
              <w:rPr>
                <w:rFonts w:ascii="Times New Roman" w:hAnsi="Times New Roman"/>
                <w:b/>
                <w:bCs/>
                <w:sz w:val="24"/>
                <w:szCs w:val="24"/>
              </w:rPr>
              <w:t>elaborarea</w:t>
            </w:r>
            <w:r w:rsidR="00032B46" w:rsidRPr="00EB4ECA">
              <w:rPr>
                <w:rFonts w:ascii="Times New Roman" w:hAnsi="Times New Roman"/>
                <w:b/>
                <w:bCs/>
                <w:sz w:val="24"/>
                <w:szCs w:val="24"/>
              </w:rPr>
              <w:t xml:space="preserve"> </w:t>
            </w:r>
            <w:r w:rsidR="006933C3" w:rsidRPr="00EB4ECA">
              <w:rPr>
                <w:rFonts w:ascii="Times New Roman" w:hAnsi="Times New Roman"/>
                <w:b/>
                <w:bCs/>
                <w:sz w:val="24"/>
                <w:szCs w:val="24"/>
              </w:rPr>
              <w:t>proiectului</w:t>
            </w:r>
            <w:r w:rsidR="00032B46" w:rsidRPr="00EB4ECA">
              <w:rPr>
                <w:rFonts w:ascii="Times New Roman" w:hAnsi="Times New Roman"/>
                <w:b/>
                <w:bCs/>
                <w:sz w:val="24"/>
                <w:szCs w:val="24"/>
              </w:rPr>
              <w:t xml:space="preserve"> </w:t>
            </w:r>
            <w:r w:rsidR="006933C3" w:rsidRPr="00EB4ECA">
              <w:rPr>
                <w:rFonts w:ascii="Times New Roman" w:hAnsi="Times New Roman"/>
                <w:b/>
                <w:bCs/>
                <w:sz w:val="24"/>
                <w:szCs w:val="24"/>
              </w:rPr>
              <w:t>actului</w:t>
            </w:r>
            <w:r w:rsidR="00032B46" w:rsidRPr="00EB4ECA">
              <w:rPr>
                <w:rFonts w:ascii="Times New Roman" w:hAnsi="Times New Roman"/>
                <w:b/>
                <w:bCs/>
                <w:sz w:val="24"/>
                <w:szCs w:val="24"/>
              </w:rPr>
              <w:t xml:space="preserve"> </w:t>
            </w:r>
            <w:r w:rsidR="006933C3" w:rsidRPr="00EB4ECA">
              <w:rPr>
                <w:rFonts w:ascii="Times New Roman" w:hAnsi="Times New Roman"/>
                <w:b/>
                <w:bCs/>
                <w:sz w:val="24"/>
                <w:szCs w:val="24"/>
              </w:rPr>
              <w:t>normativ</w:t>
            </w:r>
          </w:p>
        </w:tc>
      </w:tr>
      <w:tr w:rsidR="006D3EB7" w:rsidRPr="00EB4ECA" w14:paraId="6592DEC1" w14:textId="77777777" w:rsidTr="0069071B">
        <w:tc>
          <w:tcPr>
            <w:tcW w:w="935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F5EDEB7" w14:textId="3EFDD7BB" w:rsidR="005A074E" w:rsidRPr="00EB4ECA" w:rsidRDefault="0043694D" w:rsidP="00056CB8">
            <w:pPr>
              <w:rPr>
                <w:rFonts w:ascii="Times New Roman" w:hAnsi="Times New Roman"/>
                <w:sz w:val="24"/>
                <w:szCs w:val="24"/>
              </w:rPr>
            </w:pPr>
            <w:r w:rsidRPr="00EB4ECA">
              <w:rPr>
                <w:rFonts w:ascii="Times New Roman" w:hAnsi="Times New Roman"/>
                <w:sz w:val="24"/>
                <w:szCs w:val="24"/>
              </w:rPr>
              <w:t xml:space="preserve">Proiectul </w:t>
            </w:r>
            <w:r w:rsidR="00AD5C83" w:rsidRPr="00EB4ECA">
              <w:rPr>
                <w:rFonts w:ascii="Times New Roman" w:hAnsi="Times New Roman"/>
                <w:sz w:val="24"/>
                <w:szCs w:val="24"/>
              </w:rPr>
              <w:t xml:space="preserve">este elaborat de </w:t>
            </w:r>
            <w:r w:rsidR="004602CE" w:rsidRPr="00EB4ECA">
              <w:rPr>
                <w:rFonts w:ascii="Times New Roman" w:hAnsi="Times New Roman"/>
                <w:sz w:val="24"/>
                <w:szCs w:val="24"/>
              </w:rPr>
              <w:t>Ministerul Sănătății</w:t>
            </w:r>
            <w:r w:rsidR="00627AB7">
              <w:rPr>
                <w:rFonts w:ascii="Times New Roman" w:hAnsi="Times New Roman"/>
                <w:sz w:val="24"/>
                <w:szCs w:val="24"/>
              </w:rPr>
              <w:t>.</w:t>
            </w:r>
          </w:p>
        </w:tc>
      </w:tr>
      <w:tr w:rsidR="006D3EB7" w:rsidRPr="00EB4ECA" w14:paraId="020DC50D" w14:textId="77777777" w:rsidTr="0069071B">
        <w:tc>
          <w:tcPr>
            <w:tcW w:w="935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E788EDE" w14:textId="77777777" w:rsidR="007258CF" w:rsidRPr="00EB4ECA" w:rsidRDefault="006933C3" w:rsidP="00452C6C">
            <w:pPr>
              <w:rPr>
                <w:rFonts w:ascii="Times New Roman" w:hAnsi="Times New Roman"/>
                <w:b/>
                <w:bCs/>
                <w:sz w:val="24"/>
                <w:szCs w:val="24"/>
              </w:rPr>
            </w:pPr>
            <w:r w:rsidRPr="00EB4ECA">
              <w:rPr>
                <w:rFonts w:ascii="Times New Roman" w:hAnsi="Times New Roman"/>
                <w:b/>
                <w:bCs/>
                <w:sz w:val="24"/>
                <w:szCs w:val="24"/>
              </w:rPr>
              <w:t>2.</w:t>
            </w:r>
            <w:r w:rsidR="00032B46" w:rsidRPr="00EB4ECA">
              <w:rPr>
                <w:rFonts w:ascii="Times New Roman" w:hAnsi="Times New Roman"/>
                <w:b/>
                <w:bCs/>
                <w:sz w:val="24"/>
                <w:szCs w:val="24"/>
              </w:rPr>
              <w:t xml:space="preserve"> </w:t>
            </w:r>
            <w:r w:rsidRPr="00EB4ECA">
              <w:rPr>
                <w:rFonts w:ascii="Times New Roman" w:hAnsi="Times New Roman"/>
                <w:b/>
                <w:bCs/>
                <w:sz w:val="24"/>
                <w:szCs w:val="24"/>
              </w:rPr>
              <w:t>Condi</w:t>
            </w:r>
            <w:r w:rsidR="00863417" w:rsidRPr="00EB4ECA">
              <w:rPr>
                <w:rFonts w:ascii="Times New Roman" w:hAnsi="Times New Roman"/>
                <w:b/>
                <w:bCs/>
                <w:sz w:val="24"/>
                <w:szCs w:val="24"/>
              </w:rPr>
              <w:t>ț</w:t>
            </w:r>
            <w:r w:rsidRPr="00EB4ECA">
              <w:rPr>
                <w:rFonts w:ascii="Times New Roman" w:hAnsi="Times New Roman"/>
                <w:b/>
                <w:bCs/>
                <w:sz w:val="24"/>
                <w:szCs w:val="24"/>
              </w:rPr>
              <w:t>iile</w:t>
            </w:r>
            <w:r w:rsidR="00032B46" w:rsidRPr="00EB4ECA">
              <w:rPr>
                <w:rFonts w:ascii="Times New Roman" w:hAnsi="Times New Roman"/>
                <w:b/>
                <w:bCs/>
                <w:sz w:val="24"/>
                <w:szCs w:val="24"/>
              </w:rPr>
              <w:t xml:space="preserve"> </w:t>
            </w:r>
            <w:r w:rsidRPr="00EB4ECA">
              <w:rPr>
                <w:rFonts w:ascii="Times New Roman" w:hAnsi="Times New Roman"/>
                <w:b/>
                <w:bCs/>
                <w:sz w:val="24"/>
                <w:szCs w:val="24"/>
              </w:rPr>
              <w:t>ce</w:t>
            </w:r>
            <w:r w:rsidR="00032B46" w:rsidRPr="00EB4ECA">
              <w:rPr>
                <w:rFonts w:ascii="Times New Roman" w:hAnsi="Times New Roman"/>
                <w:b/>
                <w:bCs/>
                <w:sz w:val="24"/>
                <w:szCs w:val="24"/>
              </w:rPr>
              <w:t xml:space="preserve"> </w:t>
            </w:r>
            <w:r w:rsidRPr="00EB4ECA">
              <w:rPr>
                <w:rFonts w:ascii="Times New Roman" w:hAnsi="Times New Roman"/>
                <w:b/>
                <w:bCs/>
                <w:sz w:val="24"/>
                <w:szCs w:val="24"/>
              </w:rPr>
              <w:t>au</w:t>
            </w:r>
            <w:r w:rsidR="00032B46" w:rsidRPr="00EB4ECA">
              <w:rPr>
                <w:rFonts w:ascii="Times New Roman" w:hAnsi="Times New Roman"/>
                <w:b/>
                <w:bCs/>
                <w:sz w:val="24"/>
                <w:szCs w:val="24"/>
              </w:rPr>
              <w:t xml:space="preserve"> </w:t>
            </w:r>
            <w:r w:rsidRPr="00EB4ECA">
              <w:rPr>
                <w:rFonts w:ascii="Times New Roman" w:hAnsi="Times New Roman"/>
                <w:b/>
                <w:bCs/>
                <w:sz w:val="24"/>
                <w:szCs w:val="24"/>
              </w:rPr>
              <w:t>impus</w:t>
            </w:r>
            <w:r w:rsidR="00032B46" w:rsidRPr="00EB4ECA">
              <w:rPr>
                <w:rFonts w:ascii="Times New Roman" w:hAnsi="Times New Roman"/>
                <w:b/>
                <w:bCs/>
                <w:sz w:val="24"/>
                <w:szCs w:val="24"/>
              </w:rPr>
              <w:t xml:space="preserve"> </w:t>
            </w:r>
            <w:r w:rsidRPr="00EB4ECA">
              <w:rPr>
                <w:rFonts w:ascii="Times New Roman" w:hAnsi="Times New Roman"/>
                <w:b/>
                <w:bCs/>
                <w:sz w:val="24"/>
                <w:szCs w:val="24"/>
              </w:rPr>
              <w:t>elaborarea</w:t>
            </w:r>
            <w:r w:rsidR="00032B46" w:rsidRPr="00EB4ECA">
              <w:rPr>
                <w:rFonts w:ascii="Times New Roman" w:hAnsi="Times New Roman"/>
                <w:b/>
                <w:bCs/>
                <w:sz w:val="24"/>
                <w:szCs w:val="24"/>
              </w:rPr>
              <w:t xml:space="preserve"> </w:t>
            </w:r>
            <w:r w:rsidRPr="00EB4ECA">
              <w:rPr>
                <w:rFonts w:ascii="Times New Roman" w:hAnsi="Times New Roman"/>
                <w:b/>
                <w:bCs/>
                <w:sz w:val="24"/>
                <w:szCs w:val="24"/>
              </w:rPr>
              <w:t>proiectului</w:t>
            </w:r>
            <w:r w:rsidR="00032B46" w:rsidRPr="00EB4ECA">
              <w:rPr>
                <w:rFonts w:ascii="Times New Roman" w:hAnsi="Times New Roman"/>
                <w:b/>
                <w:bCs/>
                <w:sz w:val="24"/>
                <w:szCs w:val="24"/>
              </w:rPr>
              <w:t xml:space="preserve"> </w:t>
            </w:r>
            <w:r w:rsidRPr="00EB4ECA">
              <w:rPr>
                <w:rFonts w:ascii="Times New Roman" w:hAnsi="Times New Roman"/>
                <w:b/>
                <w:bCs/>
                <w:sz w:val="24"/>
                <w:szCs w:val="24"/>
              </w:rPr>
              <w:t>actului</w:t>
            </w:r>
            <w:r w:rsidR="00032B46" w:rsidRPr="00EB4ECA">
              <w:rPr>
                <w:rFonts w:ascii="Times New Roman" w:hAnsi="Times New Roman"/>
                <w:b/>
                <w:bCs/>
                <w:sz w:val="24"/>
                <w:szCs w:val="24"/>
              </w:rPr>
              <w:t xml:space="preserve"> </w:t>
            </w:r>
            <w:r w:rsidRPr="00EB4ECA">
              <w:rPr>
                <w:rFonts w:ascii="Times New Roman" w:hAnsi="Times New Roman"/>
                <w:b/>
                <w:bCs/>
                <w:sz w:val="24"/>
                <w:szCs w:val="24"/>
              </w:rPr>
              <w:t>normativ</w:t>
            </w:r>
          </w:p>
        </w:tc>
      </w:tr>
      <w:tr w:rsidR="006D3EB7" w:rsidRPr="00EB4ECA" w14:paraId="5DE3F5DB" w14:textId="77777777" w:rsidTr="0069071B">
        <w:tc>
          <w:tcPr>
            <w:tcW w:w="935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54D3480" w14:textId="77777777" w:rsidR="008B4BE6" w:rsidRPr="00EB4ECA" w:rsidRDefault="006933C3" w:rsidP="00452C6C">
            <w:pPr>
              <w:rPr>
                <w:rFonts w:ascii="Times New Roman" w:hAnsi="Times New Roman"/>
                <w:sz w:val="24"/>
                <w:szCs w:val="24"/>
              </w:rPr>
            </w:pPr>
            <w:r w:rsidRPr="00EB4ECA">
              <w:rPr>
                <w:rFonts w:ascii="Times New Roman" w:hAnsi="Times New Roman"/>
                <w:sz w:val="24"/>
                <w:szCs w:val="24"/>
              </w:rPr>
              <w:t>2.1.</w:t>
            </w:r>
            <w:r w:rsidR="00032B46" w:rsidRPr="00EB4ECA">
              <w:rPr>
                <w:rFonts w:ascii="Times New Roman" w:hAnsi="Times New Roman"/>
                <w:sz w:val="24"/>
                <w:szCs w:val="24"/>
              </w:rPr>
              <w:t xml:space="preserve"> </w:t>
            </w:r>
            <w:r w:rsidRPr="00EB4ECA">
              <w:rPr>
                <w:rFonts w:ascii="Times New Roman" w:hAnsi="Times New Roman"/>
                <w:sz w:val="24"/>
                <w:szCs w:val="24"/>
              </w:rPr>
              <w:t>Temeiul</w:t>
            </w:r>
            <w:r w:rsidR="00032B46" w:rsidRPr="00EB4ECA">
              <w:rPr>
                <w:rFonts w:ascii="Times New Roman" w:hAnsi="Times New Roman"/>
                <w:sz w:val="24"/>
                <w:szCs w:val="24"/>
              </w:rPr>
              <w:t xml:space="preserve"> </w:t>
            </w:r>
            <w:r w:rsidRPr="00EB4ECA">
              <w:rPr>
                <w:rFonts w:ascii="Times New Roman" w:hAnsi="Times New Roman"/>
                <w:sz w:val="24"/>
                <w:szCs w:val="24"/>
              </w:rPr>
              <w:t>legal</w:t>
            </w:r>
            <w:r w:rsidR="00825DC9" w:rsidRPr="00EB4ECA">
              <w:rPr>
                <w:rFonts w:ascii="Times New Roman" w:hAnsi="Times New Roman"/>
                <w:sz w:val="24"/>
                <w:szCs w:val="24"/>
              </w:rPr>
              <w:t xml:space="preserve"> sau</w:t>
            </w:r>
            <w:r w:rsidRPr="00EB4ECA">
              <w:rPr>
                <w:rFonts w:ascii="Times New Roman" w:hAnsi="Times New Roman"/>
                <w:sz w:val="24"/>
                <w:szCs w:val="24"/>
              </w:rPr>
              <w:t>,</w:t>
            </w:r>
            <w:r w:rsidR="00032B46" w:rsidRPr="00EB4ECA">
              <w:rPr>
                <w:rFonts w:ascii="Times New Roman" w:hAnsi="Times New Roman"/>
                <w:sz w:val="24"/>
                <w:szCs w:val="24"/>
              </w:rPr>
              <w:t xml:space="preserve"> </w:t>
            </w:r>
            <w:r w:rsidRPr="00EB4ECA">
              <w:rPr>
                <w:rFonts w:ascii="Times New Roman" w:hAnsi="Times New Roman"/>
                <w:sz w:val="24"/>
                <w:szCs w:val="24"/>
              </w:rPr>
              <w:t>după</w:t>
            </w:r>
            <w:r w:rsidR="00032B46" w:rsidRPr="00EB4ECA">
              <w:rPr>
                <w:rFonts w:ascii="Times New Roman" w:hAnsi="Times New Roman"/>
                <w:sz w:val="24"/>
                <w:szCs w:val="24"/>
              </w:rPr>
              <w:t xml:space="preserve"> </w:t>
            </w:r>
            <w:r w:rsidRPr="00EB4ECA">
              <w:rPr>
                <w:rFonts w:ascii="Times New Roman" w:hAnsi="Times New Roman"/>
                <w:sz w:val="24"/>
                <w:szCs w:val="24"/>
              </w:rPr>
              <w:t>caz</w:t>
            </w:r>
            <w:r w:rsidR="00825DC9" w:rsidRPr="00EB4ECA">
              <w:rPr>
                <w:rFonts w:ascii="Times New Roman" w:hAnsi="Times New Roman"/>
                <w:sz w:val="24"/>
                <w:szCs w:val="24"/>
              </w:rPr>
              <w:t>,</w:t>
            </w:r>
            <w:r w:rsidR="00032B46" w:rsidRPr="00EB4ECA">
              <w:rPr>
                <w:rFonts w:ascii="Times New Roman" w:hAnsi="Times New Roman"/>
                <w:sz w:val="24"/>
                <w:szCs w:val="24"/>
              </w:rPr>
              <w:t xml:space="preserve"> </w:t>
            </w:r>
            <w:r w:rsidRPr="00EB4ECA">
              <w:rPr>
                <w:rFonts w:ascii="Times New Roman" w:hAnsi="Times New Roman"/>
                <w:sz w:val="24"/>
                <w:szCs w:val="24"/>
              </w:rPr>
              <w:t>sursa</w:t>
            </w:r>
            <w:r w:rsidR="00032B46" w:rsidRPr="00EB4ECA">
              <w:rPr>
                <w:rFonts w:ascii="Times New Roman" w:hAnsi="Times New Roman"/>
                <w:sz w:val="24"/>
                <w:szCs w:val="24"/>
              </w:rPr>
              <w:t xml:space="preserve"> </w:t>
            </w:r>
            <w:r w:rsidRPr="00EB4ECA">
              <w:rPr>
                <w:rFonts w:ascii="Times New Roman" w:hAnsi="Times New Roman"/>
                <w:sz w:val="24"/>
                <w:szCs w:val="24"/>
              </w:rPr>
              <w:t>proiectului</w:t>
            </w:r>
            <w:r w:rsidR="00032B46" w:rsidRPr="00EB4ECA">
              <w:rPr>
                <w:rFonts w:ascii="Times New Roman" w:hAnsi="Times New Roman"/>
                <w:sz w:val="24"/>
                <w:szCs w:val="24"/>
              </w:rPr>
              <w:t xml:space="preserve"> </w:t>
            </w:r>
            <w:r w:rsidRPr="00EB4ECA">
              <w:rPr>
                <w:rFonts w:ascii="Times New Roman" w:hAnsi="Times New Roman"/>
                <w:sz w:val="24"/>
                <w:szCs w:val="24"/>
              </w:rPr>
              <w:t>actului</w:t>
            </w:r>
            <w:r w:rsidR="00032B46" w:rsidRPr="00EB4ECA">
              <w:rPr>
                <w:rFonts w:ascii="Times New Roman" w:hAnsi="Times New Roman"/>
                <w:sz w:val="24"/>
                <w:szCs w:val="24"/>
              </w:rPr>
              <w:t xml:space="preserve"> </w:t>
            </w:r>
            <w:r w:rsidRPr="00EB4ECA">
              <w:rPr>
                <w:rFonts w:ascii="Times New Roman" w:hAnsi="Times New Roman"/>
                <w:sz w:val="24"/>
                <w:szCs w:val="24"/>
              </w:rPr>
              <w:t>normativ</w:t>
            </w:r>
          </w:p>
        </w:tc>
      </w:tr>
      <w:tr w:rsidR="005A074E" w:rsidRPr="00EB4ECA" w14:paraId="7D46977B" w14:textId="77777777" w:rsidTr="0069071B">
        <w:tc>
          <w:tcPr>
            <w:tcW w:w="935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8F5899" w14:textId="01929BEC" w:rsidR="00EB4ECA" w:rsidRPr="00EB4ECA" w:rsidRDefault="00627AB7" w:rsidP="00FA76A3">
            <w:pPr>
              <w:ind w:firstLine="731"/>
              <w:rPr>
                <w:rFonts w:ascii="Times New Roman" w:hAnsi="Times New Roman"/>
                <w:sz w:val="24"/>
                <w:szCs w:val="24"/>
              </w:rPr>
            </w:pPr>
            <w:r w:rsidRPr="00007011">
              <w:rPr>
                <w:rFonts w:ascii="Times New Roman" w:hAnsi="Times New Roman"/>
                <w:sz w:val="24"/>
                <w:szCs w:val="24"/>
              </w:rPr>
              <w:t xml:space="preserve">Proiectul </w:t>
            </w:r>
            <w:r w:rsidR="00143DAC">
              <w:rPr>
                <w:rFonts w:ascii="Times New Roman" w:hAnsi="Times New Roman"/>
                <w:sz w:val="24"/>
                <w:szCs w:val="24"/>
              </w:rPr>
              <w:t xml:space="preserve">de </w:t>
            </w:r>
            <w:r w:rsidRPr="00007011">
              <w:rPr>
                <w:rFonts w:ascii="Times New Roman" w:hAnsi="Times New Roman"/>
                <w:sz w:val="24"/>
                <w:szCs w:val="24"/>
              </w:rPr>
              <w:t>hotărâr</w:t>
            </w:r>
            <w:r w:rsidR="00143DAC">
              <w:rPr>
                <w:rFonts w:ascii="Times New Roman" w:hAnsi="Times New Roman"/>
                <w:sz w:val="24"/>
                <w:szCs w:val="24"/>
              </w:rPr>
              <w:t>e a</w:t>
            </w:r>
            <w:r w:rsidRPr="00007011">
              <w:rPr>
                <w:rFonts w:ascii="Times New Roman" w:hAnsi="Times New Roman"/>
                <w:sz w:val="24"/>
                <w:szCs w:val="24"/>
              </w:rPr>
              <w:t xml:space="preserve"> Guvernului prevede stabilirea cuantumului anual de alcool etilic nedenaturat</w:t>
            </w:r>
            <w:r w:rsidRPr="00007011">
              <w:rPr>
                <w:rFonts w:ascii="Times New Roman" w:hAnsi="Times New Roman"/>
                <w:b/>
                <w:bCs/>
                <w:sz w:val="24"/>
                <w:szCs w:val="24"/>
              </w:rPr>
              <w:t xml:space="preserve"> </w:t>
            </w:r>
            <w:r w:rsidRPr="00007011">
              <w:rPr>
                <w:rFonts w:ascii="Times New Roman" w:hAnsi="Times New Roman"/>
                <w:bCs/>
                <w:sz w:val="24"/>
                <w:szCs w:val="24"/>
              </w:rPr>
              <w:t>destinat producerii farmaceutice și</w:t>
            </w:r>
            <w:r w:rsidRPr="00007011">
              <w:rPr>
                <w:rFonts w:ascii="Times New Roman" w:hAnsi="Times New Roman"/>
                <w:b/>
                <w:bCs/>
                <w:sz w:val="24"/>
                <w:szCs w:val="24"/>
              </w:rPr>
              <w:t xml:space="preserve"> </w:t>
            </w:r>
            <w:r w:rsidRPr="00007011">
              <w:rPr>
                <w:rFonts w:ascii="Times New Roman" w:hAnsi="Times New Roman"/>
                <w:sz w:val="24"/>
                <w:szCs w:val="24"/>
              </w:rPr>
              <w:t xml:space="preserve">utilizării în medicină și este elaborat în temeiul </w:t>
            </w:r>
            <w:r w:rsidR="00225C71" w:rsidRPr="00225C71">
              <w:rPr>
                <w:rFonts w:ascii="Times New Roman" w:hAnsi="Times New Roman"/>
                <w:sz w:val="24"/>
                <w:szCs w:val="24"/>
              </w:rPr>
              <w:t>art. 96 lit. b) liniuța a doua şi al art. 124 alin.(15) din Codul fiscal nr. 1163/1997 (republicat în Monitorul Oficial al Republicii Moldova, ediție specială din 8 februarie 2007)</w:t>
            </w:r>
            <w:r w:rsidR="00222944">
              <w:rPr>
                <w:rFonts w:ascii="Times New Roman" w:hAnsi="Times New Roman"/>
                <w:sz w:val="24"/>
                <w:szCs w:val="24"/>
              </w:rPr>
              <w:t>,</w:t>
            </w:r>
            <w:r w:rsidR="00222944" w:rsidRPr="00225C71">
              <w:rPr>
                <w:rFonts w:ascii="Times New Roman" w:hAnsi="Times New Roman"/>
                <w:sz w:val="24"/>
                <w:szCs w:val="24"/>
              </w:rPr>
              <w:t xml:space="preserve"> cu modificările ulterioare</w:t>
            </w:r>
            <w:r w:rsidR="00222944">
              <w:rPr>
                <w:rFonts w:ascii="Times New Roman" w:hAnsi="Times New Roman"/>
                <w:sz w:val="24"/>
                <w:szCs w:val="24"/>
              </w:rPr>
              <w:t>.</w:t>
            </w:r>
          </w:p>
        </w:tc>
      </w:tr>
      <w:tr w:rsidR="006D3EB7" w:rsidRPr="00EB4ECA" w14:paraId="42AD1D06" w14:textId="77777777" w:rsidTr="0069071B">
        <w:tc>
          <w:tcPr>
            <w:tcW w:w="935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82E48D7" w14:textId="77777777" w:rsidR="008B4BE6" w:rsidRPr="00EB4ECA" w:rsidRDefault="006933C3" w:rsidP="00452C6C">
            <w:pPr>
              <w:rPr>
                <w:rFonts w:ascii="Times New Roman" w:hAnsi="Times New Roman"/>
                <w:sz w:val="24"/>
                <w:szCs w:val="24"/>
              </w:rPr>
            </w:pPr>
            <w:r w:rsidRPr="00EB4ECA">
              <w:rPr>
                <w:rFonts w:ascii="Times New Roman" w:hAnsi="Times New Roman"/>
                <w:sz w:val="24"/>
                <w:szCs w:val="24"/>
              </w:rPr>
              <w:t>2.2.</w:t>
            </w:r>
            <w:r w:rsidR="00032B46" w:rsidRPr="00EB4ECA">
              <w:rPr>
                <w:rFonts w:ascii="Times New Roman" w:hAnsi="Times New Roman"/>
                <w:sz w:val="24"/>
                <w:szCs w:val="24"/>
              </w:rPr>
              <w:t xml:space="preserve"> </w:t>
            </w:r>
            <w:r w:rsidRPr="00EB4ECA">
              <w:rPr>
                <w:rFonts w:ascii="Times New Roman" w:hAnsi="Times New Roman"/>
                <w:sz w:val="24"/>
                <w:szCs w:val="24"/>
              </w:rPr>
              <w:t>Descrierea</w:t>
            </w:r>
            <w:r w:rsidR="00032B46" w:rsidRPr="00EB4ECA">
              <w:rPr>
                <w:rFonts w:ascii="Times New Roman" w:hAnsi="Times New Roman"/>
                <w:sz w:val="24"/>
                <w:szCs w:val="24"/>
              </w:rPr>
              <w:t xml:space="preserve"> </w:t>
            </w:r>
            <w:r w:rsidRPr="00EB4ECA">
              <w:rPr>
                <w:rFonts w:ascii="Times New Roman" w:hAnsi="Times New Roman"/>
                <w:sz w:val="24"/>
                <w:szCs w:val="24"/>
              </w:rPr>
              <w:t>situa</w:t>
            </w:r>
            <w:r w:rsidR="00863417" w:rsidRPr="00EB4ECA">
              <w:rPr>
                <w:rFonts w:ascii="Times New Roman" w:hAnsi="Times New Roman"/>
                <w:sz w:val="24"/>
                <w:szCs w:val="24"/>
              </w:rPr>
              <w:t>ț</w:t>
            </w:r>
            <w:r w:rsidRPr="00EB4ECA">
              <w:rPr>
                <w:rFonts w:ascii="Times New Roman" w:hAnsi="Times New Roman"/>
                <w:sz w:val="24"/>
                <w:szCs w:val="24"/>
              </w:rPr>
              <w:t>iei</w:t>
            </w:r>
            <w:r w:rsidR="00032B46" w:rsidRPr="00EB4ECA">
              <w:rPr>
                <w:rFonts w:ascii="Times New Roman" w:hAnsi="Times New Roman"/>
                <w:sz w:val="24"/>
                <w:szCs w:val="24"/>
              </w:rPr>
              <w:t xml:space="preserve"> </w:t>
            </w:r>
            <w:r w:rsidRPr="00EB4ECA">
              <w:rPr>
                <w:rFonts w:ascii="Times New Roman" w:hAnsi="Times New Roman"/>
                <w:sz w:val="24"/>
                <w:szCs w:val="24"/>
              </w:rPr>
              <w:t>actuale</w:t>
            </w:r>
            <w:r w:rsidR="00032B46" w:rsidRPr="00EB4ECA">
              <w:rPr>
                <w:rFonts w:ascii="Times New Roman" w:hAnsi="Times New Roman"/>
                <w:sz w:val="24"/>
                <w:szCs w:val="24"/>
              </w:rPr>
              <w:t xml:space="preserve"> </w:t>
            </w:r>
            <w:r w:rsidR="00863417" w:rsidRPr="00EB4ECA">
              <w:rPr>
                <w:rFonts w:ascii="Times New Roman" w:hAnsi="Times New Roman"/>
                <w:sz w:val="24"/>
                <w:szCs w:val="24"/>
              </w:rPr>
              <w:t>ș</w:t>
            </w:r>
            <w:r w:rsidRPr="00EB4ECA">
              <w:rPr>
                <w:rFonts w:ascii="Times New Roman" w:hAnsi="Times New Roman"/>
                <w:sz w:val="24"/>
                <w:szCs w:val="24"/>
              </w:rPr>
              <w:t>i</w:t>
            </w:r>
            <w:r w:rsidR="00032B46" w:rsidRPr="00EB4ECA">
              <w:rPr>
                <w:rFonts w:ascii="Times New Roman" w:hAnsi="Times New Roman"/>
                <w:sz w:val="24"/>
                <w:szCs w:val="24"/>
              </w:rPr>
              <w:t xml:space="preserve"> </w:t>
            </w:r>
            <w:r w:rsidRPr="00EB4ECA">
              <w:rPr>
                <w:rFonts w:ascii="Times New Roman" w:hAnsi="Times New Roman"/>
                <w:sz w:val="24"/>
                <w:szCs w:val="24"/>
              </w:rPr>
              <w:t>a</w:t>
            </w:r>
            <w:r w:rsidR="00032B46" w:rsidRPr="00EB4ECA">
              <w:rPr>
                <w:rFonts w:ascii="Times New Roman" w:hAnsi="Times New Roman"/>
                <w:sz w:val="24"/>
                <w:szCs w:val="24"/>
              </w:rPr>
              <w:t xml:space="preserve"> </w:t>
            </w:r>
            <w:r w:rsidRPr="00EB4ECA">
              <w:rPr>
                <w:rFonts w:ascii="Times New Roman" w:hAnsi="Times New Roman"/>
                <w:sz w:val="24"/>
                <w:szCs w:val="24"/>
              </w:rPr>
              <w:t>problemelor</w:t>
            </w:r>
            <w:r w:rsidR="00032B46" w:rsidRPr="00EB4ECA">
              <w:rPr>
                <w:rFonts w:ascii="Times New Roman" w:hAnsi="Times New Roman"/>
                <w:sz w:val="24"/>
                <w:szCs w:val="24"/>
              </w:rPr>
              <w:t xml:space="preserve"> </w:t>
            </w:r>
            <w:r w:rsidRPr="00EB4ECA">
              <w:rPr>
                <w:rFonts w:ascii="Times New Roman" w:hAnsi="Times New Roman"/>
                <w:sz w:val="24"/>
                <w:szCs w:val="24"/>
              </w:rPr>
              <w:t>care</w:t>
            </w:r>
            <w:r w:rsidR="00032B46" w:rsidRPr="00EB4ECA">
              <w:rPr>
                <w:rFonts w:ascii="Times New Roman" w:hAnsi="Times New Roman"/>
                <w:sz w:val="24"/>
                <w:szCs w:val="24"/>
              </w:rPr>
              <w:t xml:space="preserve"> </w:t>
            </w:r>
            <w:r w:rsidRPr="00EB4ECA">
              <w:rPr>
                <w:rFonts w:ascii="Times New Roman" w:hAnsi="Times New Roman"/>
                <w:sz w:val="24"/>
                <w:szCs w:val="24"/>
              </w:rPr>
              <w:t>impun</w:t>
            </w:r>
            <w:r w:rsidR="00032B46" w:rsidRPr="00EB4ECA">
              <w:rPr>
                <w:rFonts w:ascii="Times New Roman" w:hAnsi="Times New Roman"/>
                <w:sz w:val="24"/>
                <w:szCs w:val="24"/>
              </w:rPr>
              <w:t xml:space="preserve"> </w:t>
            </w:r>
            <w:r w:rsidRPr="00EB4ECA">
              <w:rPr>
                <w:rFonts w:ascii="Times New Roman" w:hAnsi="Times New Roman"/>
                <w:sz w:val="24"/>
                <w:szCs w:val="24"/>
              </w:rPr>
              <w:t>interven</w:t>
            </w:r>
            <w:r w:rsidR="00863417" w:rsidRPr="00EB4ECA">
              <w:rPr>
                <w:rFonts w:ascii="Times New Roman" w:hAnsi="Times New Roman"/>
                <w:sz w:val="24"/>
                <w:szCs w:val="24"/>
              </w:rPr>
              <w:t>ț</w:t>
            </w:r>
            <w:r w:rsidRPr="00EB4ECA">
              <w:rPr>
                <w:rFonts w:ascii="Times New Roman" w:hAnsi="Times New Roman"/>
                <w:sz w:val="24"/>
                <w:szCs w:val="24"/>
              </w:rPr>
              <w:t>ia,</w:t>
            </w:r>
            <w:r w:rsidR="00032B46" w:rsidRPr="00EB4ECA">
              <w:rPr>
                <w:rFonts w:ascii="Times New Roman" w:hAnsi="Times New Roman"/>
                <w:sz w:val="24"/>
                <w:szCs w:val="24"/>
              </w:rPr>
              <w:t xml:space="preserve"> </w:t>
            </w:r>
            <w:r w:rsidRPr="00EB4ECA">
              <w:rPr>
                <w:rFonts w:ascii="Times New Roman" w:hAnsi="Times New Roman"/>
                <w:sz w:val="24"/>
                <w:szCs w:val="24"/>
              </w:rPr>
              <w:t>inclusiv</w:t>
            </w:r>
            <w:r w:rsidR="00032B46" w:rsidRPr="00EB4ECA">
              <w:rPr>
                <w:rFonts w:ascii="Times New Roman" w:hAnsi="Times New Roman"/>
                <w:sz w:val="24"/>
                <w:szCs w:val="24"/>
              </w:rPr>
              <w:t xml:space="preserve"> </w:t>
            </w:r>
            <w:r w:rsidR="005C7769" w:rsidRPr="00EB4ECA">
              <w:rPr>
                <w:rFonts w:ascii="Times New Roman" w:hAnsi="Times New Roman"/>
                <w:sz w:val="24"/>
                <w:szCs w:val="24"/>
              </w:rPr>
              <w:t xml:space="preserve">a </w:t>
            </w:r>
            <w:r w:rsidRPr="00EB4ECA">
              <w:rPr>
                <w:rFonts w:ascii="Times New Roman" w:hAnsi="Times New Roman"/>
                <w:sz w:val="24"/>
                <w:szCs w:val="24"/>
              </w:rPr>
              <w:t>cadrul</w:t>
            </w:r>
            <w:r w:rsidR="005C7769" w:rsidRPr="00EB4ECA">
              <w:rPr>
                <w:rFonts w:ascii="Times New Roman" w:hAnsi="Times New Roman"/>
                <w:sz w:val="24"/>
                <w:szCs w:val="24"/>
              </w:rPr>
              <w:t>ui</w:t>
            </w:r>
            <w:r w:rsidR="00032B46" w:rsidRPr="00EB4ECA">
              <w:rPr>
                <w:rFonts w:ascii="Times New Roman" w:hAnsi="Times New Roman"/>
                <w:sz w:val="24"/>
                <w:szCs w:val="24"/>
              </w:rPr>
              <w:t xml:space="preserve"> </w:t>
            </w:r>
            <w:r w:rsidRPr="00EB4ECA">
              <w:rPr>
                <w:rFonts w:ascii="Times New Roman" w:hAnsi="Times New Roman"/>
                <w:sz w:val="24"/>
                <w:szCs w:val="24"/>
              </w:rPr>
              <w:t>normativ</w:t>
            </w:r>
            <w:r w:rsidR="00032B46" w:rsidRPr="00EB4ECA">
              <w:rPr>
                <w:rFonts w:ascii="Times New Roman" w:hAnsi="Times New Roman"/>
                <w:sz w:val="24"/>
                <w:szCs w:val="24"/>
              </w:rPr>
              <w:t xml:space="preserve"> </w:t>
            </w:r>
            <w:r w:rsidRPr="00EB4ECA">
              <w:rPr>
                <w:rFonts w:ascii="Times New Roman" w:hAnsi="Times New Roman"/>
                <w:sz w:val="24"/>
                <w:szCs w:val="24"/>
              </w:rPr>
              <w:t>aplicabil</w:t>
            </w:r>
            <w:r w:rsidR="00032B46" w:rsidRPr="00EB4ECA">
              <w:rPr>
                <w:rFonts w:ascii="Times New Roman" w:hAnsi="Times New Roman"/>
                <w:sz w:val="24"/>
                <w:szCs w:val="24"/>
              </w:rPr>
              <w:t xml:space="preserve"> </w:t>
            </w:r>
            <w:r w:rsidR="00863417" w:rsidRPr="00EB4ECA">
              <w:rPr>
                <w:rFonts w:ascii="Times New Roman" w:hAnsi="Times New Roman"/>
                <w:sz w:val="24"/>
                <w:szCs w:val="24"/>
              </w:rPr>
              <w:t>ș</w:t>
            </w:r>
            <w:r w:rsidRPr="00EB4ECA">
              <w:rPr>
                <w:rFonts w:ascii="Times New Roman" w:hAnsi="Times New Roman"/>
                <w:sz w:val="24"/>
                <w:szCs w:val="24"/>
              </w:rPr>
              <w:t>i</w:t>
            </w:r>
            <w:r w:rsidR="00032B46" w:rsidRPr="00EB4ECA">
              <w:rPr>
                <w:rFonts w:ascii="Times New Roman" w:hAnsi="Times New Roman"/>
                <w:sz w:val="24"/>
                <w:szCs w:val="24"/>
              </w:rPr>
              <w:t xml:space="preserve"> </w:t>
            </w:r>
            <w:r w:rsidR="005C7769" w:rsidRPr="00EB4ECA">
              <w:rPr>
                <w:rFonts w:ascii="Times New Roman" w:hAnsi="Times New Roman"/>
                <w:sz w:val="24"/>
                <w:szCs w:val="24"/>
              </w:rPr>
              <w:t xml:space="preserve">a </w:t>
            </w:r>
            <w:r w:rsidRPr="00EB4ECA">
              <w:rPr>
                <w:rFonts w:ascii="Times New Roman" w:hAnsi="Times New Roman"/>
                <w:sz w:val="24"/>
                <w:szCs w:val="24"/>
              </w:rPr>
              <w:t>deficien</w:t>
            </w:r>
            <w:r w:rsidR="00863417" w:rsidRPr="00EB4ECA">
              <w:rPr>
                <w:rFonts w:ascii="Times New Roman" w:hAnsi="Times New Roman"/>
                <w:sz w:val="24"/>
                <w:szCs w:val="24"/>
              </w:rPr>
              <w:t>ț</w:t>
            </w:r>
            <w:r w:rsidRPr="00EB4ECA">
              <w:rPr>
                <w:rFonts w:ascii="Times New Roman" w:hAnsi="Times New Roman"/>
                <w:sz w:val="24"/>
                <w:szCs w:val="24"/>
              </w:rPr>
              <w:t>el</w:t>
            </w:r>
            <w:r w:rsidR="005C7769" w:rsidRPr="00EB4ECA">
              <w:rPr>
                <w:rFonts w:ascii="Times New Roman" w:hAnsi="Times New Roman"/>
                <w:sz w:val="24"/>
                <w:szCs w:val="24"/>
              </w:rPr>
              <w:t>or</w:t>
            </w:r>
            <w:r w:rsidRPr="00EB4ECA">
              <w:rPr>
                <w:rFonts w:ascii="Times New Roman" w:hAnsi="Times New Roman"/>
                <w:sz w:val="24"/>
                <w:szCs w:val="24"/>
              </w:rPr>
              <w:t>/lacunel</w:t>
            </w:r>
            <w:r w:rsidR="005C7769" w:rsidRPr="00EB4ECA">
              <w:rPr>
                <w:rFonts w:ascii="Times New Roman" w:hAnsi="Times New Roman"/>
                <w:sz w:val="24"/>
                <w:szCs w:val="24"/>
              </w:rPr>
              <w:t>or</w:t>
            </w:r>
            <w:r w:rsidR="00032B46" w:rsidRPr="00EB4ECA">
              <w:rPr>
                <w:rFonts w:ascii="Times New Roman" w:hAnsi="Times New Roman"/>
                <w:sz w:val="24"/>
                <w:szCs w:val="24"/>
              </w:rPr>
              <w:t xml:space="preserve"> </w:t>
            </w:r>
            <w:r w:rsidRPr="00EB4ECA">
              <w:rPr>
                <w:rFonts w:ascii="Times New Roman" w:hAnsi="Times New Roman"/>
                <w:sz w:val="24"/>
                <w:szCs w:val="24"/>
              </w:rPr>
              <w:t>normative</w:t>
            </w:r>
          </w:p>
        </w:tc>
      </w:tr>
      <w:tr w:rsidR="00452C6C" w:rsidRPr="00EB4ECA" w14:paraId="51C73DC9" w14:textId="77777777" w:rsidTr="0069071B">
        <w:tc>
          <w:tcPr>
            <w:tcW w:w="935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2DE2C96" w14:textId="35610A9F" w:rsidR="00122FFF" w:rsidRDefault="00122FFF" w:rsidP="00122FFF">
            <w:pPr>
              <w:ind w:firstLine="731"/>
              <w:rPr>
                <w:rFonts w:ascii="Times New Roman" w:hAnsi="Times New Roman"/>
                <w:sz w:val="24"/>
                <w:szCs w:val="24"/>
              </w:rPr>
            </w:pPr>
            <w:r w:rsidRPr="00122FFF">
              <w:rPr>
                <w:rFonts w:ascii="Times New Roman" w:hAnsi="Times New Roman"/>
                <w:sz w:val="24"/>
                <w:szCs w:val="24"/>
              </w:rPr>
              <w:t xml:space="preserve">Potrivit art. 124 alin. (15) din Codul fiscal, se scutește de </w:t>
            </w:r>
            <w:r w:rsidR="0094493D" w:rsidRPr="00122FFF">
              <w:rPr>
                <w:rFonts w:ascii="Times New Roman" w:hAnsi="Times New Roman"/>
                <w:sz w:val="24"/>
                <w:szCs w:val="24"/>
              </w:rPr>
              <w:t>accize</w:t>
            </w:r>
            <w:r w:rsidRPr="00122FFF">
              <w:rPr>
                <w:rFonts w:ascii="Times New Roman" w:hAnsi="Times New Roman"/>
                <w:sz w:val="24"/>
                <w:szCs w:val="24"/>
              </w:rPr>
              <w:t xml:space="preserve"> alcoolul etilic nedenaturat de la pozițiile tarifare 220710000 și 220890910, destinat producerii farmaceutice și utilizării în medicină, în limita volumului contingentului anual stabilit de Guvern.</w:t>
            </w:r>
          </w:p>
          <w:p w14:paraId="7F88514B" w14:textId="716FABEA" w:rsidR="006C5634" w:rsidRPr="00122FFF" w:rsidRDefault="006C5634" w:rsidP="00122FFF">
            <w:pPr>
              <w:ind w:firstLine="731"/>
              <w:rPr>
                <w:rFonts w:ascii="Times New Roman" w:hAnsi="Times New Roman"/>
                <w:sz w:val="24"/>
                <w:szCs w:val="24"/>
              </w:rPr>
            </w:pPr>
            <w:r>
              <w:rPr>
                <w:rFonts w:ascii="Times New Roman" w:hAnsi="Times New Roman"/>
                <w:sz w:val="24"/>
                <w:szCs w:val="24"/>
              </w:rPr>
              <w:t xml:space="preserve">De asemenea, în conformitate cu </w:t>
            </w:r>
            <w:r w:rsidRPr="00007011">
              <w:rPr>
                <w:rFonts w:ascii="Times New Roman" w:hAnsi="Times New Roman"/>
                <w:sz w:val="24"/>
                <w:szCs w:val="24"/>
              </w:rPr>
              <w:t>art. 96 lit. b) liniuța a doua</w:t>
            </w:r>
            <w:r>
              <w:rPr>
                <w:rFonts w:ascii="Times New Roman" w:hAnsi="Times New Roman"/>
                <w:sz w:val="24"/>
                <w:szCs w:val="24"/>
              </w:rPr>
              <w:t xml:space="preserve"> </w:t>
            </w:r>
            <w:r w:rsidRPr="00007011">
              <w:rPr>
                <w:rFonts w:ascii="Times New Roman" w:hAnsi="Times New Roman"/>
                <w:sz w:val="24"/>
                <w:szCs w:val="24"/>
              </w:rPr>
              <w:t>din Codul fiscal</w:t>
            </w:r>
            <w:r>
              <w:rPr>
                <w:rFonts w:ascii="Times New Roman" w:hAnsi="Times New Roman"/>
                <w:sz w:val="24"/>
                <w:szCs w:val="24"/>
              </w:rPr>
              <w:t>, pentru pozițiile menționate mai sus se stabilește cota TVA de 8%.</w:t>
            </w:r>
          </w:p>
          <w:p w14:paraId="5CFDE4F6" w14:textId="61EAE4C1" w:rsidR="00122FFF" w:rsidRPr="00122FFF" w:rsidRDefault="00122FFF" w:rsidP="00122FFF">
            <w:pPr>
              <w:ind w:firstLine="731"/>
              <w:rPr>
                <w:rFonts w:ascii="Times New Roman" w:hAnsi="Times New Roman"/>
                <w:sz w:val="24"/>
                <w:szCs w:val="24"/>
              </w:rPr>
            </w:pPr>
            <w:r w:rsidRPr="00122FFF">
              <w:rPr>
                <w:rFonts w:ascii="Times New Roman" w:hAnsi="Times New Roman"/>
                <w:sz w:val="24"/>
                <w:szCs w:val="24"/>
              </w:rPr>
              <w:t xml:space="preserve">Alcoolul etilic este esențial în producția de medicamente și produse farmaceutice, cum ar fi soluțiile antiseptice, tincturile și alte produse destinate tratamentelor medicale. Restricționarea cantității de alcool etilic disponibil pentru aceste scopuri ar putea reduce capacitatea producătorilor de a fabrica și distribui produse esențiale pentru </w:t>
            </w:r>
            <w:r w:rsidR="002A2BE8">
              <w:rPr>
                <w:rFonts w:ascii="Times New Roman" w:hAnsi="Times New Roman"/>
                <w:sz w:val="24"/>
                <w:szCs w:val="24"/>
              </w:rPr>
              <w:t>domeniul medical</w:t>
            </w:r>
            <w:r w:rsidRPr="00122FFF">
              <w:rPr>
                <w:rFonts w:ascii="Times New Roman" w:hAnsi="Times New Roman"/>
                <w:sz w:val="24"/>
                <w:szCs w:val="24"/>
              </w:rPr>
              <w:t>.</w:t>
            </w:r>
          </w:p>
          <w:p w14:paraId="6D5F08E8" w14:textId="038017C3" w:rsidR="00122FFF" w:rsidRPr="00122FFF" w:rsidRDefault="00122FFF" w:rsidP="00122FFF">
            <w:pPr>
              <w:ind w:firstLine="731"/>
              <w:rPr>
                <w:rFonts w:ascii="Times New Roman" w:hAnsi="Times New Roman"/>
                <w:sz w:val="24"/>
                <w:szCs w:val="24"/>
              </w:rPr>
            </w:pPr>
            <w:r w:rsidRPr="00122FFF">
              <w:rPr>
                <w:rFonts w:ascii="Times New Roman" w:hAnsi="Times New Roman"/>
                <w:sz w:val="24"/>
                <w:szCs w:val="24"/>
              </w:rPr>
              <w:t xml:space="preserve">În Republica Moldova, există </w:t>
            </w:r>
            <w:r w:rsidR="004356C3">
              <w:rPr>
                <w:rFonts w:ascii="Times New Roman" w:hAnsi="Times New Roman"/>
                <w:sz w:val="24"/>
                <w:szCs w:val="24"/>
              </w:rPr>
              <w:t>8</w:t>
            </w:r>
            <w:r w:rsidRPr="00122FFF">
              <w:rPr>
                <w:rFonts w:ascii="Times New Roman" w:hAnsi="Times New Roman"/>
                <w:sz w:val="24"/>
                <w:szCs w:val="24"/>
              </w:rPr>
              <w:t xml:space="preserve"> utilizatori de alcool etilic nedenaturat destinat producerii farmaceutice. Cuantumurile de alcool necesar sunt stabilite anual pentru fiecare utilizator, pe baza planurilor de fabricație înaintate Ministerului Sănătății. În fiecare an, utilizatorii prezintă propuneri privind cantitățile necesare, iar Ministerul Sănătății analizează datele și propune aprobarea contingentelor respective.</w:t>
            </w:r>
          </w:p>
          <w:p w14:paraId="6A837FB5" w14:textId="0D33849C" w:rsidR="00B76F1A" w:rsidRPr="00D53E19" w:rsidRDefault="00122FFF" w:rsidP="00122FFF">
            <w:pPr>
              <w:ind w:firstLine="731"/>
              <w:rPr>
                <w:rFonts w:ascii="Times New Roman" w:hAnsi="Times New Roman"/>
                <w:sz w:val="24"/>
                <w:szCs w:val="24"/>
              </w:rPr>
            </w:pPr>
            <w:r w:rsidRPr="00122FFF">
              <w:rPr>
                <w:rFonts w:ascii="Times New Roman" w:hAnsi="Times New Roman"/>
                <w:sz w:val="24"/>
                <w:szCs w:val="24"/>
              </w:rPr>
              <w:t>Această abordare permite asigurarea unui flux continuu în procesele de fabricație, prevenind tergiversările care ar putea afecta producția și aprovizionarea</w:t>
            </w:r>
            <w:r w:rsidR="000E64F8">
              <w:rPr>
                <w:rFonts w:ascii="Times New Roman" w:hAnsi="Times New Roman"/>
                <w:sz w:val="24"/>
                <w:szCs w:val="24"/>
              </w:rPr>
              <w:t xml:space="preserve"> sectorul</w:t>
            </w:r>
            <w:r w:rsidR="00D23545">
              <w:rPr>
                <w:rFonts w:ascii="Times New Roman" w:hAnsi="Times New Roman"/>
                <w:sz w:val="24"/>
                <w:szCs w:val="24"/>
              </w:rPr>
              <w:t>ui</w:t>
            </w:r>
            <w:r w:rsidR="000E64F8">
              <w:rPr>
                <w:rFonts w:ascii="Times New Roman" w:hAnsi="Times New Roman"/>
                <w:sz w:val="24"/>
                <w:szCs w:val="24"/>
              </w:rPr>
              <w:t xml:space="preserve"> medical</w:t>
            </w:r>
            <w:r w:rsidRPr="00122FFF">
              <w:rPr>
                <w:rFonts w:ascii="Times New Roman" w:hAnsi="Times New Roman"/>
                <w:sz w:val="24"/>
                <w:szCs w:val="24"/>
              </w:rPr>
              <w:t xml:space="preserve"> cu produse farmaceutice esențiale. </w:t>
            </w:r>
          </w:p>
        </w:tc>
      </w:tr>
      <w:tr w:rsidR="006D3EB7" w:rsidRPr="00EB4ECA" w14:paraId="2C8775C8" w14:textId="77777777" w:rsidTr="0069071B">
        <w:tc>
          <w:tcPr>
            <w:tcW w:w="935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39A2B99" w14:textId="77777777" w:rsidR="00D927DB" w:rsidRPr="00EB4ECA" w:rsidRDefault="006933C3" w:rsidP="00452C6C">
            <w:pPr>
              <w:rPr>
                <w:rFonts w:ascii="Times New Roman" w:hAnsi="Times New Roman"/>
                <w:b/>
                <w:bCs/>
                <w:sz w:val="24"/>
                <w:szCs w:val="24"/>
              </w:rPr>
            </w:pPr>
            <w:r w:rsidRPr="00EB4ECA">
              <w:rPr>
                <w:rFonts w:ascii="Times New Roman" w:hAnsi="Times New Roman"/>
                <w:b/>
                <w:bCs/>
                <w:sz w:val="24"/>
                <w:szCs w:val="24"/>
              </w:rPr>
              <w:t>3.</w:t>
            </w:r>
            <w:r w:rsidR="00032B46" w:rsidRPr="00EB4ECA">
              <w:rPr>
                <w:rFonts w:ascii="Times New Roman" w:hAnsi="Times New Roman"/>
                <w:b/>
                <w:bCs/>
                <w:sz w:val="24"/>
                <w:szCs w:val="24"/>
              </w:rPr>
              <w:t xml:space="preserve"> </w:t>
            </w:r>
            <w:r w:rsidRPr="00EB4ECA">
              <w:rPr>
                <w:rFonts w:ascii="Times New Roman" w:hAnsi="Times New Roman"/>
                <w:b/>
                <w:bCs/>
                <w:sz w:val="24"/>
                <w:szCs w:val="24"/>
              </w:rPr>
              <w:t>Obiectivele</w:t>
            </w:r>
            <w:r w:rsidR="00032B46" w:rsidRPr="00EB4ECA">
              <w:rPr>
                <w:rFonts w:ascii="Times New Roman" w:hAnsi="Times New Roman"/>
                <w:b/>
                <w:bCs/>
                <w:sz w:val="24"/>
                <w:szCs w:val="24"/>
              </w:rPr>
              <w:t xml:space="preserve"> </w:t>
            </w:r>
            <w:r w:rsidRPr="00EB4ECA">
              <w:rPr>
                <w:rFonts w:ascii="Times New Roman" w:hAnsi="Times New Roman"/>
                <w:b/>
                <w:bCs/>
                <w:sz w:val="24"/>
                <w:szCs w:val="24"/>
              </w:rPr>
              <w:t>urmărite</w:t>
            </w:r>
            <w:r w:rsidR="00032B46" w:rsidRPr="00EB4ECA">
              <w:rPr>
                <w:rFonts w:ascii="Times New Roman" w:hAnsi="Times New Roman"/>
                <w:b/>
                <w:bCs/>
                <w:sz w:val="24"/>
                <w:szCs w:val="24"/>
              </w:rPr>
              <w:t xml:space="preserve"> </w:t>
            </w:r>
            <w:r w:rsidR="00863417" w:rsidRPr="00EB4ECA">
              <w:rPr>
                <w:rFonts w:ascii="Times New Roman" w:hAnsi="Times New Roman"/>
                <w:b/>
                <w:bCs/>
                <w:sz w:val="24"/>
                <w:szCs w:val="24"/>
              </w:rPr>
              <w:t>ș</w:t>
            </w:r>
            <w:r w:rsidRPr="00EB4ECA">
              <w:rPr>
                <w:rFonts w:ascii="Times New Roman" w:hAnsi="Times New Roman"/>
                <w:b/>
                <w:bCs/>
                <w:sz w:val="24"/>
                <w:szCs w:val="24"/>
              </w:rPr>
              <w:t>i</w:t>
            </w:r>
            <w:r w:rsidR="00032B46" w:rsidRPr="00EB4ECA">
              <w:rPr>
                <w:rFonts w:ascii="Times New Roman" w:hAnsi="Times New Roman"/>
                <w:b/>
                <w:bCs/>
                <w:sz w:val="24"/>
                <w:szCs w:val="24"/>
              </w:rPr>
              <w:t xml:space="preserve"> </w:t>
            </w:r>
            <w:r w:rsidRPr="00EB4ECA">
              <w:rPr>
                <w:rFonts w:ascii="Times New Roman" w:hAnsi="Times New Roman"/>
                <w:b/>
                <w:bCs/>
                <w:sz w:val="24"/>
                <w:szCs w:val="24"/>
              </w:rPr>
              <w:t>solu</w:t>
            </w:r>
            <w:r w:rsidR="00863417" w:rsidRPr="00EB4ECA">
              <w:rPr>
                <w:rFonts w:ascii="Times New Roman" w:hAnsi="Times New Roman"/>
                <w:b/>
                <w:bCs/>
                <w:sz w:val="24"/>
                <w:szCs w:val="24"/>
              </w:rPr>
              <w:t>ț</w:t>
            </w:r>
            <w:r w:rsidRPr="00EB4ECA">
              <w:rPr>
                <w:rFonts w:ascii="Times New Roman" w:hAnsi="Times New Roman"/>
                <w:b/>
                <w:bCs/>
                <w:sz w:val="24"/>
                <w:szCs w:val="24"/>
              </w:rPr>
              <w:t>iile</w:t>
            </w:r>
            <w:r w:rsidR="00032B46" w:rsidRPr="00EB4ECA">
              <w:rPr>
                <w:rFonts w:ascii="Times New Roman" w:hAnsi="Times New Roman"/>
                <w:b/>
                <w:bCs/>
                <w:sz w:val="24"/>
                <w:szCs w:val="24"/>
              </w:rPr>
              <w:t xml:space="preserve"> </w:t>
            </w:r>
            <w:r w:rsidRPr="00EB4ECA">
              <w:rPr>
                <w:rFonts w:ascii="Times New Roman" w:hAnsi="Times New Roman"/>
                <w:b/>
                <w:bCs/>
                <w:sz w:val="24"/>
                <w:szCs w:val="24"/>
              </w:rPr>
              <w:t>propuse</w:t>
            </w:r>
          </w:p>
        </w:tc>
      </w:tr>
      <w:tr w:rsidR="006D3EB7" w:rsidRPr="00EB4ECA" w14:paraId="17B87F42" w14:textId="77777777" w:rsidTr="0069071B">
        <w:tc>
          <w:tcPr>
            <w:tcW w:w="9356"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63BE5464" w14:textId="77777777" w:rsidR="00D927DB" w:rsidRPr="00EB4ECA" w:rsidRDefault="00D927DB" w:rsidP="00452C6C">
            <w:pPr>
              <w:rPr>
                <w:rFonts w:ascii="Times New Roman" w:hAnsi="Times New Roman"/>
                <w:sz w:val="24"/>
                <w:szCs w:val="24"/>
              </w:rPr>
            </w:pPr>
            <w:r w:rsidRPr="00EB4ECA">
              <w:rPr>
                <w:rFonts w:ascii="Times New Roman" w:hAnsi="Times New Roman"/>
                <w:sz w:val="24"/>
                <w:szCs w:val="24"/>
              </w:rPr>
              <w:t>3.1.</w:t>
            </w:r>
            <w:r w:rsidR="00032B46" w:rsidRPr="00EB4ECA">
              <w:rPr>
                <w:rFonts w:ascii="Times New Roman" w:hAnsi="Times New Roman"/>
                <w:sz w:val="24"/>
                <w:szCs w:val="24"/>
              </w:rPr>
              <w:t xml:space="preserve"> </w:t>
            </w:r>
            <w:r w:rsidRPr="00EB4ECA">
              <w:rPr>
                <w:rFonts w:ascii="Times New Roman" w:hAnsi="Times New Roman"/>
                <w:sz w:val="24"/>
                <w:szCs w:val="24"/>
              </w:rPr>
              <w:t>Principalele</w:t>
            </w:r>
            <w:r w:rsidR="00032B46" w:rsidRPr="00EB4ECA">
              <w:rPr>
                <w:rFonts w:ascii="Times New Roman" w:hAnsi="Times New Roman"/>
                <w:sz w:val="24"/>
                <w:szCs w:val="24"/>
              </w:rPr>
              <w:t xml:space="preserve"> </w:t>
            </w:r>
            <w:r w:rsidRPr="00EB4ECA">
              <w:rPr>
                <w:rFonts w:ascii="Times New Roman" w:hAnsi="Times New Roman"/>
                <w:sz w:val="24"/>
                <w:szCs w:val="24"/>
              </w:rPr>
              <w:t>prevederi</w:t>
            </w:r>
            <w:r w:rsidR="00032B46" w:rsidRPr="00EB4ECA">
              <w:rPr>
                <w:rFonts w:ascii="Times New Roman" w:hAnsi="Times New Roman"/>
                <w:sz w:val="24"/>
                <w:szCs w:val="24"/>
              </w:rPr>
              <w:t xml:space="preserve"> </w:t>
            </w:r>
            <w:r w:rsidRPr="00EB4ECA">
              <w:rPr>
                <w:rFonts w:ascii="Times New Roman" w:hAnsi="Times New Roman"/>
                <w:sz w:val="24"/>
                <w:szCs w:val="24"/>
              </w:rPr>
              <w:t>ale</w:t>
            </w:r>
            <w:r w:rsidR="00032B46" w:rsidRPr="00EB4ECA">
              <w:rPr>
                <w:rFonts w:ascii="Times New Roman" w:hAnsi="Times New Roman"/>
                <w:sz w:val="24"/>
                <w:szCs w:val="24"/>
              </w:rPr>
              <w:t xml:space="preserve"> </w:t>
            </w:r>
            <w:r w:rsidRPr="00EB4ECA">
              <w:rPr>
                <w:rFonts w:ascii="Times New Roman" w:hAnsi="Times New Roman"/>
                <w:sz w:val="24"/>
                <w:szCs w:val="24"/>
              </w:rPr>
              <w:t>proiectului</w:t>
            </w:r>
            <w:r w:rsidR="00032B46" w:rsidRPr="00EB4ECA">
              <w:rPr>
                <w:rFonts w:ascii="Times New Roman" w:hAnsi="Times New Roman"/>
                <w:sz w:val="24"/>
                <w:szCs w:val="24"/>
              </w:rPr>
              <w:t xml:space="preserve"> </w:t>
            </w:r>
            <w:r w:rsidR="00863417" w:rsidRPr="00EB4ECA">
              <w:rPr>
                <w:rFonts w:ascii="Times New Roman" w:hAnsi="Times New Roman"/>
                <w:sz w:val="24"/>
                <w:szCs w:val="24"/>
              </w:rPr>
              <w:t>ș</w:t>
            </w:r>
            <w:r w:rsidRPr="00EB4ECA">
              <w:rPr>
                <w:rFonts w:ascii="Times New Roman" w:hAnsi="Times New Roman"/>
                <w:sz w:val="24"/>
                <w:szCs w:val="24"/>
              </w:rPr>
              <w:t>i</w:t>
            </w:r>
            <w:r w:rsidR="00032B46" w:rsidRPr="00EB4ECA">
              <w:rPr>
                <w:rFonts w:ascii="Times New Roman" w:hAnsi="Times New Roman"/>
                <w:sz w:val="24"/>
                <w:szCs w:val="24"/>
              </w:rPr>
              <w:t xml:space="preserve"> </w:t>
            </w:r>
            <w:r w:rsidRPr="00EB4ECA">
              <w:rPr>
                <w:rFonts w:ascii="Times New Roman" w:hAnsi="Times New Roman"/>
                <w:sz w:val="24"/>
                <w:szCs w:val="24"/>
              </w:rPr>
              <w:t>eviden</w:t>
            </w:r>
            <w:r w:rsidR="00863417" w:rsidRPr="00EB4ECA">
              <w:rPr>
                <w:rFonts w:ascii="Times New Roman" w:hAnsi="Times New Roman"/>
                <w:sz w:val="24"/>
                <w:szCs w:val="24"/>
              </w:rPr>
              <w:t>ț</w:t>
            </w:r>
            <w:r w:rsidRPr="00EB4ECA">
              <w:rPr>
                <w:rFonts w:ascii="Times New Roman" w:hAnsi="Times New Roman"/>
                <w:sz w:val="24"/>
                <w:szCs w:val="24"/>
              </w:rPr>
              <w:t>ierea</w:t>
            </w:r>
            <w:r w:rsidR="00032B46" w:rsidRPr="00EB4ECA">
              <w:rPr>
                <w:rFonts w:ascii="Times New Roman" w:hAnsi="Times New Roman"/>
                <w:sz w:val="24"/>
                <w:szCs w:val="24"/>
              </w:rPr>
              <w:t xml:space="preserve"> </w:t>
            </w:r>
            <w:r w:rsidRPr="00EB4ECA">
              <w:rPr>
                <w:rFonts w:ascii="Times New Roman" w:hAnsi="Times New Roman"/>
                <w:sz w:val="24"/>
                <w:szCs w:val="24"/>
              </w:rPr>
              <w:t>elementelor</w:t>
            </w:r>
            <w:r w:rsidR="00032B46" w:rsidRPr="00EB4ECA">
              <w:rPr>
                <w:rFonts w:ascii="Times New Roman" w:hAnsi="Times New Roman"/>
                <w:sz w:val="24"/>
                <w:szCs w:val="24"/>
              </w:rPr>
              <w:t xml:space="preserve"> </w:t>
            </w:r>
            <w:r w:rsidRPr="00EB4ECA">
              <w:rPr>
                <w:rFonts w:ascii="Times New Roman" w:hAnsi="Times New Roman"/>
                <w:sz w:val="24"/>
                <w:szCs w:val="24"/>
              </w:rPr>
              <w:t>noi</w:t>
            </w:r>
          </w:p>
        </w:tc>
      </w:tr>
      <w:tr w:rsidR="00627AB7" w:rsidRPr="00EB4ECA" w14:paraId="6760D783" w14:textId="77777777" w:rsidTr="0069071B">
        <w:tc>
          <w:tcPr>
            <w:tcW w:w="935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AB902AF" w14:textId="18852B2F" w:rsidR="00346EC3" w:rsidRPr="00346EC3" w:rsidRDefault="00346EC3" w:rsidP="00346EC3">
            <w:pPr>
              <w:rPr>
                <w:rFonts w:ascii="Times New Roman" w:hAnsi="Times New Roman"/>
                <w:sz w:val="24"/>
                <w:szCs w:val="24"/>
              </w:rPr>
            </w:pPr>
            <w:r w:rsidRPr="00346EC3">
              <w:rPr>
                <w:rFonts w:ascii="Times New Roman" w:hAnsi="Times New Roman"/>
                <w:sz w:val="24"/>
                <w:szCs w:val="24"/>
              </w:rPr>
              <w:t>Proiectul hotărârii Guvernului are ca bază stabilirea cuantumului anual de alcool etilic nedenaturat destinat producerii farmaceutice și utilizării în medicină, precum și are ca scop monitorizarea strictă a utilizării alcoolului etilic nedenaturat în Republica Moldova pentru a preveni utilizări improprii sau abuzive.</w:t>
            </w:r>
          </w:p>
          <w:p w14:paraId="6D698ABC" w14:textId="77777777" w:rsidR="00346EC3" w:rsidRDefault="00346EC3" w:rsidP="00346EC3">
            <w:pPr>
              <w:rPr>
                <w:rFonts w:ascii="Times New Roman" w:hAnsi="Times New Roman"/>
                <w:sz w:val="24"/>
                <w:szCs w:val="24"/>
              </w:rPr>
            </w:pPr>
            <w:r w:rsidRPr="00007011">
              <w:rPr>
                <w:rFonts w:ascii="Times New Roman" w:hAnsi="Times New Roman"/>
                <w:sz w:val="24"/>
                <w:szCs w:val="24"/>
              </w:rPr>
              <w:t xml:space="preserve">Proiectul include anexa, care cuprinde </w:t>
            </w:r>
            <w:r>
              <w:rPr>
                <w:rFonts w:ascii="Times New Roman" w:hAnsi="Times New Roman"/>
                <w:sz w:val="24"/>
                <w:szCs w:val="24"/>
              </w:rPr>
              <w:t>lista</w:t>
            </w:r>
            <w:r w:rsidRPr="00007011">
              <w:rPr>
                <w:rFonts w:ascii="Times New Roman" w:hAnsi="Times New Roman"/>
                <w:sz w:val="24"/>
                <w:szCs w:val="24"/>
              </w:rPr>
              <w:t xml:space="preserve"> utilizatori</w:t>
            </w:r>
            <w:r>
              <w:rPr>
                <w:rFonts w:ascii="Times New Roman" w:hAnsi="Times New Roman"/>
                <w:sz w:val="24"/>
                <w:szCs w:val="24"/>
              </w:rPr>
              <w:t>lor</w:t>
            </w:r>
            <w:r w:rsidRPr="00007011">
              <w:rPr>
                <w:rFonts w:ascii="Times New Roman" w:hAnsi="Times New Roman"/>
                <w:sz w:val="24"/>
                <w:szCs w:val="24"/>
              </w:rPr>
              <w:t xml:space="preserve"> de alcool etilic nedenaturat</w:t>
            </w:r>
            <w:r>
              <w:rPr>
                <w:rFonts w:ascii="Times New Roman" w:hAnsi="Times New Roman"/>
                <w:sz w:val="24"/>
                <w:szCs w:val="24"/>
              </w:rPr>
              <w:t xml:space="preserve"> și </w:t>
            </w:r>
            <w:r w:rsidRPr="00122FFF">
              <w:rPr>
                <w:rFonts w:ascii="Times New Roman" w:hAnsi="Times New Roman"/>
                <w:sz w:val="24"/>
                <w:szCs w:val="24"/>
              </w:rPr>
              <w:t>cuantumul</w:t>
            </w:r>
            <w:r>
              <w:rPr>
                <w:rFonts w:ascii="Times New Roman" w:hAnsi="Times New Roman"/>
                <w:sz w:val="24"/>
                <w:szCs w:val="24"/>
              </w:rPr>
              <w:t xml:space="preserve"> produsului per fiecare operator.</w:t>
            </w:r>
          </w:p>
          <w:p w14:paraId="3F31A0A0" w14:textId="77777777" w:rsidR="001555A6" w:rsidRDefault="00346EC3" w:rsidP="00FA76A3">
            <w:pPr>
              <w:rPr>
                <w:rFonts w:ascii="Times New Roman" w:hAnsi="Times New Roman"/>
                <w:sz w:val="24"/>
                <w:szCs w:val="24"/>
              </w:rPr>
            </w:pPr>
            <w:r w:rsidRPr="00346EC3">
              <w:rPr>
                <w:rFonts w:ascii="Times New Roman" w:hAnsi="Times New Roman"/>
                <w:sz w:val="24"/>
                <w:szCs w:val="24"/>
              </w:rPr>
              <w:t>Elaborarea proiectului a fost realizată în temeiul solicitărilor din partea utilizatorilor, care au argumentat cantitățile necesare prin prezentarea planurilor de fabricație</w:t>
            </w:r>
            <w:r w:rsidR="001555A6">
              <w:rPr>
                <w:rFonts w:ascii="Times New Roman" w:hAnsi="Times New Roman"/>
                <w:sz w:val="24"/>
                <w:szCs w:val="24"/>
              </w:rPr>
              <w:t>.</w:t>
            </w:r>
          </w:p>
          <w:p w14:paraId="5FEC0103" w14:textId="264C7B68" w:rsidR="00827281" w:rsidRPr="00007011" w:rsidRDefault="00827281" w:rsidP="00827281">
            <w:pPr>
              <w:rPr>
                <w:rFonts w:ascii="Times New Roman" w:hAnsi="Times New Roman"/>
                <w:sz w:val="24"/>
                <w:szCs w:val="24"/>
              </w:rPr>
            </w:pPr>
            <w:r w:rsidRPr="00007011">
              <w:rPr>
                <w:rFonts w:ascii="Times New Roman" w:hAnsi="Times New Roman"/>
                <w:sz w:val="24"/>
                <w:szCs w:val="24"/>
              </w:rPr>
              <w:t>De menționat, că necesarul de alcool etilic prevăzut pentru întreprinderile farmaceutice de producție autohtonă include consumul de alcool ce revine la o unitate de produs fabricat, calculat conform normelor de consum ale materiei prime (</w:t>
            </w:r>
            <w:proofErr w:type="spellStart"/>
            <w:r w:rsidRPr="00007011">
              <w:rPr>
                <w:rFonts w:ascii="Times New Roman" w:hAnsi="Times New Roman"/>
                <w:i/>
                <w:iCs/>
                <w:sz w:val="24"/>
                <w:szCs w:val="24"/>
              </w:rPr>
              <w:t>Kcons</w:t>
            </w:r>
            <w:proofErr w:type="spellEnd"/>
            <w:r w:rsidRPr="00007011">
              <w:rPr>
                <w:rFonts w:ascii="Times New Roman" w:hAnsi="Times New Roman"/>
                <w:i/>
                <w:iCs/>
                <w:sz w:val="24"/>
                <w:szCs w:val="24"/>
              </w:rPr>
              <w:t xml:space="preserve">.- coeficient de consum al </w:t>
            </w:r>
            <w:r w:rsidRPr="00007011">
              <w:rPr>
                <w:rFonts w:ascii="Times New Roman" w:hAnsi="Times New Roman"/>
                <w:i/>
                <w:iCs/>
                <w:sz w:val="24"/>
                <w:szCs w:val="24"/>
              </w:rPr>
              <w:lastRenderedPageBreak/>
              <w:t>materiei prime</w:t>
            </w:r>
            <w:r w:rsidRPr="00007011">
              <w:rPr>
                <w:rFonts w:ascii="Times New Roman" w:hAnsi="Times New Roman"/>
                <w:sz w:val="24"/>
                <w:szCs w:val="24"/>
              </w:rPr>
              <w:t>) stipulate de Regulamentele tehnologice de producere</w:t>
            </w:r>
            <w:r>
              <w:rPr>
                <w:rFonts w:ascii="Times New Roman" w:hAnsi="Times New Roman"/>
                <w:sz w:val="24"/>
                <w:szCs w:val="24"/>
              </w:rPr>
              <w:t>,</w:t>
            </w:r>
            <w:r w:rsidRPr="00007011">
              <w:rPr>
                <w:rFonts w:ascii="Times New Roman" w:hAnsi="Times New Roman"/>
                <w:sz w:val="24"/>
                <w:szCs w:val="24"/>
              </w:rPr>
              <w:t xml:space="preserve"> și cantitatea planificată de producere a medicamentelor</w:t>
            </w:r>
            <w:r w:rsidR="000E64F8">
              <w:rPr>
                <w:rFonts w:ascii="Times New Roman" w:hAnsi="Times New Roman"/>
                <w:sz w:val="24"/>
                <w:szCs w:val="24"/>
              </w:rPr>
              <w:t xml:space="preserve"> pentru anul de gestiune</w:t>
            </w:r>
            <w:r w:rsidRPr="00007011">
              <w:rPr>
                <w:rFonts w:ascii="Times New Roman" w:hAnsi="Times New Roman"/>
                <w:sz w:val="24"/>
                <w:szCs w:val="24"/>
              </w:rPr>
              <w:t>.</w:t>
            </w:r>
          </w:p>
          <w:p w14:paraId="23C7C269" w14:textId="77777777" w:rsidR="00737B80" w:rsidRPr="00737B80" w:rsidRDefault="00737B80" w:rsidP="00737B80">
            <w:pPr>
              <w:rPr>
                <w:rFonts w:ascii="Times New Roman" w:hAnsi="Times New Roman"/>
                <w:sz w:val="24"/>
                <w:szCs w:val="24"/>
              </w:rPr>
            </w:pPr>
            <w:r w:rsidRPr="00737B80">
              <w:rPr>
                <w:rFonts w:ascii="Times New Roman" w:hAnsi="Times New Roman"/>
                <w:sz w:val="24"/>
                <w:szCs w:val="24"/>
              </w:rPr>
              <w:t>Luând în considerare cele prezentate în adresa Ministerului Sănătății, se constată micșorări nesemnificative ale cuantumului de alcool etilic nedenaturat propus pentru anul 2026, comparativ cu anul 2025, care vizează următorii utilizatori:</w:t>
            </w:r>
          </w:p>
          <w:p w14:paraId="4179FEE6" w14:textId="77777777" w:rsidR="00737B80" w:rsidRPr="00737B80" w:rsidRDefault="00737B80" w:rsidP="00737B80">
            <w:pPr>
              <w:rPr>
                <w:rFonts w:ascii="Times New Roman" w:hAnsi="Times New Roman"/>
                <w:sz w:val="24"/>
                <w:szCs w:val="24"/>
              </w:rPr>
            </w:pPr>
            <w:r w:rsidRPr="00737B80">
              <w:rPr>
                <w:rFonts w:ascii="Times New Roman" w:hAnsi="Times New Roman"/>
                <w:sz w:val="24"/>
                <w:szCs w:val="24"/>
              </w:rPr>
              <w:t>„</w:t>
            </w:r>
            <w:proofErr w:type="spellStart"/>
            <w:r w:rsidRPr="00737B80">
              <w:rPr>
                <w:rFonts w:ascii="Times New Roman" w:hAnsi="Times New Roman"/>
                <w:sz w:val="24"/>
                <w:szCs w:val="24"/>
              </w:rPr>
              <w:t>ElaDum</w:t>
            </w:r>
            <w:proofErr w:type="spellEnd"/>
            <w:r w:rsidRPr="00737B80">
              <w:rPr>
                <w:rFonts w:ascii="Times New Roman" w:hAnsi="Times New Roman"/>
                <w:sz w:val="24"/>
                <w:szCs w:val="24"/>
              </w:rPr>
              <w:t xml:space="preserve"> Pharma” SRL – cu 12,53 %;</w:t>
            </w:r>
          </w:p>
          <w:p w14:paraId="0034A5B6" w14:textId="77777777" w:rsidR="00737B80" w:rsidRPr="00737B80" w:rsidRDefault="00737B80" w:rsidP="00737B80">
            <w:pPr>
              <w:rPr>
                <w:rFonts w:ascii="Times New Roman" w:hAnsi="Times New Roman"/>
                <w:sz w:val="24"/>
                <w:szCs w:val="24"/>
              </w:rPr>
            </w:pPr>
            <w:r w:rsidRPr="00737B80">
              <w:rPr>
                <w:rFonts w:ascii="Times New Roman" w:hAnsi="Times New Roman"/>
                <w:sz w:val="24"/>
                <w:szCs w:val="24"/>
              </w:rPr>
              <w:t>„</w:t>
            </w:r>
            <w:proofErr w:type="spellStart"/>
            <w:r w:rsidRPr="00737B80">
              <w:rPr>
                <w:rFonts w:ascii="Times New Roman" w:hAnsi="Times New Roman"/>
                <w:sz w:val="24"/>
                <w:szCs w:val="24"/>
              </w:rPr>
              <w:t>Eurofarmaco</w:t>
            </w:r>
            <w:proofErr w:type="spellEnd"/>
            <w:r w:rsidRPr="00737B80">
              <w:rPr>
                <w:rFonts w:ascii="Times New Roman" w:hAnsi="Times New Roman"/>
                <w:sz w:val="24"/>
                <w:szCs w:val="24"/>
              </w:rPr>
              <w:t>” SRL – cu 0,06 %.</w:t>
            </w:r>
          </w:p>
          <w:p w14:paraId="7EC5D6A9" w14:textId="77777777" w:rsidR="00737B80" w:rsidRPr="00737B80" w:rsidRDefault="00737B80" w:rsidP="00737B80">
            <w:pPr>
              <w:rPr>
                <w:rFonts w:ascii="Times New Roman" w:hAnsi="Times New Roman"/>
                <w:sz w:val="24"/>
                <w:szCs w:val="24"/>
              </w:rPr>
            </w:pPr>
            <w:r w:rsidRPr="00737B80">
              <w:rPr>
                <w:rFonts w:ascii="Times New Roman" w:hAnsi="Times New Roman"/>
                <w:sz w:val="24"/>
                <w:szCs w:val="24"/>
              </w:rPr>
              <w:t>Pentru următorii operatori economici, cantitatea de alcool etilic nedenaturat rămâne neschimbată în anul 2026, comparativ cu anul 2025:</w:t>
            </w:r>
          </w:p>
          <w:p w14:paraId="06C8FD4C" w14:textId="77777777" w:rsidR="00737B80" w:rsidRPr="00737B80" w:rsidRDefault="00737B80" w:rsidP="00737B80">
            <w:pPr>
              <w:rPr>
                <w:rFonts w:ascii="Times New Roman" w:hAnsi="Times New Roman"/>
                <w:sz w:val="24"/>
                <w:szCs w:val="24"/>
              </w:rPr>
            </w:pPr>
            <w:r w:rsidRPr="00737B80">
              <w:rPr>
                <w:rFonts w:ascii="Times New Roman" w:hAnsi="Times New Roman"/>
                <w:sz w:val="24"/>
                <w:szCs w:val="24"/>
              </w:rPr>
              <w:t>„</w:t>
            </w:r>
            <w:proofErr w:type="spellStart"/>
            <w:r w:rsidRPr="00737B80">
              <w:rPr>
                <w:rFonts w:ascii="Times New Roman" w:hAnsi="Times New Roman"/>
                <w:sz w:val="24"/>
                <w:szCs w:val="24"/>
              </w:rPr>
              <w:t>Balkan</w:t>
            </w:r>
            <w:proofErr w:type="spellEnd"/>
            <w:r w:rsidRPr="00737B80">
              <w:rPr>
                <w:rFonts w:ascii="Times New Roman" w:hAnsi="Times New Roman"/>
                <w:sz w:val="24"/>
                <w:szCs w:val="24"/>
              </w:rPr>
              <w:t xml:space="preserve"> </w:t>
            </w:r>
            <w:proofErr w:type="spellStart"/>
            <w:r w:rsidRPr="00737B80">
              <w:rPr>
                <w:rFonts w:ascii="Times New Roman" w:hAnsi="Times New Roman"/>
                <w:sz w:val="24"/>
                <w:szCs w:val="24"/>
              </w:rPr>
              <w:t>Pharmaceuticals</w:t>
            </w:r>
            <w:proofErr w:type="spellEnd"/>
            <w:r w:rsidRPr="00737B80">
              <w:rPr>
                <w:rFonts w:ascii="Times New Roman" w:hAnsi="Times New Roman"/>
                <w:sz w:val="24"/>
                <w:szCs w:val="24"/>
              </w:rPr>
              <w:t>” SRL – 15,0 dal;</w:t>
            </w:r>
          </w:p>
          <w:p w14:paraId="67A9FDAF" w14:textId="77777777" w:rsidR="00737B80" w:rsidRPr="00737B80" w:rsidRDefault="00737B80" w:rsidP="00737B80">
            <w:pPr>
              <w:rPr>
                <w:rFonts w:ascii="Times New Roman" w:hAnsi="Times New Roman"/>
                <w:sz w:val="24"/>
                <w:szCs w:val="24"/>
              </w:rPr>
            </w:pPr>
            <w:r w:rsidRPr="00737B80">
              <w:rPr>
                <w:rFonts w:ascii="Times New Roman" w:hAnsi="Times New Roman"/>
                <w:sz w:val="24"/>
                <w:szCs w:val="24"/>
              </w:rPr>
              <w:t>„</w:t>
            </w:r>
            <w:proofErr w:type="spellStart"/>
            <w:r w:rsidRPr="00737B80">
              <w:rPr>
                <w:rFonts w:ascii="Times New Roman" w:hAnsi="Times New Roman"/>
                <w:sz w:val="24"/>
                <w:szCs w:val="24"/>
              </w:rPr>
              <w:t>Farmaprim</w:t>
            </w:r>
            <w:proofErr w:type="spellEnd"/>
            <w:r w:rsidRPr="00737B80">
              <w:rPr>
                <w:rFonts w:ascii="Times New Roman" w:hAnsi="Times New Roman"/>
                <w:sz w:val="24"/>
                <w:szCs w:val="24"/>
              </w:rPr>
              <w:t>” SRL – 270,5514 dal;</w:t>
            </w:r>
          </w:p>
          <w:p w14:paraId="7F7621CD" w14:textId="77777777" w:rsidR="00737B80" w:rsidRPr="00737B80" w:rsidRDefault="00737B80" w:rsidP="00737B80">
            <w:pPr>
              <w:rPr>
                <w:rFonts w:ascii="Times New Roman" w:hAnsi="Times New Roman"/>
                <w:sz w:val="24"/>
                <w:szCs w:val="24"/>
              </w:rPr>
            </w:pPr>
            <w:r w:rsidRPr="00737B80">
              <w:rPr>
                <w:rFonts w:ascii="Times New Roman" w:hAnsi="Times New Roman"/>
                <w:sz w:val="24"/>
                <w:szCs w:val="24"/>
              </w:rPr>
              <w:t>„</w:t>
            </w:r>
            <w:proofErr w:type="spellStart"/>
            <w:r w:rsidRPr="00737B80">
              <w:rPr>
                <w:rFonts w:ascii="Times New Roman" w:hAnsi="Times New Roman"/>
                <w:sz w:val="24"/>
                <w:szCs w:val="24"/>
              </w:rPr>
              <w:t>Flumed</w:t>
            </w:r>
            <w:proofErr w:type="spellEnd"/>
            <w:r w:rsidRPr="00737B80">
              <w:rPr>
                <w:rFonts w:ascii="Times New Roman" w:hAnsi="Times New Roman"/>
                <w:sz w:val="24"/>
                <w:szCs w:val="24"/>
              </w:rPr>
              <w:t>-Farm” SRL – 2 350,03 dal.</w:t>
            </w:r>
          </w:p>
          <w:p w14:paraId="71FB9FA5" w14:textId="77777777" w:rsidR="00737B80" w:rsidRPr="00737B80" w:rsidRDefault="00737B80" w:rsidP="00737B80">
            <w:pPr>
              <w:rPr>
                <w:rFonts w:ascii="Times New Roman" w:hAnsi="Times New Roman"/>
                <w:sz w:val="24"/>
                <w:szCs w:val="24"/>
              </w:rPr>
            </w:pPr>
            <w:r w:rsidRPr="00737B80">
              <w:rPr>
                <w:rFonts w:ascii="Times New Roman" w:hAnsi="Times New Roman"/>
                <w:sz w:val="24"/>
                <w:szCs w:val="24"/>
              </w:rPr>
              <w:t>O creștere marginală se constată în cazul Centrului Național de Transfuzie a Sângelui, de la 876,7 dal în anul 2025 la 877,0 dal în anul 2026, respectiv cu +0,03 %.</w:t>
            </w:r>
          </w:p>
          <w:p w14:paraId="5D28659D" w14:textId="77777777" w:rsidR="00737B80" w:rsidRPr="00737B80" w:rsidRDefault="00737B80" w:rsidP="00737B80">
            <w:pPr>
              <w:rPr>
                <w:rFonts w:ascii="Times New Roman" w:hAnsi="Times New Roman"/>
                <w:sz w:val="24"/>
                <w:szCs w:val="24"/>
              </w:rPr>
            </w:pPr>
            <w:r w:rsidRPr="00737B80">
              <w:rPr>
                <w:rFonts w:ascii="Times New Roman" w:hAnsi="Times New Roman"/>
                <w:sz w:val="24"/>
                <w:szCs w:val="24"/>
              </w:rPr>
              <w:t>De asemenea, „</w:t>
            </w:r>
            <w:proofErr w:type="spellStart"/>
            <w:r w:rsidRPr="00737B80">
              <w:rPr>
                <w:rFonts w:ascii="Times New Roman" w:hAnsi="Times New Roman"/>
                <w:sz w:val="24"/>
                <w:szCs w:val="24"/>
              </w:rPr>
              <w:t>Medicamentum</w:t>
            </w:r>
            <w:proofErr w:type="spellEnd"/>
            <w:r w:rsidRPr="00737B80">
              <w:rPr>
                <w:rFonts w:ascii="Times New Roman" w:hAnsi="Times New Roman"/>
                <w:sz w:val="24"/>
                <w:szCs w:val="24"/>
              </w:rPr>
              <w:t>” SRL nu a solicitat includerea în listă pentru anul 2025, întrucât cantitatea alocată anterior (46,74 dal pentru anul 2024) nu a fost integral utilizată, ca urmare a reducerii volumului de producție. Ulterior, pentru anul 2026, operatorul a solicitat 31,71 dal, corespunzător reluării parțiale a activității de producere.</w:t>
            </w:r>
          </w:p>
          <w:p w14:paraId="71CF2ECB" w14:textId="77777777" w:rsidR="00737B80" w:rsidRPr="00737B80" w:rsidRDefault="00737B80" w:rsidP="00737B80">
            <w:pPr>
              <w:rPr>
                <w:rFonts w:ascii="Times New Roman" w:hAnsi="Times New Roman"/>
                <w:sz w:val="24"/>
                <w:szCs w:val="24"/>
              </w:rPr>
            </w:pPr>
            <w:r w:rsidRPr="00737B80">
              <w:rPr>
                <w:rFonts w:ascii="Times New Roman" w:hAnsi="Times New Roman"/>
                <w:sz w:val="24"/>
                <w:szCs w:val="24"/>
              </w:rPr>
              <w:t xml:space="preserve">Cea mai pronunțată creștere se înregistrează în cazul „MC </w:t>
            </w:r>
            <w:proofErr w:type="spellStart"/>
            <w:r w:rsidRPr="00737B80">
              <w:rPr>
                <w:rFonts w:ascii="Times New Roman" w:hAnsi="Times New Roman"/>
                <w:sz w:val="24"/>
                <w:szCs w:val="24"/>
              </w:rPr>
              <w:t>Pharmaceuticals</w:t>
            </w:r>
            <w:proofErr w:type="spellEnd"/>
            <w:r w:rsidRPr="00737B80">
              <w:rPr>
                <w:rFonts w:ascii="Times New Roman" w:hAnsi="Times New Roman"/>
                <w:sz w:val="24"/>
                <w:szCs w:val="24"/>
              </w:rPr>
              <w:t>” SRL, de la 9 593,02 dal în anul 2025 la 18 873,65 dal în anul 2026, respectiv +96,74 %. Această majorare este determinată de creșterea numărului de medicamente înregistrate, precum și de extinderea volumului de producție, în scopul satisfacerii cererii interne.</w:t>
            </w:r>
          </w:p>
          <w:p w14:paraId="34431E21" w14:textId="77777777" w:rsidR="00737B80" w:rsidRPr="00737B80" w:rsidRDefault="00737B80" w:rsidP="00737B80">
            <w:pPr>
              <w:rPr>
                <w:rFonts w:ascii="Times New Roman" w:hAnsi="Times New Roman"/>
                <w:sz w:val="24"/>
                <w:szCs w:val="24"/>
              </w:rPr>
            </w:pPr>
            <w:r w:rsidRPr="00737B80">
              <w:rPr>
                <w:rFonts w:ascii="Times New Roman" w:hAnsi="Times New Roman"/>
                <w:sz w:val="24"/>
                <w:szCs w:val="24"/>
              </w:rPr>
              <w:t>De menționat că alcoolul etilic destinat necesităților instituțiilor medicale este achiziționat centralizat, prin licitații organizate de Centrul pentru Achiziții Publice Centralizate în Sănătate.</w:t>
            </w:r>
          </w:p>
          <w:p w14:paraId="0DE79F8C" w14:textId="77777777" w:rsidR="00737B80" w:rsidRPr="00737B80" w:rsidRDefault="00737B80" w:rsidP="00737B80">
            <w:pPr>
              <w:rPr>
                <w:rFonts w:ascii="Times New Roman" w:hAnsi="Times New Roman"/>
                <w:sz w:val="24"/>
                <w:szCs w:val="24"/>
              </w:rPr>
            </w:pPr>
            <w:r w:rsidRPr="00737B80">
              <w:rPr>
                <w:rFonts w:ascii="Times New Roman" w:hAnsi="Times New Roman"/>
                <w:sz w:val="24"/>
                <w:szCs w:val="24"/>
              </w:rPr>
              <w:t>Astfel, în urma desfășurării licitației prenotate privind achiziționarea medicamentelor necesare instituțiilor medico-sanitare publice (IMSP) și instituțiilor bugetare care prestează servicii medicale și sociale pentru anul 2026, au fost desemnați câștigători distribuitorii „</w:t>
            </w:r>
            <w:proofErr w:type="spellStart"/>
            <w:r w:rsidRPr="00737B80">
              <w:rPr>
                <w:rFonts w:ascii="Times New Roman" w:hAnsi="Times New Roman"/>
                <w:sz w:val="24"/>
                <w:szCs w:val="24"/>
              </w:rPr>
              <w:t>Tetis</w:t>
            </w:r>
            <w:proofErr w:type="spellEnd"/>
            <w:r w:rsidRPr="00737B80">
              <w:rPr>
                <w:rFonts w:ascii="Times New Roman" w:hAnsi="Times New Roman"/>
                <w:sz w:val="24"/>
                <w:szCs w:val="24"/>
              </w:rPr>
              <w:t xml:space="preserve"> International Co” SRL și „</w:t>
            </w:r>
            <w:proofErr w:type="spellStart"/>
            <w:r w:rsidRPr="00737B80">
              <w:rPr>
                <w:rFonts w:ascii="Times New Roman" w:hAnsi="Times New Roman"/>
                <w:sz w:val="24"/>
                <w:szCs w:val="24"/>
              </w:rPr>
              <w:t>Dita</w:t>
            </w:r>
            <w:proofErr w:type="spellEnd"/>
            <w:r w:rsidRPr="00737B80">
              <w:rPr>
                <w:rFonts w:ascii="Times New Roman" w:hAnsi="Times New Roman"/>
                <w:sz w:val="24"/>
                <w:szCs w:val="24"/>
              </w:rPr>
              <w:t xml:space="preserve"> </w:t>
            </w:r>
            <w:proofErr w:type="spellStart"/>
            <w:r w:rsidRPr="00737B80">
              <w:rPr>
                <w:rFonts w:ascii="Times New Roman" w:hAnsi="Times New Roman"/>
                <w:sz w:val="24"/>
                <w:szCs w:val="24"/>
              </w:rPr>
              <w:t>EstFarm</w:t>
            </w:r>
            <w:proofErr w:type="spellEnd"/>
            <w:r w:rsidRPr="00737B80">
              <w:rPr>
                <w:rFonts w:ascii="Times New Roman" w:hAnsi="Times New Roman"/>
                <w:sz w:val="24"/>
                <w:szCs w:val="24"/>
              </w:rPr>
              <w:t xml:space="preserve">” SRL, la compartimentul Spiritus </w:t>
            </w:r>
            <w:proofErr w:type="spellStart"/>
            <w:r w:rsidRPr="00737B80">
              <w:rPr>
                <w:rFonts w:ascii="Times New Roman" w:hAnsi="Times New Roman"/>
                <w:sz w:val="24"/>
                <w:szCs w:val="24"/>
              </w:rPr>
              <w:t>aethylicus</w:t>
            </w:r>
            <w:proofErr w:type="spellEnd"/>
            <w:r w:rsidRPr="00737B80">
              <w:rPr>
                <w:rFonts w:ascii="Times New Roman" w:hAnsi="Times New Roman"/>
                <w:sz w:val="24"/>
                <w:szCs w:val="24"/>
              </w:rPr>
              <w:t xml:space="preserve"> (alcool etilic) 70 % și 96 %, în volume de 100 ml și 1 000 ml.</w:t>
            </w:r>
          </w:p>
          <w:p w14:paraId="09E0833F" w14:textId="77777777" w:rsidR="00737B80" w:rsidRPr="00737B80" w:rsidRDefault="00737B80" w:rsidP="00737B80">
            <w:pPr>
              <w:rPr>
                <w:rFonts w:ascii="Times New Roman" w:hAnsi="Times New Roman"/>
                <w:sz w:val="24"/>
                <w:szCs w:val="24"/>
              </w:rPr>
            </w:pPr>
            <w:r w:rsidRPr="00737B80">
              <w:rPr>
                <w:rFonts w:ascii="Times New Roman" w:hAnsi="Times New Roman"/>
                <w:sz w:val="24"/>
                <w:szCs w:val="24"/>
              </w:rPr>
              <w:t>În acest context, fabricanții „</w:t>
            </w:r>
            <w:proofErr w:type="spellStart"/>
            <w:r w:rsidRPr="00737B80">
              <w:rPr>
                <w:rFonts w:ascii="Times New Roman" w:hAnsi="Times New Roman"/>
                <w:sz w:val="24"/>
                <w:szCs w:val="24"/>
              </w:rPr>
              <w:t>ElaDum</w:t>
            </w:r>
            <w:proofErr w:type="spellEnd"/>
            <w:r w:rsidRPr="00737B80">
              <w:rPr>
                <w:rFonts w:ascii="Times New Roman" w:hAnsi="Times New Roman"/>
                <w:sz w:val="24"/>
                <w:szCs w:val="24"/>
              </w:rPr>
              <w:t xml:space="preserve"> Pharma” SRL, cu 3 534,1 dal, și „</w:t>
            </w:r>
            <w:proofErr w:type="spellStart"/>
            <w:r w:rsidRPr="00737B80">
              <w:rPr>
                <w:rFonts w:ascii="Times New Roman" w:hAnsi="Times New Roman"/>
                <w:sz w:val="24"/>
                <w:szCs w:val="24"/>
              </w:rPr>
              <w:t>Eurofarmaco</w:t>
            </w:r>
            <w:proofErr w:type="spellEnd"/>
            <w:r w:rsidRPr="00737B80">
              <w:rPr>
                <w:rFonts w:ascii="Times New Roman" w:hAnsi="Times New Roman"/>
                <w:sz w:val="24"/>
                <w:szCs w:val="24"/>
              </w:rPr>
              <w:t>” SA, cu 4 381,614 dal, acoperă necesitățile de alcool etilic destinat utilizării în medicină pentru anul 2026, prin intermediul distribuitorilor menționați.</w:t>
            </w:r>
          </w:p>
          <w:p w14:paraId="0517C302" w14:textId="51C12A39" w:rsidR="00737B80" w:rsidRPr="00737B80" w:rsidRDefault="00737B80" w:rsidP="00737B80">
            <w:pPr>
              <w:rPr>
                <w:rFonts w:ascii="Times New Roman" w:hAnsi="Times New Roman"/>
                <w:sz w:val="24"/>
                <w:szCs w:val="24"/>
              </w:rPr>
            </w:pPr>
            <w:r w:rsidRPr="00737B80">
              <w:rPr>
                <w:rFonts w:ascii="Times New Roman" w:hAnsi="Times New Roman"/>
                <w:sz w:val="24"/>
                <w:szCs w:val="24"/>
              </w:rPr>
              <w:t xml:space="preserve">De precizat că, pentru anul 2026, instituțiile medico-sanitare au prezentat un necesar de 7 915,714 dal alcool etilic nedenaturat, comparativ cu 8 507,20 dal în anul 2025, ceea ce reprezintă o scădere de aproximativ </w:t>
            </w:r>
            <w:r w:rsidR="00D23545">
              <w:rPr>
                <w:rFonts w:ascii="Times New Roman" w:hAnsi="Times New Roman"/>
                <w:sz w:val="24"/>
                <w:szCs w:val="24"/>
              </w:rPr>
              <w:t>7</w:t>
            </w:r>
            <w:r w:rsidRPr="00737B80">
              <w:rPr>
                <w:rFonts w:ascii="Times New Roman" w:hAnsi="Times New Roman"/>
                <w:sz w:val="24"/>
                <w:szCs w:val="24"/>
              </w:rPr>
              <w:t xml:space="preserve"> %.</w:t>
            </w:r>
          </w:p>
          <w:p w14:paraId="7BA0E343" w14:textId="411F2BF3" w:rsidR="00737B80" w:rsidRPr="00737B80" w:rsidRDefault="00737B80" w:rsidP="00737B80">
            <w:pPr>
              <w:rPr>
                <w:rFonts w:ascii="Times New Roman" w:hAnsi="Times New Roman"/>
                <w:sz w:val="24"/>
                <w:szCs w:val="24"/>
              </w:rPr>
            </w:pPr>
            <w:r w:rsidRPr="00737B80">
              <w:rPr>
                <w:rFonts w:ascii="Times New Roman" w:hAnsi="Times New Roman"/>
                <w:sz w:val="24"/>
                <w:szCs w:val="24"/>
              </w:rPr>
              <w:t>În ansamblu, modificările individuale conduc la o creștere totală a cuantumului de alcool etilic nedenaturat de la 46 890,44 dal în anul 2025 la 52 859,537 dal în anul 2026, ceea ce reprezintă o majorare de circa 12,</w:t>
            </w:r>
            <w:r w:rsidR="00D23545">
              <w:rPr>
                <w:rFonts w:ascii="Times New Roman" w:hAnsi="Times New Roman"/>
                <w:sz w:val="24"/>
                <w:szCs w:val="24"/>
              </w:rPr>
              <w:t>73</w:t>
            </w:r>
            <w:r w:rsidRPr="00737B80">
              <w:rPr>
                <w:rFonts w:ascii="Times New Roman" w:hAnsi="Times New Roman"/>
                <w:sz w:val="24"/>
                <w:szCs w:val="24"/>
              </w:rPr>
              <w:t xml:space="preserve"> %.</w:t>
            </w:r>
          </w:p>
          <w:p w14:paraId="3712D7D4" w14:textId="63E5EBA8" w:rsidR="00CF5AAA" w:rsidRDefault="00CF5AAA" w:rsidP="00CF5AAA">
            <w:pPr>
              <w:rPr>
                <w:rFonts w:ascii="Times New Roman" w:hAnsi="Times New Roman"/>
                <w:sz w:val="24"/>
                <w:szCs w:val="24"/>
              </w:rPr>
            </w:pPr>
            <w:r>
              <w:rPr>
                <w:rFonts w:ascii="Times New Roman" w:hAnsi="Times New Roman"/>
                <w:sz w:val="24"/>
                <w:szCs w:val="24"/>
              </w:rPr>
              <w:t>Tabel comparativ se anexează la prezenta Nota de fundamentare</w:t>
            </w:r>
            <w:r w:rsidR="00D23545">
              <w:rPr>
                <w:rFonts w:ascii="Times New Roman" w:hAnsi="Times New Roman"/>
                <w:sz w:val="24"/>
                <w:szCs w:val="24"/>
              </w:rPr>
              <w:t>.</w:t>
            </w:r>
          </w:p>
          <w:p w14:paraId="1BF6D547" w14:textId="20607A60" w:rsidR="00627AB7" w:rsidRPr="00D7046F" w:rsidRDefault="00827281" w:rsidP="00D7046F">
            <w:pPr>
              <w:ind w:firstLine="738"/>
              <w:rPr>
                <w:rFonts w:ascii="Times New Roman" w:hAnsi="Times New Roman"/>
                <w:sz w:val="24"/>
                <w:szCs w:val="24"/>
                <w:lang w:val="ro-RO"/>
              </w:rPr>
            </w:pPr>
            <w:r>
              <w:rPr>
                <w:rFonts w:ascii="Times New Roman" w:hAnsi="Times New Roman"/>
                <w:sz w:val="24"/>
                <w:szCs w:val="24"/>
              </w:rPr>
              <w:t xml:space="preserve">Totodată, </w:t>
            </w:r>
            <w:r w:rsidR="00D7046F">
              <w:rPr>
                <w:rFonts w:ascii="Times New Roman" w:hAnsi="Times New Roman"/>
                <w:sz w:val="24"/>
                <w:szCs w:val="24"/>
              </w:rPr>
              <w:t>autorii</w:t>
            </w:r>
            <w:r>
              <w:rPr>
                <w:rFonts w:ascii="Times New Roman" w:hAnsi="Times New Roman"/>
                <w:sz w:val="24"/>
                <w:szCs w:val="24"/>
              </w:rPr>
              <w:t xml:space="preserve"> propun aplicarea prevederilor p</w:t>
            </w:r>
            <w:r w:rsidRPr="00007011">
              <w:rPr>
                <w:rFonts w:ascii="Times New Roman" w:hAnsi="Times New Roman"/>
                <w:sz w:val="24"/>
                <w:szCs w:val="24"/>
              </w:rPr>
              <w:t>roiectul</w:t>
            </w:r>
            <w:r>
              <w:rPr>
                <w:rFonts w:ascii="Times New Roman" w:hAnsi="Times New Roman"/>
                <w:sz w:val="24"/>
                <w:szCs w:val="24"/>
              </w:rPr>
              <w:t>ui</w:t>
            </w:r>
            <w:r w:rsidRPr="00007011">
              <w:rPr>
                <w:rFonts w:ascii="Times New Roman" w:hAnsi="Times New Roman"/>
                <w:sz w:val="24"/>
                <w:szCs w:val="24"/>
              </w:rPr>
              <w:t xml:space="preserve"> hotărârii Guvernului</w:t>
            </w:r>
            <w:r>
              <w:rPr>
                <w:rFonts w:ascii="Times New Roman" w:hAnsi="Times New Roman"/>
                <w:sz w:val="24"/>
                <w:szCs w:val="24"/>
              </w:rPr>
              <w:t xml:space="preserve"> imediat din data publicării în Monitorul Oficial al Republicii Moldova,</w:t>
            </w:r>
            <w:r w:rsidRPr="00827281">
              <w:rPr>
                <w:rFonts w:ascii="Times New Roman" w:hAnsi="Times New Roman"/>
                <w:sz w:val="24"/>
                <w:szCs w:val="24"/>
              </w:rPr>
              <w:t xml:space="preserve"> pentru a asigura o aprovizionare continuă și neîntreruptă a producătorilor de medicamente cu alcool etilic, materie primă indispensabilă în procesul de producție. </w:t>
            </w:r>
            <w:r w:rsidRPr="00827281">
              <w:rPr>
                <w:rFonts w:ascii="Times New Roman" w:hAnsi="Times New Roman"/>
                <w:sz w:val="24"/>
                <w:szCs w:val="24"/>
                <w:lang w:val="ro-RO"/>
              </w:rPr>
              <w:t>Pentru a asigura accesul pacienților la tratamente și pentru a preveni orice discontinuitate în serviciile medicale, este crucial ca hotărârea să fie aplicată imediat, garantând aprovizionarea instituțiilor medicale cu produse farmaceutice necesare.</w:t>
            </w:r>
            <w:r w:rsidR="00D7046F">
              <w:rPr>
                <w:rFonts w:ascii="Times New Roman" w:hAnsi="Times New Roman"/>
                <w:sz w:val="24"/>
                <w:szCs w:val="24"/>
                <w:lang w:val="ro-RO"/>
              </w:rPr>
              <w:t xml:space="preserve"> Prin urmare, se propune </w:t>
            </w:r>
            <w:r w:rsidRPr="00827281">
              <w:rPr>
                <w:rFonts w:ascii="Times New Roman" w:hAnsi="Times New Roman"/>
                <w:sz w:val="24"/>
                <w:szCs w:val="24"/>
                <w:lang w:val="ro-RO"/>
              </w:rPr>
              <w:t>ca prezenta hotărâre să fie implementată fără întârziere.</w:t>
            </w:r>
          </w:p>
        </w:tc>
      </w:tr>
      <w:tr w:rsidR="00627AB7" w:rsidRPr="00EB4ECA" w14:paraId="5DFDA874" w14:textId="77777777" w:rsidTr="0069071B">
        <w:tc>
          <w:tcPr>
            <w:tcW w:w="9356"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938AAD0" w14:textId="77777777" w:rsidR="00627AB7" w:rsidRPr="00EB4ECA" w:rsidRDefault="00627AB7" w:rsidP="00627AB7">
            <w:pPr>
              <w:rPr>
                <w:rFonts w:ascii="Times New Roman" w:hAnsi="Times New Roman"/>
                <w:sz w:val="24"/>
                <w:szCs w:val="24"/>
              </w:rPr>
            </w:pPr>
            <w:r w:rsidRPr="00EB4ECA">
              <w:rPr>
                <w:rFonts w:ascii="Times New Roman" w:hAnsi="Times New Roman"/>
                <w:sz w:val="24"/>
                <w:szCs w:val="24"/>
              </w:rPr>
              <w:lastRenderedPageBreak/>
              <w:t>3.2. Opțiunile alternative analizate și motivele pentru care acestea nu au fost luate în considerare</w:t>
            </w:r>
          </w:p>
        </w:tc>
      </w:tr>
      <w:tr w:rsidR="00627AB7" w:rsidRPr="00EB4ECA" w14:paraId="5F8D52E6" w14:textId="77777777" w:rsidTr="0069071B">
        <w:tc>
          <w:tcPr>
            <w:tcW w:w="935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7346180" w14:textId="7AF5F3E1" w:rsidR="00627AB7" w:rsidRPr="00EB4ECA" w:rsidRDefault="00B308D0" w:rsidP="00627AB7">
            <w:pPr>
              <w:rPr>
                <w:rFonts w:ascii="Times New Roman" w:hAnsi="Times New Roman"/>
                <w:sz w:val="24"/>
                <w:szCs w:val="24"/>
              </w:rPr>
            </w:pPr>
            <w:r>
              <w:rPr>
                <w:rFonts w:ascii="Times New Roman" w:hAnsi="Times New Roman"/>
                <w:sz w:val="24"/>
                <w:szCs w:val="24"/>
              </w:rPr>
              <w:t>-</w:t>
            </w:r>
          </w:p>
        </w:tc>
      </w:tr>
      <w:tr w:rsidR="00627AB7" w:rsidRPr="00EB4ECA" w14:paraId="0EA31765" w14:textId="77777777" w:rsidTr="0069071B">
        <w:trPr>
          <w:trHeight w:val="381"/>
        </w:trPr>
        <w:tc>
          <w:tcPr>
            <w:tcW w:w="935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BB234DE" w14:textId="77777777" w:rsidR="00627AB7" w:rsidRPr="00EB4ECA" w:rsidRDefault="00627AB7" w:rsidP="00627AB7">
            <w:pPr>
              <w:rPr>
                <w:rFonts w:ascii="Times New Roman" w:hAnsi="Times New Roman"/>
                <w:b/>
                <w:bCs/>
                <w:sz w:val="24"/>
                <w:szCs w:val="24"/>
              </w:rPr>
            </w:pPr>
            <w:r w:rsidRPr="00EB4ECA">
              <w:rPr>
                <w:rFonts w:ascii="Times New Roman" w:hAnsi="Times New Roman"/>
                <w:b/>
                <w:bCs/>
                <w:sz w:val="24"/>
                <w:szCs w:val="24"/>
              </w:rPr>
              <w:lastRenderedPageBreak/>
              <w:t xml:space="preserve">4. Analiza impactului de reglementare </w:t>
            </w:r>
          </w:p>
        </w:tc>
      </w:tr>
      <w:tr w:rsidR="00627AB7" w:rsidRPr="00EB4ECA" w14:paraId="27A83184" w14:textId="77777777" w:rsidTr="0069071B">
        <w:tc>
          <w:tcPr>
            <w:tcW w:w="935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1C54301" w14:textId="77777777" w:rsidR="00627AB7" w:rsidRPr="00EB4ECA" w:rsidRDefault="00627AB7" w:rsidP="00627AB7">
            <w:pPr>
              <w:rPr>
                <w:rFonts w:ascii="Times New Roman" w:hAnsi="Times New Roman"/>
                <w:sz w:val="24"/>
                <w:szCs w:val="24"/>
              </w:rPr>
            </w:pPr>
            <w:r w:rsidRPr="00EB4ECA">
              <w:rPr>
                <w:rFonts w:ascii="Times New Roman" w:hAnsi="Times New Roman"/>
                <w:sz w:val="24"/>
                <w:szCs w:val="24"/>
              </w:rPr>
              <w:t>4.1. Impactul asupra sectorului public</w:t>
            </w:r>
          </w:p>
        </w:tc>
      </w:tr>
      <w:tr w:rsidR="00627AB7" w:rsidRPr="00EB4ECA" w14:paraId="28D459B3" w14:textId="77777777" w:rsidTr="0069071B">
        <w:tc>
          <w:tcPr>
            <w:tcW w:w="935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A80589C" w14:textId="195F138E" w:rsidR="00627AB7" w:rsidRPr="00F54B02" w:rsidRDefault="00F54B02" w:rsidP="00F54B02">
            <w:pPr>
              <w:pStyle w:val="Default"/>
              <w:ind w:firstLine="731"/>
              <w:jc w:val="both"/>
              <w:rPr>
                <w:rFonts w:ascii="Times New Roman" w:hAnsi="Times New Roman"/>
              </w:rPr>
            </w:pPr>
            <w:r w:rsidRPr="00F54B02">
              <w:rPr>
                <w:rFonts w:ascii="Times New Roman" w:hAnsi="Times New Roman"/>
              </w:rPr>
              <w:t>Implementarea prevederilor propuse în proiect nu impune schimbări instituționale.</w:t>
            </w:r>
          </w:p>
        </w:tc>
      </w:tr>
      <w:tr w:rsidR="00627AB7" w:rsidRPr="00EB4ECA" w14:paraId="1658014A" w14:textId="77777777" w:rsidTr="0069071B">
        <w:tc>
          <w:tcPr>
            <w:tcW w:w="935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581F9C5" w14:textId="77777777" w:rsidR="00627AB7" w:rsidRPr="00F54B02" w:rsidRDefault="00627AB7" w:rsidP="00F54B02">
            <w:pPr>
              <w:ind w:firstLine="731"/>
              <w:rPr>
                <w:rFonts w:ascii="Times New Roman" w:hAnsi="Times New Roman"/>
                <w:sz w:val="24"/>
                <w:szCs w:val="24"/>
              </w:rPr>
            </w:pPr>
            <w:r w:rsidRPr="00F54B02">
              <w:rPr>
                <w:rFonts w:ascii="Times New Roman" w:hAnsi="Times New Roman"/>
                <w:sz w:val="24"/>
                <w:szCs w:val="24"/>
              </w:rPr>
              <w:t>4.2. Impactul financiar și argumentarea costurilor estimative</w:t>
            </w:r>
          </w:p>
        </w:tc>
      </w:tr>
      <w:tr w:rsidR="00627AB7" w:rsidRPr="00EB4ECA" w14:paraId="40FA9EC7" w14:textId="77777777" w:rsidTr="0069071B">
        <w:tc>
          <w:tcPr>
            <w:tcW w:w="935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9363E23" w14:textId="561A4FC3" w:rsidR="00627AB7" w:rsidRPr="00F54B02" w:rsidRDefault="00F54B02" w:rsidP="00F54B02">
            <w:pPr>
              <w:pStyle w:val="Default"/>
              <w:ind w:firstLine="731"/>
              <w:jc w:val="both"/>
              <w:rPr>
                <w:rFonts w:ascii="Times New Roman" w:hAnsi="Times New Roman"/>
              </w:rPr>
            </w:pPr>
            <w:r w:rsidRPr="00F54B02">
              <w:rPr>
                <w:rFonts w:ascii="Times New Roman" w:hAnsi="Times New Roman"/>
              </w:rPr>
              <w:t xml:space="preserve">Implementarea prezentului proiect nu necesită alocarea surselor financiare (nu generează cheltuieli) suplimentare din bugetul de stat. </w:t>
            </w:r>
          </w:p>
        </w:tc>
      </w:tr>
      <w:tr w:rsidR="00627AB7" w:rsidRPr="00EB4ECA" w14:paraId="3E6F1E0A" w14:textId="77777777" w:rsidTr="0069071B">
        <w:tc>
          <w:tcPr>
            <w:tcW w:w="935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9AA1EDE" w14:textId="77777777" w:rsidR="00627AB7" w:rsidRPr="00EB4ECA" w:rsidRDefault="00627AB7" w:rsidP="00627AB7">
            <w:pPr>
              <w:rPr>
                <w:rFonts w:ascii="Times New Roman" w:hAnsi="Times New Roman"/>
                <w:sz w:val="24"/>
                <w:szCs w:val="24"/>
              </w:rPr>
            </w:pPr>
            <w:r w:rsidRPr="00EB4ECA">
              <w:rPr>
                <w:rFonts w:ascii="Times New Roman" w:hAnsi="Times New Roman"/>
                <w:sz w:val="24"/>
                <w:szCs w:val="24"/>
              </w:rPr>
              <w:t>4.3. Impactul asupra sectorului privat</w:t>
            </w:r>
          </w:p>
        </w:tc>
      </w:tr>
      <w:tr w:rsidR="00627AB7" w:rsidRPr="00EB4ECA" w14:paraId="1965F778" w14:textId="77777777" w:rsidTr="0069071B">
        <w:trPr>
          <w:trHeight w:val="1106"/>
        </w:trPr>
        <w:tc>
          <w:tcPr>
            <w:tcW w:w="935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4C97BC" w14:textId="73E68237" w:rsidR="00512BBF" w:rsidRPr="0069071B" w:rsidRDefault="00862DB0" w:rsidP="0069071B">
            <w:pPr>
              <w:ind w:left="22"/>
              <w:rPr>
                <w:rFonts w:ascii="Times New Roman" w:hAnsi="Times New Roman"/>
                <w:sz w:val="24"/>
                <w:szCs w:val="24"/>
                <w:lang w:val="ro-RO"/>
              </w:rPr>
            </w:pPr>
            <w:r w:rsidRPr="00862DB0">
              <w:rPr>
                <w:rFonts w:ascii="Times New Roman" w:hAnsi="Times New Roman"/>
                <w:sz w:val="24"/>
                <w:szCs w:val="24"/>
                <w:lang w:val="ro-RO"/>
              </w:rPr>
              <w:t>În absența unui contingent aprobat de alcool etilic nedenaturat, scutit de accize, companiile farmaceutice vor fi nevoite să suporte costuri suplimentare semnificative, care, în cele din urmă, vor fi transferate către sistemul de sănătate prin creșterea prețului medicamentelor.</w:t>
            </w:r>
          </w:p>
        </w:tc>
      </w:tr>
      <w:tr w:rsidR="00627AB7" w:rsidRPr="00EB4ECA" w14:paraId="0F33C51B" w14:textId="77777777" w:rsidTr="0069071B">
        <w:tc>
          <w:tcPr>
            <w:tcW w:w="935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7BC55C8" w14:textId="16BEFF8B" w:rsidR="00627AB7" w:rsidRPr="00276B91" w:rsidRDefault="00627AB7" w:rsidP="00627AB7">
            <w:pPr>
              <w:rPr>
                <w:rFonts w:ascii="Times New Roman" w:hAnsi="Times New Roman"/>
                <w:sz w:val="24"/>
                <w:szCs w:val="24"/>
              </w:rPr>
            </w:pPr>
            <w:r w:rsidRPr="00276B91">
              <w:rPr>
                <w:rFonts w:ascii="Times New Roman" w:hAnsi="Times New Roman"/>
                <w:sz w:val="24"/>
                <w:szCs w:val="24"/>
              </w:rPr>
              <w:t>4.4. Impactul social</w:t>
            </w:r>
          </w:p>
        </w:tc>
      </w:tr>
      <w:tr w:rsidR="00627AB7" w:rsidRPr="00EB4ECA" w14:paraId="07BAF508" w14:textId="77777777" w:rsidTr="0069071B">
        <w:tc>
          <w:tcPr>
            <w:tcW w:w="935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7384AED" w14:textId="644AAB8C" w:rsidR="00512BBF" w:rsidRPr="00512BBF" w:rsidRDefault="00512BBF" w:rsidP="00512BBF">
            <w:pPr>
              <w:rPr>
                <w:rFonts w:ascii="Times New Roman" w:hAnsi="Times New Roman"/>
                <w:sz w:val="24"/>
                <w:szCs w:val="24"/>
                <w:lang w:val="ro-RO"/>
              </w:rPr>
            </w:pPr>
            <w:r w:rsidRPr="00512BBF">
              <w:rPr>
                <w:rFonts w:ascii="Times New Roman" w:hAnsi="Times New Roman"/>
                <w:sz w:val="24"/>
                <w:szCs w:val="24"/>
                <w:lang w:val="ro-RO"/>
              </w:rPr>
              <w:t>Neaprobarea hotărârii privind stabilirea cuantumului de alcool etilic scutit de accize și aplicarea cotei reduse de TVA de 8% va genera următoarele riscuri, consecințe (imp</w:t>
            </w:r>
            <w:r>
              <w:rPr>
                <w:rFonts w:ascii="Times New Roman" w:hAnsi="Times New Roman"/>
                <w:sz w:val="24"/>
                <w:szCs w:val="24"/>
                <w:lang w:val="ro-RO"/>
              </w:rPr>
              <w:t>a</w:t>
            </w:r>
            <w:r w:rsidRPr="00512BBF">
              <w:rPr>
                <w:rFonts w:ascii="Times New Roman" w:hAnsi="Times New Roman"/>
                <w:sz w:val="24"/>
                <w:szCs w:val="24"/>
                <w:lang w:val="ro-RO"/>
              </w:rPr>
              <w:t>ct social):</w:t>
            </w:r>
          </w:p>
          <w:p w14:paraId="259F5A9D" w14:textId="7080E36B" w:rsidR="00512BBF" w:rsidRPr="00512BBF" w:rsidRDefault="00512BBF" w:rsidP="00512BBF">
            <w:pPr>
              <w:rPr>
                <w:rFonts w:ascii="Times New Roman" w:hAnsi="Times New Roman"/>
                <w:sz w:val="24"/>
                <w:szCs w:val="24"/>
                <w:lang w:val="ro-RO"/>
              </w:rPr>
            </w:pPr>
            <w:r w:rsidRPr="00512BBF">
              <w:rPr>
                <w:rFonts w:ascii="Times New Roman" w:hAnsi="Times New Roman"/>
                <w:sz w:val="24"/>
                <w:szCs w:val="24"/>
                <w:lang w:val="ro-RO"/>
              </w:rPr>
              <w:t>1) creșterea prețurilor medicamentelor și produselor farmaceutice cu conținut de alcool etilic </w:t>
            </w:r>
            <w:r w:rsidRPr="00512BBF">
              <w:rPr>
                <w:rFonts w:ascii="Times New Roman" w:hAnsi="Times New Roman"/>
                <w:sz w:val="24"/>
                <w:szCs w:val="24"/>
              </w:rPr>
              <w:t>nedenaturat</w:t>
            </w:r>
            <w:r w:rsidRPr="00512BBF">
              <w:rPr>
                <w:rFonts w:ascii="Times New Roman" w:hAnsi="Times New Roman"/>
                <w:sz w:val="24"/>
                <w:szCs w:val="24"/>
                <w:lang w:val="ro-RO"/>
              </w:rPr>
              <w:t>, limitând accesul la tratamente esențiale</w:t>
            </w:r>
            <w:r>
              <w:rPr>
                <w:rFonts w:ascii="Times New Roman" w:hAnsi="Times New Roman"/>
                <w:sz w:val="24"/>
                <w:szCs w:val="24"/>
                <w:lang w:val="ro-RO"/>
              </w:rPr>
              <w:t>;</w:t>
            </w:r>
          </w:p>
          <w:p w14:paraId="6D63FDD1" w14:textId="1E61E327" w:rsidR="00512BBF" w:rsidRPr="00512BBF" w:rsidRDefault="00512BBF" w:rsidP="00512BBF">
            <w:pPr>
              <w:rPr>
                <w:rFonts w:ascii="Times New Roman" w:hAnsi="Times New Roman"/>
                <w:sz w:val="24"/>
                <w:szCs w:val="24"/>
                <w:lang w:val="ro-RO"/>
              </w:rPr>
            </w:pPr>
            <w:r w:rsidRPr="00512BBF">
              <w:rPr>
                <w:rFonts w:ascii="Times New Roman" w:hAnsi="Times New Roman"/>
                <w:sz w:val="24"/>
                <w:szCs w:val="24"/>
                <w:lang w:val="ro-RO"/>
              </w:rPr>
              <w:t>2) reducerea producției de soluții antiseptice și alte produse medicale, cu impact negativ asupra aprovizionării instituțiilor medico-sanitare</w:t>
            </w:r>
            <w:r>
              <w:rPr>
                <w:rFonts w:ascii="Times New Roman" w:hAnsi="Times New Roman"/>
                <w:sz w:val="24"/>
                <w:szCs w:val="24"/>
                <w:lang w:val="ro-RO"/>
              </w:rPr>
              <w:t>;</w:t>
            </w:r>
          </w:p>
          <w:p w14:paraId="450263C9" w14:textId="53EDD826" w:rsidR="00627AB7" w:rsidRPr="00512BBF" w:rsidRDefault="00512BBF" w:rsidP="00512BBF">
            <w:pPr>
              <w:rPr>
                <w:sz w:val="24"/>
                <w:szCs w:val="24"/>
                <w:lang w:val="ro-RO"/>
              </w:rPr>
            </w:pPr>
            <w:r w:rsidRPr="00512BBF">
              <w:rPr>
                <w:rFonts w:ascii="Times New Roman" w:hAnsi="Times New Roman"/>
                <w:sz w:val="24"/>
                <w:szCs w:val="24"/>
                <w:lang w:val="ro-RO"/>
              </w:rPr>
              <w:t>3) riscul unor deficiențe critice în tratamente, în special în situații de urgență, și creșterea costurilor pentru întregul sistem de sănătate.</w:t>
            </w:r>
          </w:p>
        </w:tc>
      </w:tr>
      <w:tr w:rsidR="00627AB7" w:rsidRPr="00EB4ECA" w14:paraId="728627AD" w14:textId="77777777" w:rsidTr="0069071B">
        <w:tc>
          <w:tcPr>
            <w:tcW w:w="935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8D2839B" w14:textId="77777777" w:rsidR="00627AB7" w:rsidRPr="00EB4ECA" w:rsidRDefault="00627AB7" w:rsidP="00627AB7">
            <w:pPr>
              <w:rPr>
                <w:rFonts w:ascii="Times New Roman" w:hAnsi="Times New Roman"/>
                <w:sz w:val="24"/>
                <w:szCs w:val="24"/>
              </w:rPr>
            </w:pPr>
            <w:r w:rsidRPr="00EB4ECA">
              <w:rPr>
                <w:rFonts w:ascii="Times New Roman" w:hAnsi="Times New Roman"/>
                <w:sz w:val="24"/>
                <w:szCs w:val="24"/>
              </w:rPr>
              <w:t>4.4.1. Impactul asupra datelor cu caracter personal</w:t>
            </w:r>
          </w:p>
          <w:p w14:paraId="303EC130" w14:textId="5F0F9F75" w:rsidR="00627AB7" w:rsidRPr="00EB4ECA" w:rsidRDefault="00627AB7" w:rsidP="00627AB7">
            <w:pPr>
              <w:rPr>
                <w:rFonts w:ascii="Times New Roman" w:hAnsi="Times New Roman"/>
                <w:sz w:val="24"/>
                <w:szCs w:val="24"/>
              </w:rPr>
            </w:pPr>
            <w:r w:rsidRPr="00EB4ECA">
              <w:rPr>
                <w:rFonts w:ascii="Times New Roman" w:hAnsi="Times New Roman"/>
                <w:sz w:val="24"/>
                <w:szCs w:val="24"/>
              </w:rPr>
              <w:t>4.4.2. Impactul asupra echității și egalității de gen</w:t>
            </w:r>
          </w:p>
        </w:tc>
      </w:tr>
      <w:tr w:rsidR="00627AB7" w:rsidRPr="00EB4ECA" w14:paraId="125B32A4" w14:textId="77777777" w:rsidTr="0069071B">
        <w:tc>
          <w:tcPr>
            <w:tcW w:w="935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1D6291" w14:textId="2A6C4E5A" w:rsidR="00627AB7" w:rsidRPr="00EB4ECA" w:rsidRDefault="00627AB7" w:rsidP="00627AB7">
            <w:pPr>
              <w:rPr>
                <w:rFonts w:ascii="Times New Roman" w:hAnsi="Times New Roman"/>
                <w:sz w:val="24"/>
                <w:szCs w:val="24"/>
              </w:rPr>
            </w:pPr>
            <w:r w:rsidRPr="00EB4ECA">
              <w:rPr>
                <w:rFonts w:ascii="Times New Roman" w:hAnsi="Times New Roman"/>
                <w:sz w:val="24"/>
                <w:szCs w:val="24"/>
              </w:rPr>
              <w:t>-</w:t>
            </w:r>
          </w:p>
        </w:tc>
      </w:tr>
      <w:tr w:rsidR="00627AB7" w:rsidRPr="00EB4ECA" w14:paraId="0A604681" w14:textId="77777777" w:rsidTr="0069071B">
        <w:tc>
          <w:tcPr>
            <w:tcW w:w="935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FB26883" w14:textId="77777777" w:rsidR="00627AB7" w:rsidRPr="00EB4ECA" w:rsidRDefault="00627AB7" w:rsidP="00627AB7">
            <w:pPr>
              <w:rPr>
                <w:rFonts w:ascii="Times New Roman" w:hAnsi="Times New Roman"/>
                <w:sz w:val="24"/>
                <w:szCs w:val="24"/>
              </w:rPr>
            </w:pPr>
            <w:r w:rsidRPr="00EB4ECA">
              <w:rPr>
                <w:rFonts w:ascii="Times New Roman" w:hAnsi="Times New Roman"/>
                <w:sz w:val="24"/>
                <w:szCs w:val="24"/>
              </w:rPr>
              <w:t>4.5. Impactul asupra mediului</w:t>
            </w:r>
          </w:p>
        </w:tc>
      </w:tr>
      <w:tr w:rsidR="00627AB7" w:rsidRPr="00EB4ECA" w14:paraId="2B8AA9C3" w14:textId="77777777" w:rsidTr="0069071B">
        <w:tc>
          <w:tcPr>
            <w:tcW w:w="935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A7D7F55" w14:textId="18069D40" w:rsidR="00627AB7" w:rsidRPr="00EB4ECA" w:rsidRDefault="00627AB7" w:rsidP="00627AB7">
            <w:pPr>
              <w:rPr>
                <w:rFonts w:ascii="Times New Roman" w:hAnsi="Times New Roman"/>
                <w:sz w:val="24"/>
                <w:szCs w:val="24"/>
              </w:rPr>
            </w:pPr>
            <w:r w:rsidRPr="00EB4ECA">
              <w:rPr>
                <w:rFonts w:ascii="Times New Roman" w:hAnsi="Times New Roman"/>
                <w:sz w:val="24"/>
                <w:szCs w:val="24"/>
              </w:rPr>
              <w:t>-</w:t>
            </w:r>
          </w:p>
        </w:tc>
      </w:tr>
      <w:tr w:rsidR="00627AB7" w:rsidRPr="00EB4ECA" w14:paraId="588F1BA1" w14:textId="77777777" w:rsidTr="0069071B">
        <w:tc>
          <w:tcPr>
            <w:tcW w:w="935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19F5511" w14:textId="77777777" w:rsidR="00627AB7" w:rsidRPr="00EB4ECA" w:rsidRDefault="00627AB7" w:rsidP="00627AB7">
            <w:pPr>
              <w:rPr>
                <w:rFonts w:ascii="Times New Roman" w:hAnsi="Times New Roman"/>
                <w:sz w:val="24"/>
                <w:szCs w:val="24"/>
              </w:rPr>
            </w:pPr>
            <w:r w:rsidRPr="00EB4ECA">
              <w:rPr>
                <w:rFonts w:ascii="Times New Roman" w:hAnsi="Times New Roman"/>
                <w:sz w:val="24"/>
                <w:szCs w:val="24"/>
              </w:rPr>
              <w:t>4.6. Alte impacturi și informații relevante</w:t>
            </w:r>
          </w:p>
        </w:tc>
      </w:tr>
      <w:tr w:rsidR="00627AB7" w:rsidRPr="00EB4ECA" w14:paraId="4C7BCFC9" w14:textId="77777777" w:rsidTr="0069071B">
        <w:tc>
          <w:tcPr>
            <w:tcW w:w="935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523E102" w14:textId="50CB6FD3" w:rsidR="00627AB7" w:rsidRPr="00EB4ECA" w:rsidRDefault="00627AB7" w:rsidP="00627AB7">
            <w:pPr>
              <w:ind w:firstLine="731"/>
              <w:rPr>
                <w:rFonts w:ascii="Times New Roman" w:hAnsi="Times New Roman"/>
                <w:sz w:val="24"/>
                <w:szCs w:val="24"/>
              </w:rPr>
            </w:pPr>
            <w:r w:rsidRPr="00EB4ECA">
              <w:rPr>
                <w:rFonts w:ascii="Times New Roman" w:hAnsi="Times New Roman"/>
                <w:sz w:val="24"/>
                <w:szCs w:val="24"/>
              </w:rPr>
              <w:t>-</w:t>
            </w:r>
          </w:p>
        </w:tc>
      </w:tr>
      <w:tr w:rsidR="00627AB7" w:rsidRPr="00EB4ECA" w14:paraId="3FAE1396" w14:textId="77777777" w:rsidTr="0069071B">
        <w:tc>
          <w:tcPr>
            <w:tcW w:w="935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4DF257D" w14:textId="77777777" w:rsidR="00627AB7" w:rsidRPr="00EB4ECA" w:rsidRDefault="00627AB7" w:rsidP="00627AB7">
            <w:pPr>
              <w:rPr>
                <w:rFonts w:ascii="Times New Roman" w:hAnsi="Times New Roman"/>
                <w:b/>
                <w:bCs/>
                <w:sz w:val="24"/>
                <w:szCs w:val="24"/>
              </w:rPr>
            </w:pPr>
            <w:r w:rsidRPr="00EB4ECA">
              <w:rPr>
                <w:rFonts w:ascii="Times New Roman" w:hAnsi="Times New Roman"/>
                <w:b/>
                <w:bCs/>
                <w:sz w:val="24"/>
                <w:szCs w:val="24"/>
              </w:rPr>
              <w:t xml:space="preserve">5. Compatibilitatea proiectului actului normativ cu legislația UE </w:t>
            </w:r>
          </w:p>
        </w:tc>
      </w:tr>
      <w:tr w:rsidR="00627AB7" w:rsidRPr="00EB4ECA" w14:paraId="66CA55A9" w14:textId="77777777" w:rsidTr="0069071B">
        <w:tc>
          <w:tcPr>
            <w:tcW w:w="935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4323FE8" w14:textId="77777777" w:rsidR="00627AB7" w:rsidRPr="00EB4ECA" w:rsidRDefault="00627AB7" w:rsidP="00627AB7">
            <w:pPr>
              <w:rPr>
                <w:rFonts w:ascii="Times New Roman" w:hAnsi="Times New Roman"/>
                <w:sz w:val="24"/>
                <w:szCs w:val="24"/>
              </w:rPr>
            </w:pPr>
            <w:r w:rsidRPr="00EB4ECA">
              <w:rPr>
                <w:rFonts w:ascii="Times New Roman" w:hAnsi="Times New Roman"/>
                <w:sz w:val="24"/>
                <w:szCs w:val="24"/>
              </w:rPr>
              <w:t>5.1. Măsuri normative necesare pentru transpunerea actelor juridice ale UE în legislația națională</w:t>
            </w:r>
          </w:p>
        </w:tc>
      </w:tr>
      <w:tr w:rsidR="00627AB7" w:rsidRPr="00EB4ECA" w14:paraId="0F817D67" w14:textId="77777777" w:rsidTr="0069071B">
        <w:tc>
          <w:tcPr>
            <w:tcW w:w="935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635F83F" w14:textId="77777777" w:rsidR="00627AB7" w:rsidRPr="00EB4ECA" w:rsidRDefault="00627AB7" w:rsidP="00627AB7">
            <w:pPr>
              <w:rPr>
                <w:rFonts w:ascii="Times New Roman" w:hAnsi="Times New Roman"/>
                <w:sz w:val="24"/>
                <w:szCs w:val="24"/>
              </w:rPr>
            </w:pPr>
            <w:r w:rsidRPr="00EB4ECA">
              <w:rPr>
                <w:rFonts w:ascii="Times New Roman" w:hAnsi="Times New Roman"/>
                <w:sz w:val="24"/>
                <w:szCs w:val="24"/>
              </w:rPr>
              <w:t>5.2. Măsuri normative care urmăresc crearea cadrului juridic intern necesar pentru implementarea legislației UE</w:t>
            </w:r>
          </w:p>
        </w:tc>
      </w:tr>
      <w:tr w:rsidR="00627AB7" w:rsidRPr="00EB4ECA" w14:paraId="2D0283DC" w14:textId="77777777" w:rsidTr="0069071B">
        <w:tc>
          <w:tcPr>
            <w:tcW w:w="935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5B49D46" w14:textId="181BECB4" w:rsidR="00627AB7" w:rsidRPr="00EB4ECA" w:rsidRDefault="00627AB7" w:rsidP="00627AB7">
            <w:pPr>
              <w:rPr>
                <w:rFonts w:ascii="Times New Roman" w:hAnsi="Times New Roman"/>
                <w:sz w:val="24"/>
                <w:szCs w:val="24"/>
              </w:rPr>
            </w:pPr>
            <w:r w:rsidRPr="00EB4ECA">
              <w:rPr>
                <w:rFonts w:ascii="Times New Roman" w:hAnsi="Times New Roman"/>
                <w:sz w:val="24"/>
                <w:szCs w:val="24"/>
              </w:rPr>
              <w:t>Proiectul nu conține norme de armonizare a legislației naționale cu legislația Uniunii Europene.</w:t>
            </w:r>
          </w:p>
        </w:tc>
      </w:tr>
      <w:tr w:rsidR="00627AB7" w:rsidRPr="00EB4ECA" w14:paraId="36EC4DDB" w14:textId="77777777" w:rsidTr="0069071B">
        <w:tc>
          <w:tcPr>
            <w:tcW w:w="935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4896B75" w14:textId="2B6B7098" w:rsidR="00627AB7" w:rsidRPr="00EB4ECA" w:rsidRDefault="00627AB7" w:rsidP="00627AB7">
            <w:pPr>
              <w:rPr>
                <w:rFonts w:ascii="Times New Roman" w:hAnsi="Times New Roman"/>
                <w:b/>
                <w:bCs/>
                <w:sz w:val="24"/>
                <w:szCs w:val="24"/>
              </w:rPr>
            </w:pPr>
            <w:r w:rsidRPr="00EB4ECA">
              <w:rPr>
                <w:rFonts w:ascii="Times New Roman" w:hAnsi="Times New Roman"/>
                <w:b/>
                <w:bCs/>
                <w:sz w:val="24"/>
                <w:szCs w:val="24"/>
              </w:rPr>
              <w:t>6. Avizarea și consultarea publică a proiectului actului normativ</w:t>
            </w:r>
          </w:p>
        </w:tc>
      </w:tr>
      <w:tr w:rsidR="00627AB7" w:rsidRPr="00EB4ECA" w14:paraId="182BE0F8" w14:textId="77777777" w:rsidTr="00D14860">
        <w:trPr>
          <w:trHeight w:val="621"/>
        </w:trPr>
        <w:tc>
          <w:tcPr>
            <w:tcW w:w="935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C3C3B15" w14:textId="4D3A92B2" w:rsidR="003B7BFA" w:rsidRPr="003B7BFA" w:rsidRDefault="0073109C" w:rsidP="003B7BFA">
            <w:pPr>
              <w:tabs>
                <w:tab w:val="left" w:pos="0"/>
              </w:tabs>
              <w:rPr>
                <w:rFonts w:ascii="Times New Roman" w:hAnsi="Times New Roman"/>
                <w:sz w:val="24"/>
                <w:szCs w:val="24"/>
              </w:rPr>
            </w:pPr>
            <w:r w:rsidRPr="00007011">
              <w:rPr>
                <w:rFonts w:ascii="Times New Roman" w:hAnsi="Times New Roman"/>
                <w:sz w:val="24"/>
                <w:szCs w:val="24"/>
              </w:rPr>
              <w:t xml:space="preserve">      </w:t>
            </w:r>
            <w:r w:rsidR="003B7BFA" w:rsidRPr="00AD7416">
              <w:rPr>
                <w:rFonts w:ascii="Times New Roman" w:hAnsi="Times New Roman"/>
                <w:sz w:val="24"/>
                <w:szCs w:val="24"/>
              </w:rPr>
              <w:t xml:space="preserve">Pe pagina particip.gov.md a fost publicat anunțul cu privire la inițierea elaborării </w:t>
            </w:r>
            <w:r w:rsidR="003B7BFA" w:rsidRPr="003B7BFA">
              <w:rPr>
                <w:rFonts w:ascii="Times New Roman" w:hAnsi="Times New Roman"/>
                <w:sz w:val="24"/>
                <w:szCs w:val="24"/>
              </w:rPr>
              <w:t>proiectul</w:t>
            </w:r>
            <w:r w:rsidR="003B7BFA">
              <w:rPr>
                <w:rFonts w:ascii="Times New Roman" w:hAnsi="Times New Roman"/>
                <w:sz w:val="24"/>
                <w:szCs w:val="24"/>
              </w:rPr>
              <w:t>ui</w:t>
            </w:r>
            <w:r w:rsidR="003B7BFA" w:rsidRPr="003B7BFA">
              <w:rPr>
                <w:rFonts w:ascii="Times New Roman" w:hAnsi="Times New Roman"/>
                <w:sz w:val="24"/>
                <w:szCs w:val="24"/>
              </w:rPr>
              <w:t xml:space="preserve"> de hotărâre a Guvernului cu privire la stabilirea cuantumului anual de alcool etilic nedenaturat destinat producerii farmaceutice și utilizării în medicină </w:t>
            </w:r>
            <w:r w:rsidR="003B7BFA">
              <w:rPr>
                <w:rFonts w:ascii="Times New Roman" w:hAnsi="Times New Roman"/>
                <w:sz w:val="24"/>
                <w:szCs w:val="24"/>
              </w:rPr>
              <w:t xml:space="preserve"> </w:t>
            </w:r>
            <w:r w:rsidR="003B7BFA" w:rsidRPr="003B7BFA">
              <w:rPr>
                <w:rFonts w:ascii="Times New Roman" w:hAnsi="Times New Roman"/>
                <w:sz w:val="24"/>
                <w:szCs w:val="24"/>
              </w:rPr>
              <w:t>pentru anul 2026</w:t>
            </w:r>
            <w:r w:rsidR="003B7BFA" w:rsidRPr="00106F5F">
              <w:rPr>
                <w:rFonts w:ascii="Times New Roman" w:hAnsi="Times New Roman"/>
                <w:i/>
                <w:iCs/>
                <w:sz w:val="24"/>
                <w:szCs w:val="24"/>
              </w:rPr>
              <w:t>:</w:t>
            </w:r>
          </w:p>
          <w:p w14:paraId="7DB34F85" w14:textId="334F8F88" w:rsidR="003B7BFA" w:rsidRPr="003B7BFA" w:rsidRDefault="003B7BFA" w:rsidP="003B7BFA">
            <w:pPr>
              <w:rPr>
                <w:rStyle w:val="Hyperlink"/>
                <w:rFonts w:ascii="Times New Roman" w:hAnsi="Times New Roman"/>
                <w:lang w:val="ro-RO"/>
              </w:rPr>
            </w:pPr>
            <w:r>
              <w:rPr>
                <w:rFonts w:ascii="Times New Roman" w:hAnsi="Times New Roman"/>
                <w:sz w:val="24"/>
                <w:szCs w:val="24"/>
              </w:rPr>
              <w:t>Link de acces:</w:t>
            </w:r>
            <w:r>
              <w:t xml:space="preserve"> </w:t>
            </w:r>
            <w:hyperlink r:id="rId11" w:history="1">
              <w:r w:rsidRPr="003B7BFA">
                <w:rPr>
                  <w:rStyle w:val="Hyperlink"/>
                  <w:rFonts w:ascii="Times New Roman" w:hAnsi="Times New Roman"/>
                  <w:sz w:val="24"/>
                  <w:szCs w:val="24"/>
                </w:rPr>
                <w:t>https://particip.gov.md/ro/document/stages/ministerul-sanatatii-anunta-initierea-elaborarii-proiectului-hotararii-guvernului-cu-privire-la-stab/15808</w:t>
              </w:r>
            </w:hyperlink>
            <w:r w:rsidRPr="003B7BFA">
              <w:rPr>
                <w:rFonts w:ascii="Times New Roman" w:hAnsi="Times New Roman"/>
                <w:sz w:val="24"/>
                <w:szCs w:val="24"/>
              </w:rPr>
              <w:t xml:space="preserve"> </w:t>
            </w:r>
          </w:p>
          <w:p w14:paraId="5C340C52" w14:textId="0ECDEC91" w:rsidR="003B7BFA" w:rsidRPr="00AD7416" w:rsidRDefault="003B7BFA" w:rsidP="003B7BFA">
            <w:pPr>
              <w:rPr>
                <w:rFonts w:ascii="Times New Roman" w:hAnsi="Times New Roman"/>
                <w:sz w:val="24"/>
                <w:szCs w:val="24"/>
              </w:rPr>
            </w:pPr>
            <w:r w:rsidRPr="003B7BFA">
              <w:rPr>
                <w:rFonts w:ascii="Times New Roman" w:hAnsi="Times New Roman"/>
                <w:sz w:val="24"/>
                <w:szCs w:val="24"/>
              </w:rPr>
              <w:t>Ministerul Sănătății a prezentat spre consultări publice</w:t>
            </w:r>
            <w:r>
              <w:rPr>
                <w:rFonts w:ascii="Times New Roman" w:hAnsi="Times New Roman"/>
                <w:sz w:val="24"/>
                <w:szCs w:val="24"/>
              </w:rPr>
              <w:t xml:space="preserve"> </w:t>
            </w:r>
            <w:r w:rsidRPr="003B7BFA">
              <w:rPr>
                <w:rFonts w:ascii="Times New Roman" w:hAnsi="Times New Roman"/>
                <w:sz w:val="24"/>
                <w:szCs w:val="24"/>
              </w:rPr>
              <w:t xml:space="preserve">proiectul de hotărâre a Guvernului cu privire la stabilirea cuantumului anual de alcool etilic nedenaturat destinat producerii farmaceutice și utilizării în medicină </w:t>
            </w:r>
            <w:r>
              <w:rPr>
                <w:rFonts w:ascii="Times New Roman" w:hAnsi="Times New Roman"/>
                <w:sz w:val="24"/>
                <w:szCs w:val="24"/>
              </w:rPr>
              <w:t xml:space="preserve"> </w:t>
            </w:r>
            <w:r w:rsidRPr="003B7BFA">
              <w:rPr>
                <w:rFonts w:ascii="Times New Roman" w:hAnsi="Times New Roman"/>
                <w:sz w:val="24"/>
                <w:szCs w:val="24"/>
              </w:rPr>
              <w:t>pentru anul 2026</w:t>
            </w:r>
            <w:r w:rsidRPr="00AD7416">
              <w:rPr>
                <w:rFonts w:ascii="Times New Roman" w:hAnsi="Times New Roman"/>
                <w:sz w:val="24"/>
                <w:szCs w:val="24"/>
              </w:rPr>
              <w:t>.</w:t>
            </w:r>
          </w:p>
          <w:p w14:paraId="53C9A012" w14:textId="4B48811E" w:rsidR="003B7BFA" w:rsidRPr="00106F5F" w:rsidRDefault="003B7BFA" w:rsidP="003B7BFA">
            <w:pPr>
              <w:rPr>
                <w:rFonts w:ascii="Times New Roman" w:hAnsi="Times New Roman"/>
                <w:sz w:val="24"/>
                <w:szCs w:val="24"/>
              </w:rPr>
            </w:pPr>
            <w:r w:rsidRPr="00AD7416">
              <w:rPr>
                <w:rFonts w:ascii="Times New Roman" w:hAnsi="Times New Roman"/>
                <w:sz w:val="24"/>
                <w:szCs w:val="24"/>
              </w:rPr>
              <w:t xml:space="preserve">Termen: </w:t>
            </w:r>
            <w:r>
              <w:rPr>
                <w:rFonts w:ascii="Times New Roman" w:hAnsi="Times New Roman"/>
                <w:sz w:val="24"/>
                <w:szCs w:val="24"/>
              </w:rPr>
              <w:t>27</w:t>
            </w:r>
            <w:r w:rsidRPr="00106F5F">
              <w:rPr>
                <w:rFonts w:ascii="Times New Roman" w:hAnsi="Times New Roman"/>
                <w:sz w:val="24"/>
                <w:szCs w:val="24"/>
              </w:rPr>
              <w:t xml:space="preserve">.01.2026 - </w:t>
            </w:r>
            <w:r>
              <w:rPr>
                <w:rFonts w:ascii="Times New Roman" w:hAnsi="Times New Roman"/>
                <w:sz w:val="24"/>
                <w:szCs w:val="24"/>
              </w:rPr>
              <w:t>10</w:t>
            </w:r>
            <w:r w:rsidRPr="00106F5F">
              <w:rPr>
                <w:rFonts w:ascii="Times New Roman" w:hAnsi="Times New Roman"/>
                <w:sz w:val="24"/>
                <w:szCs w:val="24"/>
              </w:rPr>
              <w:t>.0</w:t>
            </w:r>
            <w:r>
              <w:rPr>
                <w:rFonts w:ascii="Times New Roman" w:hAnsi="Times New Roman"/>
                <w:sz w:val="24"/>
                <w:szCs w:val="24"/>
              </w:rPr>
              <w:t>2</w:t>
            </w:r>
            <w:r w:rsidRPr="00106F5F">
              <w:rPr>
                <w:rFonts w:ascii="Times New Roman" w:hAnsi="Times New Roman"/>
                <w:sz w:val="24"/>
                <w:szCs w:val="24"/>
              </w:rPr>
              <w:t>.2026</w:t>
            </w:r>
            <w:r>
              <w:rPr>
                <w:rFonts w:ascii="Times New Roman" w:hAnsi="Times New Roman"/>
                <w:sz w:val="24"/>
                <w:szCs w:val="24"/>
              </w:rPr>
              <w:t xml:space="preserve"> </w:t>
            </w:r>
          </w:p>
          <w:p w14:paraId="790EBD29" w14:textId="43EF1BE6" w:rsidR="003B7BFA" w:rsidRPr="002452CF" w:rsidRDefault="003B7BFA" w:rsidP="003B7BFA">
            <w:r>
              <w:rPr>
                <w:rFonts w:ascii="Times New Roman" w:hAnsi="Times New Roman"/>
                <w:sz w:val="24"/>
                <w:szCs w:val="24"/>
              </w:rPr>
              <w:t xml:space="preserve">Link de </w:t>
            </w:r>
            <w:r w:rsidRPr="005B2AD2">
              <w:rPr>
                <w:rFonts w:ascii="Times New Roman" w:hAnsi="Times New Roman"/>
                <w:sz w:val="24"/>
                <w:szCs w:val="24"/>
              </w:rPr>
              <w:t xml:space="preserve">acces: </w:t>
            </w:r>
            <w:hyperlink r:id="rId12" w:history="1">
              <w:r w:rsidRPr="003B7BFA">
                <w:rPr>
                  <w:rStyle w:val="Hyperlink"/>
                  <w:rFonts w:ascii="Times New Roman" w:hAnsi="Times New Roman"/>
                  <w:sz w:val="24"/>
                  <w:szCs w:val="24"/>
                </w:rPr>
                <w:t>https://particip.gov.md/ro/document/stages/ministerul-sanatatii-anunta-initierea-elaborarii-proiectului-hotararii-guvernului-cu-privire-la-stab/15808</w:t>
              </w:r>
            </w:hyperlink>
            <w:r>
              <w:t xml:space="preserve"> </w:t>
            </w:r>
          </w:p>
          <w:p w14:paraId="114B7DF5" w14:textId="457BB9F1" w:rsidR="0069071B" w:rsidRPr="00737B80" w:rsidRDefault="003B7BFA" w:rsidP="003B7BFA">
            <w:pPr>
              <w:rPr>
                <w:rFonts w:ascii="Times New Roman" w:hAnsi="Times New Roman"/>
                <w:i/>
                <w:iCs/>
                <w:sz w:val="24"/>
                <w:szCs w:val="24"/>
              </w:rPr>
            </w:pPr>
            <w:r w:rsidRPr="00AD7416">
              <w:rPr>
                <w:rFonts w:ascii="Times New Roman" w:hAnsi="Times New Roman"/>
                <w:sz w:val="24"/>
                <w:szCs w:val="24"/>
              </w:rPr>
              <w:t>Avizele (obiecțiile și recomandările) primate în cadrul procesului de avizare publică au fost examinate și integrate în Tabel</w:t>
            </w:r>
            <w:r>
              <w:rPr>
                <w:rFonts w:ascii="Times New Roman" w:hAnsi="Times New Roman"/>
                <w:sz w:val="24"/>
                <w:szCs w:val="24"/>
              </w:rPr>
              <w:t>ul</w:t>
            </w:r>
            <w:r w:rsidRPr="00AD7416">
              <w:rPr>
                <w:rFonts w:ascii="Times New Roman" w:hAnsi="Times New Roman"/>
                <w:sz w:val="24"/>
                <w:szCs w:val="24"/>
              </w:rPr>
              <w:t xml:space="preserve"> de Sinteză.</w:t>
            </w:r>
          </w:p>
        </w:tc>
      </w:tr>
      <w:tr w:rsidR="00627AB7" w:rsidRPr="00EB4ECA" w14:paraId="6F6C8E29" w14:textId="77777777" w:rsidTr="0069071B">
        <w:tc>
          <w:tcPr>
            <w:tcW w:w="935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E27942F" w14:textId="77777777" w:rsidR="00627AB7" w:rsidRPr="00EB4ECA" w:rsidRDefault="00627AB7" w:rsidP="00627AB7">
            <w:pPr>
              <w:rPr>
                <w:rFonts w:ascii="Times New Roman" w:hAnsi="Times New Roman"/>
                <w:b/>
                <w:bCs/>
                <w:sz w:val="24"/>
                <w:szCs w:val="24"/>
              </w:rPr>
            </w:pPr>
            <w:r w:rsidRPr="00EB4ECA">
              <w:rPr>
                <w:rFonts w:ascii="Times New Roman" w:hAnsi="Times New Roman"/>
                <w:b/>
                <w:bCs/>
                <w:sz w:val="24"/>
                <w:szCs w:val="24"/>
              </w:rPr>
              <w:lastRenderedPageBreak/>
              <w:t>7. Concluziile expertizelor</w:t>
            </w:r>
          </w:p>
        </w:tc>
      </w:tr>
      <w:tr w:rsidR="00627AB7" w:rsidRPr="00EB4ECA" w14:paraId="7EB85FA6" w14:textId="77777777" w:rsidTr="0069071B">
        <w:tc>
          <w:tcPr>
            <w:tcW w:w="9356"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5B3E43B5" w14:textId="3C5E1D30" w:rsidR="00C706CE" w:rsidRPr="00C706CE" w:rsidRDefault="00737B80" w:rsidP="00737B80">
            <w:pPr>
              <w:ind w:firstLine="0"/>
              <w:rPr>
                <w:rFonts w:ascii="Times New Roman" w:hAnsi="Times New Roman"/>
                <w:sz w:val="24"/>
                <w:szCs w:val="24"/>
              </w:rPr>
            </w:pPr>
            <w:r>
              <w:rPr>
                <w:rFonts w:ascii="Times New Roman" w:hAnsi="Times New Roman"/>
                <w:sz w:val="24"/>
                <w:szCs w:val="24"/>
              </w:rPr>
              <w:t xml:space="preserve">             </w:t>
            </w:r>
            <w:r w:rsidR="00143DAC" w:rsidRPr="00143DAC">
              <w:rPr>
                <w:rFonts w:ascii="Times New Roman" w:hAnsi="Times New Roman"/>
                <w:sz w:val="24"/>
                <w:szCs w:val="24"/>
              </w:rPr>
              <w:t xml:space="preserve">Proiectul </w:t>
            </w:r>
            <w:r w:rsidR="00222944">
              <w:rPr>
                <w:rFonts w:ascii="Times New Roman" w:hAnsi="Times New Roman"/>
                <w:sz w:val="24"/>
                <w:szCs w:val="24"/>
              </w:rPr>
              <w:t>a fost supus</w:t>
            </w:r>
            <w:r w:rsidR="00143DAC" w:rsidRPr="00143DAC">
              <w:rPr>
                <w:rFonts w:ascii="Times New Roman" w:hAnsi="Times New Roman"/>
                <w:sz w:val="24"/>
                <w:szCs w:val="24"/>
              </w:rPr>
              <w:t xml:space="preserve"> expertizei juridice conform art. 37 și expertizei anticorupție conform prevederilor art. 36 din Legea nr. 100/2017 cu privire la actele normative.</w:t>
            </w:r>
            <w:r w:rsidR="00222944" w:rsidRPr="00222944">
              <w:rPr>
                <w:rFonts w:ascii="Times New Roman" w:hAnsi="Times New Roman"/>
                <w:sz w:val="24"/>
                <w:szCs w:val="24"/>
              </w:rPr>
              <w:t xml:space="preserve"> </w:t>
            </w:r>
            <w:r w:rsidR="00222944">
              <w:rPr>
                <w:rFonts w:ascii="Times New Roman" w:hAnsi="Times New Roman"/>
                <w:sz w:val="24"/>
                <w:szCs w:val="24"/>
              </w:rPr>
              <w:t>R</w:t>
            </w:r>
            <w:r w:rsidR="00222944" w:rsidRPr="00222944">
              <w:rPr>
                <w:rFonts w:ascii="Times New Roman" w:hAnsi="Times New Roman"/>
                <w:sz w:val="24"/>
                <w:szCs w:val="24"/>
              </w:rPr>
              <w:t>ecomandările formulate în cadrul</w:t>
            </w:r>
            <w:r w:rsidR="00222944">
              <w:rPr>
                <w:rFonts w:ascii="Times New Roman" w:hAnsi="Times New Roman"/>
                <w:sz w:val="24"/>
                <w:szCs w:val="24"/>
              </w:rPr>
              <w:t xml:space="preserve"> expertizării</w:t>
            </w:r>
            <w:r w:rsidR="00222944" w:rsidRPr="00222944">
              <w:rPr>
                <w:rFonts w:ascii="Times New Roman" w:hAnsi="Times New Roman"/>
                <w:sz w:val="24"/>
                <w:szCs w:val="24"/>
              </w:rPr>
              <w:t xml:space="preserve"> au fost </w:t>
            </w:r>
            <w:r w:rsidR="00222944">
              <w:rPr>
                <w:rFonts w:ascii="Times New Roman" w:hAnsi="Times New Roman"/>
                <w:sz w:val="24"/>
                <w:szCs w:val="24"/>
              </w:rPr>
              <w:t>reflectate</w:t>
            </w:r>
            <w:r w:rsidR="00222944" w:rsidRPr="00222944">
              <w:rPr>
                <w:rFonts w:ascii="Times New Roman" w:hAnsi="Times New Roman"/>
                <w:sz w:val="24"/>
                <w:szCs w:val="24"/>
              </w:rPr>
              <w:t xml:space="preserve"> integral în redacția finală a proiectului.</w:t>
            </w:r>
          </w:p>
        </w:tc>
      </w:tr>
      <w:tr w:rsidR="00627AB7" w:rsidRPr="00EB4ECA" w14:paraId="16BD3052" w14:textId="77777777" w:rsidTr="0069071B">
        <w:tc>
          <w:tcPr>
            <w:tcW w:w="935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023A6EE6" w14:textId="77777777" w:rsidR="00627AB7" w:rsidRPr="00EB4ECA" w:rsidRDefault="00627AB7" w:rsidP="00627AB7">
            <w:pPr>
              <w:rPr>
                <w:rFonts w:ascii="Times New Roman" w:hAnsi="Times New Roman"/>
                <w:b/>
                <w:bCs/>
                <w:sz w:val="24"/>
                <w:szCs w:val="24"/>
              </w:rPr>
            </w:pPr>
            <w:r w:rsidRPr="00EB4ECA">
              <w:rPr>
                <w:rFonts w:ascii="Times New Roman" w:hAnsi="Times New Roman"/>
                <w:b/>
                <w:bCs/>
                <w:sz w:val="24"/>
                <w:szCs w:val="24"/>
              </w:rPr>
              <w:t>8. Modul de încorporare a actului în cadrul normativ existent</w:t>
            </w:r>
          </w:p>
        </w:tc>
      </w:tr>
      <w:tr w:rsidR="00627AB7" w:rsidRPr="00EB4ECA" w14:paraId="0711B3EF" w14:textId="77777777" w:rsidTr="0069071B">
        <w:tc>
          <w:tcPr>
            <w:tcW w:w="935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FB91B6" w14:textId="62E0E487" w:rsidR="00627AB7" w:rsidRPr="00EB4ECA" w:rsidRDefault="00627AB7" w:rsidP="00FA76A3">
            <w:pPr>
              <w:ind w:firstLine="738"/>
              <w:rPr>
                <w:rFonts w:ascii="Times New Roman" w:hAnsi="Times New Roman"/>
                <w:sz w:val="24"/>
                <w:szCs w:val="24"/>
              </w:rPr>
            </w:pPr>
            <w:r w:rsidRPr="00007011">
              <w:rPr>
                <w:rFonts w:ascii="Times New Roman" w:hAnsi="Times New Roman"/>
                <w:sz w:val="24"/>
                <w:szCs w:val="24"/>
              </w:rPr>
              <w:t>Proiectul propus se încadrează și este în conformitate cu prevederile actelor normative. Implementarea acestuia nu prevede operarea modificărilor actelor normative.</w:t>
            </w:r>
          </w:p>
        </w:tc>
      </w:tr>
      <w:tr w:rsidR="00627AB7" w:rsidRPr="00EB4ECA" w14:paraId="5B0C32C1" w14:textId="77777777" w:rsidTr="0069071B">
        <w:tc>
          <w:tcPr>
            <w:tcW w:w="935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D308FDF" w14:textId="77777777" w:rsidR="00627AB7" w:rsidRPr="00EB4ECA" w:rsidRDefault="00627AB7" w:rsidP="00627AB7">
            <w:pPr>
              <w:rPr>
                <w:rFonts w:ascii="Times New Roman" w:hAnsi="Times New Roman"/>
                <w:b/>
                <w:bCs/>
                <w:sz w:val="24"/>
                <w:szCs w:val="24"/>
              </w:rPr>
            </w:pPr>
            <w:r w:rsidRPr="00EB4ECA">
              <w:rPr>
                <w:rFonts w:ascii="Times New Roman" w:hAnsi="Times New Roman"/>
                <w:b/>
                <w:bCs/>
                <w:sz w:val="24"/>
                <w:szCs w:val="24"/>
              </w:rPr>
              <w:t>9. Măsurile necesare pentru implementarea prevederilor proiectului actului normativ</w:t>
            </w:r>
          </w:p>
        </w:tc>
      </w:tr>
      <w:tr w:rsidR="00627AB7" w:rsidRPr="00EB4ECA" w14:paraId="23FB45F3" w14:textId="77777777" w:rsidTr="0069071B">
        <w:trPr>
          <w:trHeight w:val="60"/>
        </w:trPr>
        <w:tc>
          <w:tcPr>
            <w:tcW w:w="935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5504886" w14:textId="22BE2CF7" w:rsidR="00627AB7" w:rsidRPr="00EB4ECA" w:rsidRDefault="000E64F8" w:rsidP="00627AB7">
            <w:pPr>
              <w:rPr>
                <w:rFonts w:ascii="Times New Roman" w:hAnsi="Times New Roman"/>
                <w:sz w:val="24"/>
                <w:szCs w:val="24"/>
              </w:rPr>
            </w:pPr>
            <w:r w:rsidRPr="000E64F8">
              <w:rPr>
                <w:rFonts w:ascii="Times New Roman" w:hAnsi="Times New Roman"/>
                <w:sz w:val="24"/>
                <w:szCs w:val="24"/>
              </w:rPr>
              <w:t xml:space="preserve">În vederea implementării proiectului, este imperativă </w:t>
            </w:r>
            <w:r>
              <w:rPr>
                <w:rFonts w:ascii="Times New Roman" w:hAnsi="Times New Roman"/>
                <w:sz w:val="24"/>
                <w:szCs w:val="24"/>
              </w:rPr>
              <w:t>informarea</w:t>
            </w:r>
            <w:r w:rsidRPr="000E64F8">
              <w:rPr>
                <w:rFonts w:ascii="Times New Roman" w:hAnsi="Times New Roman"/>
                <w:sz w:val="24"/>
                <w:szCs w:val="24"/>
              </w:rPr>
              <w:t xml:space="preserve"> operatorilor economici</w:t>
            </w:r>
            <w:r>
              <w:rPr>
                <w:rFonts w:ascii="Times New Roman" w:hAnsi="Times New Roman"/>
                <w:sz w:val="24"/>
                <w:szCs w:val="24"/>
              </w:rPr>
              <w:t>/utilizatorilor</w:t>
            </w:r>
            <w:r w:rsidRPr="000E64F8">
              <w:rPr>
                <w:rFonts w:ascii="Times New Roman" w:hAnsi="Times New Roman"/>
                <w:sz w:val="24"/>
                <w:szCs w:val="24"/>
              </w:rPr>
              <w:t xml:space="preserve"> cu privire la cuantumul anual de alcool etilic nedenaturat alocat sectorului farmaceutic și medical pentru anul 202</w:t>
            </w:r>
            <w:r w:rsidR="00D23545">
              <w:rPr>
                <w:rFonts w:ascii="Times New Roman" w:hAnsi="Times New Roman"/>
                <w:sz w:val="24"/>
                <w:szCs w:val="24"/>
              </w:rPr>
              <w:t>6</w:t>
            </w:r>
            <w:r w:rsidRPr="000E64F8">
              <w:rPr>
                <w:rFonts w:ascii="Times New Roman" w:hAnsi="Times New Roman"/>
                <w:sz w:val="24"/>
                <w:szCs w:val="24"/>
              </w:rPr>
              <w:t>.</w:t>
            </w:r>
          </w:p>
        </w:tc>
      </w:tr>
    </w:tbl>
    <w:p w14:paraId="79B74C1F" w14:textId="77777777" w:rsidR="008B4BE6" w:rsidRPr="0089642F" w:rsidRDefault="008B4BE6"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rPr>
      </w:pPr>
    </w:p>
    <w:p w14:paraId="09E0B24B" w14:textId="77777777" w:rsidR="0069071B" w:rsidRDefault="0069071B" w:rsidP="00D842C7">
      <w:pPr>
        <w:jc w:val="center"/>
        <w:rPr>
          <w:b/>
          <w:sz w:val="24"/>
          <w:szCs w:val="24"/>
        </w:rPr>
      </w:pPr>
    </w:p>
    <w:p w14:paraId="71BE0EFB" w14:textId="77777777" w:rsidR="0069071B" w:rsidRDefault="0069071B" w:rsidP="00D842C7">
      <w:pPr>
        <w:jc w:val="center"/>
        <w:rPr>
          <w:b/>
          <w:sz w:val="24"/>
          <w:szCs w:val="24"/>
        </w:rPr>
      </w:pPr>
    </w:p>
    <w:p w14:paraId="0DD9ED38" w14:textId="548C7D3F" w:rsidR="00D842C7" w:rsidRPr="0089642F" w:rsidRDefault="00C706CE" w:rsidP="001D3D1A">
      <w:pPr>
        <w:ind w:firstLine="0"/>
        <w:jc w:val="left"/>
        <w:rPr>
          <w:b/>
          <w:sz w:val="24"/>
          <w:szCs w:val="24"/>
        </w:rPr>
      </w:pPr>
      <w:r>
        <w:rPr>
          <w:b/>
          <w:sz w:val="24"/>
          <w:szCs w:val="24"/>
        </w:rPr>
        <w:t>Ministru</w:t>
      </w:r>
      <w:r w:rsidR="00D842C7" w:rsidRPr="0089642F">
        <w:rPr>
          <w:b/>
          <w:sz w:val="24"/>
          <w:szCs w:val="24"/>
        </w:rPr>
        <w:t xml:space="preserve"> </w:t>
      </w:r>
      <w:r w:rsidR="00D842C7" w:rsidRPr="0089642F">
        <w:rPr>
          <w:b/>
          <w:sz w:val="24"/>
          <w:szCs w:val="24"/>
        </w:rPr>
        <w:tab/>
      </w:r>
      <w:r w:rsidR="00D842C7" w:rsidRPr="0089642F">
        <w:rPr>
          <w:b/>
          <w:sz w:val="24"/>
          <w:szCs w:val="24"/>
        </w:rPr>
        <w:tab/>
      </w:r>
      <w:r w:rsidR="00D842C7" w:rsidRPr="0089642F">
        <w:rPr>
          <w:b/>
          <w:sz w:val="24"/>
          <w:szCs w:val="24"/>
        </w:rPr>
        <w:tab/>
      </w:r>
      <w:r w:rsidR="00D842C7" w:rsidRPr="0089642F">
        <w:rPr>
          <w:b/>
          <w:sz w:val="24"/>
          <w:szCs w:val="24"/>
        </w:rPr>
        <w:tab/>
      </w:r>
      <w:r w:rsidR="0069071B">
        <w:rPr>
          <w:b/>
          <w:sz w:val="24"/>
          <w:szCs w:val="24"/>
        </w:rPr>
        <w:t xml:space="preserve">                </w:t>
      </w:r>
      <w:r w:rsidR="001D3D1A">
        <w:rPr>
          <w:b/>
          <w:sz w:val="24"/>
          <w:szCs w:val="24"/>
        </w:rPr>
        <w:t xml:space="preserve">      </w:t>
      </w:r>
      <w:r w:rsidR="0069071B">
        <w:rPr>
          <w:b/>
          <w:sz w:val="24"/>
          <w:szCs w:val="24"/>
        </w:rPr>
        <w:t xml:space="preserve">                </w:t>
      </w:r>
      <w:r w:rsidR="004356C3">
        <w:rPr>
          <w:b/>
          <w:sz w:val="24"/>
          <w:szCs w:val="24"/>
        </w:rPr>
        <w:t>Emil CEBAN</w:t>
      </w:r>
    </w:p>
    <w:p w14:paraId="2FBA018B" w14:textId="1735F5D1" w:rsidR="00D842C7" w:rsidRPr="0089642F" w:rsidRDefault="00334C73"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r>
        <w:rPr>
          <w:sz w:val="24"/>
          <w:szCs w:val="24"/>
          <w:lang w:val="ro-RO"/>
        </w:rPr>
        <w:t xml:space="preserve"> </w:t>
      </w:r>
    </w:p>
    <w:sectPr w:rsidR="00D842C7" w:rsidRPr="0089642F" w:rsidSect="00A92AD9">
      <w:headerReference w:type="default" r:id="rId13"/>
      <w:footerReference w:type="default" r:id="rId14"/>
      <w:headerReference w:type="first" r:id="rId15"/>
      <w:pgSz w:w="11907" w:h="16840"/>
      <w:pgMar w:top="1440" w:right="1440" w:bottom="1440" w:left="1440"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4C289" w14:textId="77777777" w:rsidR="001D05D0" w:rsidRPr="00D842C7" w:rsidRDefault="001D05D0">
      <w:r w:rsidRPr="00D842C7">
        <w:separator/>
      </w:r>
    </w:p>
  </w:endnote>
  <w:endnote w:type="continuationSeparator" w:id="0">
    <w:p w14:paraId="2956B700" w14:textId="77777777" w:rsidR="001D05D0" w:rsidRPr="00D842C7" w:rsidRDefault="001D05D0">
      <w:r w:rsidRPr="00D842C7">
        <w:continuationSeparator/>
      </w:r>
    </w:p>
  </w:endnote>
  <w:endnote w:type="continuationNotice" w:id="1">
    <w:p w14:paraId="56C3815E" w14:textId="77777777" w:rsidR="001D05D0" w:rsidRDefault="001D05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Calibri"/>
    <w:charset w:val="00"/>
    <w:family w:val="swiss"/>
    <w:pitch w:val="variable"/>
    <w:sig w:usb0="00000003" w:usb1="00000000" w:usb2="00000000" w:usb3="00000000" w:csb0="00000001" w:csb1="00000000"/>
  </w:font>
  <w:font w:name="$Caslon">
    <w:altName w:val="Calibri"/>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35DD6" w14:textId="77777777" w:rsidR="00DC289C" w:rsidRDefault="00DC289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17530" w14:textId="77777777" w:rsidR="001D05D0" w:rsidRPr="00D842C7" w:rsidRDefault="001D05D0">
      <w:r w:rsidRPr="00D842C7">
        <w:separator/>
      </w:r>
    </w:p>
  </w:footnote>
  <w:footnote w:type="continuationSeparator" w:id="0">
    <w:p w14:paraId="4145197C" w14:textId="77777777" w:rsidR="001D05D0" w:rsidRPr="00D842C7" w:rsidRDefault="001D05D0">
      <w:r w:rsidRPr="00D842C7">
        <w:continuationSeparator/>
      </w:r>
    </w:p>
  </w:footnote>
  <w:footnote w:type="continuationNotice" w:id="1">
    <w:p w14:paraId="079E046B" w14:textId="77777777" w:rsidR="001D05D0" w:rsidRDefault="001D05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15C15" w14:textId="77777777" w:rsidR="00F964B4" w:rsidRPr="00D842C7" w:rsidRDefault="00F964B4" w:rsidP="009D4C0F">
    <w:pPr>
      <w:pStyle w:val="Antet"/>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F1921" w14:textId="77777777" w:rsidR="00F964B4" w:rsidRPr="00D842C7" w:rsidRDefault="00F964B4">
    <w:pPr>
      <w:pStyle w:val="Antet"/>
      <w:ind w:firstLine="0"/>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18C"/>
    <w:multiLevelType w:val="hybridMultilevel"/>
    <w:tmpl w:val="78E2D6A2"/>
    <w:lvl w:ilvl="0" w:tplc="08180001">
      <w:start w:val="1"/>
      <w:numFmt w:val="bullet"/>
      <w:lvlText w:val=""/>
      <w:lvlJc w:val="left"/>
      <w:pPr>
        <w:ind w:left="1429" w:hanging="360"/>
      </w:pPr>
      <w:rPr>
        <w:rFonts w:ascii="Symbol" w:hAnsi="Symbol" w:hint="default"/>
      </w:rPr>
    </w:lvl>
    <w:lvl w:ilvl="1" w:tplc="08180003" w:tentative="1">
      <w:start w:val="1"/>
      <w:numFmt w:val="bullet"/>
      <w:lvlText w:val="o"/>
      <w:lvlJc w:val="left"/>
      <w:pPr>
        <w:ind w:left="2149" w:hanging="360"/>
      </w:pPr>
      <w:rPr>
        <w:rFonts w:ascii="Courier New" w:hAnsi="Courier New" w:cs="Courier New" w:hint="default"/>
      </w:rPr>
    </w:lvl>
    <w:lvl w:ilvl="2" w:tplc="08180005" w:tentative="1">
      <w:start w:val="1"/>
      <w:numFmt w:val="bullet"/>
      <w:lvlText w:val=""/>
      <w:lvlJc w:val="left"/>
      <w:pPr>
        <w:ind w:left="2869" w:hanging="360"/>
      </w:pPr>
      <w:rPr>
        <w:rFonts w:ascii="Wingdings" w:hAnsi="Wingdings" w:hint="default"/>
      </w:rPr>
    </w:lvl>
    <w:lvl w:ilvl="3" w:tplc="08180001" w:tentative="1">
      <w:start w:val="1"/>
      <w:numFmt w:val="bullet"/>
      <w:lvlText w:val=""/>
      <w:lvlJc w:val="left"/>
      <w:pPr>
        <w:ind w:left="3589" w:hanging="360"/>
      </w:pPr>
      <w:rPr>
        <w:rFonts w:ascii="Symbol" w:hAnsi="Symbol" w:hint="default"/>
      </w:rPr>
    </w:lvl>
    <w:lvl w:ilvl="4" w:tplc="08180003" w:tentative="1">
      <w:start w:val="1"/>
      <w:numFmt w:val="bullet"/>
      <w:lvlText w:val="o"/>
      <w:lvlJc w:val="left"/>
      <w:pPr>
        <w:ind w:left="4309" w:hanging="360"/>
      </w:pPr>
      <w:rPr>
        <w:rFonts w:ascii="Courier New" w:hAnsi="Courier New" w:cs="Courier New" w:hint="default"/>
      </w:rPr>
    </w:lvl>
    <w:lvl w:ilvl="5" w:tplc="08180005" w:tentative="1">
      <w:start w:val="1"/>
      <w:numFmt w:val="bullet"/>
      <w:lvlText w:val=""/>
      <w:lvlJc w:val="left"/>
      <w:pPr>
        <w:ind w:left="5029" w:hanging="360"/>
      </w:pPr>
      <w:rPr>
        <w:rFonts w:ascii="Wingdings" w:hAnsi="Wingdings" w:hint="default"/>
      </w:rPr>
    </w:lvl>
    <w:lvl w:ilvl="6" w:tplc="08180001" w:tentative="1">
      <w:start w:val="1"/>
      <w:numFmt w:val="bullet"/>
      <w:lvlText w:val=""/>
      <w:lvlJc w:val="left"/>
      <w:pPr>
        <w:ind w:left="5749" w:hanging="360"/>
      </w:pPr>
      <w:rPr>
        <w:rFonts w:ascii="Symbol" w:hAnsi="Symbol" w:hint="default"/>
      </w:rPr>
    </w:lvl>
    <w:lvl w:ilvl="7" w:tplc="08180003" w:tentative="1">
      <w:start w:val="1"/>
      <w:numFmt w:val="bullet"/>
      <w:lvlText w:val="o"/>
      <w:lvlJc w:val="left"/>
      <w:pPr>
        <w:ind w:left="6469" w:hanging="360"/>
      </w:pPr>
      <w:rPr>
        <w:rFonts w:ascii="Courier New" w:hAnsi="Courier New" w:cs="Courier New" w:hint="default"/>
      </w:rPr>
    </w:lvl>
    <w:lvl w:ilvl="8" w:tplc="08180005" w:tentative="1">
      <w:start w:val="1"/>
      <w:numFmt w:val="bullet"/>
      <w:lvlText w:val=""/>
      <w:lvlJc w:val="left"/>
      <w:pPr>
        <w:ind w:left="7189" w:hanging="360"/>
      </w:pPr>
      <w:rPr>
        <w:rFonts w:ascii="Wingdings" w:hAnsi="Wingdings" w:hint="default"/>
      </w:rPr>
    </w:lvl>
  </w:abstractNum>
  <w:abstractNum w:abstractNumId="1" w15:restartNumberingAfterBreak="0">
    <w:nsid w:val="102B72B6"/>
    <w:multiLevelType w:val="hybridMultilevel"/>
    <w:tmpl w:val="518A7B48"/>
    <w:lvl w:ilvl="0" w:tplc="0409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 w15:restartNumberingAfterBreak="0">
    <w:nsid w:val="14E71119"/>
    <w:multiLevelType w:val="hybridMultilevel"/>
    <w:tmpl w:val="606222A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BC22719"/>
    <w:multiLevelType w:val="hybridMultilevel"/>
    <w:tmpl w:val="BCFA6A42"/>
    <w:lvl w:ilvl="0" w:tplc="91EA231E">
      <w:start w:val="3"/>
      <w:numFmt w:val="bullet"/>
      <w:lvlText w:val="-"/>
      <w:lvlJc w:val="left"/>
      <w:pPr>
        <w:ind w:left="949" w:hanging="360"/>
      </w:pPr>
      <w:rPr>
        <w:rFonts w:ascii="Times New Roman" w:eastAsia="Calibri" w:hAnsi="Times New Roman" w:cs="Times New Roman" w:hint="default"/>
      </w:rPr>
    </w:lvl>
    <w:lvl w:ilvl="1" w:tplc="04190003" w:tentative="1">
      <w:start w:val="1"/>
      <w:numFmt w:val="bullet"/>
      <w:lvlText w:val="o"/>
      <w:lvlJc w:val="left"/>
      <w:pPr>
        <w:ind w:left="1669" w:hanging="360"/>
      </w:pPr>
      <w:rPr>
        <w:rFonts w:ascii="Courier New" w:hAnsi="Courier New" w:cs="Courier New" w:hint="default"/>
      </w:rPr>
    </w:lvl>
    <w:lvl w:ilvl="2" w:tplc="04190005" w:tentative="1">
      <w:start w:val="1"/>
      <w:numFmt w:val="bullet"/>
      <w:lvlText w:val=""/>
      <w:lvlJc w:val="left"/>
      <w:pPr>
        <w:ind w:left="2389" w:hanging="360"/>
      </w:pPr>
      <w:rPr>
        <w:rFonts w:ascii="Wingdings" w:hAnsi="Wingdings" w:hint="default"/>
      </w:rPr>
    </w:lvl>
    <w:lvl w:ilvl="3" w:tplc="04190001" w:tentative="1">
      <w:start w:val="1"/>
      <w:numFmt w:val="bullet"/>
      <w:lvlText w:val=""/>
      <w:lvlJc w:val="left"/>
      <w:pPr>
        <w:ind w:left="3109" w:hanging="360"/>
      </w:pPr>
      <w:rPr>
        <w:rFonts w:ascii="Symbol" w:hAnsi="Symbol" w:hint="default"/>
      </w:rPr>
    </w:lvl>
    <w:lvl w:ilvl="4" w:tplc="04190003" w:tentative="1">
      <w:start w:val="1"/>
      <w:numFmt w:val="bullet"/>
      <w:lvlText w:val="o"/>
      <w:lvlJc w:val="left"/>
      <w:pPr>
        <w:ind w:left="3829" w:hanging="360"/>
      </w:pPr>
      <w:rPr>
        <w:rFonts w:ascii="Courier New" w:hAnsi="Courier New" w:cs="Courier New" w:hint="default"/>
      </w:rPr>
    </w:lvl>
    <w:lvl w:ilvl="5" w:tplc="04190005" w:tentative="1">
      <w:start w:val="1"/>
      <w:numFmt w:val="bullet"/>
      <w:lvlText w:val=""/>
      <w:lvlJc w:val="left"/>
      <w:pPr>
        <w:ind w:left="4549" w:hanging="360"/>
      </w:pPr>
      <w:rPr>
        <w:rFonts w:ascii="Wingdings" w:hAnsi="Wingdings" w:hint="default"/>
      </w:rPr>
    </w:lvl>
    <w:lvl w:ilvl="6" w:tplc="04190001" w:tentative="1">
      <w:start w:val="1"/>
      <w:numFmt w:val="bullet"/>
      <w:lvlText w:val=""/>
      <w:lvlJc w:val="left"/>
      <w:pPr>
        <w:ind w:left="5269" w:hanging="360"/>
      </w:pPr>
      <w:rPr>
        <w:rFonts w:ascii="Symbol" w:hAnsi="Symbol" w:hint="default"/>
      </w:rPr>
    </w:lvl>
    <w:lvl w:ilvl="7" w:tplc="04190003" w:tentative="1">
      <w:start w:val="1"/>
      <w:numFmt w:val="bullet"/>
      <w:lvlText w:val="o"/>
      <w:lvlJc w:val="left"/>
      <w:pPr>
        <w:ind w:left="5989" w:hanging="360"/>
      </w:pPr>
      <w:rPr>
        <w:rFonts w:ascii="Courier New" w:hAnsi="Courier New" w:cs="Courier New" w:hint="default"/>
      </w:rPr>
    </w:lvl>
    <w:lvl w:ilvl="8" w:tplc="04190005" w:tentative="1">
      <w:start w:val="1"/>
      <w:numFmt w:val="bullet"/>
      <w:lvlText w:val=""/>
      <w:lvlJc w:val="left"/>
      <w:pPr>
        <w:ind w:left="6709" w:hanging="360"/>
      </w:pPr>
      <w:rPr>
        <w:rFonts w:ascii="Wingdings" w:hAnsi="Wingdings" w:hint="default"/>
      </w:rPr>
    </w:lvl>
  </w:abstractNum>
  <w:abstractNum w:abstractNumId="4" w15:restartNumberingAfterBreak="0">
    <w:nsid w:val="28725FE3"/>
    <w:multiLevelType w:val="multilevel"/>
    <w:tmpl w:val="CAB41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E44C57"/>
    <w:multiLevelType w:val="hybridMultilevel"/>
    <w:tmpl w:val="7C9A8C86"/>
    <w:lvl w:ilvl="0" w:tplc="BC78F63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420919A2"/>
    <w:multiLevelType w:val="multilevel"/>
    <w:tmpl w:val="03621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FE7A4F"/>
    <w:multiLevelType w:val="multilevel"/>
    <w:tmpl w:val="F3A48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297160"/>
    <w:multiLevelType w:val="hybridMultilevel"/>
    <w:tmpl w:val="9D36880C"/>
    <w:lvl w:ilvl="0" w:tplc="0409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9" w15:restartNumberingAfterBreak="0">
    <w:nsid w:val="77C45E2D"/>
    <w:multiLevelType w:val="hybridMultilevel"/>
    <w:tmpl w:val="5704CAF0"/>
    <w:lvl w:ilvl="0" w:tplc="0419000D">
      <w:start w:val="1"/>
      <w:numFmt w:val="bullet"/>
      <w:lvlText w:val=""/>
      <w:lvlJc w:val="left"/>
      <w:pPr>
        <w:ind w:left="1146" w:hanging="360"/>
      </w:pPr>
      <w:rPr>
        <w:rFonts w:ascii="Wingdings" w:hAnsi="Wingdings"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10" w15:restartNumberingAfterBreak="0">
    <w:nsid w:val="79050EB2"/>
    <w:multiLevelType w:val="multilevel"/>
    <w:tmpl w:val="CE124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5863176">
    <w:abstractNumId w:val="9"/>
  </w:num>
  <w:num w:numId="2" w16cid:durableId="283125718">
    <w:abstractNumId w:val="2"/>
  </w:num>
  <w:num w:numId="3" w16cid:durableId="875851116">
    <w:abstractNumId w:val="5"/>
  </w:num>
  <w:num w:numId="4" w16cid:durableId="1806968113">
    <w:abstractNumId w:val="3"/>
  </w:num>
  <w:num w:numId="5" w16cid:durableId="2021393634">
    <w:abstractNumId w:val="1"/>
  </w:num>
  <w:num w:numId="6" w16cid:durableId="493226476">
    <w:abstractNumId w:val="4"/>
  </w:num>
  <w:num w:numId="7" w16cid:durableId="521749252">
    <w:abstractNumId w:val="6"/>
  </w:num>
  <w:num w:numId="8" w16cid:durableId="841580448">
    <w:abstractNumId w:val="0"/>
  </w:num>
  <w:num w:numId="9" w16cid:durableId="1092749044">
    <w:abstractNumId w:val="8"/>
  </w:num>
  <w:num w:numId="10" w16cid:durableId="1234581185">
    <w:abstractNumId w:val="10"/>
  </w:num>
  <w:num w:numId="11" w16cid:durableId="604338863">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13460"/>
    <w:rsid w:val="00013804"/>
    <w:rsid w:val="00013AC9"/>
    <w:rsid w:val="0001747F"/>
    <w:rsid w:val="0002435C"/>
    <w:rsid w:val="000251C0"/>
    <w:rsid w:val="00026CC0"/>
    <w:rsid w:val="0003153E"/>
    <w:rsid w:val="00031B49"/>
    <w:rsid w:val="00032B46"/>
    <w:rsid w:val="00036ABB"/>
    <w:rsid w:val="000409A8"/>
    <w:rsid w:val="000417F0"/>
    <w:rsid w:val="0004289C"/>
    <w:rsid w:val="00043AC7"/>
    <w:rsid w:val="00044CF8"/>
    <w:rsid w:val="00044D19"/>
    <w:rsid w:val="00052045"/>
    <w:rsid w:val="00054810"/>
    <w:rsid w:val="00056CB8"/>
    <w:rsid w:val="00057D78"/>
    <w:rsid w:val="000713DA"/>
    <w:rsid w:val="00071EAA"/>
    <w:rsid w:val="0007236F"/>
    <w:rsid w:val="00075A5F"/>
    <w:rsid w:val="000775F8"/>
    <w:rsid w:val="00081267"/>
    <w:rsid w:val="00085029"/>
    <w:rsid w:val="000A6BA5"/>
    <w:rsid w:val="000B3D87"/>
    <w:rsid w:val="000B50EE"/>
    <w:rsid w:val="000C041B"/>
    <w:rsid w:val="000C2AB4"/>
    <w:rsid w:val="000D2263"/>
    <w:rsid w:val="000D5C74"/>
    <w:rsid w:val="000E1C70"/>
    <w:rsid w:val="000E1D40"/>
    <w:rsid w:val="000E2800"/>
    <w:rsid w:val="000E64F8"/>
    <w:rsid w:val="000F11B9"/>
    <w:rsid w:val="000F3F44"/>
    <w:rsid w:val="000F497A"/>
    <w:rsid w:val="000F575E"/>
    <w:rsid w:val="00102AD8"/>
    <w:rsid w:val="00107F79"/>
    <w:rsid w:val="00113956"/>
    <w:rsid w:val="00116035"/>
    <w:rsid w:val="001211EA"/>
    <w:rsid w:val="00122FFF"/>
    <w:rsid w:val="00125389"/>
    <w:rsid w:val="001271FB"/>
    <w:rsid w:val="00134924"/>
    <w:rsid w:val="0013773B"/>
    <w:rsid w:val="00143389"/>
    <w:rsid w:val="00143CC4"/>
    <w:rsid w:val="00143DAC"/>
    <w:rsid w:val="001452CD"/>
    <w:rsid w:val="0015146D"/>
    <w:rsid w:val="001555A6"/>
    <w:rsid w:val="00157D40"/>
    <w:rsid w:val="00160BA5"/>
    <w:rsid w:val="00162542"/>
    <w:rsid w:val="00162BE7"/>
    <w:rsid w:val="00166BE4"/>
    <w:rsid w:val="0017006C"/>
    <w:rsid w:val="0017040E"/>
    <w:rsid w:val="00174E20"/>
    <w:rsid w:val="00184334"/>
    <w:rsid w:val="00185AC8"/>
    <w:rsid w:val="001902FB"/>
    <w:rsid w:val="00191428"/>
    <w:rsid w:val="00193913"/>
    <w:rsid w:val="001A25C3"/>
    <w:rsid w:val="001A37C7"/>
    <w:rsid w:val="001B3BE4"/>
    <w:rsid w:val="001B5818"/>
    <w:rsid w:val="001B60D5"/>
    <w:rsid w:val="001B66A4"/>
    <w:rsid w:val="001B6E6E"/>
    <w:rsid w:val="001C3F21"/>
    <w:rsid w:val="001C4EEE"/>
    <w:rsid w:val="001D05D0"/>
    <w:rsid w:val="001D2FA2"/>
    <w:rsid w:val="001D3D1A"/>
    <w:rsid w:val="001D4BB5"/>
    <w:rsid w:val="001E1488"/>
    <w:rsid w:val="001E2024"/>
    <w:rsid w:val="001E4497"/>
    <w:rsid w:val="001E56D0"/>
    <w:rsid w:val="001F0570"/>
    <w:rsid w:val="001F2097"/>
    <w:rsid w:val="002000EB"/>
    <w:rsid w:val="00200223"/>
    <w:rsid w:val="00200516"/>
    <w:rsid w:val="00205100"/>
    <w:rsid w:val="0020794F"/>
    <w:rsid w:val="0021216C"/>
    <w:rsid w:val="002158DD"/>
    <w:rsid w:val="002164C9"/>
    <w:rsid w:val="002170A5"/>
    <w:rsid w:val="00222944"/>
    <w:rsid w:val="00225C71"/>
    <w:rsid w:val="00230761"/>
    <w:rsid w:val="00231514"/>
    <w:rsid w:val="002347A3"/>
    <w:rsid w:val="00236E65"/>
    <w:rsid w:val="002372B8"/>
    <w:rsid w:val="00240AC0"/>
    <w:rsid w:val="002453BD"/>
    <w:rsid w:val="00251BF7"/>
    <w:rsid w:val="00257353"/>
    <w:rsid w:val="0026325B"/>
    <w:rsid w:val="00263555"/>
    <w:rsid w:val="0027205C"/>
    <w:rsid w:val="002721D2"/>
    <w:rsid w:val="0027425A"/>
    <w:rsid w:val="00276B91"/>
    <w:rsid w:val="0028093A"/>
    <w:rsid w:val="00281C80"/>
    <w:rsid w:val="00284F35"/>
    <w:rsid w:val="00291F07"/>
    <w:rsid w:val="002950E0"/>
    <w:rsid w:val="002954C4"/>
    <w:rsid w:val="002A0F0F"/>
    <w:rsid w:val="002A1B40"/>
    <w:rsid w:val="002A2BE8"/>
    <w:rsid w:val="002A3A10"/>
    <w:rsid w:val="002B07BD"/>
    <w:rsid w:val="002B2C1C"/>
    <w:rsid w:val="002B5444"/>
    <w:rsid w:val="002B547F"/>
    <w:rsid w:val="002B55FA"/>
    <w:rsid w:val="002C21E9"/>
    <w:rsid w:val="002C7277"/>
    <w:rsid w:val="002D20B9"/>
    <w:rsid w:val="002D38C5"/>
    <w:rsid w:val="002E16CC"/>
    <w:rsid w:val="002E4217"/>
    <w:rsid w:val="002E505B"/>
    <w:rsid w:val="002E6277"/>
    <w:rsid w:val="002F1F98"/>
    <w:rsid w:val="002F30F7"/>
    <w:rsid w:val="002F3DAA"/>
    <w:rsid w:val="002F5F1E"/>
    <w:rsid w:val="002F7FB5"/>
    <w:rsid w:val="00301D7D"/>
    <w:rsid w:val="0031555D"/>
    <w:rsid w:val="00315655"/>
    <w:rsid w:val="00315B32"/>
    <w:rsid w:val="00315BDC"/>
    <w:rsid w:val="00321F8E"/>
    <w:rsid w:val="00324559"/>
    <w:rsid w:val="003272BC"/>
    <w:rsid w:val="00327C88"/>
    <w:rsid w:val="00334C0F"/>
    <w:rsid w:val="00334C73"/>
    <w:rsid w:val="003358FF"/>
    <w:rsid w:val="00346EC3"/>
    <w:rsid w:val="00347B79"/>
    <w:rsid w:val="003509A8"/>
    <w:rsid w:val="00354545"/>
    <w:rsid w:val="0036135C"/>
    <w:rsid w:val="00362D0C"/>
    <w:rsid w:val="0036518F"/>
    <w:rsid w:val="00365556"/>
    <w:rsid w:val="0036768D"/>
    <w:rsid w:val="00374362"/>
    <w:rsid w:val="00377B12"/>
    <w:rsid w:val="00380147"/>
    <w:rsid w:val="00381C7D"/>
    <w:rsid w:val="00382618"/>
    <w:rsid w:val="00385C9B"/>
    <w:rsid w:val="003872BA"/>
    <w:rsid w:val="00387D77"/>
    <w:rsid w:val="00390791"/>
    <w:rsid w:val="003922EF"/>
    <w:rsid w:val="00394A57"/>
    <w:rsid w:val="0039620E"/>
    <w:rsid w:val="00397415"/>
    <w:rsid w:val="003A2CB2"/>
    <w:rsid w:val="003A4D1C"/>
    <w:rsid w:val="003B00EA"/>
    <w:rsid w:val="003B257A"/>
    <w:rsid w:val="003B4F74"/>
    <w:rsid w:val="003B7521"/>
    <w:rsid w:val="003B7BFA"/>
    <w:rsid w:val="003C0C4D"/>
    <w:rsid w:val="003C11CC"/>
    <w:rsid w:val="003C3DB4"/>
    <w:rsid w:val="003C3EB9"/>
    <w:rsid w:val="003C5E5C"/>
    <w:rsid w:val="003D554B"/>
    <w:rsid w:val="003D5E8B"/>
    <w:rsid w:val="003E3748"/>
    <w:rsid w:val="003E47E8"/>
    <w:rsid w:val="003E4DA7"/>
    <w:rsid w:val="003F0CD8"/>
    <w:rsid w:val="003F6D00"/>
    <w:rsid w:val="003F6D9D"/>
    <w:rsid w:val="00400CBA"/>
    <w:rsid w:val="00405019"/>
    <w:rsid w:val="00406BA9"/>
    <w:rsid w:val="00410C9A"/>
    <w:rsid w:val="00421AB5"/>
    <w:rsid w:val="00424212"/>
    <w:rsid w:val="00424CF9"/>
    <w:rsid w:val="0043208D"/>
    <w:rsid w:val="004333B4"/>
    <w:rsid w:val="00434203"/>
    <w:rsid w:val="004356C3"/>
    <w:rsid w:val="0043694D"/>
    <w:rsid w:val="00437216"/>
    <w:rsid w:val="004467D0"/>
    <w:rsid w:val="00452C3E"/>
    <w:rsid w:val="00452C6C"/>
    <w:rsid w:val="0045451B"/>
    <w:rsid w:val="004602CE"/>
    <w:rsid w:val="00464294"/>
    <w:rsid w:val="004735CE"/>
    <w:rsid w:val="004740B3"/>
    <w:rsid w:val="00474658"/>
    <w:rsid w:val="00474F8E"/>
    <w:rsid w:val="0047797E"/>
    <w:rsid w:val="00493D3B"/>
    <w:rsid w:val="00497F06"/>
    <w:rsid w:val="004A2E3C"/>
    <w:rsid w:val="004A3757"/>
    <w:rsid w:val="004B1283"/>
    <w:rsid w:val="004B79AD"/>
    <w:rsid w:val="004B7B6D"/>
    <w:rsid w:val="004C6034"/>
    <w:rsid w:val="004D0C8D"/>
    <w:rsid w:val="004D0E4A"/>
    <w:rsid w:val="004D3941"/>
    <w:rsid w:val="004E2421"/>
    <w:rsid w:val="004E6489"/>
    <w:rsid w:val="004E6662"/>
    <w:rsid w:val="004F568A"/>
    <w:rsid w:val="005020EC"/>
    <w:rsid w:val="00512BBF"/>
    <w:rsid w:val="00513B1E"/>
    <w:rsid w:val="00516555"/>
    <w:rsid w:val="00524F6C"/>
    <w:rsid w:val="005256CF"/>
    <w:rsid w:val="00527CD5"/>
    <w:rsid w:val="00542C43"/>
    <w:rsid w:val="00544C5C"/>
    <w:rsid w:val="005475D8"/>
    <w:rsid w:val="00551299"/>
    <w:rsid w:val="005535FB"/>
    <w:rsid w:val="00555DF5"/>
    <w:rsid w:val="0056307E"/>
    <w:rsid w:val="005637F6"/>
    <w:rsid w:val="00572006"/>
    <w:rsid w:val="005733E2"/>
    <w:rsid w:val="00573E74"/>
    <w:rsid w:val="0057790F"/>
    <w:rsid w:val="00582470"/>
    <w:rsid w:val="00594DE5"/>
    <w:rsid w:val="005A074E"/>
    <w:rsid w:val="005A0D99"/>
    <w:rsid w:val="005A12D7"/>
    <w:rsid w:val="005A29D6"/>
    <w:rsid w:val="005B0C92"/>
    <w:rsid w:val="005B1AB0"/>
    <w:rsid w:val="005B42B6"/>
    <w:rsid w:val="005B7E20"/>
    <w:rsid w:val="005C1D42"/>
    <w:rsid w:val="005C412B"/>
    <w:rsid w:val="005C4835"/>
    <w:rsid w:val="005C5A53"/>
    <w:rsid w:val="005C7769"/>
    <w:rsid w:val="005D1B95"/>
    <w:rsid w:val="005D1DEB"/>
    <w:rsid w:val="005D59DD"/>
    <w:rsid w:val="005D5F1D"/>
    <w:rsid w:val="005E37E8"/>
    <w:rsid w:val="005F0F53"/>
    <w:rsid w:val="005F23E2"/>
    <w:rsid w:val="005F584A"/>
    <w:rsid w:val="0060625D"/>
    <w:rsid w:val="00611700"/>
    <w:rsid w:val="00611BAA"/>
    <w:rsid w:val="00612D18"/>
    <w:rsid w:val="00615BB7"/>
    <w:rsid w:val="00616A16"/>
    <w:rsid w:val="00616B93"/>
    <w:rsid w:val="00621954"/>
    <w:rsid w:val="00623361"/>
    <w:rsid w:val="00624BA9"/>
    <w:rsid w:val="0062575C"/>
    <w:rsid w:val="00627AB7"/>
    <w:rsid w:val="006339EB"/>
    <w:rsid w:val="006416F4"/>
    <w:rsid w:val="00647770"/>
    <w:rsid w:val="006559E3"/>
    <w:rsid w:val="00656480"/>
    <w:rsid w:val="00657577"/>
    <w:rsid w:val="00664DD3"/>
    <w:rsid w:val="006660B2"/>
    <w:rsid w:val="0067056E"/>
    <w:rsid w:val="006739CA"/>
    <w:rsid w:val="0068258E"/>
    <w:rsid w:val="00683B97"/>
    <w:rsid w:val="00684281"/>
    <w:rsid w:val="00684316"/>
    <w:rsid w:val="006852FC"/>
    <w:rsid w:val="006855AC"/>
    <w:rsid w:val="006855E3"/>
    <w:rsid w:val="0069071B"/>
    <w:rsid w:val="00691790"/>
    <w:rsid w:val="006933C3"/>
    <w:rsid w:val="006956E6"/>
    <w:rsid w:val="00697045"/>
    <w:rsid w:val="00697893"/>
    <w:rsid w:val="00697D16"/>
    <w:rsid w:val="006A27BD"/>
    <w:rsid w:val="006A337B"/>
    <w:rsid w:val="006A4E08"/>
    <w:rsid w:val="006A57D6"/>
    <w:rsid w:val="006A58BC"/>
    <w:rsid w:val="006B1CF4"/>
    <w:rsid w:val="006B50A7"/>
    <w:rsid w:val="006B5CC3"/>
    <w:rsid w:val="006C3C04"/>
    <w:rsid w:val="006C40C7"/>
    <w:rsid w:val="006C5634"/>
    <w:rsid w:val="006D0563"/>
    <w:rsid w:val="006D3EB7"/>
    <w:rsid w:val="006D5880"/>
    <w:rsid w:val="006D744D"/>
    <w:rsid w:val="006D7B49"/>
    <w:rsid w:val="006E0A2E"/>
    <w:rsid w:val="006E1269"/>
    <w:rsid w:val="006E38E1"/>
    <w:rsid w:val="006E7D38"/>
    <w:rsid w:val="006F0870"/>
    <w:rsid w:val="006F43CA"/>
    <w:rsid w:val="006F7EF4"/>
    <w:rsid w:val="007026DD"/>
    <w:rsid w:val="00702770"/>
    <w:rsid w:val="00703FCE"/>
    <w:rsid w:val="00707B68"/>
    <w:rsid w:val="007126C4"/>
    <w:rsid w:val="00715CD5"/>
    <w:rsid w:val="00721EFC"/>
    <w:rsid w:val="007258CF"/>
    <w:rsid w:val="0073109C"/>
    <w:rsid w:val="0073367E"/>
    <w:rsid w:val="00737731"/>
    <w:rsid w:val="00737B80"/>
    <w:rsid w:val="00740210"/>
    <w:rsid w:val="007411D5"/>
    <w:rsid w:val="00747A63"/>
    <w:rsid w:val="00756648"/>
    <w:rsid w:val="00764A20"/>
    <w:rsid w:val="007724CE"/>
    <w:rsid w:val="00780C21"/>
    <w:rsid w:val="0079167D"/>
    <w:rsid w:val="00791FD6"/>
    <w:rsid w:val="007A0931"/>
    <w:rsid w:val="007A285F"/>
    <w:rsid w:val="007A4309"/>
    <w:rsid w:val="007B1AE2"/>
    <w:rsid w:val="007B627D"/>
    <w:rsid w:val="007B6E7F"/>
    <w:rsid w:val="007C08CD"/>
    <w:rsid w:val="007C49A3"/>
    <w:rsid w:val="007C53A1"/>
    <w:rsid w:val="007C58BD"/>
    <w:rsid w:val="007C5D4B"/>
    <w:rsid w:val="007D00B1"/>
    <w:rsid w:val="007D0E36"/>
    <w:rsid w:val="007E3F69"/>
    <w:rsid w:val="007E7735"/>
    <w:rsid w:val="007F03CC"/>
    <w:rsid w:val="007F1254"/>
    <w:rsid w:val="007F1374"/>
    <w:rsid w:val="00800EE1"/>
    <w:rsid w:val="00811CAE"/>
    <w:rsid w:val="00825C25"/>
    <w:rsid w:val="00825DC9"/>
    <w:rsid w:val="00827281"/>
    <w:rsid w:val="0083030F"/>
    <w:rsid w:val="00831DF3"/>
    <w:rsid w:val="008326E7"/>
    <w:rsid w:val="0084241F"/>
    <w:rsid w:val="0084434E"/>
    <w:rsid w:val="008506B1"/>
    <w:rsid w:val="008510CC"/>
    <w:rsid w:val="00851BBD"/>
    <w:rsid w:val="00852C8B"/>
    <w:rsid w:val="00860C47"/>
    <w:rsid w:val="00862DB0"/>
    <w:rsid w:val="00863417"/>
    <w:rsid w:val="0086343C"/>
    <w:rsid w:val="00863D76"/>
    <w:rsid w:val="0086509B"/>
    <w:rsid w:val="0087296A"/>
    <w:rsid w:val="008760E3"/>
    <w:rsid w:val="00876262"/>
    <w:rsid w:val="00877BA1"/>
    <w:rsid w:val="00891049"/>
    <w:rsid w:val="0089642F"/>
    <w:rsid w:val="00897403"/>
    <w:rsid w:val="008A2534"/>
    <w:rsid w:val="008A3AD0"/>
    <w:rsid w:val="008A40C0"/>
    <w:rsid w:val="008A5923"/>
    <w:rsid w:val="008B1120"/>
    <w:rsid w:val="008B1AA1"/>
    <w:rsid w:val="008B1BFF"/>
    <w:rsid w:val="008B48F2"/>
    <w:rsid w:val="008B4BE6"/>
    <w:rsid w:val="008C2DD5"/>
    <w:rsid w:val="008D2200"/>
    <w:rsid w:val="008F12A1"/>
    <w:rsid w:val="008F3624"/>
    <w:rsid w:val="008F5B6D"/>
    <w:rsid w:val="008F73D1"/>
    <w:rsid w:val="009002CA"/>
    <w:rsid w:val="00903AF9"/>
    <w:rsid w:val="0090579F"/>
    <w:rsid w:val="0090788E"/>
    <w:rsid w:val="009143C9"/>
    <w:rsid w:val="00915A40"/>
    <w:rsid w:val="009201C9"/>
    <w:rsid w:val="00930424"/>
    <w:rsid w:val="00942BCB"/>
    <w:rsid w:val="00942F03"/>
    <w:rsid w:val="0094493D"/>
    <w:rsid w:val="009449CC"/>
    <w:rsid w:val="00951711"/>
    <w:rsid w:val="00953155"/>
    <w:rsid w:val="00961B81"/>
    <w:rsid w:val="0096291F"/>
    <w:rsid w:val="00962ED5"/>
    <w:rsid w:val="00971561"/>
    <w:rsid w:val="009761DA"/>
    <w:rsid w:val="0098389E"/>
    <w:rsid w:val="009858FE"/>
    <w:rsid w:val="009860EA"/>
    <w:rsid w:val="00990719"/>
    <w:rsid w:val="0099315C"/>
    <w:rsid w:val="00994266"/>
    <w:rsid w:val="009A34EF"/>
    <w:rsid w:val="009C02E5"/>
    <w:rsid w:val="009C0E0E"/>
    <w:rsid w:val="009C26E3"/>
    <w:rsid w:val="009C6DD1"/>
    <w:rsid w:val="009C7CD6"/>
    <w:rsid w:val="009D21B5"/>
    <w:rsid w:val="009D2789"/>
    <w:rsid w:val="009D3D8C"/>
    <w:rsid w:val="009D4C0F"/>
    <w:rsid w:val="009D7C44"/>
    <w:rsid w:val="009E4BD1"/>
    <w:rsid w:val="009E7B86"/>
    <w:rsid w:val="009F366D"/>
    <w:rsid w:val="009F45EC"/>
    <w:rsid w:val="00A0129C"/>
    <w:rsid w:val="00A06362"/>
    <w:rsid w:val="00A13D8B"/>
    <w:rsid w:val="00A14C82"/>
    <w:rsid w:val="00A21BD6"/>
    <w:rsid w:val="00A22055"/>
    <w:rsid w:val="00A2390C"/>
    <w:rsid w:val="00A2420D"/>
    <w:rsid w:val="00A244A2"/>
    <w:rsid w:val="00A24A81"/>
    <w:rsid w:val="00A2766B"/>
    <w:rsid w:val="00A34443"/>
    <w:rsid w:val="00A345F7"/>
    <w:rsid w:val="00A346B9"/>
    <w:rsid w:val="00A404F7"/>
    <w:rsid w:val="00A42581"/>
    <w:rsid w:val="00A51447"/>
    <w:rsid w:val="00A53F34"/>
    <w:rsid w:val="00A540EB"/>
    <w:rsid w:val="00A5539A"/>
    <w:rsid w:val="00A60B97"/>
    <w:rsid w:val="00A6677C"/>
    <w:rsid w:val="00A71E51"/>
    <w:rsid w:val="00A75886"/>
    <w:rsid w:val="00A764E4"/>
    <w:rsid w:val="00A77F56"/>
    <w:rsid w:val="00A92AD9"/>
    <w:rsid w:val="00A93786"/>
    <w:rsid w:val="00A954D1"/>
    <w:rsid w:val="00A95A2D"/>
    <w:rsid w:val="00AA34B1"/>
    <w:rsid w:val="00AA719D"/>
    <w:rsid w:val="00AB06B2"/>
    <w:rsid w:val="00AB1C3D"/>
    <w:rsid w:val="00AB29A8"/>
    <w:rsid w:val="00AB3A74"/>
    <w:rsid w:val="00AB3FBF"/>
    <w:rsid w:val="00AB7D22"/>
    <w:rsid w:val="00AC22A5"/>
    <w:rsid w:val="00AC2670"/>
    <w:rsid w:val="00AD5C83"/>
    <w:rsid w:val="00AD7A86"/>
    <w:rsid w:val="00AE1C50"/>
    <w:rsid w:val="00AE1F78"/>
    <w:rsid w:val="00AE3AC3"/>
    <w:rsid w:val="00AE5020"/>
    <w:rsid w:val="00AF23AF"/>
    <w:rsid w:val="00AF4E3A"/>
    <w:rsid w:val="00AF6A53"/>
    <w:rsid w:val="00AF6EE7"/>
    <w:rsid w:val="00B00257"/>
    <w:rsid w:val="00B039D7"/>
    <w:rsid w:val="00B07F61"/>
    <w:rsid w:val="00B11DBC"/>
    <w:rsid w:val="00B11EFC"/>
    <w:rsid w:val="00B15210"/>
    <w:rsid w:val="00B1623B"/>
    <w:rsid w:val="00B23440"/>
    <w:rsid w:val="00B24403"/>
    <w:rsid w:val="00B25206"/>
    <w:rsid w:val="00B25C71"/>
    <w:rsid w:val="00B270B7"/>
    <w:rsid w:val="00B308D0"/>
    <w:rsid w:val="00B32239"/>
    <w:rsid w:val="00B4134E"/>
    <w:rsid w:val="00B42DDB"/>
    <w:rsid w:val="00B44B29"/>
    <w:rsid w:val="00B46089"/>
    <w:rsid w:val="00B4728A"/>
    <w:rsid w:val="00B472D0"/>
    <w:rsid w:val="00B6145A"/>
    <w:rsid w:val="00B61570"/>
    <w:rsid w:val="00B6585E"/>
    <w:rsid w:val="00B72578"/>
    <w:rsid w:val="00B744FB"/>
    <w:rsid w:val="00B76F1A"/>
    <w:rsid w:val="00B77A49"/>
    <w:rsid w:val="00B84A8E"/>
    <w:rsid w:val="00B85252"/>
    <w:rsid w:val="00B92CC3"/>
    <w:rsid w:val="00B92D67"/>
    <w:rsid w:val="00B952D8"/>
    <w:rsid w:val="00B9615A"/>
    <w:rsid w:val="00B97BC2"/>
    <w:rsid w:val="00BA1CBE"/>
    <w:rsid w:val="00BA3831"/>
    <w:rsid w:val="00BA500B"/>
    <w:rsid w:val="00BA5B5B"/>
    <w:rsid w:val="00BB008B"/>
    <w:rsid w:val="00BB0093"/>
    <w:rsid w:val="00BB0A42"/>
    <w:rsid w:val="00BB2181"/>
    <w:rsid w:val="00BB3C82"/>
    <w:rsid w:val="00BB57F6"/>
    <w:rsid w:val="00BC2684"/>
    <w:rsid w:val="00BC35AA"/>
    <w:rsid w:val="00BC5BB3"/>
    <w:rsid w:val="00BD2F0F"/>
    <w:rsid w:val="00BD53BD"/>
    <w:rsid w:val="00BD5DEF"/>
    <w:rsid w:val="00BE4802"/>
    <w:rsid w:val="00BF170E"/>
    <w:rsid w:val="00BF2708"/>
    <w:rsid w:val="00BF509C"/>
    <w:rsid w:val="00BF7CF6"/>
    <w:rsid w:val="00C03E8E"/>
    <w:rsid w:val="00C069DB"/>
    <w:rsid w:val="00C119D6"/>
    <w:rsid w:val="00C141D0"/>
    <w:rsid w:val="00C20A3B"/>
    <w:rsid w:val="00C20F98"/>
    <w:rsid w:val="00C21F77"/>
    <w:rsid w:val="00C249C9"/>
    <w:rsid w:val="00C25A4A"/>
    <w:rsid w:val="00C27BEF"/>
    <w:rsid w:val="00C32A74"/>
    <w:rsid w:val="00C33BEA"/>
    <w:rsid w:val="00C33C75"/>
    <w:rsid w:val="00C424F1"/>
    <w:rsid w:val="00C4424F"/>
    <w:rsid w:val="00C445CC"/>
    <w:rsid w:val="00C4599F"/>
    <w:rsid w:val="00C45F82"/>
    <w:rsid w:val="00C475F7"/>
    <w:rsid w:val="00C53E01"/>
    <w:rsid w:val="00C53E27"/>
    <w:rsid w:val="00C620B4"/>
    <w:rsid w:val="00C706CE"/>
    <w:rsid w:val="00C75D70"/>
    <w:rsid w:val="00C81CDA"/>
    <w:rsid w:val="00C83148"/>
    <w:rsid w:val="00C84612"/>
    <w:rsid w:val="00C846A9"/>
    <w:rsid w:val="00C871A3"/>
    <w:rsid w:val="00C87B56"/>
    <w:rsid w:val="00C97610"/>
    <w:rsid w:val="00CA2822"/>
    <w:rsid w:val="00CB128D"/>
    <w:rsid w:val="00CB6841"/>
    <w:rsid w:val="00CC4A6B"/>
    <w:rsid w:val="00CC6EBE"/>
    <w:rsid w:val="00CC7AC8"/>
    <w:rsid w:val="00CD0459"/>
    <w:rsid w:val="00CD05D2"/>
    <w:rsid w:val="00CD1F68"/>
    <w:rsid w:val="00CD3E6A"/>
    <w:rsid w:val="00CE1C4A"/>
    <w:rsid w:val="00CE224F"/>
    <w:rsid w:val="00CE5BCD"/>
    <w:rsid w:val="00CE7255"/>
    <w:rsid w:val="00CF1BD5"/>
    <w:rsid w:val="00CF1BF6"/>
    <w:rsid w:val="00CF58C0"/>
    <w:rsid w:val="00CF5AAA"/>
    <w:rsid w:val="00CF6CCE"/>
    <w:rsid w:val="00D00C36"/>
    <w:rsid w:val="00D0145D"/>
    <w:rsid w:val="00D02424"/>
    <w:rsid w:val="00D07A16"/>
    <w:rsid w:val="00D107B8"/>
    <w:rsid w:val="00D12DE0"/>
    <w:rsid w:val="00D14860"/>
    <w:rsid w:val="00D14E81"/>
    <w:rsid w:val="00D1647F"/>
    <w:rsid w:val="00D16C96"/>
    <w:rsid w:val="00D20F95"/>
    <w:rsid w:val="00D23545"/>
    <w:rsid w:val="00D32160"/>
    <w:rsid w:val="00D325B6"/>
    <w:rsid w:val="00D3779C"/>
    <w:rsid w:val="00D37DCA"/>
    <w:rsid w:val="00D40EC5"/>
    <w:rsid w:val="00D4650F"/>
    <w:rsid w:val="00D50950"/>
    <w:rsid w:val="00D53E19"/>
    <w:rsid w:val="00D54373"/>
    <w:rsid w:val="00D54AD7"/>
    <w:rsid w:val="00D57026"/>
    <w:rsid w:val="00D62225"/>
    <w:rsid w:val="00D65D20"/>
    <w:rsid w:val="00D7046F"/>
    <w:rsid w:val="00D745DA"/>
    <w:rsid w:val="00D77DA5"/>
    <w:rsid w:val="00D842C7"/>
    <w:rsid w:val="00D84420"/>
    <w:rsid w:val="00D85438"/>
    <w:rsid w:val="00D8732D"/>
    <w:rsid w:val="00D927DB"/>
    <w:rsid w:val="00DA0D76"/>
    <w:rsid w:val="00DA1274"/>
    <w:rsid w:val="00DA133C"/>
    <w:rsid w:val="00DA2B1D"/>
    <w:rsid w:val="00DA30A3"/>
    <w:rsid w:val="00DB1EA0"/>
    <w:rsid w:val="00DB1F90"/>
    <w:rsid w:val="00DB4594"/>
    <w:rsid w:val="00DB5E6C"/>
    <w:rsid w:val="00DB7EE7"/>
    <w:rsid w:val="00DC0474"/>
    <w:rsid w:val="00DC04A1"/>
    <w:rsid w:val="00DC289C"/>
    <w:rsid w:val="00DC3E82"/>
    <w:rsid w:val="00DC529B"/>
    <w:rsid w:val="00DC787A"/>
    <w:rsid w:val="00DD563C"/>
    <w:rsid w:val="00DE06EE"/>
    <w:rsid w:val="00DE2348"/>
    <w:rsid w:val="00DE3F8E"/>
    <w:rsid w:val="00DE5EE9"/>
    <w:rsid w:val="00DF0141"/>
    <w:rsid w:val="00DF0807"/>
    <w:rsid w:val="00DF513B"/>
    <w:rsid w:val="00DF71E8"/>
    <w:rsid w:val="00E0352C"/>
    <w:rsid w:val="00E049DF"/>
    <w:rsid w:val="00E07BB2"/>
    <w:rsid w:val="00E11E1A"/>
    <w:rsid w:val="00E12C95"/>
    <w:rsid w:val="00E14566"/>
    <w:rsid w:val="00E14911"/>
    <w:rsid w:val="00E152A0"/>
    <w:rsid w:val="00E22660"/>
    <w:rsid w:val="00E22FF5"/>
    <w:rsid w:val="00E232E0"/>
    <w:rsid w:val="00E23A5B"/>
    <w:rsid w:val="00E3030C"/>
    <w:rsid w:val="00E32EAF"/>
    <w:rsid w:val="00E330A7"/>
    <w:rsid w:val="00E34BF8"/>
    <w:rsid w:val="00E358FB"/>
    <w:rsid w:val="00E36AF8"/>
    <w:rsid w:val="00E424A5"/>
    <w:rsid w:val="00E44F7F"/>
    <w:rsid w:val="00E46309"/>
    <w:rsid w:val="00E50CC8"/>
    <w:rsid w:val="00E51FE8"/>
    <w:rsid w:val="00E5244F"/>
    <w:rsid w:val="00E55E57"/>
    <w:rsid w:val="00E56249"/>
    <w:rsid w:val="00E67ACE"/>
    <w:rsid w:val="00E67BA7"/>
    <w:rsid w:val="00E67FE6"/>
    <w:rsid w:val="00E757FD"/>
    <w:rsid w:val="00E84140"/>
    <w:rsid w:val="00E90F90"/>
    <w:rsid w:val="00E93D69"/>
    <w:rsid w:val="00E94FA8"/>
    <w:rsid w:val="00EA547C"/>
    <w:rsid w:val="00EB2C3A"/>
    <w:rsid w:val="00EB4ECA"/>
    <w:rsid w:val="00EB4FD7"/>
    <w:rsid w:val="00EB77C1"/>
    <w:rsid w:val="00EC564B"/>
    <w:rsid w:val="00EC6F58"/>
    <w:rsid w:val="00ED0C2B"/>
    <w:rsid w:val="00ED4634"/>
    <w:rsid w:val="00ED7CB3"/>
    <w:rsid w:val="00EE1123"/>
    <w:rsid w:val="00EE1706"/>
    <w:rsid w:val="00EE2614"/>
    <w:rsid w:val="00EE3A4F"/>
    <w:rsid w:val="00EF0C91"/>
    <w:rsid w:val="00EF2660"/>
    <w:rsid w:val="00EF26A2"/>
    <w:rsid w:val="00EF3FF9"/>
    <w:rsid w:val="00F022B5"/>
    <w:rsid w:val="00F02BEB"/>
    <w:rsid w:val="00F06892"/>
    <w:rsid w:val="00F1668A"/>
    <w:rsid w:val="00F269DE"/>
    <w:rsid w:val="00F26A4B"/>
    <w:rsid w:val="00F31636"/>
    <w:rsid w:val="00F376E3"/>
    <w:rsid w:val="00F37ED4"/>
    <w:rsid w:val="00F40736"/>
    <w:rsid w:val="00F40A46"/>
    <w:rsid w:val="00F41D12"/>
    <w:rsid w:val="00F45235"/>
    <w:rsid w:val="00F4723B"/>
    <w:rsid w:val="00F50B3C"/>
    <w:rsid w:val="00F54B02"/>
    <w:rsid w:val="00F5592A"/>
    <w:rsid w:val="00F55953"/>
    <w:rsid w:val="00F57E9D"/>
    <w:rsid w:val="00F66E1A"/>
    <w:rsid w:val="00F71EBB"/>
    <w:rsid w:val="00F728DA"/>
    <w:rsid w:val="00F826FD"/>
    <w:rsid w:val="00F8554D"/>
    <w:rsid w:val="00F964B4"/>
    <w:rsid w:val="00FA76A3"/>
    <w:rsid w:val="00FB4E60"/>
    <w:rsid w:val="00FB6D66"/>
    <w:rsid w:val="00FC4ACC"/>
    <w:rsid w:val="00FD0892"/>
    <w:rsid w:val="00FD0F24"/>
    <w:rsid w:val="00FD1C34"/>
    <w:rsid w:val="00FD6782"/>
    <w:rsid w:val="00FD6D56"/>
    <w:rsid w:val="00FD760F"/>
    <w:rsid w:val="00FD7F30"/>
    <w:rsid w:val="00FE2134"/>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84140"/>
  <w15:docId w15:val="{A536319D-372B-483C-AAE6-E15A9C683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MD"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5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customStyle="1" w:styleId="MeniuneNerezolvat1">
    <w:name w:val="Mențiune Nerezolvat1"/>
    <w:basedOn w:val="Fontdeparagrafimplicit"/>
    <w:uiPriority w:val="99"/>
    <w:semiHidden/>
    <w:unhideWhenUsed/>
    <w:rsid w:val="00572006"/>
    <w:rPr>
      <w:color w:val="605E5C"/>
      <w:shd w:val="clear" w:color="auto" w:fill="E1DFDD"/>
    </w:rPr>
  </w:style>
  <w:style w:type="paragraph" w:customStyle="1" w:styleId="Default">
    <w:name w:val="Default"/>
    <w:rsid w:val="0090788E"/>
    <w:pPr>
      <w:autoSpaceDE w:val="0"/>
      <w:autoSpaceDN w:val="0"/>
      <w:adjustRightInd w:val="0"/>
      <w:ind w:firstLine="0"/>
      <w:jc w:val="left"/>
    </w:pPr>
    <w:rPr>
      <w:color w:val="000000"/>
      <w:sz w:val="24"/>
      <w:szCs w:val="24"/>
      <w:lang w:val="ro-RO"/>
    </w:rPr>
  </w:style>
  <w:style w:type="character" w:styleId="MeniuneNerezolvat">
    <w:name w:val="Unresolved Mention"/>
    <w:basedOn w:val="Fontdeparagrafimplicit"/>
    <w:uiPriority w:val="99"/>
    <w:semiHidden/>
    <w:unhideWhenUsed/>
    <w:rsid w:val="00AF6EE7"/>
    <w:rPr>
      <w:color w:val="605E5C"/>
      <w:shd w:val="clear" w:color="auto" w:fill="E1DFDD"/>
    </w:rPr>
  </w:style>
  <w:style w:type="table" w:styleId="Tabelgril1Luminos-Accentuare2">
    <w:name w:val="Grid Table 1 Light Accent 2"/>
    <w:basedOn w:val="TabelNormal"/>
    <w:uiPriority w:val="46"/>
    <w:rsid w:val="0089642F"/>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styleId="HyperlinkParcurs">
    <w:name w:val="FollowedHyperlink"/>
    <w:basedOn w:val="Fontdeparagrafimplicit"/>
    <w:uiPriority w:val="99"/>
    <w:semiHidden/>
    <w:unhideWhenUsed/>
    <w:rsid w:val="006907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46229">
      <w:bodyDiv w:val="1"/>
      <w:marLeft w:val="0"/>
      <w:marRight w:val="0"/>
      <w:marTop w:val="0"/>
      <w:marBottom w:val="0"/>
      <w:divBdr>
        <w:top w:val="none" w:sz="0" w:space="0" w:color="auto"/>
        <w:left w:val="none" w:sz="0" w:space="0" w:color="auto"/>
        <w:bottom w:val="none" w:sz="0" w:space="0" w:color="auto"/>
        <w:right w:val="none" w:sz="0" w:space="0" w:color="auto"/>
      </w:divBdr>
    </w:div>
    <w:div w:id="172886289">
      <w:bodyDiv w:val="1"/>
      <w:marLeft w:val="0"/>
      <w:marRight w:val="0"/>
      <w:marTop w:val="0"/>
      <w:marBottom w:val="0"/>
      <w:divBdr>
        <w:top w:val="none" w:sz="0" w:space="0" w:color="auto"/>
        <w:left w:val="none" w:sz="0" w:space="0" w:color="auto"/>
        <w:bottom w:val="none" w:sz="0" w:space="0" w:color="auto"/>
        <w:right w:val="none" w:sz="0" w:space="0" w:color="auto"/>
      </w:divBdr>
    </w:div>
    <w:div w:id="206798609">
      <w:bodyDiv w:val="1"/>
      <w:marLeft w:val="0"/>
      <w:marRight w:val="0"/>
      <w:marTop w:val="0"/>
      <w:marBottom w:val="0"/>
      <w:divBdr>
        <w:top w:val="none" w:sz="0" w:space="0" w:color="auto"/>
        <w:left w:val="none" w:sz="0" w:space="0" w:color="auto"/>
        <w:bottom w:val="none" w:sz="0" w:space="0" w:color="auto"/>
        <w:right w:val="none" w:sz="0" w:space="0" w:color="auto"/>
      </w:divBdr>
    </w:div>
    <w:div w:id="247472497">
      <w:bodyDiv w:val="1"/>
      <w:marLeft w:val="0"/>
      <w:marRight w:val="0"/>
      <w:marTop w:val="0"/>
      <w:marBottom w:val="0"/>
      <w:divBdr>
        <w:top w:val="none" w:sz="0" w:space="0" w:color="auto"/>
        <w:left w:val="none" w:sz="0" w:space="0" w:color="auto"/>
        <w:bottom w:val="none" w:sz="0" w:space="0" w:color="auto"/>
        <w:right w:val="none" w:sz="0" w:space="0" w:color="auto"/>
      </w:divBdr>
    </w:div>
    <w:div w:id="257520358">
      <w:bodyDiv w:val="1"/>
      <w:marLeft w:val="0"/>
      <w:marRight w:val="0"/>
      <w:marTop w:val="0"/>
      <w:marBottom w:val="0"/>
      <w:divBdr>
        <w:top w:val="none" w:sz="0" w:space="0" w:color="auto"/>
        <w:left w:val="none" w:sz="0" w:space="0" w:color="auto"/>
        <w:bottom w:val="none" w:sz="0" w:space="0" w:color="auto"/>
        <w:right w:val="none" w:sz="0" w:space="0" w:color="auto"/>
      </w:divBdr>
    </w:div>
    <w:div w:id="277027758">
      <w:bodyDiv w:val="1"/>
      <w:marLeft w:val="0"/>
      <w:marRight w:val="0"/>
      <w:marTop w:val="0"/>
      <w:marBottom w:val="0"/>
      <w:divBdr>
        <w:top w:val="none" w:sz="0" w:space="0" w:color="auto"/>
        <w:left w:val="none" w:sz="0" w:space="0" w:color="auto"/>
        <w:bottom w:val="none" w:sz="0" w:space="0" w:color="auto"/>
        <w:right w:val="none" w:sz="0" w:space="0" w:color="auto"/>
      </w:divBdr>
    </w:div>
    <w:div w:id="285238001">
      <w:bodyDiv w:val="1"/>
      <w:marLeft w:val="0"/>
      <w:marRight w:val="0"/>
      <w:marTop w:val="0"/>
      <w:marBottom w:val="0"/>
      <w:divBdr>
        <w:top w:val="none" w:sz="0" w:space="0" w:color="auto"/>
        <w:left w:val="none" w:sz="0" w:space="0" w:color="auto"/>
        <w:bottom w:val="none" w:sz="0" w:space="0" w:color="auto"/>
        <w:right w:val="none" w:sz="0" w:space="0" w:color="auto"/>
      </w:divBdr>
    </w:div>
    <w:div w:id="306514817">
      <w:bodyDiv w:val="1"/>
      <w:marLeft w:val="0"/>
      <w:marRight w:val="0"/>
      <w:marTop w:val="0"/>
      <w:marBottom w:val="0"/>
      <w:divBdr>
        <w:top w:val="none" w:sz="0" w:space="0" w:color="auto"/>
        <w:left w:val="none" w:sz="0" w:space="0" w:color="auto"/>
        <w:bottom w:val="none" w:sz="0" w:space="0" w:color="auto"/>
        <w:right w:val="none" w:sz="0" w:space="0" w:color="auto"/>
      </w:divBdr>
    </w:div>
    <w:div w:id="320161378">
      <w:bodyDiv w:val="1"/>
      <w:marLeft w:val="0"/>
      <w:marRight w:val="0"/>
      <w:marTop w:val="0"/>
      <w:marBottom w:val="0"/>
      <w:divBdr>
        <w:top w:val="none" w:sz="0" w:space="0" w:color="auto"/>
        <w:left w:val="none" w:sz="0" w:space="0" w:color="auto"/>
        <w:bottom w:val="none" w:sz="0" w:space="0" w:color="auto"/>
        <w:right w:val="none" w:sz="0" w:space="0" w:color="auto"/>
      </w:divBdr>
    </w:div>
    <w:div w:id="453641320">
      <w:bodyDiv w:val="1"/>
      <w:marLeft w:val="0"/>
      <w:marRight w:val="0"/>
      <w:marTop w:val="0"/>
      <w:marBottom w:val="0"/>
      <w:divBdr>
        <w:top w:val="none" w:sz="0" w:space="0" w:color="auto"/>
        <w:left w:val="none" w:sz="0" w:space="0" w:color="auto"/>
        <w:bottom w:val="none" w:sz="0" w:space="0" w:color="auto"/>
        <w:right w:val="none" w:sz="0" w:space="0" w:color="auto"/>
      </w:divBdr>
    </w:div>
    <w:div w:id="455367474">
      <w:bodyDiv w:val="1"/>
      <w:marLeft w:val="0"/>
      <w:marRight w:val="0"/>
      <w:marTop w:val="0"/>
      <w:marBottom w:val="0"/>
      <w:divBdr>
        <w:top w:val="none" w:sz="0" w:space="0" w:color="auto"/>
        <w:left w:val="none" w:sz="0" w:space="0" w:color="auto"/>
        <w:bottom w:val="none" w:sz="0" w:space="0" w:color="auto"/>
        <w:right w:val="none" w:sz="0" w:space="0" w:color="auto"/>
      </w:divBdr>
    </w:div>
    <w:div w:id="522404557">
      <w:bodyDiv w:val="1"/>
      <w:marLeft w:val="0"/>
      <w:marRight w:val="0"/>
      <w:marTop w:val="0"/>
      <w:marBottom w:val="0"/>
      <w:divBdr>
        <w:top w:val="none" w:sz="0" w:space="0" w:color="auto"/>
        <w:left w:val="none" w:sz="0" w:space="0" w:color="auto"/>
        <w:bottom w:val="none" w:sz="0" w:space="0" w:color="auto"/>
        <w:right w:val="none" w:sz="0" w:space="0" w:color="auto"/>
      </w:divBdr>
    </w:div>
    <w:div w:id="552540142">
      <w:bodyDiv w:val="1"/>
      <w:marLeft w:val="0"/>
      <w:marRight w:val="0"/>
      <w:marTop w:val="0"/>
      <w:marBottom w:val="0"/>
      <w:divBdr>
        <w:top w:val="none" w:sz="0" w:space="0" w:color="auto"/>
        <w:left w:val="none" w:sz="0" w:space="0" w:color="auto"/>
        <w:bottom w:val="none" w:sz="0" w:space="0" w:color="auto"/>
        <w:right w:val="none" w:sz="0" w:space="0" w:color="auto"/>
      </w:divBdr>
    </w:div>
    <w:div w:id="598755809">
      <w:bodyDiv w:val="1"/>
      <w:marLeft w:val="0"/>
      <w:marRight w:val="0"/>
      <w:marTop w:val="0"/>
      <w:marBottom w:val="0"/>
      <w:divBdr>
        <w:top w:val="none" w:sz="0" w:space="0" w:color="auto"/>
        <w:left w:val="none" w:sz="0" w:space="0" w:color="auto"/>
        <w:bottom w:val="none" w:sz="0" w:space="0" w:color="auto"/>
        <w:right w:val="none" w:sz="0" w:space="0" w:color="auto"/>
      </w:divBdr>
    </w:div>
    <w:div w:id="603652484">
      <w:bodyDiv w:val="1"/>
      <w:marLeft w:val="0"/>
      <w:marRight w:val="0"/>
      <w:marTop w:val="0"/>
      <w:marBottom w:val="0"/>
      <w:divBdr>
        <w:top w:val="none" w:sz="0" w:space="0" w:color="auto"/>
        <w:left w:val="none" w:sz="0" w:space="0" w:color="auto"/>
        <w:bottom w:val="none" w:sz="0" w:space="0" w:color="auto"/>
        <w:right w:val="none" w:sz="0" w:space="0" w:color="auto"/>
      </w:divBdr>
      <w:divsChild>
        <w:div w:id="1091655658">
          <w:marLeft w:val="0"/>
          <w:marRight w:val="0"/>
          <w:marTop w:val="0"/>
          <w:marBottom w:val="0"/>
          <w:divBdr>
            <w:top w:val="none" w:sz="0" w:space="0" w:color="auto"/>
            <w:left w:val="none" w:sz="0" w:space="0" w:color="auto"/>
            <w:bottom w:val="none" w:sz="0" w:space="0" w:color="auto"/>
            <w:right w:val="none" w:sz="0" w:space="0" w:color="auto"/>
          </w:divBdr>
        </w:div>
        <w:div w:id="1290017241">
          <w:marLeft w:val="0"/>
          <w:marRight w:val="0"/>
          <w:marTop w:val="0"/>
          <w:marBottom w:val="0"/>
          <w:divBdr>
            <w:top w:val="none" w:sz="0" w:space="0" w:color="auto"/>
            <w:left w:val="none" w:sz="0" w:space="0" w:color="auto"/>
            <w:bottom w:val="none" w:sz="0" w:space="0" w:color="auto"/>
            <w:right w:val="none" w:sz="0" w:space="0" w:color="auto"/>
          </w:divBdr>
        </w:div>
        <w:div w:id="522860752">
          <w:marLeft w:val="0"/>
          <w:marRight w:val="0"/>
          <w:marTop w:val="0"/>
          <w:marBottom w:val="0"/>
          <w:divBdr>
            <w:top w:val="none" w:sz="0" w:space="0" w:color="auto"/>
            <w:left w:val="none" w:sz="0" w:space="0" w:color="auto"/>
            <w:bottom w:val="none" w:sz="0" w:space="0" w:color="auto"/>
            <w:right w:val="none" w:sz="0" w:space="0" w:color="auto"/>
          </w:divBdr>
        </w:div>
        <w:div w:id="159200974">
          <w:marLeft w:val="0"/>
          <w:marRight w:val="0"/>
          <w:marTop w:val="0"/>
          <w:marBottom w:val="0"/>
          <w:divBdr>
            <w:top w:val="none" w:sz="0" w:space="0" w:color="auto"/>
            <w:left w:val="none" w:sz="0" w:space="0" w:color="auto"/>
            <w:bottom w:val="none" w:sz="0" w:space="0" w:color="auto"/>
            <w:right w:val="none" w:sz="0" w:space="0" w:color="auto"/>
          </w:divBdr>
        </w:div>
      </w:divsChild>
    </w:div>
    <w:div w:id="604462105">
      <w:bodyDiv w:val="1"/>
      <w:marLeft w:val="0"/>
      <w:marRight w:val="0"/>
      <w:marTop w:val="0"/>
      <w:marBottom w:val="0"/>
      <w:divBdr>
        <w:top w:val="none" w:sz="0" w:space="0" w:color="auto"/>
        <w:left w:val="none" w:sz="0" w:space="0" w:color="auto"/>
        <w:bottom w:val="none" w:sz="0" w:space="0" w:color="auto"/>
        <w:right w:val="none" w:sz="0" w:space="0" w:color="auto"/>
      </w:divBdr>
    </w:div>
    <w:div w:id="606040769">
      <w:bodyDiv w:val="1"/>
      <w:marLeft w:val="0"/>
      <w:marRight w:val="0"/>
      <w:marTop w:val="0"/>
      <w:marBottom w:val="0"/>
      <w:divBdr>
        <w:top w:val="none" w:sz="0" w:space="0" w:color="auto"/>
        <w:left w:val="none" w:sz="0" w:space="0" w:color="auto"/>
        <w:bottom w:val="none" w:sz="0" w:space="0" w:color="auto"/>
        <w:right w:val="none" w:sz="0" w:space="0" w:color="auto"/>
      </w:divBdr>
    </w:div>
    <w:div w:id="624778199">
      <w:bodyDiv w:val="1"/>
      <w:marLeft w:val="0"/>
      <w:marRight w:val="0"/>
      <w:marTop w:val="0"/>
      <w:marBottom w:val="0"/>
      <w:divBdr>
        <w:top w:val="none" w:sz="0" w:space="0" w:color="auto"/>
        <w:left w:val="none" w:sz="0" w:space="0" w:color="auto"/>
        <w:bottom w:val="none" w:sz="0" w:space="0" w:color="auto"/>
        <w:right w:val="none" w:sz="0" w:space="0" w:color="auto"/>
      </w:divBdr>
    </w:div>
    <w:div w:id="625236751">
      <w:bodyDiv w:val="1"/>
      <w:marLeft w:val="0"/>
      <w:marRight w:val="0"/>
      <w:marTop w:val="0"/>
      <w:marBottom w:val="0"/>
      <w:divBdr>
        <w:top w:val="none" w:sz="0" w:space="0" w:color="auto"/>
        <w:left w:val="none" w:sz="0" w:space="0" w:color="auto"/>
        <w:bottom w:val="none" w:sz="0" w:space="0" w:color="auto"/>
        <w:right w:val="none" w:sz="0" w:space="0" w:color="auto"/>
      </w:divBdr>
    </w:div>
    <w:div w:id="651183615">
      <w:bodyDiv w:val="1"/>
      <w:marLeft w:val="0"/>
      <w:marRight w:val="0"/>
      <w:marTop w:val="0"/>
      <w:marBottom w:val="0"/>
      <w:divBdr>
        <w:top w:val="none" w:sz="0" w:space="0" w:color="auto"/>
        <w:left w:val="none" w:sz="0" w:space="0" w:color="auto"/>
        <w:bottom w:val="none" w:sz="0" w:space="0" w:color="auto"/>
        <w:right w:val="none" w:sz="0" w:space="0" w:color="auto"/>
      </w:divBdr>
    </w:div>
    <w:div w:id="747925820">
      <w:bodyDiv w:val="1"/>
      <w:marLeft w:val="0"/>
      <w:marRight w:val="0"/>
      <w:marTop w:val="0"/>
      <w:marBottom w:val="0"/>
      <w:divBdr>
        <w:top w:val="none" w:sz="0" w:space="0" w:color="auto"/>
        <w:left w:val="none" w:sz="0" w:space="0" w:color="auto"/>
        <w:bottom w:val="none" w:sz="0" w:space="0" w:color="auto"/>
        <w:right w:val="none" w:sz="0" w:space="0" w:color="auto"/>
      </w:divBdr>
    </w:div>
    <w:div w:id="776949824">
      <w:bodyDiv w:val="1"/>
      <w:marLeft w:val="0"/>
      <w:marRight w:val="0"/>
      <w:marTop w:val="0"/>
      <w:marBottom w:val="0"/>
      <w:divBdr>
        <w:top w:val="none" w:sz="0" w:space="0" w:color="auto"/>
        <w:left w:val="none" w:sz="0" w:space="0" w:color="auto"/>
        <w:bottom w:val="none" w:sz="0" w:space="0" w:color="auto"/>
        <w:right w:val="none" w:sz="0" w:space="0" w:color="auto"/>
      </w:divBdr>
    </w:div>
    <w:div w:id="941231843">
      <w:bodyDiv w:val="1"/>
      <w:marLeft w:val="0"/>
      <w:marRight w:val="0"/>
      <w:marTop w:val="0"/>
      <w:marBottom w:val="0"/>
      <w:divBdr>
        <w:top w:val="none" w:sz="0" w:space="0" w:color="auto"/>
        <w:left w:val="none" w:sz="0" w:space="0" w:color="auto"/>
        <w:bottom w:val="none" w:sz="0" w:space="0" w:color="auto"/>
        <w:right w:val="none" w:sz="0" w:space="0" w:color="auto"/>
      </w:divBdr>
    </w:div>
    <w:div w:id="1035886489">
      <w:bodyDiv w:val="1"/>
      <w:marLeft w:val="0"/>
      <w:marRight w:val="0"/>
      <w:marTop w:val="0"/>
      <w:marBottom w:val="0"/>
      <w:divBdr>
        <w:top w:val="none" w:sz="0" w:space="0" w:color="auto"/>
        <w:left w:val="none" w:sz="0" w:space="0" w:color="auto"/>
        <w:bottom w:val="none" w:sz="0" w:space="0" w:color="auto"/>
        <w:right w:val="none" w:sz="0" w:space="0" w:color="auto"/>
      </w:divBdr>
    </w:div>
    <w:div w:id="1063454935">
      <w:bodyDiv w:val="1"/>
      <w:marLeft w:val="0"/>
      <w:marRight w:val="0"/>
      <w:marTop w:val="0"/>
      <w:marBottom w:val="0"/>
      <w:divBdr>
        <w:top w:val="none" w:sz="0" w:space="0" w:color="auto"/>
        <w:left w:val="none" w:sz="0" w:space="0" w:color="auto"/>
        <w:bottom w:val="none" w:sz="0" w:space="0" w:color="auto"/>
        <w:right w:val="none" w:sz="0" w:space="0" w:color="auto"/>
      </w:divBdr>
    </w:div>
    <w:div w:id="1063679052">
      <w:bodyDiv w:val="1"/>
      <w:marLeft w:val="0"/>
      <w:marRight w:val="0"/>
      <w:marTop w:val="0"/>
      <w:marBottom w:val="0"/>
      <w:divBdr>
        <w:top w:val="none" w:sz="0" w:space="0" w:color="auto"/>
        <w:left w:val="none" w:sz="0" w:space="0" w:color="auto"/>
        <w:bottom w:val="none" w:sz="0" w:space="0" w:color="auto"/>
        <w:right w:val="none" w:sz="0" w:space="0" w:color="auto"/>
      </w:divBdr>
    </w:div>
    <w:div w:id="1075081795">
      <w:bodyDiv w:val="1"/>
      <w:marLeft w:val="0"/>
      <w:marRight w:val="0"/>
      <w:marTop w:val="0"/>
      <w:marBottom w:val="0"/>
      <w:divBdr>
        <w:top w:val="none" w:sz="0" w:space="0" w:color="auto"/>
        <w:left w:val="none" w:sz="0" w:space="0" w:color="auto"/>
        <w:bottom w:val="none" w:sz="0" w:space="0" w:color="auto"/>
        <w:right w:val="none" w:sz="0" w:space="0" w:color="auto"/>
      </w:divBdr>
    </w:div>
    <w:div w:id="1191843059">
      <w:bodyDiv w:val="1"/>
      <w:marLeft w:val="0"/>
      <w:marRight w:val="0"/>
      <w:marTop w:val="0"/>
      <w:marBottom w:val="0"/>
      <w:divBdr>
        <w:top w:val="none" w:sz="0" w:space="0" w:color="auto"/>
        <w:left w:val="none" w:sz="0" w:space="0" w:color="auto"/>
        <w:bottom w:val="none" w:sz="0" w:space="0" w:color="auto"/>
        <w:right w:val="none" w:sz="0" w:space="0" w:color="auto"/>
      </w:divBdr>
    </w:div>
    <w:div w:id="1196818718">
      <w:bodyDiv w:val="1"/>
      <w:marLeft w:val="0"/>
      <w:marRight w:val="0"/>
      <w:marTop w:val="0"/>
      <w:marBottom w:val="0"/>
      <w:divBdr>
        <w:top w:val="none" w:sz="0" w:space="0" w:color="auto"/>
        <w:left w:val="none" w:sz="0" w:space="0" w:color="auto"/>
        <w:bottom w:val="none" w:sz="0" w:space="0" w:color="auto"/>
        <w:right w:val="none" w:sz="0" w:space="0" w:color="auto"/>
      </w:divBdr>
    </w:div>
    <w:div w:id="1248224889">
      <w:bodyDiv w:val="1"/>
      <w:marLeft w:val="0"/>
      <w:marRight w:val="0"/>
      <w:marTop w:val="0"/>
      <w:marBottom w:val="0"/>
      <w:divBdr>
        <w:top w:val="none" w:sz="0" w:space="0" w:color="auto"/>
        <w:left w:val="none" w:sz="0" w:space="0" w:color="auto"/>
        <w:bottom w:val="none" w:sz="0" w:space="0" w:color="auto"/>
        <w:right w:val="none" w:sz="0" w:space="0" w:color="auto"/>
      </w:divBdr>
    </w:div>
    <w:div w:id="1275593632">
      <w:bodyDiv w:val="1"/>
      <w:marLeft w:val="0"/>
      <w:marRight w:val="0"/>
      <w:marTop w:val="0"/>
      <w:marBottom w:val="0"/>
      <w:divBdr>
        <w:top w:val="none" w:sz="0" w:space="0" w:color="auto"/>
        <w:left w:val="none" w:sz="0" w:space="0" w:color="auto"/>
        <w:bottom w:val="none" w:sz="0" w:space="0" w:color="auto"/>
        <w:right w:val="none" w:sz="0" w:space="0" w:color="auto"/>
      </w:divBdr>
    </w:div>
    <w:div w:id="1292591752">
      <w:bodyDiv w:val="1"/>
      <w:marLeft w:val="0"/>
      <w:marRight w:val="0"/>
      <w:marTop w:val="0"/>
      <w:marBottom w:val="0"/>
      <w:divBdr>
        <w:top w:val="none" w:sz="0" w:space="0" w:color="auto"/>
        <w:left w:val="none" w:sz="0" w:space="0" w:color="auto"/>
        <w:bottom w:val="none" w:sz="0" w:space="0" w:color="auto"/>
        <w:right w:val="none" w:sz="0" w:space="0" w:color="auto"/>
      </w:divBdr>
    </w:div>
    <w:div w:id="1410694237">
      <w:bodyDiv w:val="1"/>
      <w:marLeft w:val="0"/>
      <w:marRight w:val="0"/>
      <w:marTop w:val="0"/>
      <w:marBottom w:val="0"/>
      <w:divBdr>
        <w:top w:val="none" w:sz="0" w:space="0" w:color="auto"/>
        <w:left w:val="none" w:sz="0" w:space="0" w:color="auto"/>
        <w:bottom w:val="none" w:sz="0" w:space="0" w:color="auto"/>
        <w:right w:val="none" w:sz="0" w:space="0" w:color="auto"/>
      </w:divBdr>
    </w:div>
    <w:div w:id="1413626120">
      <w:bodyDiv w:val="1"/>
      <w:marLeft w:val="0"/>
      <w:marRight w:val="0"/>
      <w:marTop w:val="0"/>
      <w:marBottom w:val="0"/>
      <w:divBdr>
        <w:top w:val="none" w:sz="0" w:space="0" w:color="auto"/>
        <w:left w:val="none" w:sz="0" w:space="0" w:color="auto"/>
        <w:bottom w:val="none" w:sz="0" w:space="0" w:color="auto"/>
        <w:right w:val="none" w:sz="0" w:space="0" w:color="auto"/>
      </w:divBdr>
    </w:div>
    <w:div w:id="1455638647">
      <w:bodyDiv w:val="1"/>
      <w:marLeft w:val="0"/>
      <w:marRight w:val="0"/>
      <w:marTop w:val="0"/>
      <w:marBottom w:val="0"/>
      <w:divBdr>
        <w:top w:val="none" w:sz="0" w:space="0" w:color="auto"/>
        <w:left w:val="none" w:sz="0" w:space="0" w:color="auto"/>
        <w:bottom w:val="none" w:sz="0" w:space="0" w:color="auto"/>
        <w:right w:val="none" w:sz="0" w:space="0" w:color="auto"/>
      </w:divBdr>
    </w:div>
    <w:div w:id="1477408693">
      <w:bodyDiv w:val="1"/>
      <w:marLeft w:val="0"/>
      <w:marRight w:val="0"/>
      <w:marTop w:val="0"/>
      <w:marBottom w:val="0"/>
      <w:divBdr>
        <w:top w:val="none" w:sz="0" w:space="0" w:color="auto"/>
        <w:left w:val="none" w:sz="0" w:space="0" w:color="auto"/>
        <w:bottom w:val="none" w:sz="0" w:space="0" w:color="auto"/>
        <w:right w:val="none" w:sz="0" w:space="0" w:color="auto"/>
      </w:divBdr>
    </w:div>
    <w:div w:id="1478381887">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41745738">
      <w:bodyDiv w:val="1"/>
      <w:marLeft w:val="0"/>
      <w:marRight w:val="0"/>
      <w:marTop w:val="0"/>
      <w:marBottom w:val="0"/>
      <w:divBdr>
        <w:top w:val="none" w:sz="0" w:space="0" w:color="auto"/>
        <w:left w:val="none" w:sz="0" w:space="0" w:color="auto"/>
        <w:bottom w:val="none" w:sz="0" w:space="0" w:color="auto"/>
        <w:right w:val="none" w:sz="0" w:space="0" w:color="auto"/>
      </w:divBdr>
    </w:div>
    <w:div w:id="1657175720">
      <w:bodyDiv w:val="1"/>
      <w:marLeft w:val="0"/>
      <w:marRight w:val="0"/>
      <w:marTop w:val="0"/>
      <w:marBottom w:val="0"/>
      <w:divBdr>
        <w:top w:val="none" w:sz="0" w:space="0" w:color="auto"/>
        <w:left w:val="none" w:sz="0" w:space="0" w:color="auto"/>
        <w:bottom w:val="none" w:sz="0" w:space="0" w:color="auto"/>
        <w:right w:val="none" w:sz="0" w:space="0" w:color="auto"/>
      </w:divBdr>
    </w:div>
    <w:div w:id="1700936579">
      <w:bodyDiv w:val="1"/>
      <w:marLeft w:val="0"/>
      <w:marRight w:val="0"/>
      <w:marTop w:val="0"/>
      <w:marBottom w:val="0"/>
      <w:divBdr>
        <w:top w:val="none" w:sz="0" w:space="0" w:color="auto"/>
        <w:left w:val="none" w:sz="0" w:space="0" w:color="auto"/>
        <w:bottom w:val="none" w:sz="0" w:space="0" w:color="auto"/>
        <w:right w:val="none" w:sz="0" w:space="0" w:color="auto"/>
      </w:divBdr>
    </w:div>
    <w:div w:id="1720083924">
      <w:bodyDiv w:val="1"/>
      <w:marLeft w:val="0"/>
      <w:marRight w:val="0"/>
      <w:marTop w:val="0"/>
      <w:marBottom w:val="0"/>
      <w:divBdr>
        <w:top w:val="none" w:sz="0" w:space="0" w:color="auto"/>
        <w:left w:val="none" w:sz="0" w:space="0" w:color="auto"/>
        <w:bottom w:val="none" w:sz="0" w:space="0" w:color="auto"/>
        <w:right w:val="none" w:sz="0" w:space="0" w:color="auto"/>
      </w:divBdr>
    </w:div>
    <w:div w:id="1767775217">
      <w:bodyDiv w:val="1"/>
      <w:marLeft w:val="0"/>
      <w:marRight w:val="0"/>
      <w:marTop w:val="0"/>
      <w:marBottom w:val="0"/>
      <w:divBdr>
        <w:top w:val="none" w:sz="0" w:space="0" w:color="auto"/>
        <w:left w:val="none" w:sz="0" w:space="0" w:color="auto"/>
        <w:bottom w:val="none" w:sz="0" w:space="0" w:color="auto"/>
        <w:right w:val="none" w:sz="0" w:space="0" w:color="auto"/>
      </w:divBdr>
    </w:div>
    <w:div w:id="1773745410">
      <w:bodyDiv w:val="1"/>
      <w:marLeft w:val="0"/>
      <w:marRight w:val="0"/>
      <w:marTop w:val="0"/>
      <w:marBottom w:val="0"/>
      <w:divBdr>
        <w:top w:val="none" w:sz="0" w:space="0" w:color="auto"/>
        <w:left w:val="none" w:sz="0" w:space="0" w:color="auto"/>
        <w:bottom w:val="none" w:sz="0" w:space="0" w:color="auto"/>
        <w:right w:val="none" w:sz="0" w:space="0" w:color="auto"/>
      </w:divBdr>
    </w:div>
    <w:div w:id="1825078798">
      <w:bodyDiv w:val="1"/>
      <w:marLeft w:val="0"/>
      <w:marRight w:val="0"/>
      <w:marTop w:val="0"/>
      <w:marBottom w:val="0"/>
      <w:divBdr>
        <w:top w:val="none" w:sz="0" w:space="0" w:color="auto"/>
        <w:left w:val="none" w:sz="0" w:space="0" w:color="auto"/>
        <w:bottom w:val="none" w:sz="0" w:space="0" w:color="auto"/>
        <w:right w:val="none" w:sz="0" w:space="0" w:color="auto"/>
      </w:divBdr>
    </w:div>
    <w:div w:id="1875191711">
      <w:bodyDiv w:val="1"/>
      <w:marLeft w:val="0"/>
      <w:marRight w:val="0"/>
      <w:marTop w:val="0"/>
      <w:marBottom w:val="0"/>
      <w:divBdr>
        <w:top w:val="none" w:sz="0" w:space="0" w:color="auto"/>
        <w:left w:val="none" w:sz="0" w:space="0" w:color="auto"/>
        <w:bottom w:val="none" w:sz="0" w:space="0" w:color="auto"/>
        <w:right w:val="none" w:sz="0" w:space="0" w:color="auto"/>
      </w:divBdr>
    </w:div>
    <w:div w:id="1876042049">
      <w:bodyDiv w:val="1"/>
      <w:marLeft w:val="0"/>
      <w:marRight w:val="0"/>
      <w:marTop w:val="0"/>
      <w:marBottom w:val="0"/>
      <w:divBdr>
        <w:top w:val="none" w:sz="0" w:space="0" w:color="auto"/>
        <w:left w:val="none" w:sz="0" w:space="0" w:color="auto"/>
        <w:bottom w:val="none" w:sz="0" w:space="0" w:color="auto"/>
        <w:right w:val="none" w:sz="0" w:space="0" w:color="auto"/>
      </w:divBdr>
    </w:div>
    <w:div w:id="1923760444">
      <w:bodyDiv w:val="1"/>
      <w:marLeft w:val="0"/>
      <w:marRight w:val="0"/>
      <w:marTop w:val="0"/>
      <w:marBottom w:val="0"/>
      <w:divBdr>
        <w:top w:val="none" w:sz="0" w:space="0" w:color="auto"/>
        <w:left w:val="none" w:sz="0" w:space="0" w:color="auto"/>
        <w:bottom w:val="none" w:sz="0" w:space="0" w:color="auto"/>
        <w:right w:val="none" w:sz="0" w:space="0" w:color="auto"/>
      </w:divBdr>
    </w:div>
    <w:div w:id="1984699744">
      <w:bodyDiv w:val="1"/>
      <w:marLeft w:val="0"/>
      <w:marRight w:val="0"/>
      <w:marTop w:val="0"/>
      <w:marBottom w:val="0"/>
      <w:divBdr>
        <w:top w:val="none" w:sz="0" w:space="0" w:color="auto"/>
        <w:left w:val="none" w:sz="0" w:space="0" w:color="auto"/>
        <w:bottom w:val="none" w:sz="0" w:space="0" w:color="auto"/>
        <w:right w:val="none" w:sz="0" w:space="0" w:color="auto"/>
      </w:divBdr>
    </w:div>
    <w:div w:id="2109502386">
      <w:bodyDiv w:val="1"/>
      <w:marLeft w:val="0"/>
      <w:marRight w:val="0"/>
      <w:marTop w:val="0"/>
      <w:marBottom w:val="0"/>
      <w:divBdr>
        <w:top w:val="none" w:sz="0" w:space="0" w:color="auto"/>
        <w:left w:val="none" w:sz="0" w:space="0" w:color="auto"/>
        <w:bottom w:val="none" w:sz="0" w:space="0" w:color="auto"/>
        <w:right w:val="none" w:sz="0" w:space="0" w:color="auto"/>
      </w:divBdr>
      <w:divsChild>
        <w:div w:id="182549749">
          <w:marLeft w:val="0"/>
          <w:marRight w:val="0"/>
          <w:marTop w:val="0"/>
          <w:marBottom w:val="0"/>
          <w:divBdr>
            <w:top w:val="none" w:sz="0" w:space="0" w:color="auto"/>
            <w:left w:val="none" w:sz="0" w:space="0" w:color="auto"/>
            <w:bottom w:val="none" w:sz="0" w:space="0" w:color="auto"/>
            <w:right w:val="none" w:sz="0" w:space="0" w:color="auto"/>
          </w:divBdr>
        </w:div>
        <w:div w:id="1987733021">
          <w:marLeft w:val="0"/>
          <w:marRight w:val="0"/>
          <w:marTop w:val="0"/>
          <w:marBottom w:val="0"/>
          <w:divBdr>
            <w:top w:val="none" w:sz="0" w:space="0" w:color="auto"/>
            <w:left w:val="none" w:sz="0" w:space="0" w:color="auto"/>
            <w:bottom w:val="none" w:sz="0" w:space="0" w:color="auto"/>
            <w:right w:val="none" w:sz="0" w:space="0" w:color="auto"/>
          </w:divBdr>
        </w:div>
        <w:div w:id="131292289">
          <w:marLeft w:val="0"/>
          <w:marRight w:val="0"/>
          <w:marTop w:val="0"/>
          <w:marBottom w:val="0"/>
          <w:divBdr>
            <w:top w:val="none" w:sz="0" w:space="0" w:color="auto"/>
            <w:left w:val="none" w:sz="0" w:space="0" w:color="auto"/>
            <w:bottom w:val="none" w:sz="0" w:space="0" w:color="auto"/>
            <w:right w:val="none" w:sz="0" w:space="0" w:color="auto"/>
          </w:divBdr>
        </w:div>
        <w:div w:id="1945840626">
          <w:marLeft w:val="0"/>
          <w:marRight w:val="0"/>
          <w:marTop w:val="0"/>
          <w:marBottom w:val="0"/>
          <w:divBdr>
            <w:top w:val="none" w:sz="0" w:space="0" w:color="auto"/>
            <w:left w:val="none" w:sz="0" w:space="0" w:color="auto"/>
            <w:bottom w:val="none" w:sz="0" w:space="0" w:color="auto"/>
            <w:right w:val="none" w:sz="0" w:space="0" w:color="auto"/>
          </w:divBdr>
        </w:div>
      </w:divsChild>
    </w:div>
    <w:div w:id="212226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articip.gov.md/ro/document/stages/ministerul-sanatatii-anunta-initierea-elaborarii-proiectului-hotararii-guvernului-cu-privire-la-stab/1580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ticip.gov.md/ro/document/stages/ministerul-sanatatii-anunta-initierea-elaborarii-proiectului-hotararii-guvernului-cu-privire-la-stab/15808"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56D3BF45-F309-4A14-B199-2964B4F63AD3}">
  <ds:schemaRefs>
    <ds:schemaRef ds:uri="http://schemas.openxmlformats.org/officeDocument/2006/bibliography"/>
  </ds:schemaRefs>
</ds:datastoreItem>
</file>

<file path=customXml/itemProps3.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D32544-AEF5-4A49-9E0F-738D7E2EBC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1679</Words>
  <Characters>9741</Characters>
  <Application>Microsoft Office Word</Application>
  <DocSecurity>0</DocSecurity>
  <Lines>81</Lines>
  <Paragraphs>22</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11398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Direcția Politici  în  Domeniul Medicamentului și Dispozitivelor Medicale</cp:lastModifiedBy>
  <cp:revision>2</cp:revision>
  <cp:lastPrinted>2026-02-25T06:00:00Z</cp:lastPrinted>
  <dcterms:created xsi:type="dcterms:W3CDTF">2026-02-27T06:49:00Z</dcterms:created>
  <dcterms:modified xsi:type="dcterms:W3CDTF">2026-02-27T06:49:00Z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