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EF7B4" w14:textId="77777777" w:rsidR="007054ED" w:rsidRDefault="00000000">
      <w:pPr>
        <w:spacing w:line="240" w:lineRule="auto"/>
        <w:ind w:firstLine="709"/>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UE</w:t>
      </w:r>
    </w:p>
    <w:p w14:paraId="53917A26" w14:textId="77777777" w:rsidR="007054ED" w:rsidRDefault="00000000">
      <w:pPr>
        <w:spacing w:line="240" w:lineRule="auto"/>
        <w:ind w:firstLine="709"/>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Tabel de concordanță</w:t>
      </w:r>
    </w:p>
    <w:p w14:paraId="0F07E1C5" w14:textId="77777777" w:rsidR="007054ED" w:rsidRDefault="007054ED">
      <w:pPr>
        <w:spacing w:line="240" w:lineRule="auto"/>
        <w:ind w:firstLine="709"/>
        <w:jc w:val="center"/>
        <w:rPr>
          <w:rFonts w:ascii="Times New Roman" w:eastAsia="Times New Roman" w:hAnsi="Times New Roman" w:cs="Times New Roman"/>
          <w:b/>
          <w:bCs/>
          <w:sz w:val="20"/>
          <w:szCs w:val="20"/>
        </w:rPr>
      </w:pPr>
    </w:p>
    <w:tbl>
      <w:tblPr>
        <w:tblStyle w:val="a5"/>
        <w:tblpPr w:leftFromText="180" w:rightFromText="180" w:vertAnchor="text" w:tblpX="-495"/>
        <w:tblW w:w="14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
        <w:gridCol w:w="2952"/>
        <w:gridCol w:w="4791"/>
        <w:gridCol w:w="2443"/>
        <w:gridCol w:w="4253"/>
      </w:tblGrid>
      <w:tr w:rsidR="007054ED" w14:paraId="2787B29D" w14:textId="77777777">
        <w:tc>
          <w:tcPr>
            <w:tcW w:w="441" w:type="dxa"/>
          </w:tcPr>
          <w:p w14:paraId="3C6CED80"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D1</w:t>
            </w:r>
          </w:p>
        </w:tc>
        <w:tc>
          <w:tcPr>
            <w:tcW w:w="14439" w:type="dxa"/>
            <w:gridSpan w:val="4"/>
          </w:tcPr>
          <w:p w14:paraId="39E02469" w14:textId="77777777" w:rsidR="007054ED" w:rsidRDefault="00000000">
            <w:pPr>
              <w:spacing w:line="256"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Titlul actului UE, inclusiv cea mai recentă modificare, nr. CELEX</w:t>
            </w:r>
          </w:p>
          <w:p w14:paraId="66E1B2F9" w14:textId="77777777" w:rsidR="007054ED" w:rsidRDefault="007054ED">
            <w:pPr>
              <w:spacing w:line="256" w:lineRule="auto"/>
              <w:ind w:firstLine="22"/>
              <w:jc w:val="both"/>
              <w:rPr>
                <w:rFonts w:ascii="Times New Roman" w:eastAsia="Times New Roman" w:hAnsi="Times New Roman" w:cs="Times New Roman"/>
                <w:b/>
                <w:bCs/>
                <w:sz w:val="20"/>
                <w:szCs w:val="20"/>
              </w:rPr>
            </w:pPr>
          </w:p>
          <w:p w14:paraId="7B9BEAB2" w14:textId="77777777" w:rsidR="007054ED" w:rsidRDefault="00000000">
            <w:pPr>
              <w:spacing w:after="20" w:line="240" w:lineRule="auto"/>
              <w:ind w:right="2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Directiva 91/383/CEE a Consiliului din 25 iunie 1991 de completare a măsurilor destinate să promoveze îmbunătățirea securității și sănătății la locul de muncă în cazul lucrătorilor care au un raport de muncă pe durată determinată sau un raport de muncă temporară, CELEX: 31991L0383, publicată în Jurnalul Oficial al Uniunii Europene L 206 din 29 iulie 1991, astfel cum a fost modificată ultima dată prin Directiva 2007/30/CE a Parlamentului European și a Consiliului din 20 iunie 2007;</w:t>
            </w:r>
          </w:p>
        </w:tc>
      </w:tr>
      <w:tr w:rsidR="007054ED" w14:paraId="7DE1C937" w14:textId="77777777">
        <w:tc>
          <w:tcPr>
            <w:tcW w:w="441" w:type="dxa"/>
          </w:tcPr>
          <w:p w14:paraId="1BDC05EE"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14439" w:type="dxa"/>
            <w:gridSpan w:val="4"/>
          </w:tcPr>
          <w:p w14:paraId="62DC4D95" w14:textId="77777777" w:rsidR="007054ED" w:rsidRDefault="00000000">
            <w:pPr>
              <w:spacing w:line="256"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Titlul proiectului de act normativ național</w:t>
            </w:r>
          </w:p>
          <w:p w14:paraId="389929F7" w14:textId="77777777" w:rsidR="007054ED" w:rsidRDefault="00000000">
            <w:pPr>
              <w:spacing w:line="256" w:lineRule="auto"/>
              <w:ind w:firstLine="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Legea securității și sănătății în muncă nr. 186/2008 (Monitorul Oficial al Republicii Moldova, 2008, nr. 143–144, art. 587)</w:t>
            </w:r>
          </w:p>
          <w:p w14:paraId="66EBC497" w14:textId="77777777" w:rsidR="007054ED" w:rsidRDefault="007054ED">
            <w:pPr>
              <w:spacing w:line="240" w:lineRule="auto"/>
              <w:ind w:firstLine="41"/>
              <w:rPr>
                <w:rFonts w:ascii="Times New Roman" w:eastAsia="Times New Roman" w:hAnsi="Times New Roman" w:cs="Times New Roman"/>
                <w:sz w:val="20"/>
                <w:szCs w:val="20"/>
              </w:rPr>
            </w:pPr>
          </w:p>
        </w:tc>
      </w:tr>
      <w:tr w:rsidR="007054ED" w14:paraId="3C875CA5" w14:textId="77777777">
        <w:tc>
          <w:tcPr>
            <w:tcW w:w="441" w:type="dxa"/>
          </w:tcPr>
          <w:p w14:paraId="59F1468E"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14439" w:type="dxa"/>
            <w:gridSpan w:val="4"/>
          </w:tcPr>
          <w:p w14:paraId="182C8DEE"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Gradul general de compatibilitate: </w:t>
            </w:r>
            <w:r>
              <w:rPr>
                <w:rFonts w:ascii="Times New Roman" w:eastAsia="Times New Roman" w:hAnsi="Times New Roman" w:cs="Times New Roman"/>
                <w:sz w:val="20"/>
                <w:szCs w:val="20"/>
              </w:rPr>
              <w:t>Compatibil</w:t>
            </w:r>
          </w:p>
          <w:p w14:paraId="004D9CDC" w14:textId="77777777" w:rsidR="007054ED" w:rsidRDefault="007054ED">
            <w:pPr>
              <w:spacing w:line="256" w:lineRule="auto"/>
              <w:ind w:firstLine="22"/>
              <w:jc w:val="both"/>
              <w:rPr>
                <w:rFonts w:ascii="Times New Roman" w:eastAsia="Times New Roman" w:hAnsi="Times New Roman" w:cs="Times New Roman"/>
                <w:b/>
                <w:bCs/>
                <w:sz w:val="20"/>
                <w:szCs w:val="20"/>
              </w:rPr>
            </w:pPr>
          </w:p>
        </w:tc>
      </w:tr>
      <w:tr w:rsidR="007054ED" w14:paraId="5D5D38E4" w14:textId="77777777">
        <w:trPr>
          <w:trHeight w:val="958"/>
        </w:trPr>
        <w:tc>
          <w:tcPr>
            <w:tcW w:w="441" w:type="dxa"/>
          </w:tcPr>
          <w:p w14:paraId="2FF9ECAD"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14439" w:type="dxa"/>
            <w:gridSpan w:val="4"/>
          </w:tcPr>
          <w:p w14:paraId="21F97CB2"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Autoritatea/persoana responsabilă </w:t>
            </w:r>
          </w:p>
          <w:p w14:paraId="7B3175F4" w14:textId="77777777" w:rsidR="007054ED" w:rsidRDefault="00000000">
            <w:pPr>
              <w:spacing w:line="256" w:lineRule="auto"/>
              <w:ind w:firstLine="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Ministerul Muncii și Protecției Sociale, </w:t>
            </w:r>
          </w:p>
          <w:p w14:paraId="338701CF" w14:textId="77777777" w:rsidR="007054ED" w:rsidRDefault="00000000">
            <w:pPr>
              <w:spacing w:line="256" w:lineRule="auto"/>
              <w:ind w:firstLine="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Igor Ciloci, șef adjunct Direcție politici în domeniul raporturi de muncă și dialog social</w:t>
            </w:r>
          </w:p>
        </w:tc>
      </w:tr>
      <w:tr w:rsidR="007054ED" w14:paraId="69A00F47" w14:textId="77777777">
        <w:tc>
          <w:tcPr>
            <w:tcW w:w="441" w:type="dxa"/>
          </w:tcPr>
          <w:p w14:paraId="5C5C62BC"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c>
          <w:tcPr>
            <w:tcW w:w="14439" w:type="dxa"/>
            <w:gridSpan w:val="4"/>
          </w:tcPr>
          <w:p w14:paraId="5F44B351" w14:textId="77777777" w:rsidR="007054E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Data întocmirii/</w:t>
            </w:r>
            <w:r>
              <w:rPr>
                <w:rFonts w:ascii="Times New Roman" w:eastAsia="Times New Roman" w:hAnsi="Times New Roman" w:cs="Times New Roman"/>
                <w:b/>
                <w:bCs/>
                <w:sz w:val="20"/>
                <w:szCs w:val="20"/>
                <w:u w:val="single"/>
              </w:rPr>
              <w:t>actualizării</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17 februarie 2026</w:t>
            </w:r>
          </w:p>
        </w:tc>
      </w:tr>
      <w:tr w:rsidR="007054ED" w14:paraId="08D446FB" w14:textId="77777777">
        <w:tc>
          <w:tcPr>
            <w:tcW w:w="3393" w:type="dxa"/>
            <w:gridSpan w:val="2"/>
          </w:tcPr>
          <w:p w14:paraId="3C77035D" w14:textId="77777777" w:rsidR="007054ED" w:rsidRDefault="00000000">
            <w:pPr>
              <w:spacing w:line="256" w:lineRule="auto"/>
              <w:ind w:firstLine="22"/>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Actul Uniunii Europene</w:t>
            </w:r>
          </w:p>
        </w:tc>
        <w:tc>
          <w:tcPr>
            <w:tcW w:w="4791" w:type="dxa"/>
          </w:tcPr>
          <w:p w14:paraId="3CC8E831" w14:textId="77777777" w:rsidR="007054ED" w:rsidRDefault="00000000">
            <w:pPr>
              <w:spacing w:line="256" w:lineRule="auto"/>
              <w:ind w:firstLine="22"/>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act normativ național</w:t>
            </w:r>
          </w:p>
          <w:p w14:paraId="02807EBD" w14:textId="77777777" w:rsidR="007054ED" w:rsidRDefault="007054ED">
            <w:pPr>
              <w:spacing w:line="256" w:lineRule="auto"/>
              <w:jc w:val="center"/>
              <w:rPr>
                <w:rFonts w:ascii="Times New Roman" w:eastAsia="Times New Roman" w:hAnsi="Times New Roman" w:cs="Times New Roman"/>
                <w:b/>
                <w:bCs/>
                <w:sz w:val="20"/>
                <w:szCs w:val="20"/>
              </w:rPr>
            </w:pPr>
          </w:p>
        </w:tc>
        <w:tc>
          <w:tcPr>
            <w:tcW w:w="2443" w:type="dxa"/>
          </w:tcPr>
          <w:p w14:paraId="168AD175" w14:textId="77777777" w:rsidR="007054ED" w:rsidRDefault="00000000">
            <w:pPr>
              <w:spacing w:line="256" w:lineRule="auto"/>
              <w:ind w:firstLine="22"/>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Gradul de compatibilitate</w:t>
            </w:r>
          </w:p>
        </w:tc>
        <w:tc>
          <w:tcPr>
            <w:tcW w:w="4253" w:type="dxa"/>
          </w:tcPr>
          <w:p w14:paraId="66924334" w14:textId="77777777" w:rsidR="007054ED" w:rsidRDefault="00000000">
            <w:pPr>
              <w:spacing w:line="256" w:lineRule="auto"/>
              <w:ind w:firstLine="22"/>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Observații</w:t>
            </w:r>
          </w:p>
          <w:p w14:paraId="14292099" w14:textId="77777777" w:rsidR="007054ED" w:rsidRDefault="007054ED">
            <w:pPr>
              <w:spacing w:line="256" w:lineRule="auto"/>
              <w:jc w:val="center"/>
              <w:rPr>
                <w:rFonts w:ascii="Times New Roman" w:eastAsia="Times New Roman" w:hAnsi="Times New Roman" w:cs="Times New Roman"/>
                <w:b/>
                <w:bCs/>
                <w:sz w:val="20"/>
                <w:szCs w:val="20"/>
              </w:rPr>
            </w:pPr>
          </w:p>
        </w:tc>
      </w:tr>
      <w:tr w:rsidR="007054ED" w14:paraId="4863D980" w14:textId="77777777">
        <w:tc>
          <w:tcPr>
            <w:tcW w:w="3393" w:type="dxa"/>
            <w:gridSpan w:val="2"/>
          </w:tcPr>
          <w:p w14:paraId="52B3C3E7" w14:textId="77777777" w:rsidR="007054ED" w:rsidRDefault="00000000">
            <w:pPr>
              <w:spacing w:line="256" w:lineRule="auto"/>
              <w:ind w:firstLine="22"/>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6</w:t>
            </w:r>
          </w:p>
        </w:tc>
        <w:tc>
          <w:tcPr>
            <w:tcW w:w="4791" w:type="dxa"/>
          </w:tcPr>
          <w:p w14:paraId="556F6203" w14:textId="77777777" w:rsidR="007054ED" w:rsidRDefault="00000000">
            <w:pPr>
              <w:spacing w:line="256" w:lineRule="auto"/>
              <w:ind w:firstLine="22"/>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7</w:t>
            </w:r>
          </w:p>
        </w:tc>
        <w:tc>
          <w:tcPr>
            <w:tcW w:w="2443" w:type="dxa"/>
          </w:tcPr>
          <w:p w14:paraId="2D0FF8EA" w14:textId="77777777" w:rsidR="007054ED" w:rsidRDefault="00000000">
            <w:pPr>
              <w:spacing w:line="256" w:lineRule="auto"/>
              <w:ind w:firstLine="22"/>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8</w:t>
            </w:r>
          </w:p>
        </w:tc>
        <w:tc>
          <w:tcPr>
            <w:tcW w:w="4253" w:type="dxa"/>
          </w:tcPr>
          <w:p w14:paraId="58CCEB18" w14:textId="77777777" w:rsidR="007054ED" w:rsidRDefault="00000000">
            <w:pPr>
              <w:spacing w:line="256" w:lineRule="auto"/>
              <w:ind w:firstLine="22"/>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9</w:t>
            </w:r>
          </w:p>
        </w:tc>
      </w:tr>
      <w:tr w:rsidR="007054ED" w14:paraId="76A59748" w14:textId="77777777">
        <w:tc>
          <w:tcPr>
            <w:tcW w:w="3393" w:type="dxa"/>
            <w:gridSpan w:val="2"/>
          </w:tcPr>
          <w:p w14:paraId="399BDEEA"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SECȚIUNEA I</w:t>
            </w:r>
          </w:p>
          <w:p w14:paraId="2BC38190"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DOMENIUL DE APLICARE ȘI OBJECTUL</w:t>
            </w:r>
          </w:p>
          <w:p w14:paraId="064E40E4"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 Domeniul de aplicare</w:t>
            </w:r>
          </w:p>
          <w:p w14:paraId="031C1A90"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Prezenta directivă se aplică:</w:t>
            </w:r>
          </w:p>
          <w:p w14:paraId="6833AE79"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raporturilor de muncă reglementate printr-un contract de muncă pe durată determinată, încheiat direct între angajator și lucrător, în care încetarea contractului de muncă este determinată de condiții obiective, cum ar fi atingerea unei date precise, finalizarea unei sarcini determinate sau producerea unui eveniment determinat;</w:t>
            </w:r>
          </w:p>
          <w:p w14:paraId="21B93F96" w14:textId="77777777" w:rsidR="007054ED"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lastRenderedPageBreak/>
              <w:t>2. raporturilor de muncă temporară dintre un agent de muncă temporară, care este angajatorul, și lucrător, când acesta din urmă este desemnat să lucreze pentru o întreprindere sau o unitate care apelează la serviciile sale ș i/sau care exercită controlul asupra sa.</w:t>
            </w:r>
          </w:p>
        </w:tc>
        <w:tc>
          <w:tcPr>
            <w:tcW w:w="4791" w:type="dxa"/>
          </w:tcPr>
          <w:p w14:paraId="5AC92FFD" w14:textId="77777777" w:rsidR="007054ED" w:rsidRDefault="00000000">
            <w:pPr>
              <w:widowControl w:val="0"/>
              <w:spacing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lastRenderedPageBreak/>
              <w:t>Legea securității și sănătății în muncă nr. 186/2008 (Monitorul Oficial al Republicii Moldova, 2008, nr. 143–144, art. 587)</w:t>
            </w:r>
          </w:p>
          <w:p w14:paraId="7342D639" w14:textId="77777777" w:rsidR="007054ED" w:rsidRDefault="00000000">
            <w:pPr>
              <w:widowControl w:val="0"/>
              <w:spacing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sz w:val="20"/>
                <w:szCs w:val="20"/>
              </w:rPr>
              <w:t>[…]</w:t>
            </w:r>
          </w:p>
          <w:p w14:paraId="66213653" w14:textId="77777777" w:rsidR="007054ED" w:rsidRDefault="00000000">
            <w:pPr>
              <w:widowControl w:val="0"/>
              <w:spacing w:line="240" w:lineRule="auto"/>
              <w:jc w:val="both"/>
              <w:rPr>
                <w:rFonts w:ascii="Times New Roman" w:eastAsia="Times New Roman" w:hAnsi="Times New Roman" w:cs="Times New Roman"/>
                <w:b/>
                <w:bCs/>
                <w:sz w:val="20"/>
                <w:szCs w:val="20"/>
              </w:rPr>
            </w:pPr>
            <w:bookmarkStart w:id="0" w:name="kix.eldtugdezsgb" w:colFirst="0" w:colLast="0"/>
            <w:bookmarkEnd w:id="0"/>
            <w:r>
              <w:rPr>
                <w:rFonts w:ascii="Times New Roman" w:eastAsia="Times New Roman" w:hAnsi="Times New Roman" w:cs="Times New Roman"/>
                <w:b/>
                <w:bCs/>
                <w:sz w:val="20"/>
                <w:szCs w:val="20"/>
              </w:rPr>
              <w:t xml:space="preserve">Articolul 3. Domeniul de aplicare </w:t>
            </w:r>
          </w:p>
          <w:p w14:paraId="232E0477"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prezentei legi se aplică:</w:t>
            </w:r>
          </w:p>
          <w:p w14:paraId="376E1BCD"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a1) </w:t>
            </w:r>
            <w:proofErr w:type="spellStart"/>
            <w:r>
              <w:rPr>
                <w:rFonts w:ascii="Times New Roman" w:eastAsia="Times New Roman" w:hAnsi="Times New Roman" w:cs="Times New Roman"/>
                <w:sz w:val="20"/>
                <w:szCs w:val="20"/>
              </w:rPr>
              <w:t>agenţilor</w:t>
            </w:r>
            <w:proofErr w:type="spellEnd"/>
            <w:r>
              <w:rPr>
                <w:rFonts w:ascii="Times New Roman" w:eastAsia="Times New Roman" w:hAnsi="Times New Roman" w:cs="Times New Roman"/>
                <w:sz w:val="20"/>
                <w:szCs w:val="20"/>
              </w:rPr>
              <w:t xml:space="preserve"> de muncă temporară, astfel cum </w:t>
            </w:r>
            <w:proofErr w:type="spellStart"/>
            <w:r>
              <w:rPr>
                <w:rFonts w:ascii="Times New Roman" w:eastAsia="Times New Roman" w:hAnsi="Times New Roman" w:cs="Times New Roman"/>
                <w:sz w:val="20"/>
                <w:szCs w:val="20"/>
              </w:rPr>
              <w:t>aceştia</w:t>
            </w:r>
            <w:proofErr w:type="spellEnd"/>
            <w:r>
              <w:rPr>
                <w:rFonts w:ascii="Times New Roman" w:eastAsia="Times New Roman" w:hAnsi="Times New Roman" w:cs="Times New Roman"/>
                <w:sz w:val="20"/>
                <w:szCs w:val="20"/>
              </w:rPr>
              <w:t xml:space="preserve"> sunt </w:t>
            </w:r>
            <w:proofErr w:type="spellStart"/>
            <w:r>
              <w:rPr>
                <w:rFonts w:ascii="Times New Roman" w:eastAsia="Times New Roman" w:hAnsi="Times New Roman" w:cs="Times New Roman"/>
                <w:sz w:val="20"/>
                <w:szCs w:val="20"/>
              </w:rPr>
              <w:t>definiţi</w:t>
            </w:r>
            <w:proofErr w:type="spellEnd"/>
            <w:r>
              <w:rPr>
                <w:rFonts w:ascii="Times New Roman" w:eastAsia="Times New Roman" w:hAnsi="Times New Roman" w:cs="Times New Roman"/>
                <w:sz w:val="20"/>
                <w:szCs w:val="20"/>
              </w:rPr>
              <w:t xml:space="preserve"> la art.1 din Codul muncii nr.154/2003 şi lucrătorilor </w:t>
            </w:r>
            <w:proofErr w:type="spellStart"/>
            <w:r>
              <w:rPr>
                <w:rFonts w:ascii="Times New Roman" w:eastAsia="Times New Roman" w:hAnsi="Times New Roman" w:cs="Times New Roman"/>
                <w:sz w:val="20"/>
                <w:szCs w:val="20"/>
              </w:rPr>
              <w:t>aflaţi</w:t>
            </w:r>
            <w:proofErr w:type="spellEnd"/>
            <w:r>
              <w:rPr>
                <w:rFonts w:ascii="Times New Roman" w:eastAsia="Times New Roman" w:hAnsi="Times New Roman" w:cs="Times New Roman"/>
                <w:sz w:val="20"/>
                <w:szCs w:val="20"/>
              </w:rPr>
              <w:t xml:space="preserve"> în raporturi de muncă temporară, atunci când ultimii sunt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să lucreze pentru un utilizator de muncă temporară sau pentru o persoană fizică care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o activitate de întreprinzător sau pentru o persoană juridică care recurge la serviciile lor şi/sau care exercită un control asupra acestor lucrători;. </w:t>
            </w:r>
          </w:p>
        </w:tc>
        <w:tc>
          <w:tcPr>
            <w:tcW w:w="2443" w:type="dxa"/>
          </w:tcPr>
          <w:p w14:paraId="162D67C2" w14:textId="77777777" w:rsidR="007054ED" w:rsidRDefault="00000000">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Compatibil </w:t>
            </w:r>
          </w:p>
        </w:tc>
        <w:tc>
          <w:tcPr>
            <w:tcW w:w="4253" w:type="dxa"/>
          </w:tcPr>
          <w:p w14:paraId="66F2409C"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articolul 3 din Legea securității și sănătății în muncă 186/2008 sunt stabilite domeniile de aplicare. Prin adoptarea proiectului domeniul de aplicare se va extinde și asupra categoriilor de raporturi de muncă vizate în Articolul 1 în Directivă</w:t>
            </w:r>
          </w:p>
        </w:tc>
      </w:tr>
      <w:tr w:rsidR="007054ED" w14:paraId="05F9FB5A" w14:textId="77777777">
        <w:tc>
          <w:tcPr>
            <w:tcW w:w="3393" w:type="dxa"/>
            <w:gridSpan w:val="2"/>
          </w:tcPr>
          <w:p w14:paraId="49A9939A"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Articolul 2 Obiectul</w:t>
            </w:r>
          </w:p>
          <w:p w14:paraId="09904AE6"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Prezenta directivă își propune să asigure lucrătorilor aflați într-un raport de muncă de tipul celor menționate la articolul 1 același nivel de protecție în domeniul securității și al sănătății la locul de muncă, de care beneficiază ceilalți salariați din întreprindere și/sau unitățile utilizatoare.</w:t>
            </w:r>
          </w:p>
          <w:p w14:paraId="7F9605C2"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Existența unui raport de muncă de tipul celor menționate la articolul 1 nu poate justifica o diferență de tratament în privința condițiilor de muncă referitoare la protecția securității și sănătății la locul de muncă, în special când este vorba de accesul la echipamentele de protecție individuală.</w:t>
            </w:r>
          </w:p>
          <w:p w14:paraId="3967EA20" w14:textId="77777777" w:rsidR="007054ED" w:rsidRDefault="00000000">
            <w:pPr>
              <w:spacing w:line="240" w:lineRule="auto"/>
              <w:ind w:left="57" w:right="57"/>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(3) Directiva 89/391/CEE, precum și directivele speciale, în sensul articolului 16 alineatul (1) din Directiva 89/391/CEE se aplică în totalitate lucrătorilor care au un raport de muncă de tipul celor menționate la articolul 1, fără a aduce atingere dispozițiilor mai restrictive și/sau speciale conținute în prezenta directivă.</w:t>
            </w:r>
          </w:p>
        </w:tc>
        <w:tc>
          <w:tcPr>
            <w:tcW w:w="4791" w:type="dxa"/>
          </w:tcPr>
          <w:p w14:paraId="628D90D5" w14:textId="77777777" w:rsidR="007054ED" w:rsidRDefault="00000000">
            <w:pPr>
              <w:widowControl w:val="0"/>
              <w:spacing w:line="240" w:lineRule="auto"/>
              <w:jc w:val="both"/>
              <w:rPr>
                <w:rFonts w:ascii="Times New Roman" w:eastAsia="Times New Roman" w:hAnsi="Times New Roman" w:cs="Times New Roman"/>
                <w:sz w:val="20"/>
                <w:szCs w:val="20"/>
              </w:rPr>
            </w:pPr>
            <w:bookmarkStart w:id="1" w:name="kix.slnb6xo3z8vb" w:colFirst="0" w:colLast="0"/>
            <w:bookmarkEnd w:id="1"/>
            <w:r>
              <w:rPr>
                <w:rFonts w:ascii="Times New Roman" w:eastAsia="Times New Roman" w:hAnsi="Times New Roman" w:cs="Times New Roman"/>
                <w:b/>
                <w:bCs/>
                <w:sz w:val="20"/>
                <w:szCs w:val="20"/>
              </w:rPr>
              <w:t>Articolul 1.</w:t>
            </w:r>
            <w:r>
              <w:rPr>
                <w:rFonts w:ascii="Times New Roman" w:eastAsia="Times New Roman" w:hAnsi="Times New Roman" w:cs="Times New Roman"/>
                <w:sz w:val="20"/>
                <w:szCs w:val="20"/>
              </w:rPr>
              <w:t> </w:t>
            </w:r>
            <w:proofErr w:type="spellStart"/>
            <w:r>
              <w:rPr>
                <w:rFonts w:ascii="Times New Roman" w:eastAsia="Times New Roman" w:hAnsi="Times New Roman" w:cs="Times New Roman"/>
                <w:b/>
                <w:bCs/>
                <w:sz w:val="20"/>
                <w:szCs w:val="20"/>
              </w:rPr>
              <w:t>Noţiuni</w:t>
            </w:r>
            <w:proofErr w:type="spellEnd"/>
            <w:r>
              <w:rPr>
                <w:rFonts w:ascii="Times New Roman" w:eastAsia="Times New Roman" w:hAnsi="Times New Roman" w:cs="Times New Roman"/>
                <w:b/>
                <w:bCs/>
                <w:sz w:val="20"/>
                <w:szCs w:val="20"/>
              </w:rPr>
              <w:t xml:space="preserve"> principale</w:t>
            </w:r>
          </w:p>
          <w:p w14:paraId="6BFA38F5"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angajator – orice persoană fizică sau juridică care poartă răspundere pentru unitatea respectivă şi care este titularul raporturilor de muncă cu unul sau cu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lucrători;</w:t>
            </w:r>
          </w:p>
          <w:p w14:paraId="7967F953"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lucrător – orice persoană fizică care exercită, pentru sau sub autoritatea unui angajator, activităţi reale şi efective în schimbul unei </w:t>
            </w:r>
            <w:proofErr w:type="spellStart"/>
            <w:r>
              <w:rPr>
                <w:rFonts w:ascii="Times New Roman" w:eastAsia="Times New Roman" w:hAnsi="Times New Roman" w:cs="Times New Roman"/>
                <w:sz w:val="20"/>
                <w:szCs w:val="20"/>
              </w:rPr>
              <w:t>remuneraţii</w:t>
            </w:r>
            <w:proofErr w:type="spellEnd"/>
            <w:r>
              <w:rPr>
                <w:rFonts w:ascii="Times New Roman" w:eastAsia="Times New Roman" w:hAnsi="Times New Roman" w:cs="Times New Roman"/>
                <w:sz w:val="20"/>
                <w:szCs w:val="20"/>
              </w:rPr>
              <w:t xml:space="preserve">, indiferent de natura juridică, de durata sau de forma raportului dintre </w:t>
            </w:r>
            <w:proofErr w:type="spellStart"/>
            <w:r>
              <w:rPr>
                <w:rFonts w:ascii="Times New Roman" w:eastAsia="Times New Roman" w:hAnsi="Times New Roman" w:cs="Times New Roman"/>
                <w:sz w:val="20"/>
                <w:szCs w:val="20"/>
              </w:rPr>
              <w:t>părţi</w:t>
            </w:r>
            <w:proofErr w:type="spellEnd"/>
            <w:r>
              <w:rPr>
                <w:rFonts w:ascii="Times New Roman" w:eastAsia="Times New Roman" w:hAnsi="Times New Roman" w:cs="Times New Roman"/>
                <w:sz w:val="20"/>
                <w:szCs w:val="20"/>
              </w:rPr>
              <w:t>.</w:t>
            </w:r>
          </w:p>
          <w:p w14:paraId="24D4DBC4"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Sunt </w:t>
            </w:r>
            <w:proofErr w:type="spellStart"/>
            <w:r>
              <w:rPr>
                <w:rFonts w:ascii="Times New Roman" w:eastAsia="Times New Roman" w:hAnsi="Times New Roman" w:cs="Times New Roman"/>
                <w:sz w:val="20"/>
                <w:szCs w:val="20"/>
              </w:rPr>
              <w:t>consideraţi</w:t>
            </w:r>
            <w:proofErr w:type="spellEnd"/>
            <w:r>
              <w:rPr>
                <w:rFonts w:ascii="Times New Roman" w:eastAsia="Times New Roman" w:hAnsi="Times New Roman" w:cs="Times New Roman"/>
                <w:sz w:val="20"/>
                <w:szCs w:val="20"/>
              </w:rPr>
              <w:t xml:space="preserve"> lucrători, în sensul prezentei legi, inclusiv:</w:t>
            </w:r>
          </w:p>
          <w:p w14:paraId="14FFB65D"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salariaţii şi salariaţii temporari, astfel cum </w:t>
            </w:r>
            <w:proofErr w:type="spellStart"/>
            <w:r>
              <w:rPr>
                <w:rFonts w:ascii="Times New Roman" w:eastAsia="Times New Roman" w:hAnsi="Times New Roman" w:cs="Times New Roman"/>
                <w:sz w:val="20"/>
                <w:szCs w:val="20"/>
              </w:rPr>
              <w:t>aceştia</w:t>
            </w:r>
            <w:proofErr w:type="spellEnd"/>
            <w:r>
              <w:rPr>
                <w:rFonts w:ascii="Times New Roman" w:eastAsia="Times New Roman" w:hAnsi="Times New Roman" w:cs="Times New Roman"/>
                <w:sz w:val="20"/>
                <w:szCs w:val="20"/>
              </w:rPr>
              <w:t xml:space="preserve"> sunt </w:t>
            </w:r>
            <w:proofErr w:type="spellStart"/>
            <w:r>
              <w:rPr>
                <w:rFonts w:ascii="Times New Roman" w:eastAsia="Times New Roman" w:hAnsi="Times New Roman" w:cs="Times New Roman"/>
                <w:sz w:val="20"/>
                <w:szCs w:val="20"/>
              </w:rPr>
              <w:t>definiţi</w:t>
            </w:r>
            <w:proofErr w:type="spellEnd"/>
            <w:r>
              <w:rPr>
                <w:rFonts w:ascii="Times New Roman" w:eastAsia="Times New Roman" w:hAnsi="Times New Roman" w:cs="Times New Roman"/>
                <w:sz w:val="20"/>
                <w:szCs w:val="20"/>
              </w:rPr>
              <w:t xml:space="preserve"> la art.1 din Codul muncii al Republicii Moldova nr.154/2003;</w:t>
            </w:r>
          </w:p>
          <w:p w14:paraId="3103BE31"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stagiarii şi ucenicii, în măsura în care </w:t>
            </w:r>
            <w:proofErr w:type="spellStart"/>
            <w:r>
              <w:rPr>
                <w:rFonts w:ascii="Times New Roman" w:eastAsia="Times New Roman" w:hAnsi="Times New Roman" w:cs="Times New Roman"/>
                <w:sz w:val="20"/>
                <w:szCs w:val="20"/>
              </w:rPr>
              <w:t>aceştia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activităţi cu valoare economică, chiar dacă au un caracter predominant formativ;</w:t>
            </w:r>
          </w:p>
          <w:p w14:paraId="77A41E50"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persoanele care prestează muncă sau servicii sub autoritatea unei alte persoane şi în schimbul unei </w:t>
            </w:r>
            <w:proofErr w:type="spellStart"/>
            <w:r>
              <w:rPr>
                <w:rFonts w:ascii="Times New Roman" w:eastAsia="Times New Roman" w:hAnsi="Times New Roman" w:cs="Times New Roman"/>
                <w:sz w:val="20"/>
                <w:szCs w:val="20"/>
              </w:rPr>
              <w:t>contraprestaţii</w:t>
            </w:r>
            <w:proofErr w:type="spellEnd"/>
            <w:r>
              <w:rPr>
                <w:rFonts w:ascii="Times New Roman" w:eastAsia="Times New Roman" w:hAnsi="Times New Roman" w:cs="Times New Roman"/>
                <w:sz w:val="20"/>
                <w:szCs w:val="20"/>
              </w:rPr>
              <w:t xml:space="preserve">, chiar dacă raporturile nu sunt formalizate printr-un contract individual de muncă, atunci când sunt întrunite elementele </w:t>
            </w:r>
            <w:proofErr w:type="spellStart"/>
            <w:r>
              <w:rPr>
                <w:rFonts w:ascii="Times New Roman" w:eastAsia="Times New Roman" w:hAnsi="Times New Roman" w:cs="Times New Roman"/>
                <w:sz w:val="20"/>
                <w:szCs w:val="20"/>
              </w:rPr>
              <w:t>esenţiale</w:t>
            </w:r>
            <w:proofErr w:type="spellEnd"/>
            <w:r>
              <w:rPr>
                <w:rFonts w:ascii="Times New Roman" w:eastAsia="Times New Roman" w:hAnsi="Times New Roman" w:cs="Times New Roman"/>
                <w:sz w:val="20"/>
                <w:szCs w:val="20"/>
              </w:rPr>
              <w:t xml:space="preserve"> ale unei </w:t>
            </w:r>
            <w:proofErr w:type="spellStart"/>
            <w:r>
              <w:rPr>
                <w:rFonts w:ascii="Times New Roman" w:eastAsia="Times New Roman" w:hAnsi="Times New Roman" w:cs="Times New Roman"/>
                <w:sz w:val="20"/>
                <w:szCs w:val="20"/>
              </w:rPr>
              <w:t>relaţii</w:t>
            </w:r>
            <w:proofErr w:type="spellEnd"/>
            <w:r>
              <w:rPr>
                <w:rFonts w:ascii="Times New Roman" w:eastAsia="Times New Roman" w:hAnsi="Times New Roman" w:cs="Times New Roman"/>
                <w:sz w:val="20"/>
                <w:szCs w:val="20"/>
              </w:rPr>
              <w:t xml:space="preserve"> de muncă: subordonare, </w:t>
            </w:r>
            <w:proofErr w:type="spellStart"/>
            <w:r>
              <w:rPr>
                <w:rFonts w:ascii="Times New Roman" w:eastAsia="Times New Roman" w:hAnsi="Times New Roman" w:cs="Times New Roman"/>
                <w:sz w:val="20"/>
                <w:szCs w:val="20"/>
              </w:rPr>
              <w:t>prestaţie</w:t>
            </w:r>
            <w:proofErr w:type="spellEnd"/>
            <w:r>
              <w:rPr>
                <w:rFonts w:ascii="Times New Roman" w:eastAsia="Times New Roman" w:hAnsi="Times New Roman" w:cs="Times New Roman"/>
                <w:sz w:val="20"/>
                <w:szCs w:val="20"/>
              </w:rPr>
              <w:t xml:space="preserve"> personală şi </w:t>
            </w:r>
            <w:proofErr w:type="spellStart"/>
            <w:r>
              <w:rPr>
                <w:rFonts w:ascii="Times New Roman" w:eastAsia="Times New Roman" w:hAnsi="Times New Roman" w:cs="Times New Roman"/>
                <w:sz w:val="20"/>
                <w:szCs w:val="20"/>
              </w:rPr>
              <w:t>contraprestaţie</w:t>
            </w:r>
            <w:proofErr w:type="spellEnd"/>
            <w:r>
              <w:rPr>
                <w:rFonts w:ascii="Times New Roman" w:eastAsia="Times New Roman" w:hAnsi="Times New Roman" w:cs="Times New Roman"/>
                <w:sz w:val="20"/>
                <w:szCs w:val="20"/>
              </w:rPr>
              <w:t xml:space="preserve"> economică;</w:t>
            </w:r>
          </w:p>
        </w:tc>
        <w:tc>
          <w:tcPr>
            <w:tcW w:w="2443" w:type="dxa"/>
          </w:tcPr>
          <w:p w14:paraId="6E2BCBF6"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Compatibil</w:t>
            </w:r>
          </w:p>
        </w:tc>
        <w:tc>
          <w:tcPr>
            <w:tcW w:w="4253" w:type="dxa"/>
          </w:tcPr>
          <w:p w14:paraId="213C8199"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Directiva stabilește obiectivul de bază că lucrătorii temporari trebuie să beneficieze de același nivel de protecție a securității și sănătății în muncă ca și ceilalți salariați și că simplul fapt al caracterului „temporar” nu poate justifica un tratament mai slab, inclusiv la capitolul echipamente de protecție și măsuri preventive.</w:t>
            </w:r>
          </w:p>
          <w:p w14:paraId="29448D58" w14:textId="77777777" w:rsidR="007054ED" w:rsidRDefault="007054ED">
            <w:pPr>
              <w:spacing w:line="256" w:lineRule="auto"/>
              <w:jc w:val="both"/>
              <w:rPr>
                <w:rFonts w:ascii="Times New Roman" w:eastAsia="Times New Roman" w:hAnsi="Times New Roman" w:cs="Times New Roman"/>
                <w:sz w:val="20"/>
                <w:szCs w:val="20"/>
              </w:rPr>
            </w:pPr>
          </w:p>
          <w:p w14:paraId="45EF3CBD"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Articolul 1 din Legea 186/2008 acoperă acest obiectiv prin două elemente-cheie. Mai întâi, definește noțiunile de „angajator” și „lucrător” într-o manieră largă, astfel încât obligațiile de securitate și sănătate să se aplice tuturor formelor reale de muncă prestate sub autoritatea unui angajator, nu doar raporturilor formalizate. Apoi, include expres în sfera „lucrătorilor” atât salariații, cât și salariații temporari, ceea ce înseamnă că aceștia intră, fără echivoc, sub aceeași protecție și același regim de drepturi și garanții prevăzut de lege.</w:t>
            </w:r>
          </w:p>
        </w:tc>
      </w:tr>
      <w:tr w:rsidR="007054ED" w14:paraId="787B7ADB" w14:textId="77777777">
        <w:trPr>
          <w:trHeight w:val="6915"/>
        </w:trPr>
        <w:tc>
          <w:tcPr>
            <w:tcW w:w="3393" w:type="dxa"/>
            <w:gridSpan w:val="2"/>
          </w:tcPr>
          <w:p w14:paraId="622C5341"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SECȚIUNEA II</w:t>
            </w:r>
          </w:p>
          <w:p w14:paraId="5982E138"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GENERALE</w:t>
            </w:r>
          </w:p>
          <w:p w14:paraId="0D06FDCF"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3 Informarea salariaților</w:t>
            </w:r>
          </w:p>
          <w:p w14:paraId="6043A738"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Fără a aduce atingere articolului 10 din Directiva 89/391/CEE, statele membre iau măsurile necesare pentru ca:</w:t>
            </w:r>
          </w:p>
          <w:p w14:paraId="1E72F1F4"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înainte de începerea unei activități de către un lucrător având un raport de muncă de tipul celor menționate la articolul 1, acesta să fie informat de către întreprinderea și/sau unitatea care îl angajează asupra riscurilor la care este expus;</w:t>
            </w:r>
          </w:p>
          <w:p w14:paraId="3AB8D29E"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această informație:</w:t>
            </w:r>
          </w:p>
          <w:p w14:paraId="5F74BAFB"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să facă cunoscută îndeosebi necesitatea calificărilor sau aptitudinilor profesionale speciale sau supravegherii medicale speciale, cerută și definită de legislația națională și</w:t>
            </w:r>
          </w:p>
          <w:p w14:paraId="1C36293F" w14:textId="77777777" w:rsidR="007054ED" w:rsidRDefault="00000000">
            <w:pPr>
              <w:spacing w:line="264"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sz w:val="20"/>
                <w:szCs w:val="20"/>
              </w:rPr>
              <w:t>— să precizeze care sunt eventualele riscuri majore specifice, legate de locul de muncă ce urmează să fie ocupat, astfel cum sunt acestea definite de legislația națională.</w:t>
            </w:r>
          </w:p>
        </w:tc>
        <w:tc>
          <w:tcPr>
            <w:tcW w:w="4791" w:type="dxa"/>
          </w:tcPr>
          <w:p w14:paraId="64D9053D"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74AAED91" w14:textId="77777777" w:rsidR="007054ED" w:rsidRDefault="00000000">
            <w:pPr>
              <w:widowControl w:val="0"/>
              <w:spacing w:line="240" w:lineRule="auto"/>
              <w:jc w:val="both"/>
              <w:rPr>
                <w:rFonts w:ascii="Times New Roman" w:eastAsia="Times New Roman" w:hAnsi="Times New Roman" w:cs="Times New Roman"/>
                <w:sz w:val="20"/>
                <w:szCs w:val="20"/>
              </w:rPr>
            </w:pPr>
            <w:bookmarkStart w:id="2" w:name="kix.x1tb43ny1u0e" w:colFirst="0" w:colLast="0"/>
            <w:bookmarkEnd w:id="2"/>
            <w:r>
              <w:rPr>
                <w:rFonts w:ascii="Times New Roman" w:eastAsia="Times New Roman" w:hAnsi="Times New Roman" w:cs="Times New Roman"/>
                <w:b/>
                <w:bCs/>
                <w:sz w:val="20"/>
                <w:szCs w:val="20"/>
              </w:rPr>
              <w:t>Articolul 14.</w:t>
            </w:r>
            <w:r>
              <w:rPr>
                <w:rFonts w:ascii="Times New Roman" w:eastAsia="Times New Roman" w:hAnsi="Times New Roman" w:cs="Times New Roman"/>
                <w:sz w:val="20"/>
                <w:szCs w:val="20"/>
              </w:rPr>
              <w:t> </w:t>
            </w:r>
            <w:r>
              <w:rPr>
                <w:rFonts w:ascii="Times New Roman" w:eastAsia="Times New Roman" w:hAnsi="Times New Roman" w:cs="Times New Roman"/>
                <w:b/>
                <w:bCs/>
                <w:sz w:val="20"/>
                <w:szCs w:val="20"/>
              </w:rPr>
              <w:t>Informarea lucrătorilor</w:t>
            </w:r>
          </w:p>
          <w:p w14:paraId="5C68CFE8"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Angajatorul trebuie să ia măsurile corespunzătoare pentru ca angajatorii lucrătorilor din orice unitate externă </w:t>
            </w:r>
            <w:proofErr w:type="spellStart"/>
            <w:r>
              <w:rPr>
                <w:rFonts w:ascii="Times New Roman" w:eastAsia="Times New Roman" w:hAnsi="Times New Roman" w:cs="Times New Roman"/>
                <w:sz w:val="20"/>
                <w:szCs w:val="20"/>
              </w:rPr>
              <w:t>încadraţi</w:t>
            </w:r>
            <w:proofErr w:type="spellEnd"/>
            <w:r>
              <w:rPr>
                <w:rFonts w:ascii="Times New Roman" w:eastAsia="Times New Roman" w:hAnsi="Times New Roman" w:cs="Times New Roman"/>
                <w:sz w:val="20"/>
                <w:szCs w:val="20"/>
              </w:rPr>
              <w:t xml:space="preserve"> în muncă în unitatea sa, inclusiv </w:t>
            </w:r>
            <w:proofErr w:type="spellStart"/>
            <w:r>
              <w:rPr>
                <w:rFonts w:ascii="Times New Roman" w:eastAsia="Times New Roman" w:hAnsi="Times New Roman" w:cs="Times New Roman"/>
                <w:sz w:val="20"/>
                <w:szCs w:val="20"/>
              </w:rPr>
              <w:t>agenţii</w:t>
            </w:r>
            <w:proofErr w:type="spellEnd"/>
            <w:r>
              <w:rPr>
                <w:rFonts w:ascii="Times New Roman" w:eastAsia="Times New Roman" w:hAnsi="Times New Roman" w:cs="Times New Roman"/>
                <w:sz w:val="20"/>
                <w:szCs w:val="20"/>
              </w:rPr>
              <w:t xml:space="preserve"> de muncă temporară, să primească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adecvate cu privire la aspectele specificate la alin.(1), destinate lucrătorilor în cauză.</w:t>
            </w:r>
          </w:p>
          <w:p w14:paraId="3BFCD76A"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14</w:t>
            </w:r>
            <w:r>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 Informarea salariaţilor temporari</w:t>
            </w:r>
          </w:p>
          <w:p w14:paraId="6DE0D911"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Utilizatorul de muncă temporară, prestată de unul sau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salariaţi temporari, va furniza agentului de muncă temporară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privind calificarea necesară pentru îndeplinirea de către salariatul temporar a </w:t>
            </w:r>
            <w:proofErr w:type="spellStart"/>
            <w:r>
              <w:rPr>
                <w:rFonts w:ascii="Times New Roman" w:eastAsia="Times New Roman" w:hAnsi="Times New Roman" w:cs="Times New Roman"/>
                <w:sz w:val="20"/>
                <w:szCs w:val="20"/>
              </w:rPr>
              <w:t>atribuţiilor</w:t>
            </w:r>
            <w:proofErr w:type="spellEnd"/>
            <w:r>
              <w:rPr>
                <w:rFonts w:ascii="Times New Roman" w:eastAsia="Times New Roman" w:hAnsi="Times New Roman" w:cs="Times New Roman"/>
                <w:sz w:val="20"/>
                <w:szCs w:val="20"/>
              </w:rPr>
              <w:t xml:space="preserve"> de serviciu, orice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legate de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abilităţile</w:t>
            </w:r>
            <w:proofErr w:type="spellEnd"/>
            <w:r>
              <w:rPr>
                <w:rFonts w:ascii="Times New Roman" w:eastAsia="Times New Roman" w:hAnsi="Times New Roman" w:cs="Times New Roman"/>
                <w:sz w:val="20"/>
                <w:szCs w:val="20"/>
              </w:rPr>
              <w:t xml:space="preserve"> profesionale pe care trebuie să le posede salariatul temporar,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despre riscurile pentru securitatea şi sănătatea salariatului temporar, precum şi măsurile de protecţie şi prevenire aplicate la unitate. </w:t>
            </w:r>
            <w:proofErr w:type="spellStart"/>
            <w:r>
              <w:rPr>
                <w:rFonts w:ascii="Times New Roman" w:eastAsia="Times New Roman" w:hAnsi="Times New Roman" w:cs="Times New Roman"/>
                <w:sz w:val="20"/>
                <w:szCs w:val="20"/>
              </w:rPr>
              <w:t>Informaţiile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menţionate</w:t>
            </w:r>
            <w:proofErr w:type="spellEnd"/>
            <w:r>
              <w:rPr>
                <w:rFonts w:ascii="Times New Roman" w:eastAsia="Times New Roman" w:hAnsi="Times New Roman" w:cs="Times New Roman"/>
                <w:sz w:val="20"/>
                <w:szCs w:val="20"/>
              </w:rPr>
              <w:t xml:space="preserve"> sunt parte componentă a contractului de punere la dispoziţie a salariatului temporar, reglementat de art.326/7 din Codul muncii nr.154/2003.</w:t>
            </w:r>
          </w:p>
          <w:p w14:paraId="65F46007"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Agentul de muncă temporară va informa în scris salariatul temporar cu privire la condiţiile de muncă, calificarea necesară pentru îndeplinirea </w:t>
            </w:r>
            <w:proofErr w:type="spellStart"/>
            <w:r>
              <w:rPr>
                <w:rFonts w:ascii="Times New Roman" w:eastAsia="Times New Roman" w:hAnsi="Times New Roman" w:cs="Times New Roman"/>
                <w:sz w:val="20"/>
                <w:szCs w:val="20"/>
              </w:rPr>
              <w:t>atribuţiilor</w:t>
            </w:r>
            <w:proofErr w:type="spellEnd"/>
            <w:r>
              <w:rPr>
                <w:rFonts w:ascii="Times New Roman" w:eastAsia="Times New Roman" w:hAnsi="Times New Roman" w:cs="Times New Roman"/>
                <w:sz w:val="20"/>
                <w:szCs w:val="20"/>
              </w:rPr>
              <w:t xml:space="preserve"> de serviciu,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abilităţile</w:t>
            </w:r>
            <w:proofErr w:type="spellEnd"/>
            <w:r>
              <w:rPr>
                <w:rFonts w:ascii="Times New Roman" w:eastAsia="Times New Roman" w:hAnsi="Times New Roman" w:cs="Times New Roman"/>
                <w:sz w:val="20"/>
                <w:szCs w:val="20"/>
              </w:rPr>
              <w:t xml:space="preserve"> profesionale pe care trebuie să le posede, riscurile la care poate fi expus şi cu privire la măsurile de securitate şi sănătate în muncă aplicate la utilizatorul de muncă temporară.</w:t>
            </w:r>
          </w:p>
        </w:tc>
        <w:tc>
          <w:tcPr>
            <w:tcW w:w="2443" w:type="dxa"/>
          </w:tcPr>
          <w:p w14:paraId="6B14DA50"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Compatibil</w:t>
            </w:r>
          </w:p>
        </w:tc>
        <w:tc>
          <w:tcPr>
            <w:tcW w:w="4253" w:type="dxa"/>
          </w:tcPr>
          <w:p w14:paraId="1A080CE0"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Directiva cere ca lucrătorul temporar să fie informat înainte de începerea activității despre riscurile postului, calificările/aptitudinile speciale și eventualele riscuri majore specifice.</w:t>
            </w:r>
          </w:p>
          <w:p w14:paraId="41E2B0BC"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Legea națională acoperă integral aceste cerințe prin art. 14 (obligația generală de informare SSM, inclusiv pentru munca temporară) și art. 14¹ (mecanism special: utilizatorul transmite agentului informațiile despre calificare, riscuri și măsuri de protecție, iar agentul informează în scris salariatul temporar). </w:t>
            </w:r>
          </w:p>
          <w:p w14:paraId="30A30174" w14:textId="77777777" w:rsidR="007054ED" w:rsidRDefault="007054ED">
            <w:pPr>
              <w:spacing w:line="240" w:lineRule="auto"/>
              <w:jc w:val="both"/>
              <w:rPr>
                <w:rFonts w:ascii="Times New Roman" w:eastAsia="Times New Roman" w:hAnsi="Times New Roman" w:cs="Times New Roman"/>
                <w:sz w:val="20"/>
                <w:szCs w:val="20"/>
              </w:rPr>
            </w:pPr>
          </w:p>
        </w:tc>
      </w:tr>
      <w:tr w:rsidR="007054ED" w14:paraId="3D078E65" w14:textId="77777777">
        <w:tc>
          <w:tcPr>
            <w:tcW w:w="3393" w:type="dxa"/>
            <w:gridSpan w:val="2"/>
          </w:tcPr>
          <w:p w14:paraId="34251AD8"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4 Formarea lucrătorilor</w:t>
            </w:r>
          </w:p>
          <w:p w14:paraId="0E83B0E8" w14:textId="77777777" w:rsidR="007054ED" w:rsidRDefault="00000000">
            <w:pPr>
              <w:tabs>
                <w:tab w:val="left" w:pos="2300"/>
              </w:tabs>
              <w:spacing w:line="240" w:lineRule="auto"/>
              <w:ind w:left="57" w:right="57"/>
              <w:jc w:val="both"/>
              <w:rPr>
                <w:rFonts w:ascii="Times New Roman" w:eastAsia="Times New Roman" w:hAnsi="Times New Roman" w:cs="Times New Roman"/>
                <w:b/>
                <w:bCs/>
                <w:sz w:val="20"/>
                <w:szCs w:val="20"/>
              </w:rPr>
            </w:pPr>
            <w:bookmarkStart w:id="3" w:name="_bwhzp1ifku4" w:colFirst="0" w:colLast="0"/>
            <w:bookmarkEnd w:id="3"/>
            <w:r>
              <w:rPr>
                <w:rFonts w:ascii="Times New Roman" w:eastAsia="Times New Roman" w:hAnsi="Times New Roman" w:cs="Times New Roman"/>
                <w:sz w:val="20"/>
                <w:szCs w:val="20"/>
              </w:rPr>
              <w:t xml:space="preserve">Fără a aduce atingere articolului 12 din Directiva 89/391/CEE, statele membre iau măsurile necesare pentru ca, în cazurile menționate la articolul 3, lucrătorul să aibă o pregătire suficientă și corespunzătoare caracteristicilor locului de muncă, </w:t>
            </w:r>
            <w:r>
              <w:rPr>
                <w:rFonts w:ascii="Times New Roman" w:eastAsia="Times New Roman" w:hAnsi="Times New Roman" w:cs="Times New Roman"/>
                <w:sz w:val="20"/>
                <w:szCs w:val="20"/>
              </w:rPr>
              <w:lastRenderedPageBreak/>
              <w:t>ținând seama de calificarea și de experiența sa.</w:t>
            </w:r>
          </w:p>
        </w:tc>
        <w:tc>
          <w:tcPr>
            <w:tcW w:w="4791" w:type="dxa"/>
          </w:tcPr>
          <w:p w14:paraId="6D265EFD"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lastRenderedPageBreak/>
              <w:t>[…]</w:t>
            </w:r>
          </w:p>
          <w:p w14:paraId="7416FE47" w14:textId="77777777" w:rsidR="007054ED" w:rsidRDefault="00000000">
            <w:pPr>
              <w:widowControl w:val="0"/>
              <w:spacing w:line="240" w:lineRule="auto"/>
              <w:rPr>
                <w:rFonts w:ascii="Times New Roman" w:eastAsia="Times New Roman" w:hAnsi="Times New Roman" w:cs="Times New Roman"/>
                <w:b/>
                <w:bCs/>
                <w:sz w:val="20"/>
                <w:szCs w:val="20"/>
              </w:rPr>
            </w:pPr>
            <w:bookmarkStart w:id="4" w:name="kix.ve6eel9rhwf1" w:colFirst="0" w:colLast="0"/>
            <w:bookmarkEnd w:id="4"/>
            <w:r>
              <w:rPr>
                <w:rFonts w:ascii="Times New Roman" w:eastAsia="Times New Roman" w:hAnsi="Times New Roman" w:cs="Times New Roman"/>
                <w:b/>
                <w:bCs/>
                <w:sz w:val="20"/>
                <w:szCs w:val="20"/>
              </w:rPr>
              <w:t>Articolul 17. Instruirea lucrătorilor</w:t>
            </w:r>
          </w:p>
          <w:p w14:paraId="3125D910"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Angajatorul trebuie să asigure condiţii pentru ca fiecare lucrător, inclusiv cei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lucrătorii temporari, precum şi fiecare lucrător independent care </w:t>
            </w:r>
            <w:proofErr w:type="spellStart"/>
            <w:r>
              <w:rPr>
                <w:rFonts w:ascii="Times New Roman" w:eastAsia="Times New Roman" w:hAnsi="Times New Roman" w:cs="Times New Roman"/>
                <w:sz w:val="20"/>
                <w:szCs w:val="20"/>
              </w:rPr>
              <w:t>îşi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activitatea în unitatea respectivă să primească o instruire suficientă, adecvată, teoretică şi practică în domeniul securităţii şi sănătăţii în </w:t>
            </w:r>
            <w:r>
              <w:rPr>
                <w:rFonts w:ascii="Times New Roman" w:eastAsia="Times New Roman" w:hAnsi="Times New Roman" w:cs="Times New Roman"/>
                <w:sz w:val="20"/>
                <w:szCs w:val="20"/>
              </w:rPr>
              <w:lastRenderedPageBreak/>
              <w:t xml:space="preserve">muncă, în special sub formă de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instrucţiuni</w:t>
            </w:r>
            <w:proofErr w:type="spellEnd"/>
            <w:r>
              <w:rPr>
                <w:rFonts w:ascii="Times New Roman" w:eastAsia="Times New Roman" w:hAnsi="Times New Roman" w:cs="Times New Roman"/>
                <w:sz w:val="20"/>
                <w:szCs w:val="20"/>
              </w:rPr>
              <w:t xml:space="preserve"> şi/sau </w:t>
            </w:r>
            <w:proofErr w:type="spellStart"/>
            <w:r>
              <w:rPr>
                <w:rFonts w:ascii="Times New Roman" w:eastAsia="Times New Roman" w:hAnsi="Times New Roman" w:cs="Times New Roman"/>
                <w:sz w:val="20"/>
                <w:szCs w:val="20"/>
              </w:rPr>
              <w:t>lecţii</w:t>
            </w:r>
            <w:proofErr w:type="spellEnd"/>
            <w:r>
              <w:rPr>
                <w:rFonts w:ascii="Times New Roman" w:eastAsia="Times New Roman" w:hAnsi="Times New Roman" w:cs="Times New Roman"/>
                <w:sz w:val="20"/>
                <w:szCs w:val="20"/>
              </w:rPr>
              <w:t>:</w:t>
            </w:r>
          </w:p>
          <w:p w14:paraId="14050A9D"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la angajare, care include instruirea introductiv-generală şi instruirea la locul de muncă;</w:t>
            </w:r>
          </w:p>
          <w:p w14:paraId="2074EDAC"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în cazul schimbării locului de muncă, transferului sau permutării;</w:t>
            </w:r>
          </w:p>
          <w:p w14:paraId="40CEA1A5"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la introducerea unui nou echipament de lucru sau la modificarea echipamentului de lucru existent;</w:t>
            </w:r>
          </w:p>
          <w:p w14:paraId="521C1FB1"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la introducerea oricărei noi tehnologii sau proceduri de lucru;</w:t>
            </w:r>
          </w:p>
          <w:p w14:paraId="1BF8A098"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la executarea unor lucrări speciale.</w:t>
            </w:r>
          </w:p>
          <w:p w14:paraId="2C35B226"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Instruirea în domeniul securităţii şi sănătăţii în muncă a lucrătorilor, inclusiv a celor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trebuie să fie:</w:t>
            </w:r>
          </w:p>
          <w:p w14:paraId="230027DC"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adaptată în funcţie de caracteristicile specifice locului de muncă şi de </w:t>
            </w:r>
            <w:proofErr w:type="spellStart"/>
            <w:r>
              <w:rPr>
                <w:rFonts w:ascii="Times New Roman" w:eastAsia="Times New Roman" w:hAnsi="Times New Roman" w:cs="Times New Roman"/>
                <w:sz w:val="20"/>
                <w:szCs w:val="20"/>
              </w:rPr>
              <w:t>evoluţia</w:t>
            </w:r>
            <w:proofErr w:type="spellEnd"/>
            <w:r>
              <w:rPr>
                <w:rFonts w:ascii="Times New Roman" w:eastAsia="Times New Roman" w:hAnsi="Times New Roman" w:cs="Times New Roman"/>
                <w:sz w:val="20"/>
                <w:szCs w:val="20"/>
              </w:rPr>
              <w:t xml:space="preserve"> riscurilor profesionale sau de </w:t>
            </w:r>
            <w:proofErr w:type="spellStart"/>
            <w:r>
              <w:rPr>
                <w:rFonts w:ascii="Times New Roman" w:eastAsia="Times New Roman" w:hAnsi="Times New Roman" w:cs="Times New Roman"/>
                <w:sz w:val="20"/>
                <w:szCs w:val="20"/>
              </w:rPr>
              <w:t>apariţia</w:t>
            </w:r>
            <w:proofErr w:type="spellEnd"/>
            <w:r>
              <w:rPr>
                <w:rFonts w:ascii="Times New Roman" w:eastAsia="Times New Roman" w:hAnsi="Times New Roman" w:cs="Times New Roman"/>
                <w:sz w:val="20"/>
                <w:szCs w:val="20"/>
              </w:rPr>
              <w:t xml:space="preserve"> unor riscuri noi;</w:t>
            </w:r>
          </w:p>
          <w:p w14:paraId="5805E468"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corespunzătoare calificării şi </w:t>
            </w:r>
            <w:proofErr w:type="spellStart"/>
            <w:r>
              <w:rPr>
                <w:rFonts w:ascii="Times New Roman" w:eastAsia="Times New Roman" w:hAnsi="Times New Roman" w:cs="Times New Roman"/>
                <w:sz w:val="20"/>
                <w:szCs w:val="20"/>
              </w:rPr>
              <w:t>experienţei</w:t>
            </w:r>
            <w:proofErr w:type="spellEnd"/>
            <w:r>
              <w:rPr>
                <w:rFonts w:ascii="Times New Roman" w:eastAsia="Times New Roman" w:hAnsi="Times New Roman" w:cs="Times New Roman"/>
                <w:sz w:val="20"/>
                <w:szCs w:val="20"/>
              </w:rPr>
              <w:t xml:space="preserve"> lucrătorului;</w:t>
            </w:r>
          </w:p>
          <w:p w14:paraId="7518608A"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periodică şi pe măsura </w:t>
            </w:r>
            <w:proofErr w:type="spellStart"/>
            <w:r>
              <w:rPr>
                <w:rFonts w:ascii="Times New Roman" w:eastAsia="Times New Roman" w:hAnsi="Times New Roman" w:cs="Times New Roman"/>
                <w:sz w:val="20"/>
                <w:szCs w:val="20"/>
              </w:rPr>
              <w:t>necesităţii</w:t>
            </w:r>
            <w:proofErr w:type="spellEnd"/>
            <w:r>
              <w:rPr>
                <w:rFonts w:ascii="Times New Roman" w:eastAsia="Times New Roman" w:hAnsi="Times New Roman" w:cs="Times New Roman"/>
                <w:sz w:val="20"/>
                <w:szCs w:val="20"/>
              </w:rPr>
              <w:t>.</w:t>
            </w:r>
          </w:p>
          <w:p w14:paraId="433C8A84" w14:textId="77777777" w:rsidR="007054ED" w:rsidRDefault="00000000">
            <w:pPr>
              <w:tabs>
                <w:tab w:val="left" w:pos="113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În procesul de instruire, printr-un act intern la nivel de unitate, pot fi utilizate sisteme de instruire bazate pe mijloace din domeniul tehnologiei </w:t>
            </w:r>
            <w:proofErr w:type="spellStart"/>
            <w:r>
              <w:rPr>
                <w:rFonts w:ascii="Times New Roman" w:eastAsia="Times New Roman" w:hAnsi="Times New Roman" w:cs="Times New Roman"/>
                <w:sz w:val="20"/>
                <w:szCs w:val="20"/>
              </w:rPr>
              <w:t>informaţiei</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comunicaţiilor</w:t>
            </w:r>
            <w:proofErr w:type="spellEnd"/>
            <w:r>
              <w:rPr>
                <w:rFonts w:ascii="Times New Roman" w:eastAsia="Times New Roman" w:hAnsi="Times New Roman" w:cs="Times New Roman"/>
                <w:sz w:val="20"/>
                <w:szCs w:val="20"/>
              </w:rPr>
              <w:t>.</w:t>
            </w:r>
          </w:p>
        </w:tc>
        <w:tc>
          <w:tcPr>
            <w:tcW w:w="2443" w:type="dxa"/>
          </w:tcPr>
          <w:p w14:paraId="049AB183" w14:textId="77777777" w:rsidR="007054ED" w:rsidRDefault="00000000">
            <w:pPr>
              <w:spacing w:line="256" w:lineRule="auto"/>
              <w:ind w:righ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Compatibil</w:t>
            </w:r>
          </w:p>
        </w:tc>
        <w:tc>
          <w:tcPr>
            <w:tcW w:w="4253" w:type="dxa"/>
          </w:tcPr>
          <w:p w14:paraId="3D98B3F9"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Articolul 4 din Directivă cere ca lucrătorii (în special cei vizați la art. 3 – inclusiv temporari) să beneficieze de o formare suficientă și adecvată în materie de securitate și sănătate, ajustată la caracteristicile postului, precum și la calificarea și experiența lor.</w:t>
            </w:r>
          </w:p>
          <w:p w14:paraId="263D38F1" w14:textId="77777777" w:rsidR="007054ED" w:rsidRDefault="007054ED">
            <w:pPr>
              <w:spacing w:line="256" w:lineRule="auto"/>
              <w:jc w:val="both"/>
              <w:rPr>
                <w:rFonts w:ascii="Times New Roman" w:eastAsia="Times New Roman" w:hAnsi="Times New Roman" w:cs="Times New Roman"/>
                <w:sz w:val="20"/>
                <w:szCs w:val="20"/>
              </w:rPr>
            </w:pPr>
          </w:p>
          <w:p w14:paraId="15BE3518"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Articolul 17 din Legea nr. 186/2008 acoperă exact această cerință: obligă angajatorul să asigure fiecărui lucrător (inclusiv lucrători temporari și cei care muncesc la distanță) instruire teoretică și practică SSM, la momentele relevante (la angajare, la schimbarea locului/funcției, la echipamente/tehnologii noi, la lucrări speciale), și impune ca instruirea să fie adaptată riscurilor și specificului locului de muncă, corespunzătoare calificării și experienței și repetată periodic sau când e necesar.</w:t>
            </w:r>
          </w:p>
        </w:tc>
      </w:tr>
      <w:tr w:rsidR="007054ED" w14:paraId="480C8618" w14:textId="77777777">
        <w:tc>
          <w:tcPr>
            <w:tcW w:w="3393" w:type="dxa"/>
            <w:gridSpan w:val="2"/>
          </w:tcPr>
          <w:p w14:paraId="65EE86C4"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Articolul </w:t>
            </w:r>
            <w:r>
              <w:rPr>
                <w:rFonts w:ascii="Times New Roman" w:eastAsia="Times New Roman" w:hAnsi="Times New Roman" w:cs="Times New Roman"/>
                <w:sz w:val="20"/>
                <w:szCs w:val="20"/>
              </w:rPr>
              <w:t xml:space="preserve">5 </w:t>
            </w:r>
            <w:r>
              <w:rPr>
                <w:rFonts w:ascii="Times New Roman" w:eastAsia="Times New Roman" w:hAnsi="Times New Roman" w:cs="Times New Roman"/>
                <w:b/>
                <w:bCs/>
                <w:sz w:val="20"/>
                <w:szCs w:val="20"/>
              </w:rPr>
              <w:t>Folosirea și supravegherea medicală a lucrătorilor</w:t>
            </w:r>
          </w:p>
          <w:p w14:paraId="0AB4F163"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Statele membre au posibilitatea de a interzice angajarea cu contracte de muncă de tipul celor menționate la articolul 1 în cazul unor activități deosebit de periculoase pentru securitatea sau sănătatea lucrătorilor, astfel cum sunt acestea definite de legislația națională, mai ales în cazul unor activități care fac obiectul unei supravegheri medicale speciale, definită de legislația națională.</w:t>
            </w:r>
          </w:p>
          <w:p w14:paraId="5A9D10D2"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În cazul în care nu recurg la posibilitatea prevăzută la alineatul (1), </w:t>
            </w:r>
            <w:r>
              <w:rPr>
                <w:rFonts w:ascii="Times New Roman" w:eastAsia="Times New Roman" w:hAnsi="Times New Roman" w:cs="Times New Roman"/>
                <w:sz w:val="20"/>
                <w:szCs w:val="20"/>
              </w:rPr>
              <w:lastRenderedPageBreak/>
              <w:t>statele membre iau măsurile necesare, fără a aduce atingere articolului 14 din Directiva 89/391/CEE, pentru ca salariații care se află într-un raport de muncă de tipul celor menționate la articolul 1 și care sunt solicitați pentru munci supuse unei supravegheri medicale speciale, definite de legislația națională, să beneficieze de o supraveghere medicală specială corespunzătoare.</w:t>
            </w:r>
          </w:p>
          <w:p w14:paraId="569B286C" w14:textId="77777777" w:rsidR="007054ED" w:rsidRDefault="00000000">
            <w:pPr>
              <w:tabs>
                <w:tab w:val="left" w:pos="330"/>
              </w:tabs>
              <w:spacing w:line="240" w:lineRule="auto"/>
              <w:ind w:right="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Statele membre au posibilitatea să prevadă ca supravegherea medicală specială corespunzătoare menționată la alineatul (2) să continue și după încetarea raportului de muncă al lucrătorului respectiv.</w:t>
            </w:r>
          </w:p>
        </w:tc>
        <w:tc>
          <w:tcPr>
            <w:tcW w:w="4791" w:type="dxa"/>
          </w:tcPr>
          <w:p w14:paraId="196A92CD"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lastRenderedPageBreak/>
              <w:t>[…]</w:t>
            </w:r>
          </w:p>
          <w:p w14:paraId="288E749A" w14:textId="77777777" w:rsidR="007054ED" w:rsidRDefault="00000000">
            <w:pPr>
              <w:widowControl w:val="0"/>
              <w:spacing w:line="240" w:lineRule="auto"/>
              <w:jc w:val="both"/>
              <w:rPr>
                <w:rFonts w:ascii="Times New Roman" w:eastAsia="Times New Roman" w:hAnsi="Times New Roman" w:cs="Times New Roman"/>
                <w:sz w:val="20"/>
                <w:szCs w:val="20"/>
              </w:rPr>
            </w:pPr>
            <w:bookmarkStart w:id="5" w:name="kix.36bwrz8z4jdp" w:colFirst="0" w:colLast="0"/>
            <w:bookmarkEnd w:id="5"/>
            <w:r>
              <w:rPr>
                <w:rFonts w:ascii="Times New Roman" w:eastAsia="Times New Roman" w:hAnsi="Times New Roman" w:cs="Times New Roman"/>
                <w:b/>
                <w:bCs/>
                <w:sz w:val="20"/>
                <w:szCs w:val="20"/>
              </w:rPr>
              <w:t>Articolul 21.</w:t>
            </w:r>
            <w:r>
              <w:rPr>
                <w:rFonts w:ascii="Times New Roman" w:eastAsia="Times New Roman" w:hAnsi="Times New Roman" w:cs="Times New Roman"/>
                <w:sz w:val="20"/>
                <w:szCs w:val="20"/>
              </w:rPr>
              <w:t> </w:t>
            </w:r>
            <w:r>
              <w:rPr>
                <w:rFonts w:ascii="Times New Roman" w:eastAsia="Times New Roman" w:hAnsi="Times New Roman" w:cs="Times New Roman"/>
                <w:b/>
                <w:bCs/>
                <w:sz w:val="20"/>
                <w:szCs w:val="20"/>
              </w:rPr>
              <w:t>Examenul medical</w:t>
            </w:r>
          </w:p>
          <w:p w14:paraId="7C1BFF46"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Măsurile prin care lucrătorilor li se asigură examenul medical corespunzător riscurilor profesionale cu care </w:t>
            </w:r>
            <w:proofErr w:type="spellStart"/>
            <w:r>
              <w:rPr>
                <w:rFonts w:ascii="Times New Roman" w:eastAsia="Times New Roman" w:hAnsi="Times New Roman" w:cs="Times New Roman"/>
                <w:sz w:val="20"/>
                <w:szCs w:val="20"/>
              </w:rPr>
              <w:t>aceştia</w:t>
            </w:r>
            <w:proofErr w:type="spellEnd"/>
            <w:r>
              <w:rPr>
                <w:rFonts w:ascii="Times New Roman" w:eastAsia="Times New Roman" w:hAnsi="Times New Roman" w:cs="Times New Roman"/>
                <w:sz w:val="20"/>
                <w:szCs w:val="20"/>
              </w:rPr>
              <w:t xml:space="preserve"> se confruntă la locul de muncă se stabilesc potrivit actelor normative emise de Guvern, cu consultarea patronatelor şi sindicatelor.</w:t>
            </w:r>
          </w:p>
          <w:p w14:paraId="591D1DA2"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Măsurile prevăzute la alin.(1) vor fi formulate astfel încât fiecare lucrător, în raport cu riscurile profesionale la care este expus, să beneficieze cu regularitate de un examen medical.</w:t>
            </w:r>
          </w:p>
          <w:p w14:paraId="4D06BDC5"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În cazul salariaţilor temporari care au încheiat un contract individual de muncă cu un agent de muncă temporară în vederea punerii la dispoziţia unui utilizator de muncă temporară pentru a lucra temporar sub supravegherea şi conducerea acestuia, agentul de muncă </w:t>
            </w:r>
            <w:r>
              <w:rPr>
                <w:rFonts w:ascii="Times New Roman" w:eastAsia="Times New Roman" w:hAnsi="Times New Roman" w:cs="Times New Roman"/>
                <w:sz w:val="20"/>
                <w:szCs w:val="20"/>
              </w:rPr>
              <w:lastRenderedPageBreak/>
              <w:t xml:space="preserve">temporară este obligat să asigure efectuarea examenelor medicale la angajare şi periodice. Examenele medicale se efectuează în cadrul prestatorilor publici sau </w:t>
            </w:r>
            <w:proofErr w:type="spellStart"/>
            <w:r>
              <w:rPr>
                <w:rFonts w:ascii="Times New Roman" w:eastAsia="Times New Roman" w:hAnsi="Times New Roman" w:cs="Times New Roman"/>
                <w:sz w:val="20"/>
                <w:szCs w:val="20"/>
              </w:rPr>
              <w:t>privaţi</w:t>
            </w:r>
            <w:proofErr w:type="spellEnd"/>
            <w:r>
              <w:rPr>
                <w:rFonts w:ascii="Times New Roman" w:eastAsia="Times New Roman" w:hAnsi="Times New Roman" w:cs="Times New Roman"/>
                <w:sz w:val="20"/>
                <w:szCs w:val="20"/>
              </w:rPr>
              <w:t xml:space="preserve"> de servicii medicale.</w:t>
            </w:r>
          </w:p>
        </w:tc>
        <w:tc>
          <w:tcPr>
            <w:tcW w:w="2443" w:type="dxa"/>
          </w:tcPr>
          <w:p w14:paraId="16AB1A51" w14:textId="77777777" w:rsidR="007054ED"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Compatibil</w:t>
            </w:r>
          </w:p>
        </w:tc>
        <w:tc>
          <w:tcPr>
            <w:tcW w:w="4253" w:type="dxa"/>
          </w:tcPr>
          <w:p w14:paraId="3D1D508B" w14:textId="77777777" w:rsidR="007054ED" w:rsidRDefault="00000000">
            <w:pPr>
              <w:tabs>
                <w:tab w:val="left" w:pos="135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Directiva cere ca, atunci când munca este periculoasă sau supusă prin lege unei supravegheri medicale speciale, lucrătorii temporari să fie protejați printr-un filtru medical adecvat, fie prin neadmitere, fie prin control medical.</w:t>
            </w:r>
          </w:p>
          <w:p w14:paraId="28A7CA66" w14:textId="77777777" w:rsidR="007054ED" w:rsidRDefault="00000000">
            <w:pPr>
              <w:tabs>
                <w:tab w:val="left" w:pos="1354"/>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Articolul 21 din Legea 186/2008 răspunde acestei cerințe prin regulile privind examenul medical corelat cu riscurile profesionale, efectuat la angajare și periodic, iar pentru salariații temporari stabilește expres că agentul de muncă temporară trebuie să asigure aceste examinări.</w:t>
            </w:r>
          </w:p>
        </w:tc>
      </w:tr>
      <w:tr w:rsidR="007054ED" w14:paraId="54C2075A" w14:textId="77777777">
        <w:tc>
          <w:tcPr>
            <w:tcW w:w="3393" w:type="dxa"/>
            <w:gridSpan w:val="2"/>
          </w:tcPr>
          <w:p w14:paraId="238114CC"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6 Servicii de protecție și de prevenire</w:t>
            </w:r>
          </w:p>
          <w:p w14:paraId="2A0793ED" w14:textId="77777777" w:rsidR="007054ED" w:rsidRDefault="00000000">
            <w:pPr>
              <w:spacing w:line="240" w:lineRule="auto"/>
              <w:ind w:left="57" w:right="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Statele membre iau măsurile necesare pentru ca lucrătorii, serviciile sau persoanele desemnate să se ocupe, în conformitate cu articolul 7 din Directiva 89/391/CEE, de activitățile de protecție și prevenire a riscurilor profesionale, să fie informate în legătură cu numirea lucrătorilor aflați într-un raport de muncă de tipul celor menționate la articolul 1, în măsura necesară pentru a permite lucrătorilor, serviciilor sau persoanelor desemnate să se ocupe în mod corespunzător de activitățile lor de protecție și prevenire cu privire la toți lucrătorii din întreprindere și/sau unitate.</w:t>
            </w:r>
          </w:p>
        </w:tc>
        <w:tc>
          <w:tcPr>
            <w:tcW w:w="4791" w:type="dxa"/>
          </w:tcPr>
          <w:p w14:paraId="7FC2BF50"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6D32668E" w14:textId="77777777" w:rsidR="007054ED" w:rsidRDefault="00000000">
            <w:pPr>
              <w:widowControl w:val="0"/>
              <w:spacing w:line="240" w:lineRule="auto"/>
              <w:jc w:val="both"/>
              <w:rPr>
                <w:rFonts w:ascii="Times New Roman" w:eastAsia="Times New Roman" w:hAnsi="Times New Roman" w:cs="Times New Roman"/>
                <w:b/>
                <w:bCs/>
                <w:sz w:val="20"/>
                <w:szCs w:val="20"/>
              </w:rPr>
            </w:pPr>
            <w:bookmarkStart w:id="6" w:name="kix.92mff5jrxfdj" w:colFirst="0" w:colLast="0"/>
            <w:bookmarkEnd w:id="6"/>
            <w:r>
              <w:rPr>
                <w:rFonts w:ascii="Times New Roman" w:eastAsia="Times New Roman" w:hAnsi="Times New Roman" w:cs="Times New Roman"/>
                <w:b/>
                <w:bCs/>
                <w:sz w:val="20"/>
                <w:szCs w:val="20"/>
              </w:rPr>
              <w:t>Articolul 11. Serviciul de protecţie şi prevenire</w:t>
            </w:r>
          </w:p>
          <w:p w14:paraId="41955796"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Articolul 11. Serviciul de protecţie şi prevenire</w:t>
            </w:r>
          </w:p>
          <w:p w14:paraId="194DF507"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Fără a aduce atingere obligaţiilor prevăzute la art.9 şi 10, angajatorul desemnează unul sau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lucrători, angajaţi în baza unui contract individual de muncă, care să se ocupe de </w:t>
            </w:r>
            <w:proofErr w:type="spellStart"/>
            <w:r>
              <w:rPr>
                <w:rFonts w:ascii="Times New Roman" w:eastAsia="Times New Roman" w:hAnsi="Times New Roman" w:cs="Times New Roman"/>
                <w:sz w:val="20"/>
                <w:szCs w:val="20"/>
              </w:rPr>
              <w:t>activităţile</w:t>
            </w:r>
            <w:proofErr w:type="spellEnd"/>
            <w:r>
              <w:rPr>
                <w:rFonts w:ascii="Times New Roman" w:eastAsia="Times New Roman" w:hAnsi="Times New Roman" w:cs="Times New Roman"/>
                <w:sz w:val="20"/>
                <w:szCs w:val="20"/>
              </w:rPr>
              <w:t xml:space="preserve"> de protecţie şi prevenire a riscurilor profesionale în unitate. </w:t>
            </w:r>
            <w:proofErr w:type="spellStart"/>
            <w:r>
              <w:rPr>
                <w:rFonts w:ascii="Times New Roman" w:eastAsia="Times New Roman" w:hAnsi="Times New Roman" w:cs="Times New Roman"/>
                <w:sz w:val="20"/>
                <w:szCs w:val="20"/>
              </w:rPr>
              <w:t>Protecţia</w:t>
            </w:r>
            <w:proofErr w:type="spellEnd"/>
            <w:r>
              <w:rPr>
                <w:rFonts w:ascii="Times New Roman" w:eastAsia="Times New Roman" w:hAnsi="Times New Roman" w:cs="Times New Roman"/>
                <w:sz w:val="20"/>
                <w:szCs w:val="20"/>
              </w:rPr>
              <w:t xml:space="preserve"> şi prevenirea riscurilor profesionale, care fac obiectul prezentului articol, sunt asigurate de unul sau de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lucrători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de unul sau de mai multe servicii distincte, indiferent dacă sunt din interiorul sau din exteriorul unităţii.</w:t>
            </w:r>
          </w:p>
          <w:p w14:paraId="5EBDD7B8" w14:textId="77777777" w:rsidR="007054ED" w:rsidRDefault="007054ED">
            <w:pPr>
              <w:widowControl w:val="0"/>
              <w:spacing w:line="240" w:lineRule="auto"/>
              <w:jc w:val="both"/>
              <w:rPr>
                <w:rFonts w:ascii="Times New Roman" w:eastAsia="Times New Roman" w:hAnsi="Times New Roman" w:cs="Times New Roman"/>
                <w:sz w:val="20"/>
                <w:szCs w:val="20"/>
              </w:rPr>
            </w:pPr>
          </w:p>
          <w:p w14:paraId="3409A74E"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71641FAB"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291FD623"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 III. – Legea securității și sănătății în muncă nr. 186/2008 (Monitorul Oficial al Republicii Moldova, 2008, nr. 143–144, art. 587), cu modificările ulterioare, se modifică după cum urmează:</w:t>
            </w:r>
          </w:p>
          <w:p w14:paraId="4566CFA9"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t>
            </w:r>
          </w:p>
          <w:p w14:paraId="14396329"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4. La articolul 11:</w:t>
            </w:r>
          </w:p>
          <w:p w14:paraId="789DCA6C"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alineatul (1</w:t>
            </w:r>
            <w:r>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 cuvintele „unor condiții de securitate și sănătate în muncă similare cu ale celorlalți lucrători din unitate” se substituie cu cuvintele „acelorași condiții de securitate și sănătate în muncă ca pentru ceilalți lucrători din această unitate”.</w:t>
            </w:r>
          </w:p>
          <w:p w14:paraId="586B89B8"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Utilizatorul de muncă temporară, prestată de unul sau mai mulți salariați temporari, va informa lucrătorul desemnat/lucrătorii desemnați prevăzuți la alin. (1) despre salariatul temporar sau salariații temporari în vederea asigurării pentru aceștia a </w:t>
            </w:r>
            <w:r>
              <w:rPr>
                <w:rFonts w:ascii="Times New Roman" w:eastAsia="Times New Roman" w:hAnsi="Times New Roman" w:cs="Times New Roman"/>
                <w:b/>
                <w:bCs/>
                <w:sz w:val="20"/>
                <w:szCs w:val="20"/>
              </w:rPr>
              <w:t>acelorași condiții de securitate și sănătate în muncă ca pentru ceilalți lucrători</w:t>
            </w:r>
            <w:r>
              <w:rPr>
                <w:rFonts w:ascii="Times New Roman" w:eastAsia="Times New Roman" w:hAnsi="Times New Roman" w:cs="Times New Roman"/>
                <w:sz w:val="20"/>
                <w:szCs w:val="20"/>
              </w:rPr>
              <w:t xml:space="preserve"> din această unitate.</w:t>
            </w:r>
          </w:p>
          <w:p w14:paraId="308F34AE"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0E4D314"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nu trebuie să fie </w:t>
            </w:r>
            <w:proofErr w:type="spellStart"/>
            <w:r>
              <w:rPr>
                <w:rFonts w:ascii="Times New Roman" w:eastAsia="Times New Roman" w:hAnsi="Times New Roman" w:cs="Times New Roman"/>
                <w:sz w:val="20"/>
                <w:szCs w:val="20"/>
              </w:rPr>
              <w:t>dezavantajaţi</w:t>
            </w:r>
            <w:proofErr w:type="spellEnd"/>
            <w:r>
              <w:rPr>
                <w:rFonts w:ascii="Times New Roman" w:eastAsia="Times New Roman" w:hAnsi="Times New Roman" w:cs="Times New Roman"/>
                <w:sz w:val="20"/>
                <w:szCs w:val="20"/>
              </w:rPr>
              <w:t xml:space="preserve"> ca urmare a </w:t>
            </w:r>
            <w:proofErr w:type="spellStart"/>
            <w:r>
              <w:rPr>
                <w:rFonts w:ascii="Times New Roman" w:eastAsia="Times New Roman" w:hAnsi="Times New Roman" w:cs="Times New Roman"/>
                <w:sz w:val="20"/>
                <w:szCs w:val="20"/>
              </w:rPr>
              <w:t>desfăşurării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activităţilor</w:t>
            </w:r>
            <w:proofErr w:type="spellEnd"/>
            <w:r>
              <w:rPr>
                <w:rFonts w:ascii="Times New Roman" w:eastAsia="Times New Roman" w:hAnsi="Times New Roman" w:cs="Times New Roman"/>
                <w:sz w:val="20"/>
                <w:szCs w:val="20"/>
              </w:rPr>
              <w:t xml:space="preserve"> de protecţie şi prevenire a riscurilor profesionale.</w:t>
            </w:r>
          </w:p>
          <w:p w14:paraId="65824DE7"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trebuie să dispună de timpul necesar pentru a-şi putea îndeplini </w:t>
            </w:r>
            <w:proofErr w:type="spellStart"/>
            <w:r>
              <w:rPr>
                <w:rFonts w:ascii="Times New Roman" w:eastAsia="Times New Roman" w:hAnsi="Times New Roman" w:cs="Times New Roman"/>
                <w:sz w:val="20"/>
                <w:szCs w:val="20"/>
              </w:rPr>
              <w:t>obligaţiile</w:t>
            </w:r>
            <w:proofErr w:type="spellEnd"/>
            <w:r>
              <w:rPr>
                <w:rFonts w:ascii="Times New Roman" w:eastAsia="Times New Roman" w:hAnsi="Times New Roman" w:cs="Times New Roman"/>
                <w:sz w:val="20"/>
                <w:szCs w:val="20"/>
              </w:rPr>
              <w:t xml:space="preserve"> ce rezultă din prezenta lege.</w:t>
            </w:r>
          </w:p>
          <w:p w14:paraId="52F37421"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În cazul în care resursele unităţii respective nu sînt suficiente pentru organizarea </w:t>
            </w:r>
            <w:proofErr w:type="spellStart"/>
            <w:r>
              <w:rPr>
                <w:rFonts w:ascii="Times New Roman" w:eastAsia="Times New Roman" w:hAnsi="Times New Roman" w:cs="Times New Roman"/>
                <w:sz w:val="20"/>
                <w:szCs w:val="20"/>
              </w:rPr>
              <w:t>activităţilor</w:t>
            </w:r>
            <w:proofErr w:type="spellEnd"/>
            <w:r>
              <w:rPr>
                <w:rFonts w:ascii="Times New Roman" w:eastAsia="Times New Roman" w:hAnsi="Times New Roman" w:cs="Times New Roman"/>
                <w:sz w:val="20"/>
                <w:szCs w:val="20"/>
              </w:rPr>
              <w:t xml:space="preserve"> de protecţie din lipsa personalului specializat, angajatorul este obligat să recurgă la servicii externe de protecţie şi prevenire în modul prevăzut de lege.</w:t>
            </w:r>
          </w:p>
          <w:p w14:paraId="60BAF9CB"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În cazul în care angajatorul recurge la serviciile externe de protecţie şi prevenire, acestea vor fi informate de către angajator asupra factorilor </w:t>
            </w:r>
            <w:proofErr w:type="spellStart"/>
            <w:r>
              <w:rPr>
                <w:rFonts w:ascii="Times New Roman" w:eastAsia="Times New Roman" w:hAnsi="Times New Roman" w:cs="Times New Roman"/>
                <w:sz w:val="20"/>
                <w:szCs w:val="20"/>
              </w:rPr>
              <w:t>cunoscuţi</w:t>
            </w:r>
            <w:proofErr w:type="spellEnd"/>
            <w:r>
              <w:rPr>
                <w:rFonts w:ascii="Times New Roman" w:eastAsia="Times New Roman" w:hAnsi="Times New Roman" w:cs="Times New Roman"/>
                <w:sz w:val="20"/>
                <w:szCs w:val="20"/>
              </w:rPr>
              <w:t xml:space="preserve"> sau </w:t>
            </w:r>
            <w:proofErr w:type="spellStart"/>
            <w:r>
              <w:rPr>
                <w:rFonts w:ascii="Times New Roman" w:eastAsia="Times New Roman" w:hAnsi="Times New Roman" w:cs="Times New Roman"/>
                <w:sz w:val="20"/>
                <w:szCs w:val="20"/>
              </w:rPr>
              <w:t>suspectaţi</w:t>
            </w:r>
            <w:proofErr w:type="spellEnd"/>
            <w:r>
              <w:rPr>
                <w:rFonts w:ascii="Times New Roman" w:eastAsia="Times New Roman" w:hAnsi="Times New Roman" w:cs="Times New Roman"/>
                <w:sz w:val="20"/>
                <w:szCs w:val="20"/>
              </w:rPr>
              <w:t xml:space="preserve"> ca având efecte asupra securităţii şi sănătăţii lucrătorilor şi vor avea acces la </w:t>
            </w:r>
            <w:proofErr w:type="spellStart"/>
            <w:r>
              <w:rPr>
                <w:rFonts w:ascii="Times New Roman" w:eastAsia="Times New Roman" w:hAnsi="Times New Roman" w:cs="Times New Roman"/>
                <w:sz w:val="20"/>
                <w:szCs w:val="20"/>
              </w:rPr>
              <w:t>informaţiile</w:t>
            </w:r>
            <w:proofErr w:type="spellEnd"/>
            <w:r>
              <w:rPr>
                <w:rFonts w:ascii="Times New Roman" w:eastAsia="Times New Roman" w:hAnsi="Times New Roman" w:cs="Times New Roman"/>
                <w:sz w:val="20"/>
                <w:szCs w:val="20"/>
              </w:rPr>
              <w:t xml:space="preserve"> prevăzute la art.14 alin. (2).</w:t>
            </w:r>
          </w:p>
          <w:p w14:paraId="000DB87E"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 Angajatorul trebuie să informeze lucrătorul desemnat/lucrătorii desemnați și/sau serviciul/serviciile de protecție și prevenire despre persoanele cu vârsta de până la 18 ani, angajate la unitate, în vederea planificării, aplicării și controlului condițiilor de securitate și de sănătate aplicabile muncii persoanelor cu vârsta de până la 18 ani.</w:t>
            </w:r>
          </w:p>
          <w:p w14:paraId="296B61C9"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vor avea, în special, </w:t>
            </w:r>
            <w:proofErr w:type="spellStart"/>
            <w:r>
              <w:rPr>
                <w:rFonts w:ascii="Times New Roman" w:eastAsia="Times New Roman" w:hAnsi="Times New Roman" w:cs="Times New Roman"/>
                <w:sz w:val="20"/>
                <w:szCs w:val="20"/>
              </w:rPr>
              <w:t>atribuţii</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lastRenderedPageBreak/>
              <w:t xml:space="preserve">privind securitatea şi sănătatea în muncă şi, cel mult, </w:t>
            </w:r>
            <w:proofErr w:type="spellStart"/>
            <w:r>
              <w:rPr>
                <w:rFonts w:ascii="Times New Roman" w:eastAsia="Times New Roman" w:hAnsi="Times New Roman" w:cs="Times New Roman"/>
                <w:sz w:val="20"/>
                <w:szCs w:val="20"/>
              </w:rPr>
              <w:t>atribuţii</w:t>
            </w:r>
            <w:proofErr w:type="spellEnd"/>
            <w:r>
              <w:rPr>
                <w:rFonts w:ascii="Times New Roman" w:eastAsia="Times New Roman" w:hAnsi="Times New Roman" w:cs="Times New Roman"/>
                <w:sz w:val="20"/>
                <w:szCs w:val="20"/>
              </w:rPr>
              <w:t xml:space="preserve"> complementare.</w:t>
            </w:r>
          </w:p>
          <w:p w14:paraId="179335B6"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 În toate cazurile:</w:t>
            </w:r>
          </w:p>
          <w:p w14:paraId="0580587E"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trebuie să aibă absolvite cursurile de instruire în domeniul securităţii şi sănătăţii în muncă şi să dispună de mijloacele necesare;</w:t>
            </w:r>
          </w:p>
          <w:p w14:paraId="27CF974B"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serviciile externe de protecţie şi prevenire consultate trebuie să aibă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mijloacele personale şi profesionale necesare;</w:t>
            </w:r>
          </w:p>
          <w:p w14:paraId="61EBD097"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lucrătorii desemnați, serviciile interne și serviciile externe de protecție și prevenire consultate trebuie să fie într-un număr suficient pentru a putea asigura organizarea și realizarea măsurilor de protecție și prevenire, ținând cont de mărimea și structura unității, de repartizarea teritorială a subdiviziunilor unității și/sau de riscurile la care sunt expuși lucrătorii, precum și de distribuția lucrătorilor în cadrul unității, inclusiv a lucrătorilor independenți care își desfășoară activitatea în cadrul acestei unități.</w:t>
            </w:r>
          </w:p>
          <w:p w14:paraId="2EAE2179"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 Lucrătorul desemnat (lucrătorii desemnați) şi/sau serviciul (serviciile) de protecţie şi prevenire trebuie să colaboreze între ei. Colaborarea va include și planificarea, aplicarea și controlul condițiilor de securitate și sănătate aplicabile muncii persoanelor cu vârsta de până la 18 ani.</w:t>
            </w:r>
          </w:p>
          <w:p w14:paraId="6946F905"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În cazul </w:t>
            </w:r>
            <w:proofErr w:type="spellStart"/>
            <w:r>
              <w:rPr>
                <w:rFonts w:ascii="Times New Roman" w:eastAsia="Times New Roman" w:hAnsi="Times New Roman" w:cs="Times New Roman"/>
                <w:sz w:val="20"/>
                <w:szCs w:val="20"/>
              </w:rPr>
              <w:t>unităţilor</w:t>
            </w:r>
            <w:proofErr w:type="spellEnd"/>
            <w:r>
              <w:rPr>
                <w:rFonts w:ascii="Times New Roman" w:eastAsia="Times New Roman" w:hAnsi="Times New Roman" w:cs="Times New Roman"/>
                <w:sz w:val="20"/>
                <w:szCs w:val="20"/>
              </w:rPr>
              <w:t xml:space="preserve"> în care se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activităţi fără pericole de accidentare sau de îmbolnăvire profesională, conducătorul unităţii poate să-şi asume </w:t>
            </w:r>
            <w:proofErr w:type="spellStart"/>
            <w:r>
              <w:rPr>
                <w:rFonts w:ascii="Times New Roman" w:eastAsia="Times New Roman" w:hAnsi="Times New Roman" w:cs="Times New Roman"/>
                <w:sz w:val="20"/>
                <w:szCs w:val="20"/>
              </w:rPr>
              <w:t>atribuţiile</w:t>
            </w:r>
            <w:proofErr w:type="spellEnd"/>
            <w:r>
              <w:rPr>
                <w:rFonts w:ascii="Times New Roman" w:eastAsia="Times New Roman" w:hAnsi="Times New Roman" w:cs="Times New Roman"/>
                <w:sz w:val="20"/>
                <w:szCs w:val="20"/>
              </w:rPr>
              <w:t xml:space="preserve"> lucrătorului desemnat dacă acesta a absolvit cursurile de instruire în domeniul securităţii şi sănătăţii în muncă.</w:t>
            </w:r>
          </w:p>
          <w:p w14:paraId="62CC1B64"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 Lucrătorii independenți pot beneficia de suport în domeniul securității și sănătății în muncă, solicitat de la serviciile externe de protecție și prevenire contra cost sau asigurat de unitatea în care se prestează serviciul de protecție și prevenire.</w:t>
            </w:r>
          </w:p>
        </w:tc>
        <w:tc>
          <w:tcPr>
            <w:tcW w:w="2443" w:type="dxa"/>
          </w:tcPr>
          <w:p w14:paraId="4B43BEB8" w14:textId="77777777" w:rsidR="007054ED" w:rsidRDefault="00000000">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Compatibil </w:t>
            </w:r>
          </w:p>
        </w:tc>
        <w:tc>
          <w:tcPr>
            <w:tcW w:w="4253" w:type="dxa"/>
          </w:tcPr>
          <w:p w14:paraId="00F86832"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Modificările operate în articolul 11 asigură conformitatea cu articolul 6 din Directivă.</w:t>
            </w:r>
          </w:p>
        </w:tc>
      </w:tr>
      <w:tr w:rsidR="007054ED" w14:paraId="589659D4" w14:textId="77777777">
        <w:tc>
          <w:tcPr>
            <w:tcW w:w="3393" w:type="dxa"/>
            <w:gridSpan w:val="2"/>
          </w:tcPr>
          <w:p w14:paraId="32A0E296"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SECȚIUNEA III</w:t>
            </w:r>
          </w:p>
          <w:p w14:paraId="61216018"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SPECIALE</w:t>
            </w:r>
          </w:p>
          <w:p w14:paraId="58705D1F"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7 Raporturile de muncă temporară: informarea</w:t>
            </w:r>
          </w:p>
          <w:p w14:paraId="69B15762"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Fără a aduce atingere articolului 3, statele membre iau măsurile necesare pentru ca:</w:t>
            </w:r>
          </w:p>
          <w:p w14:paraId="537244BC"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întreprinderea și/sau unitatea utilizatoare, înainte de a-i fi pus la dispoziție un lucrător aflat într-un raport de muncă de tipul arătat la articolul 1 alineatul (2), să aducă la cunoștința agentului de muncă temporară inter alia calificarea profesională cerută și caracteristicile proprii locului de muncă vacant;</w:t>
            </w:r>
          </w:p>
          <w:p w14:paraId="61C3BCFB"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agentul de muncă temporară să aducă toate aceste elemente la cunoștința lucrătorilor respectivi.</w:t>
            </w:r>
          </w:p>
          <w:p w14:paraId="2D35DD79" w14:textId="77777777" w:rsidR="007054ED" w:rsidRDefault="00000000">
            <w:pPr>
              <w:spacing w:line="240" w:lineRule="auto"/>
              <w:ind w:left="57" w:right="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Statele membre au posibilitatea de a prevedea ca precizările ce urmează să fie făcute de întreprinderea ș i/sau unitatea utilizatoare către agentul de muncă temporară, conform primului paragraf punctul (1), să fie prevăzute într-un contract de punere la dispoziție.</w:t>
            </w:r>
          </w:p>
        </w:tc>
        <w:tc>
          <w:tcPr>
            <w:tcW w:w="4791" w:type="dxa"/>
          </w:tcPr>
          <w:p w14:paraId="067E4134"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lastRenderedPageBreak/>
              <w:t>[…]</w:t>
            </w:r>
          </w:p>
          <w:p w14:paraId="34981DFD"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14</w:t>
            </w:r>
            <w:r>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 xml:space="preserve"> Informarea salariaţilor temporari</w:t>
            </w:r>
          </w:p>
          <w:p w14:paraId="4AC3524B" w14:textId="77777777" w:rsidR="007054ED" w:rsidRDefault="00000000">
            <w:pPr>
              <w:shd w:val="clear" w:color="auto" w:fill="FFFFFF"/>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Utilizatorul de muncă temporară, prestată de unul sau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salariaţi temporari, va furniza agentului de </w:t>
            </w:r>
            <w:r>
              <w:rPr>
                <w:rFonts w:ascii="Times New Roman" w:eastAsia="Times New Roman" w:hAnsi="Times New Roman" w:cs="Times New Roman"/>
                <w:sz w:val="20"/>
                <w:szCs w:val="20"/>
              </w:rPr>
              <w:lastRenderedPageBreak/>
              <w:t xml:space="preserve">muncă temporară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privind calificarea necesară pentru îndeplinirea de către salariatul temporar a </w:t>
            </w:r>
            <w:proofErr w:type="spellStart"/>
            <w:r>
              <w:rPr>
                <w:rFonts w:ascii="Times New Roman" w:eastAsia="Times New Roman" w:hAnsi="Times New Roman" w:cs="Times New Roman"/>
                <w:sz w:val="20"/>
                <w:szCs w:val="20"/>
              </w:rPr>
              <w:t>atribuţiilor</w:t>
            </w:r>
            <w:proofErr w:type="spellEnd"/>
            <w:r>
              <w:rPr>
                <w:rFonts w:ascii="Times New Roman" w:eastAsia="Times New Roman" w:hAnsi="Times New Roman" w:cs="Times New Roman"/>
                <w:sz w:val="20"/>
                <w:szCs w:val="20"/>
              </w:rPr>
              <w:t xml:space="preserve"> de serviciu, orice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legate de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abilităţile</w:t>
            </w:r>
            <w:proofErr w:type="spellEnd"/>
            <w:r>
              <w:rPr>
                <w:rFonts w:ascii="Times New Roman" w:eastAsia="Times New Roman" w:hAnsi="Times New Roman" w:cs="Times New Roman"/>
                <w:sz w:val="20"/>
                <w:szCs w:val="20"/>
              </w:rPr>
              <w:t xml:space="preserve"> profesionale pe care trebuie să le posede salariatul temporar,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despre riscurile pentru securitatea şi sănătatea salariatului temporar, precum şi măsurile de protecţie şi prevenire aplicate la unitate. </w:t>
            </w:r>
            <w:proofErr w:type="spellStart"/>
            <w:r>
              <w:rPr>
                <w:rFonts w:ascii="Times New Roman" w:eastAsia="Times New Roman" w:hAnsi="Times New Roman" w:cs="Times New Roman"/>
                <w:sz w:val="20"/>
                <w:szCs w:val="20"/>
              </w:rPr>
              <w:t>Informaţiile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menţionate</w:t>
            </w:r>
            <w:proofErr w:type="spellEnd"/>
            <w:r>
              <w:rPr>
                <w:rFonts w:ascii="Times New Roman" w:eastAsia="Times New Roman" w:hAnsi="Times New Roman" w:cs="Times New Roman"/>
                <w:sz w:val="20"/>
                <w:szCs w:val="20"/>
              </w:rPr>
              <w:t xml:space="preserve"> sunt parte componentă a contractului de punere la dispoziţie a salariatului temporar, reglementat de art.326/7 din Codul muncii nr.154/2003.</w:t>
            </w:r>
          </w:p>
          <w:p w14:paraId="4238E9DA" w14:textId="77777777" w:rsidR="007054ED" w:rsidRDefault="00000000">
            <w:pPr>
              <w:shd w:val="clear" w:color="auto" w:fill="FFFFFF"/>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Agentul de muncă temporară va informa în scris salariatul temporar cu privire la condiţiile de muncă, calificarea necesară pentru îndeplinirea </w:t>
            </w:r>
            <w:proofErr w:type="spellStart"/>
            <w:r>
              <w:rPr>
                <w:rFonts w:ascii="Times New Roman" w:eastAsia="Times New Roman" w:hAnsi="Times New Roman" w:cs="Times New Roman"/>
                <w:sz w:val="20"/>
                <w:szCs w:val="20"/>
              </w:rPr>
              <w:t>atribuţiilor</w:t>
            </w:r>
            <w:proofErr w:type="spellEnd"/>
            <w:r>
              <w:rPr>
                <w:rFonts w:ascii="Times New Roman" w:eastAsia="Times New Roman" w:hAnsi="Times New Roman" w:cs="Times New Roman"/>
                <w:sz w:val="20"/>
                <w:szCs w:val="20"/>
              </w:rPr>
              <w:t xml:space="preserve"> de serviciu,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abilităţile</w:t>
            </w:r>
            <w:proofErr w:type="spellEnd"/>
            <w:r>
              <w:rPr>
                <w:rFonts w:ascii="Times New Roman" w:eastAsia="Times New Roman" w:hAnsi="Times New Roman" w:cs="Times New Roman"/>
                <w:sz w:val="20"/>
                <w:szCs w:val="20"/>
              </w:rPr>
              <w:t xml:space="preserve"> profesionale pe care trebuie să le posede, riscurile la care poate fi expus şi cu privire la măsurile de securitate şi sănătate în muncă aplicate la utilizatorul de muncă temporară.</w:t>
            </w:r>
          </w:p>
          <w:p w14:paraId="1C702B89" w14:textId="77777777" w:rsidR="007054ED" w:rsidRDefault="007054ED">
            <w:pPr>
              <w:spacing w:line="240" w:lineRule="auto"/>
              <w:jc w:val="both"/>
              <w:rPr>
                <w:rFonts w:ascii="Times New Roman" w:eastAsia="Times New Roman" w:hAnsi="Times New Roman" w:cs="Times New Roman"/>
                <w:sz w:val="20"/>
                <w:szCs w:val="20"/>
              </w:rPr>
            </w:pPr>
          </w:p>
        </w:tc>
        <w:tc>
          <w:tcPr>
            <w:tcW w:w="2443" w:type="dxa"/>
          </w:tcPr>
          <w:p w14:paraId="1642EA5C"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Compatibil</w:t>
            </w:r>
          </w:p>
        </w:tc>
        <w:tc>
          <w:tcPr>
            <w:tcW w:w="4253" w:type="dxa"/>
          </w:tcPr>
          <w:p w14:paraId="202578C1" w14:textId="77777777" w:rsidR="007054ED" w:rsidRDefault="00000000">
            <w:pPr>
              <w:spacing w:line="256"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Articol 14</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asigură conformitatea cu prevederile articolului 7 din Directivă.</w:t>
            </w:r>
          </w:p>
        </w:tc>
      </w:tr>
      <w:tr w:rsidR="007054ED" w14:paraId="2925A657" w14:textId="77777777">
        <w:tc>
          <w:tcPr>
            <w:tcW w:w="3393" w:type="dxa"/>
            <w:gridSpan w:val="2"/>
          </w:tcPr>
          <w:p w14:paraId="1B01126E"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8 Raporturile de muncă temporară: răspunderea</w:t>
            </w:r>
          </w:p>
          <w:p w14:paraId="132CB578"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Statele membre iau măsurile necesare pentru ca:</w:t>
            </w:r>
          </w:p>
          <w:p w14:paraId="353A7637"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fără a aduce atingere răspunderii stabilite prin legislația națională a agentului de muncă temporară, întreprinderea și/sau unitatea utilizatoare să fie răspunzătoare, pe durata misiunii, de condițiile de executare a muncii respective;</w:t>
            </w:r>
          </w:p>
          <w:p w14:paraId="1ED5E99C" w14:textId="77777777" w:rsidR="007054ED" w:rsidRDefault="00000000">
            <w:pPr>
              <w:tabs>
                <w:tab w:val="left" w:pos="447"/>
              </w:tabs>
              <w:spacing w:line="240" w:lineRule="auto"/>
              <w:ind w:left="22" w:right="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pentru aplicarea punctului (1), condițiile de executare a muncii să cuprindă între anumite limite și pe cele legate de sănătate, igienă și securitate a muncii.</w:t>
            </w:r>
          </w:p>
        </w:tc>
        <w:tc>
          <w:tcPr>
            <w:tcW w:w="4791" w:type="dxa"/>
          </w:tcPr>
          <w:p w14:paraId="0F6FC00B" w14:textId="77777777" w:rsidR="007054ED" w:rsidRDefault="00000000">
            <w:pPr>
              <w:widowControl w:val="0"/>
              <w:spacing w:line="240" w:lineRule="auto"/>
              <w:rPr>
                <w:rFonts w:ascii="Times New Roman" w:eastAsia="Times New Roman" w:hAnsi="Times New Roman" w:cs="Times New Roman"/>
                <w:sz w:val="20"/>
                <w:szCs w:val="20"/>
              </w:rPr>
            </w:pPr>
            <w:bookmarkStart w:id="7" w:name="kix.6pjyepj2kc33" w:colFirst="0" w:colLast="0"/>
            <w:bookmarkEnd w:id="7"/>
            <w:r>
              <w:rPr>
                <w:rFonts w:ascii="Times New Roman" w:eastAsia="Times New Roman" w:hAnsi="Times New Roman" w:cs="Times New Roman"/>
                <w:b/>
                <w:bCs/>
                <w:sz w:val="20"/>
                <w:szCs w:val="20"/>
              </w:rPr>
              <w:t>Articolul 9.</w:t>
            </w:r>
            <w:r>
              <w:rPr>
                <w:rFonts w:ascii="Times New Roman" w:eastAsia="Times New Roman" w:hAnsi="Times New Roman" w:cs="Times New Roman"/>
                <w:sz w:val="20"/>
                <w:szCs w:val="20"/>
              </w:rPr>
              <w:t> </w:t>
            </w:r>
            <w:proofErr w:type="spellStart"/>
            <w:r>
              <w:rPr>
                <w:rFonts w:ascii="Times New Roman" w:eastAsia="Times New Roman" w:hAnsi="Times New Roman" w:cs="Times New Roman"/>
                <w:b/>
                <w:bCs/>
                <w:sz w:val="20"/>
                <w:szCs w:val="20"/>
              </w:rPr>
              <w:t>Dispoziţii</w:t>
            </w:r>
            <w:proofErr w:type="spellEnd"/>
            <w:r>
              <w:rPr>
                <w:rFonts w:ascii="Times New Roman" w:eastAsia="Times New Roman" w:hAnsi="Times New Roman" w:cs="Times New Roman"/>
                <w:b/>
                <w:bCs/>
                <w:sz w:val="20"/>
                <w:szCs w:val="20"/>
              </w:rPr>
              <w:t xml:space="preserve"> generale</w:t>
            </w:r>
          </w:p>
          <w:p w14:paraId="4D272C94" w14:textId="77777777" w:rsidR="007054ED" w:rsidRDefault="00000000">
            <w:pPr>
              <w:widowControl w:val="0"/>
              <w:shd w:val="clear" w:color="auto" w:fill="FFFFFF"/>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Utilizatorul de muncă temporară, prestată de unul sau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salariaţi temporari, şi agentul de muncă temporară sunt </w:t>
            </w:r>
            <w:proofErr w:type="spellStart"/>
            <w:r>
              <w:rPr>
                <w:rFonts w:ascii="Times New Roman" w:eastAsia="Times New Roman" w:hAnsi="Times New Roman" w:cs="Times New Roman"/>
                <w:sz w:val="20"/>
                <w:szCs w:val="20"/>
              </w:rPr>
              <w:t>obligaţi</w:t>
            </w:r>
            <w:proofErr w:type="spellEnd"/>
            <w:r>
              <w:rPr>
                <w:rFonts w:ascii="Times New Roman" w:eastAsia="Times New Roman" w:hAnsi="Times New Roman" w:cs="Times New Roman"/>
                <w:sz w:val="20"/>
                <w:szCs w:val="20"/>
              </w:rPr>
              <w:t xml:space="preserve"> să asigure şi să </w:t>
            </w:r>
            <w:proofErr w:type="spellStart"/>
            <w:r>
              <w:rPr>
                <w:rFonts w:ascii="Times New Roman" w:eastAsia="Times New Roman" w:hAnsi="Times New Roman" w:cs="Times New Roman"/>
                <w:sz w:val="20"/>
                <w:szCs w:val="20"/>
              </w:rPr>
              <w:t>menţină</w:t>
            </w:r>
            <w:proofErr w:type="spellEnd"/>
            <w:r>
              <w:rPr>
                <w:rFonts w:ascii="Times New Roman" w:eastAsia="Times New Roman" w:hAnsi="Times New Roman" w:cs="Times New Roman"/>
                <w:sz w:val="20"/>
                <w:szCs w:val="20"/>
              </w:rPr>
              <w:t xml:space="preserve"> condiţiile de executare a muncii, inclusiv condiţiile legate de securitatea şi sănătatea în muncă, pe durata misiunii de muncă temporară, stabilite în contractul de punere la dispoziţie a salariatului temporar, reglementat de art.326/7 din Codul muncii nr.154/2003.</w:t>
            </w:r>
          </w:p>
          <w:p w14:paraId="72E607A6" w14:textId="77777777" w:rsidR="007054ED" w:rsidRDefault="007054ED">
            <w:pPr>
              <w:spacing w:line="256" w:lineRule="auto"/>
              <w:rPr>
                <w:rFonts w:ascii="Times New Roman" w:eastAsia="Times New Roman" w:hAnsi="Times New Roman" w:cs="Times New Roman"/>
                <w:sz w:val="20"/>
                <w:szCs w:val="20"/>
              </w:rPr>
            </w:pPr>
          </w:p>
        </w:tc>
        <w:tc>
          <w:tcPr>
            <w:tcW w:w="2443" w:type="dxa"/>
          </w:tcPr>
          <w:p w14:paraId="7DC05BFE"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Compatibil</w:t>
            </w:r>
          </w:p>
        </w:tc>
        <w:tc>
          <w:tcPr>
            <w:tcW w:w="4253" w:type="dxa"/>
          </w:tcPr>
          <w:p w14:paraId="579626AB"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Prevederile articolului 9 din Legea 186/2008 , în contextul redefinirii noțiunii de angajator, prevăzută în proiect, asigură conformitatea cu  articolul 8 din Directivă.</w:t>
            </w:r>
          </w:p>
          <w:p w14:paraId="365650A7"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Suplimentar, prin articolul 13 din Legea 186/2008, sînt stabilite obligațiuni ale angajatorului, care rezultă din principiul de prevenire, a riscurilor, prevăzut în art.2 din această lege.</w:t>
            </w:r>
          </w:p>
          <w:p w14:paraId="2860EB0A" w14:textId="77777777" w:rsidR="007054ED" w:rsidRDefault="00000000">
            <w:pPr>
              <w:spacing w:line="25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Totodată Codul contravențional nr. 218/2008, prin articolul 55</w:t>
            </w: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 stabilește sancțiuni pentru încălcarea legislației securității și sănătății în muncă.</w:t>
            </w:r>
          </w:p>
        </w:tc>
      </w:tr>
      <w:tr w:rsidR="007054ED" w14:paraId="7E3CF4B4" w14:textId="77777777">
        <w:tc>
          <w:tcPr>
            <w:tcW w:w="3393" w:type="dxa"/>
            <w:gridSpan w:val="2"/>
          </w:tcPr>
          <w:p w14:paraId="246B2AEE"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SECȚIUNEA IV</w:t>
            </w:r>
          </w:p>
          <w:p w14:paraId="3E5A9F56"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DIVERSE</w:t>
            </w:r>
          </w:p>
          <w:p w14:paraId="359F8CE5"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9</w:t>
            </w:r>
          </w:p>
          <w:p w14:paraId="44ED0130"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Dispoziții mai favorabile</w:t>
            </w:r>
          </w:p>
          <w:p w14:paraId="535359AA"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Prezenta directivă nu aduce atingere dispozițiilor naționale și comunitare, aflate în vigoare sau viitoare, care sunt mai favorabile protecției securității și sănătății la locul de muncă al salariaților care au un raport de muncă de tipul celor menționate la articolul 1.</w:t>
            </w:r>
          </w:p>
        </w:tc>
        <w:tc>
          <w:tcPr>
            <w:tcW w:w="4791" w:type="dxa"/>
          </w:tcPr>
          <w:p w14:paraId="3FA3B6AF" w14:textId="77777777" w:rsidR="007054ED" w:rsidRDefault="007054ED">
            <w:pPr>
              <w:widowControl w:val="0"/>
              <w:spacing w:line="240" w:lineRule="auto"/>
              <w:rPr>
                <w:rFonts w:ascii="Times New Roman" w:eastAsia="Times New Roman" w:hAnsi="Times New Roman" w:cs="Times New Roman"/>
                <w:sz w:val="20"/>
                <w:szCs w:val="20"/>
              </w:rPr>
            </w:pPr>
          </w:p>
        </w:tc>
        <w:tc>
          <w:tcPr>
            <w:tcW w:w="2443" w:type="dxa"/>
          </w:tcPr>
          <w:p w14:paraId="06A42EF2"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Prevederi UE neaplicabile</w:t>
            </w:r>
          </w:p>
        </w:tc>
        <w:tc>
          <w:tcPr>
            <w:tcW w:w="4253" w:type="dxa"/>
          </w:tcPr>
          <w:p w14:paraId="63A9A572" w14:textId="77777777" w:rsidR="007054ED" w:rsidRDefault="007054ED">
            <w:pPr>
              <w:widowControl w:val="0"/>
              <w:spacing w:line="240" w:lineRule="auto"/>
              <w:rPr>
                <w:rFonts w:ascii="Times New Roman" w:eastAsia="Times New Roman" w:hAnsi="Times New Roman" w:cs="Times New Roman"/>
                <w:sz w:val="20"/>
                <w:szCs w:val="20"/>
              </w:rPr>
            </w:pPr>
          </w:p>
        </w:tc>
      </w:tr>
      <w:tr w:rsidR="007054ED" w14:paraId="4BFE2720" w14:textId="77777777">
        <w:tc>
          <w:tcPr>
            <w:tcW w:w="3393" w:type="dxa"/>
            <w:gridSpan w:val="2"/>
          </w:tcPr>
          <w:p w14:paraId="0384ABFC"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10</w:t>
            </w:r>
          </w:p>
          <w:p w14:paraId="13C68923"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finale</w:t>
            </w:r>
          </w:p>
          <w:p w14:paraId="4287CC19"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Statele membre adoptă și pun în aplicare actele cu putere de lege și actele administrative necesare aducerii la îndeplinire a prezentei directive până la data de 31 decembrie 1992. Statele membre informează imediat Comisia cu privire la aceasta.</w:t>
            </w:r>
          </w:p>
          <w:p w14:paraId="6EADA063" w14:textId="77777777" w:rsidR="007054E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Atunci când statele membre adoptă aceste dispoziții, ele conțin o trimitere la prezenta directivă sau sunt însoțite de o asemenea trimitere la data publicării lor oficiale. Statele membre stabilesc modalitatea de efectuare a acestei trimiteri.</w:t>
            </w:r>
          </w:p>
          <w:p w14:paraId="15EEF6D8"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(2)  Comisiei îi sunt comunicate de statele membre textele dispozițiilor de drept intern deja adoptate sau în curs de adoptare în domeniul reglementat de prezenta directivă.</w:t>
            </w:r>
          </w:p>
        </w:tc>
        <w:tc>
          <w:tcPr>
            <w:tcW w:w="4791" w:type="dxa"/>
          </w:tcPr>
          <w:p w14:paraId="0B808022" w14:textId="77777777" w:rsidR="007054ED" w:rsidRDefault="007054ED">
            <w:pPr>
              <w:widowControl w:val="0"/>
              <w:spacing w:line="240" w:lineRule="auto"/>
              <w:rPr>
                <w:rFonts w:ascii="Times New Roman" w:eastAsia="Times New Roman" w:hAnsi="Times New Roman" w:cs="Times New Roman"/>
                <w:sz w:val="20"/>
                <w:szCs w:val="20"/>
              </w:rPr>
            </w:pPr>
          </w:p>
        </w:tc>
        <w:tc>
          <w:tcPr>
            <w:tcW w:w="2443" w:type="dxa"/>
          </w:tcPr>
          <w:p w14:paraId="5BC04CA6"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Prevederi UE neaplicabile</w:t>
            </w:r>
          </w:p>
        </w:tc>
        <w:tc>
          <w:tcPr>
            <w:tcW w:w="4253" w:type="dxa"/>
          </w:tcPr>
          <w:p w14:paraId="7B497443" w14:textId="77777777" w:rsidR="007054ED" w:rsidRDefault="007054ED">
            <w:pPr>
              <w:widowControl w:val="0"/>
              <w:spacing w:line="240" w:lineRule="auto"/>
              <w:rPr>
                <w:rFonts w:ascii="Times New Roman" w:eastAsia="Times New Roman" w:hAnsi="Times New Roman" w:cs="Times New Roman"/>
                <w:sz w:val="20"/>
                <w:szCs w:val="20"/>
              </w:rPr>
            </w:pPr>
          </w:p>
        </w:tc>
      </w:tr>
      <w:tr w:rsidR="007054ED" w14:paraId="7CE4144B" w14:textId="77777777">
        <w:tc>
          <w:tcPr>
            <w:tcW w:w="3393" w:type="dxa"/>
            <w:gridSpan w:val="2"/>
          </w:tcPr>
          <w:p w14:paraId="702FC8F8"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10a</w:t>
            </w:r>
          </w:p>
          <w:p w14:paraId="743DC3D5"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Raportul privind punerea în aplicare</w:t>
            </w:r>
          </w:p>
          <w:p w14:paraId="008EB865"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Statele membre transmit Comisiei, din cinci în cinci ani, un raport privind punerea în aplicare a prezentei directive sub forma unui capitol specific din raportul unic, menționat la articolul 17a </w:t>
            </w:r>
            <w:r>
              <w:rPr>
                <w:rFonts w:ascii="Times New Roman" w:eastAsia="Times New Roman" w:hAnsi="Times New Roman" w:cs="Times New Roman"/>
                <w:sz w:val="20"/>
                <w:szCs w:val="20"/>
              </w:rPr>
              <w:lastRenderedPageBreak/>
              <w:t>alineatele (1), (2) și (3) din Directiva 89/391/CEE, care a stat la baza evaluării Comisiei, în conformitate cu articolul 17a alineatul (4) din directiva respectivă.</w:t>
            </w:r>
          </w:p>
        </w:tc>
        <w:tc>
          <w:tcPr>
            <w:tcW w:w="4791" w:type="dxa"/>
          </w:tcPr>
          <w:p w14:paraId="7E44B176" w14:textId="77777777" w:rsidR="007054ED" w:rsidRDefault="00000000">
            <w:pPr>
              <w:widowControl w:val="0"/>
              <w:spacing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rPr>
              <w:lastRenderedPageBreak/>
              <w:t>Proiectul de Lege pentru modificarea Codului muncii și a unor acte normative</w:t>
            </w:r>
          </w:p>
          <w:p w14:paraId="2C58F39B" w14:textId="77777777" w:rsidR="007054ED" w:rsidRDefault="00000000">
            <w:pPr>
              <w:widowControl w:val="0"/>
              <w:spacing w:line="240" w:lineRule="auto"/>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sz w:val="20"/>
                <w:szCs w:val="20"/>
              </w:rPr>
              <w:t>[…]</w:t>
            </w:r>
          </w:p>
          <w:p w14:paraId="6B864A5D" w14:textId="77777777" w:rsidR="007054ED"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highlight w:val="white"/>
              </w:rPr>
              <w:t>Art. III. – Legea securității și sănătății în muncă nr. 186/2008</w:t>
            </w:r>
            <w:r>
              <w:rPr>
                <w:rFonts w:ascii="Times New Roman" w:eastAsia="Times New Roman" w:hAnsi="Times New Roman" w:cs="Times New Roman"/>
                <w:sz w:val="20"/>
                <w:szCs w:val="20"/>
                <w:highlight w:val="white"/>
              </w:rPr>
              <w:t xml:space="preserve"> (Monitorul Oficial al Republicii Moldova, 2008, nr. 143–144, art. 587), cu modificările ulterioare, se modifică după cum urmează:</w:t>
            </w:r>
            <w:r>
              <w:rPr>
                <w:rFonts w:ascii="Times New Roman" w:eastAsia="Times New Roman" w:hAnsi="Times New Roman" w:cs="Times New Roman"/>
                <w:sz w:val="20"/>
                <w:szCs w:val="20"/>
              </w:rPr>
              <w:t>:</w:t>
            </w:r>
          </w:p>
          <w:p w14:paraId="19DFAF73"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lastRenderedPageBreak/>
              <w:t>[…]</w:t>
            </w:r>
          </w:p>
          <w:p w14:paraId="355A845A"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9.</w:t>
            </w:r>
            <w:r>
              <w:rPr>
                <w:rFonts w:ascii="Times New Roman" w:eastAsia="Times New Roman" w:hAnsi="Times New Roman" w:cs="Times New Roman"/>
                <w:sz w:val="20"/>
                <w:szCs w:val="20"/>
              </w:rPr>
              <w:t xml:space="preserve"> Se completează cu articolul 23</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cu următorul cuprins:</w:t>
            </w:r>
          </w:p>
          <w:p w14:paraId="6C9445A9"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Articolul 23</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Raportul privind punerea în aplicare</w:t>
            </w:r>
          </w:p>
          <w:p w14:paraId="0F4163DA"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Autoritatea publică centrală responsabilă de domeniul securității și sănătății în muncă (Ministerul Muncii și Protecției Sociale, în baza rapoartelor anuale privind activitatea Inspectoratului de Stat al Muncii, întocmite conform art.13 din Legea nr.140/2012, </w:t>
            </w:r>
            <w:r>
              <w:rPr>
                <w:rFonts w:ascii="Times New Roman" w:eastAsia="Times New Roman" w:hAnsi="Times New Roman" w:cs="Times New Roman"/>
                <w:sz w:val="20"/>
                <w:szCs w:val="20"/>
                <w:highlight w:val="white"/>
              </w:rPr>
              <w:t>precum și a altor autorități publice de resort),</w:t>
            </w:r>
            <w:r>
              <w:rPr>
                <w:rFonts w:ascii="Times New Roman" w:eastAsia="Times New Roman" w:hAnsi="Times New Roman" w:cs="Times New Roman"/>
                <w:sz w:val="20"/>
                <w:szCs w:val="20"/>
              </w:rPr>
              <w:t xml:space="preserve"> transmite Comisiei Europene, din cinci în cinci ani, un raport unic privind punerea în aplicare a prezentei legi și a actelor normative naționale care transpun directivele speciale adoptate în temeiul acesteia, menționând punctul de vedere al partenerilor sociali. Raportul evaluează diversele aspecte privind punerea în practică a diferitelor directive și furnizează, dacă este necesar și dacă sunt disponibile, informații detaliate pe genuri.</w:t>
            </w:r>
          </w:p>
          <w:p w14:paraId="5AA0549F"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Raportul prevăzut la alin (1), se elaborează în conformitate cu structura și chestionarul stabilite de Comisia Europeană, în colaborare cu Comitetul consultativ pentru securitate și sănătate la locul de muncă.</w:t>
            </w:r>
          </w:p>
          <w:p w14:paraId="53DB3AF7"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Raportul cuprinde:</w:t>
            </w:r>
          </w:p>
          <w:p w14:paraId="1C720274"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o parte generală privind principiile și aspectele comune aplicabile tuturor actelor normative menționate la alin. (1);</w:t>
            </w:r>
          </w:p>
          <w:p w14:paraId="5CD4E51F" w14:textId="77777777" w:rsidR="007054E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capitole specifice referitoare la punerea în aplicare a fiecărui act normativ, inclusiv indicatori specifici, în măsura în care sunt disponibili.</w:t>
            </w:r>
          </w:p>
          <w:p w14:paraId="6E66ACF4" w14:textId="77777777" w:rsidR="007054ED"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Raportul se transmite Comisiei Europene în termen de 12 luni de la încheierea perioadei de cinci ani la care se referă.”.</w:t>
            </w:r>
          </w:p>
        </w:tc>
        <w:tc>
          <w:tcPr>
            <w:tcW w:w="2443" w:type="dxa"/>
          </w:tcPr>
          <w:p w14:paraId="7405EC8C"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Compatibil</w:t>
            </w:r>
          </w:p>
          <w:p w14:paraId="2250A3E2"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Intră în vigoare la data aderării la Uniunea </w:t>
            </w:r>
          </w:p>
        </w:tc>
        <w:tc>
          <w:tcPr>
            <w:tcW w:w="4253" w:type="dxa"/>
          </w:tcPr>
          <w:p w14:paraId="0AABD3AC" w14:textId="77777777" w:rsidR="007054ED" w:rsidRDefault="007054ED">
            <w:pPr>
              <w:widowControl w:val="0"/>
              <w:spacing w:line="240" w:lineRule="auto"/>
              <w:rPr>
                <w:rFonts w:ascii="Times New Roman" w:eastAsia="Times New Roman" w:hAnsi="Times New Roman" w:cs="Times New Roman"/>
                <w:sz w:val="20"/>
                <w:szCs w:val="20"/>
              </w:rPr>
            </w:pPr>
          </w:p>
        </w:tc>
      </w:tr>
      <w:tr w:rsidR="007054ED" w14:paraId="269E1D89" w14:textId="77777777">
        <w:tc>
          <w:tcPr>
            <w:tcW w:w="3393" w:type="dxa"/>
            <w:gridSpan w:val="2"/>
          </w:tcPr>
          <w:p w14:paraId="54EB84E5"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11</w:t>
            </w:r>
          </w:p>
          <w:p w14:paraId="6A562493" w14:textId="77777777" w:rsidR="007054E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Prezenta directivă se adresează statelor membre.</w:t>
            </w:r>
          </w:p>
        </w:tc>
        <w:tc>
          <w:tcPr>
            <w:tcW w:w="4791" w:type="dxa"/>
          </w:tcPr>
          <w:p w14:paraId="05C5FE03" w14:textId="77777777" w:rsidR="007054ED" w:rsidRDefault="007054ED">
            <w:pPr>
              <w:widowControl w:val="0"/>
              <w:spacing w:line="240" w:lineRule="auto"/>
              <w:rPr>
                <w:rFonts w:ascii="Times New Roman" w:eastAsia="Times New Roman" w:hAnsi="Times New Roman" w:cs="Times New Roman"/>
                <w:sz w:val="20"/>
                <w:szCs w:val="20"/>
              </w:rPr>
            </w:pPr>
          </w:p>
        </w:tc>
        <w:tc>
          <w:tcPr>
            <w:tcW w:w="2443" w:type="dxa"/>
          </w:tcPr>
          <w:p w14:paraId="17AE6E11" w14:textId="77777777" w:rsidR="007054ED"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Prevederi UE neaplicabile</w:t>
            </w:r>
          </w:p>
        </w:tc>
        <w:tc>
          <w:tcPr>
            <w:tcW w:w="4253" w:type="dxa"/>
          </w:tcPr>
          <w:p w14:paraId="19C145C4" w14:textId="77777777" w:rsidR="007054ED" w:rsidRDefault="007054ED">
            <w:pPr>
              <w:widowControl w:val="0"/>
              <w:spacing w:line="240" w:lineRule="auto"/>
              <w:rPr>
                <w:rFonts w:ascii="Times New Roman" w:eastAsia="Times New Roman" w:hAnsi="Times New Roman" w:cs="Times New Roman"/>
                <w:sz w:val="20"/>
                <w:szCs w:val="20"/>
              </w:rPr>
            </w:pPr>
          </w:p>
        </w:tc>
      </w:tr>
    </w:tbl>
    <w:p w14:paraId="1ADFE67D" w14:textId="77777777" w:rsidR="007054ED" w:rsidRDefault="007054ED">
      <w:pPr>
        <w:spacing w:after="160" w:line="240" w:lineRule="auto"/>
        <w:rPr>
          <w:rFonts w:ascii="Times New Roman" w:eastAsia="Times New Roman" w:hAnsi="Times New Roman" w:cs="Times New Roman"/>
          <w:b/>
          <w:bCs/>
          <w:sz w:val="20"/>
          <w:szCs w:val="20"/>
        </w:rPr>
      </w:pPr>
    </w:p>
    <w:sectPr w:rsidR="007054ED">
      <w:pgSz w:w="16834" w:h="11909" w:orient="landscape"/>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3B3E75A-7CA4-42AA-83B9-A69B9710179E}"/>
  </w:font>
  <w:font w:name="Cambria">
    <w:panose1 w:val="02040503050406030204"/>
    <w:charset w:val="00"/>
    <w:family w:val="roman"/>
    <w:pitch w:val="variable"/>
    <w:sig w:usb0="E00006FF" w:usb1="420024FF" w:usb2="02000000" w:usb3="00000000" w:csb0="0000019F" w:csb1="00000000"/>
    <w:embedRegular r:id="rId2" w:fontKey="{762035B3-DBD4-4B5E-AC19-66BDC73093B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4ED"/>
    <w:rsid w:val="007054ED"/>
    <w:rsid w:val="00786BD5"/>
    <w:rsid w:val="00EF3C35"/>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56C2"/>
  <w15:docId w15:val="{D9A3F70F-719B-4492-8086-FAAC7D2D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3814</Words>
  <Characters>22124</Characters>
  <Application>Microsoft Office Word</Application>
  <DocSecurity>0</DocSecurity>
  <Lines>184</Lines>
  <Paragraphs>51</Paragraphs>
  <ScaleCrop>false</ScaleCrop>
  <Company/>
  <LinksUpToDate>false</LinksUpToDate>
  <CharactersWithSpaces>25887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2026-02-25T10:11:00Z</dcterms:created>
  <dcterms:modified xsi:type="dcterms:W3CDTF">2026-02-25T10:11:00Z</dcterms:modified>
</cp:coreProperties>
</file>