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41F7" w14:textId="56CCC23B" w:rsidR="00AE5BEE" w:rsidRPr="005F27A5" w:rsidRDefault="00AE5BEE" w:rsidP="00AB0B66">
      <w:pPr>
        <w:tabs>
          <w:tab w:val="left" w:pos="884"/>
          <w:tab w:val="left" w:pos="1196"/>
        </w:tabs>
        <w:spacing w:after="0" w:line="240" w:lineRule="auto"/>
        <w:ind w:left="57" w:right="57"/>
        <w:contextualSpacing/>
        <w:jc w:val="center"/>
        <w:rPr>
          <w:rFonts w:ascii="Times New Roman" w:hAnsi="Times New Roman" w:cs="Times New Roman"/>
          <w:b/>
          <w:sz w:val="26"/>
          <w:szCs w:val="26"/>
        </w:rPr>
      </w:pPr>
      <w:r w:rsidRPr="005F27A5">
        <w:rPr>
          <w:rFonts w:ascii="Times New Roman" w:hAnsi="Times New Roman" w:cs="Times New Roman"/>
          <w:b/>
          <w:sz w:val="26"/>
          <w:szCs w:val="26"/>
        </w:rPr>
        <w:t>SINTEZA</w:t>
      </w:r>
    </w:p>
    <w:p w14:paraId="35AE7F11" w14:textId="084441FB" w:rsidR="00AE5BEE" w:rsidRPr="005F27A5" w:rsidRDefault="00AE5BEE" w:rsidP="00AB0B66">
      <w:pPr>
        <w:tabs>
          <w:tab w:val="left" w:pos="884"/>
          <w:tab w:val="left" w:pos="1196"/>
        </w:tabs>
        <w:spacing w:after="0" w:line="240" w:lineRule="auto"/>
        <w:ind w:left="57" w:right="57"/>
        <w:contextualSpacing/>
        <w:jc w:val="center"/>
        <w:rPr>
          <w:rFonts w:ascii="Times New Roman" w:hAnsi="Times New Roman" w:cs="Times New Roman"/>
          <w:b/>
          <w:sz w:val="26"/>
          <w:szCs w:val="26"/>
        </w:rPr>
      </w:pPr>
      <w:r w:rsidRPr="005F27A5">
        <w:rPr>
          <w:rFonts w:ascii="Times New Roman" w:hAnsi="Times New Roman" w:cs="Times New Roman"/>
          <w:b/>
          <w:sz w:val="26"/>
          <w:szCs w:val="26"/>
        </w:rPr>
        <w:t>obiecțiilor și propunerilor (recomandărilor)</w:t>
      </w:r>
    </w:p>
    <w:p w14:paraId="475EDF7F" w14:textId="77777777" w:rsidR="003471F4" w:rsidRPr="005F27A5" w:rsidRDefault="003471F4" w:rsidP="00AB0B66">
      <w:pPr>
        <w:pBdr>
          <w:top w:val="none" w:sz="4" w:space="0" w:color="000000"/>
          <w:left w:val="none" w:sz="4" w:space="0" w:color="000000"/>
          <w:bottom w:val="none" w:sz="4" w:space="0" w:color="000000"/>
          <w:right w:val="none" w:sz="4" w:space="0" w:color="000000"/>
        </w:pBdr>
        <w:tabs>
          <w:tab w:val="left" w:pos="884"/>
          <w:tab w:val="left" w:pos="1196"/>
        </w:tabs>
        <w:spacing w:line="240" w:lineRule="auto"/>
        <w:ind w:left="57" w:right="57"/>
        <w:contextualSpacing/>
        <w:jc w:val="center"/>
        <w:rPr>
          <w:rFonts w:ascii="Times New Roman" w:hAnsi="Times New Roman" w:cs="Times New Roman"/>
          <w:b/>
          <w:bCs/>
          <w:sz w:val="26"/>
          <w:szCs w:val="26"/>
        </w:rPr>
      </w:pPr>
      <w:r w:rsidRPr="005F27A5">
        <w:rPr>
          <w:rFonts w:ascii="Times New Roman" w:hAnsi="Times New Roman" w:cs="Times New Roman"/>
          <w:b/>
          <w:sz w:val="26"/>
          <w:szCs w:val="26"/>
        </w:rPr>
        <w:t xml:space="preserve">la proiectul </w:t>
      </w:r>
      <w:r w:rsidRPr="005F27A5">
        <w:rPr>
          <w:rFonts w:ascii="Times New Roman" w:hAnsi="Times New Roman" w:cs="Times New Roman"/>
          <w:b/>
          <w:bCs/>
          <w:sz w:val="26"/>
          <w:szCs w:val="26"/>
        </w:rPr>
        <w:t>Hotărârii Guvernului pentru aprobarea Regulamentului privind clasificarea, etichetarea și ambalarea</w:t>
      </w:r>
    </w:p>
    <w:p w14:paraId="08421B26" w14:textId="18348D09" w:rsidR="003471F4" w:rsidRPr="005F27A5" w:rsidRDefault="003471F4" w:rsidP="00AB0B66">
      <w:pPr>
        <w:pBdr>
          <w:top w:val="none" w:sz="4" w:space="0" w:color="000000"/>
          <w:left w:val="none" w:sz="4" w:space="0" w:color="000000"/>
          <w:bottom w:val="none" w:sz="4" w:space="0" w:color="000000"/>
          <w:right w:val="none" w:sz="4" w:space="0" w:color="000000"/>
        </w:pBdr>
        <w:tabs>
          <w:tab w:val="left" w:pos="884"/>
          <w:tab w:val="left" w:pos="1196"/>
        </w:tabs>
        <w:spacing w:line="240" w:lineRule="auto"/>
        <w:ind w:left="57" w:right="57"/>
        <w:contextualSpacing/>
        <w:jc w:val="center"/>
        <w:rPr>
          <w:rFonts w:ascii="Times New Roman" w:hAnsi="Times New Roman" w:cs="Times New Roman"/>
          <w:b/>
          <w:bCs/>
          <w:sz w:val="26"/>
          <w:szCs w:val="26"/>
        </w:rPr>
      </w:pPr>
      <w:r w:rsidRPr="005F27A5">
        <w:rPr>
          <w:rFonts w:ascii="Times New Roman" w:hAnsi="Times New Roman" w:cs="Times New Roman"/>
          <w:b/>
          <w:bCs/>
          <w:sz w:val="26"/>
          <w:szCs w:val="26"/>
        </w:rPr>
        <w:t>substanțelor și amestecurilor</w:t>
      </w:r>
    </w:p>
    <w:p w14:paraId="6CC54617" w14:textId="77777777" w:rsidR="00B40460" w:rsidRPr="005F27A5" w:rsidRDefault="00B40460" w:rsidP="00AB0B66">
      <w:pPr>
        <w:spacing w:after="0" w:line="240" w:lineRule="auto"/>
        <w:ind w:left="57" w:right="57" w:firstLine="705"/>
        <w:jc w:val="center"/>
        <w:rPr>
          <w:rFonts w:ascii="Times New Roman" w:hAnsi="Times New Roman" w:cs="Times New Roman"/>
          <w:b/>
          <w:sz w:val="28"/>
          <w:szCs w:val="28"/>
        </w:rPr>
      </w:pPr>
    </w:p>
    <w:tbl>
      <w:tblPr>
        <w:tblStyle w:val="a3"/>
        <w:tblW w:w="14056"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4A0" w:firstRow="1" w:lastRow="0" w:firstColumn="1" w:lastColumn="0" w:noHBand="0" w:noVBand="1"/>
      </w:tblPr>
      <w:tblGrid>
        <w:gridCol w:w="2787"/>
        <w:gridCol w:w="737"/>
        <w:gridCol w:w="5723"/>
        <w:gridCol w:w="4809"/>
      </w:tblGrid>
      <w:tr w:rsidR="00D71A2B" w:rsidRPr="005F27A5" w14:paraId="6447E42D" w14:textId="77777777" w:rsidTr="0027421C">
        <w:trPr>
          <w:trHeight w:val="790"/>
          <w:tblHeader/>
        </w:trPr>
        <w:tc>
          <w:tcPr>
            <w:tcW w:w="2787" w:type="dxa"/>
            <w:vAlign w:val="center"/>
          </w:tcPr>
          <w:p w14:paraId="0E8FACBA" w14:textId="77777777" w:rsidR="00806BFF" w:rsidRPr="005F27A5" w:rsidRDefault="00806BFF" w:rsidP="00AB0B66">
            <w:pPr>
              <w:spacing w:beforeLines="20" w:before="48" w:afterLines="20" w:after="48"/>
              <w:ind w:left="57" w:right="57"/>
              <w:jc w:val="center"/>
              <w:rPr>
                <w:rFonts w:ascii="Times New Roman" w:hAnsi="Times New Roman" w:cs="Times New Roman"/>
                <w:b/>
                <w:sz w:val="20"/>
                <w:szCs w:val="20"/>
              </w:rPr>
            </w:pPr>
            <w:r w:rsidRPr="005F27A5">
              <w:rPr>
                <w:rFonts w:ascii="Times New Roman" w:hAnsi="Times New Roman" w:cs="Times New Roman"/>
                <w:b/>
                <w:sz w:val="20"/>
                <w:szCs w:val="20"/>
              </w:rPr>
              <w:t>Participantul la avizare (expertizare)/consultare publică</w:t>
            </w:r>
          </w:p>
        </w:tc>
        <w:tc>
          <w:tcPr>
            <w:tcW w:w="737" w:type="dxa"/>
            <w:vAlign w:val="center"/>
          </w:tcPr>
          <w:p w14:paraId="714A241D" w14:textId="77777777" w:rsidR="00CF2B91" w:rsidRPr="005F27A5" w:rsidRDefault="00806BFF" w:rsidP="00AB0B66">
            <w:pPr>
              <w:spacing w:beforeLines="20" w:before="48" w:afterLines="20" w:after="48"/>
              <w:ind w:left="57" w:right="57"/>
              <w:jc w:val="center"/>
              <w:rPr>
                <w:rFonts w:ascii="Times New Roman" w:hAnsi="Times New Roman" w:cs="Times New Roman"/>
                <w:b/>
                <w:sz w:val="20"/>
                <w:szCs w:val="20"/>
              </w:rPr>
            </w:pPr>
            <w:r w:rsidRPr="005F27A5">
              <w:rPr>
                <w:rFonts w:ascii="Times New Roman" w:hAnsi="Times New Roman" w:cs="Times New Roman"/>
                <w:b/>
                <w:sz w:val="20"/>
                <w:szCs w:val="20"/>
              </w:rPr>
              <w:t>Nr.</w:t>
            </w:r>
          </w:p>
          <w:p w14:paraId="34E86BCB" w14:textId="43B42708" w:rsidR="00806BFF" w:rsidRPr="005F27A5" w:rsidRDefault="00806BFF" w:rsidP="00AB0B66">
            <w:pPr>
              <w:spacing w:beforeLines="20" w:before="48" w:afterLines="20" w:after="48"/>
              <w:ind w:left="57" w:right="57"/>
              <w:rPr>
                <w:rFonts w:ascii="Times New Roman" w:hAnsi="Times New Roman" w:cs="Times New Roman"/>
                <w:b/>
                <w:sz w:val="20"/>
                <w:szCs w:val="20"/>
              </w:rPr>
            </w:pPr>
            <w:r w:rsidRPr="005F27A5">
              <w:rPr>
                <w:rFonts w:ascii="Times New Roman" w:hAnsi="Times New Roman" w:cs="Times New Roman"/>
                <w:b/>
                <w:sz w:val="20"/>
                <w:szCs w:val="20"/>
              </w:rPr>
              <w:t>crt.</w:t>
            </w:r>
          </w:p>
        </w:tc>
        <w:tc>
          <w:tcPr>
            <w:tcW w:w="5723" w:type="dxa"/>
            <w:vAlign w:val="center"/>
          </w:tcPr>
          <w:p w14:paraId="38E21019" w14:textId="33AFC489" w:rsidR="00806BFF" w:rsidRPr="005F27A5" w:rsidRDefault="00806BFF" w:rsidP="00AB0B66">
            <w:pPr>
              <w:spacing w:beforeLines="20" w:before="48" w:afterLines="20" w:after="48"/>
              <w:ind w:left="57" w:right="57"/>
              <w:jc w:val="center"/>
              <w:rPr>
                <w:rFonts w:ascii="Times New Roman" w:hAnsi="Times New Roman" w:cs="Times New Roman"/>
                <w:b/>
                <w:sz w:val="20"/>
                <w:szCs w:val="20"/>
              </w:rPr>
            </w:pPr>
            <w:r w:rsidRPr="005F27A5">
              <w:rPr>
                <w:rFonts w:ascii="Times New Roman" w:hAnsi="Times New Roman" w:cs="Times New Roman"/>
                <w:b/>
                <w:sz w:val="20"/>
                <w:szCs w:val="20"/>
              </w:rPr>
              <w:t>Conținutul obiecției/ propunerii (recomandării)</w:t>
            </w:r>
          </w:p>
        </w:tc>
        <w:tc>
          <w:tcPr>
            <w:tcW w:w="4809" w:type="dxa"/>
            <w:vAlign w:val="center"/>
          </w:tcPr>
          <w:p w14:paraId="53905CE0" w14:textId="77777777" w:rsidR="00806BFF" w:rsidRPr="005F27A5" w:rsidRDefault="00806BFF" w:rsidP="00AB0B66">
            <w:pPr>
              <w:spacing w:beforeLines="20" w:before="48" w:afterLines="20" w:after="48"/>
              <w:ind w:left="57" w:right="57" w:hanging="184"/>
              <w:jc w:val="center"/>
              <w:rPr>
                <w:rFonts w:ascii="Times New Roman" w:hAnsi="Times New Roman" w:cs="Times New Roman"/>
                <w:b/>
                <w:sz w:val="20"/>
                <w:szCs w:val="20"/>
              </w:rPr>
            </w:pPr>
            <w:r w:rsidRPr="005F27A5">
              <w:rPr>
                <w:rFonts w:ascii="Times New Roman" w:hAnsi="Times New Roman" w:cs="Times New Roman"/>
                <w:b/>
                <w:sz w:val="20"/>
                <w:szCs w:val="20"/>
              </w:rPr>
              <w:t>Argumentarea autorului proiectului</w:t>
            </w:r>
          </w:p>
        </w:tc>
      </w:tr>
      <w:tr w:rsidR="00203496" w:rsidRPr="005F27A5" w14:paraId="5BD4005E" w14:textId="77777777" w:rsidTr="00D4037B">
        <w:tc>
          <w:tcPr>
            <w:tcW w:w="14056" w:type="dxa"/>
            <w:gridSpan w:val="4"/>
          </w:tcPr>
          <w:p w14:paraId="4F7BCF7E" w14:textId="0304DB02" w:rsidR="00203496" w:rsidRPr="005F27A5" w:rsidRDefault="00203496" w:rsidP="00AB0B66">
            <w:pPr>
              <w:spacing w:beforeLines="20" w:before="48" w:afterLines="20" w:after="48"/>
              <w:ind w:left="57" w:right="57"/>
              <w:jc w:val="center"/>
              <w:rPr>
                <w:rFonts w:ascii="Times New Roman" w:hAnsi="Times New Roman" w:cs="Times New Roman"/>
                <w:bCs/>
                <w:sz w:val="20"/>
                <w:szCs w:val="20"/>
              </w:rPr>
            </w:pPr>
            <w:r w:rsidRPr="005F27A5">
              <w:rPr>
                <w:rFonts w:ascii="Times New Roman" w:hAnsi="Times New Roman" w:cs="Times New Roman"/>
                <w:b/>
                <w:bCs/>
                <w:color w:val="000000"/>
                <w:sz w:val="20"/>
                <w:szCs w:val="20"/>
              </w:rPr>
              <w:t>Avizare și consultare publică</w:t>
            </w:r>
          </w:p>
        </w:tc>
      </w:tr>
      <w:tr w:rsidR="006D716D" w:rsidRPr="005F27A5" w14:paraId="54D9A937" w14:textId="77777777" w:rsidTr="0027421C">
        <w:tc>
          <w:tcPr>
            <w:tcW w:w="2787" w:type="dxa"/>
          </w:tcPr>
          <w:p w14:paraId="5CB6723F" w14:textId="77777777" w:rsidR="006D716D" w:rsidRPr="005F27A5" w:rsidRDefault="00B04594"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b/>
                <w:bCs/>
                <w:color w:val="0D0D0D" w:themeColor="text1" w:themeTint="F2"/>
                <w:sz w:val="20"/>
                <w:szCs w:val="20"/>
              </w:rPr>
              <w:t>Ministerul Afacerilor Externe</w:t>
            </w:r>
          </w:p>
          <w:p w14:paraId="05EEF4A6" w14:textId="3E0D1D6E" w:rsidR="0027421C" w:rsidRPr="005F27A5" w:rsidRDefault="0027421C"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color w:val="0D0D0D" w:themeColor="text1" w:themeTint="F2"/>
                <w:sz w:val="20"/>
                <w:szCs w:val="20"/>
              </w:rPr>
              <w:t xml:space="preserve">Aviz nr. </w:t>
            </w:r>
            <w:r w:rsidR="002E3091" w:rsidRPr="005F27A5">
              <w:rPr>
                <w:rFonts w:ascii="Times New Roman" w:hAnsi="Times New Roman" w:cs="Times New Roman"/>
                <w:color w:val="0D0D0D" w:themeColor="text1" w:themeTint="F2"/>
                <w:sz w:val="20"/>
                <w:szCs w:val="20"/>
              </w:rPr>
              <w:t>DI/3/041-11532</w:t>
            </w:r>
            <w:r w:rsidRPr="005F27A5">
              <w:rPr>
                <w:rFonts w:ascii="Times New Roman" w:hAnsi="Times New Roman" w:cs="Times New Roman"/>
                <w:color w:val="0D0D0D" w:themeColor="text1" w:themeTint="F2"/>
                <w:sz w:val="20"/>
                <w:szCs w:val="20"/>
              </w:rPr>
              <w:t xml:space="preserve"> din </w:t>
            </w:r>
            <w:r w:rsidR="002E3091" w:rsidRPr="005F27A5">
              <w:rPr>
                <w:rFonts w:ascii="Times New Roman" w:hAnsi="Times New Roman" w:cs="Times New Roman"/>
                <w:color w:val="0D0D0D" w:themeColor="text1" w:themeTint="F2"/>
                <w:sz w:val="20"/>
                <w:szCs w:val="20"/>
              </w:rPr>
              <w:t>10.11</w:t>
            </w:r>
            <w:r w:rsidRPr="005F27A5">
              <w:rPr>
                <w:rFonts w:ascii="Times New Roman" w:hAnsi="Times New Roman" w:cs="Times New Roman"/>
                <w:color w:val="0D0D0D" w:themeColor="text1" w:themeTint="F2"/>
                <w:sz w:val="20"/>
                <w:szCs w:val="20"/>
              </w:rPr>
              <w:t>.2025</w:t>
            </w:r>
          </w:p>
        </w:tc>
        <w:tc>
          <w:tcPr>
            <w:tcW w:w="737" w:type="dxa"/>
          </w:tcPr>
          <w:p w14:paraId="3B2C402C" w14:textId="77777777" w:rsidR="006D716D" w:rsidRPr="005F27A5" w:rsidRDefault="006D716D"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2BA6B6D8" w14:textId="43B43BD6" w:rsidR="006D716D" w:rsidRPr="005F27A5" w:rsidRDefault="0059220F"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b/>
                <w:bCs/>
                <w:color w:val="000000"/>
                <w:sz w:val="20"/>
                <w:szCs w:val="20"/>
              </w:rPr>
              <w:t>Lipsa obiecțiilor și propunerilor.</w:t>
            </w:r>
          </w:p>
        </w:tc>
        <w:tc>
          <w:tcPr>
            <w:tcW w:w="4809" w:type="dxa"/>
          </w:tcPr>
          <w:p w14:paraId="35C154A9" w14:textId="77777777" w:rsidR="006D716D" w:rsidRPr="005F27A5" w:rsidRDefault="006D716D" w:rsidP="00AB0B66">
            <w:pPr>
              <w:spacing w:beforeLines="20" w:before="48" w:afterLines="20" w:after="48"/>
              <w:ind w:left="57" w:right="57"/>
              <w:jc w:val="both"/>
              <w:rPr>
                <w:rFonts w:ascii="Times New Roman" w:hAnsi="Times New Roman" w:cs="Times New Roman"/>
                <w:bCs/>
                <w:sz w:val="20"/>
                <w:szCs w:val="20"/>
              </w:rPr>
            </w:pPr>
          </w:p>
        </w:tc>
      </w:tr>
      <w:tr w:rsidR="00120D37" w:rsidRPr="005F27A5" w14:paraId="46EB954B" w14:textId="77777777" w:rsidTr="002E0318">
        <w:trPr>
          <w:trHeight w:val="88"/>
        </w:trPr>
        <w:tc>
          <w:tcPr>
            <w:tcW w:w="2787" w:type="dxa"/>
            <w:vMerge w:val="restart"/>
          </w:tcPr>
          <w:p w14:paraId="72AC0099" w14:textId="77777777" w:rsidR="00120D37" w:rsidRPr="005F27A5" w:rsidRDefault="00120D37"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b/>
                <w:bCs/>
                <w:color w:val="0D0D0D" w:themeColor="text1" w:themeTint="F2"/>
                <w:sz w:val="20"/>
                <w:szCs w:val="20"/>
              </w:rPr>
              <w:t>Ministerul Afacerilor Interne</w:t>
            </w:r>
          </w:p>
          <w:p w14:paraId="35C5E63B" w14:textId="10031ACD" w:rsidR="00120D37" w:rsidRPr="005F27A5" w:rsidRDefault="00120D37"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sz w:val="20"/>
                <w:szCs w:val="20"/>
              </w:rPr>
              <w:t>Aviz nr. 41/4274 din 04.12.2025</w:t>
            </w:r>
          </w:p>
        </w:tc>
        <w:tc>
          <w:tcPr>
            <w:tcW w:w="737" w:type="dxa"/>
            <w:vMerge w:val="restart"/>
          </w:tcPr>
          <w:p w14:paraId="041E3277" w14:textId="77777777" w:rsidR="00120D37" w:rsidRPr="005F27A5" w:rsidRDefault="00120D37"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1582A838" w14:textId="64DA3BD2" w:rsidR="00120D37" w:rsidRPr="005F27A5" w:rsidRDefault="00120D37"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La proiectul hotărârii Guvernului:</w:t>
            </w:r>
          </w:p>
        </w:tc>
        <w:tc>
          <w:tcPr>
            <w:tcW w:w="4809" w:type="dxa"/>
          </w:tcPr>
          <w:p w14:paraId="507C2D88" w14:textId="77777777" w:rsidR="00120D37" w:rsidRPr="005F27A5" w:rsidRDefault="00120D37" w:rsidP="00AB0B66">
            <w:pPr>
              <w:spacing w:beforeLines="20" w:before="48" w:afterLines="20" w:after="48"/>
              <w:ind w:left="57" w:right="57"/>
              <w:jc w:val="both"/>
              <w:rPr>
                <w:rFonts w:ascii="Times New Roman" w:hAnsi="Times New Roman" w:cs="Times New Roman"/>
                <w:bCs/>
                <w:sz w:val="20"/>
                <w:szCs w:val="20"/>
              </w:rPr>
            </w:pPr>
          </w:p>
        </w:tc>
      </w:tr>
      <w:tr w:rsidR="00120D37" w:rsidRPr="005F27A5" w14:paraId="4F2B2205" w14:textId="77777777" w:rsidTr="00E03516">
        <w:trPr>
          <w:trHeight w:val="1816"/>
        </w:trPr>
        <w:tc>
          <w:tcPr>
            <w:tcW w:w="2787" w:type="dxa"/>
            <w:vMerge/>
          </w:tcPr>
          <w:p w14:paraId="7928B234" w14:textId="77777777" w:rsidR="00120D37" w:rsidRPr="005F27A5" w:rsidRDefault="00120D37"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29497C23" w14:textId="77777777" w:rsidR="00120D37" w:rsidRPr="005F27A5" w:rsidRDefault="00120D37"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032C1F50" w14:textId="1B51C633" w:rsidR="00120D37" w:rsidRPr="005F27A5" w:rsidRDefault="00120D37"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sz w:val="20"/>
                <w:szCs w:val="20"/>
              </w:rPr>
              <w:t>Clauza de emitere, urmează a fi completată cu clauza de armonizare, care trebuie să indice gradul de transpunere a actului/actelor juridice europene, în conformitate cu art. 44 alin. (3) din Legea nr. 100/2017 cu privire la actele normative și pct. 13 subpct. 4) lit. a) din Regulamentul privind armonizarea legislației Republicii Moldova cu legislația UE, aprobat prin Hotărârea Guvernului nr.1171/2018. Prin urmare, referințele la Regulamentele UE se vor exclude din proiectul Regulamentului.</w:t>
            </w:r>
          </w:p>
        </w:tc>
        <w:tc>
          <w:tcPr>
            <w:tcW w:w="4809" w:type="dxa"/>
          </w:tcPr>
          <w:p w14:paraId="4EB9F64F" w14:textId="13B5C0E6" w:rsidR="00120D37" w:rsidRPr="001F71EB" w:rsidRDefault="000C081D"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
                <w:sz w:val="20"/>
                <w:szCs w:val="20"/>
              </w:rPr>
              <w:t>Se acceptă.</w:t>
            </w:r>
            <w:r w:rsidRPr="001F71EB">
              <w:rPr>
                <w:rFonts w:ascii="Times New Roman" w:hAnsi="Times New Roman" w:cs="Times New Roman"/>
                <w:bCs/>
                <w:sz w:val="20"/>
                <w:szCs w:val="20"/>
              </w:rPr>
              <w:t xml:space="preserve"> Proiectul a fost ajustat</w:t>
            </w:r>
            <w:r w:rsidR="00750554" w:rsidRPr="001F71EB">
              <w:rPr>
                <w:rFonts w:ascii="Times New Roman" w:hAnsi="Times New Roman" w:cs="Times New Roman"/>
                <w:bCs/>
                <w:sz w:val="20"/>
                <w:szCs w:val="20"/>
              </w:rPr>
              <w:t>.</w:t>
            </w:r>
          </w:p>
        </w:tc>
      </w:tr>
      <w:tr w:rsidR="00120D37" w:rsidRPr="005F27A5" w14:paraId="2D6FFCB8" w14:textId="77777777" w:rsidTr="002E0318">
        <w:trPr>
          <w:trHeight w:val="74"/>
        </w:trPr>
        <w:tc>
          <w:tcPr>
            <w:tcW w:w="2787" w:type="dxa"/>
            <w:vMerge/>
          </w:tcPr>
          <w:p w14:paraId="44C50B2F" w14:textId="77777777" w:rsidR="00120D37" w:rsidRPr="005F27A5" w:rsidRDefault="00120D37"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564ADD18" w14:textId="77777777" w:rsidR="00120D37" w:rsidRPr="005F27A5" w:rsidRDefault="00120D37"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5AE072EA" w14:textId="77777777" w:rsidR="00120D37" w:rsidRPr="005F27A5" w:rsidRDefault="00120D37"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Punctele 2 și 3 urmează a fi reformulate, întrucât utilizarea termenului „implementare” generează neclarități și suprapuneri cu termenul „executarea”.</w:t>
            </w:r>
          </w:p>
          <w:p w14:paraId="1110C574" w14:textId="068296D1" w:rsidR="00120D37" w:rsidRPr="005F27A5" w:rsidRDefault="00120D37"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sz w:val="20"/>
                <w:szCs w:val="20"/>
              </w:rPr>
              <w:t>Implementarea constituie, de fapt, o formă de executare, iar folosirea simultană a ambilor termeni poate conduce la dublări de conținut și neclaritate în delimitarea responsabilităților instituțiilor menționate în proiect.</w:t>
            </w:r>
          </w:p>
        </w:tc>
        <w:tc>
          <w:tcPr>
            <w:tcW w:w="4809" w:type="dxa"/>
          </w:tcPr>
          <w:p w14:paraId="454BCC46" w14:textId="77777777" w:rsidR="00120D37" w:rsidRPr="001F71EB" w:rsidRDefault="009D1867" w:rsidP="00AB0B66">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t>Nu se acceptă.</w:t>
            </w:r>
          </w:p>
          <w:p w14:paraId="4B739D8D" w14:textId="4F852AF1" w:rsidR="008D5905" w:rsidRPr="001F71EB" w:rsidRDefault="007869E9"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t>În context juridico-administrativ, între noțiunile de implementare și executare există un nivel diferențiat de responsabilitate. Astfel, implementarea se referă la procesul complex și etapizat prin care hotărârea de Guvern este pusă în aplicare în practică. Iar executarea vizează îndeplinirea concretă a obligațiilor stabilite prin hotărâre, în termenii și condițiile prevăzute.</w:t>
            </w:r>
          </w:p>
        </w:tc>
      </w:tr>
      <w:tr w:rsidR="00120D37" w:rsidRPr="005F27A5" w14:paraId="4CC5DAFC" w14:textId="77777777" w:rsidTr="002E0318">
        <w:trPr>
          <w:trHeight w:val="74"/>
        </w:trPr>
        <w:tc>
          <w:tcPr>
            <w:tcW w:w="2787" w:type="dxa"/>
            <w:vMerge/>
          </w:tcPr>
          <w:p w14:paraId="3C3EF829" w14:textId="77777777" w:rsidR="00120D37" w:rsidRPr="005F27A5" w:rsidRDefault="00120D37"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56C30426" w14:textId="77777777" w:rsidR="00120D37" w:rsidRPr="005F27A5" w:rsidRDefault="00120D37"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12831C0B" w14:textId="280E7A94" w:rsidR="00120D37" w:rsidRPr="005F27A5" w:rsidRDefault="00120D37"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sz w:val="20"/>
                <w:szCs w:val="20"/>
              </w:rPr>
              <w:t>Suplimentar, textul normelor se va corela și cu prevederile Capitolului VI din proiectul Regulamentului care stabilește autoritățile competente și controlul respectării legislației.</w:t>
            </w:r>
          </w:p>
        </w:tc>
        <w:tc>
          <w:tcPr>
            <w:tcW w:w="4809" w:type="dxa"/>
          </w:tcPr>
          <w:p w14:paraId="4AD79D99" w14:textId="59AEE35A" w:rsidR="00120D37" w:rsidRPr="001F71EB" w:rsidRDefault="004904E0"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
                <w:sz w:val="20"/>
                <w:szCs w:val="20"/>
              </w:rPr>
              <w:t>Se acceptă.</w:t>
            </w:r>
            <w:r w:rsidRPr="001F71EB">
              <w:rPr>
                <w:rFonts w:ascii="Times New Roman" w:hAnsi="Times New Roman" w:cs="Times New Roman"/>
                <w:bCs/>
                <w:sz w:val="20"/>
                <w:szCs w:val="20"/>
              </w:rPr>
              <w:t xml:space="preserve"> Proiectul a fost ajustat.</w:t>
            </w:r>
            <w:r w:rsidR="009D41F4" w:rsidRPr="001F71EB">
              <w:rPr>
                <w:rFonts w:ascii="Times New Roman" w:hAnsi="Times New Roman" w:cs="Times New Roman"/>
                <w:bCs/>
                <w:sz w:val="20"/>
                <w:szCs w:val="20"/>
              </w:rPr>
              <w:t xml:space="preserve"> </w:t>
            </w:r>
          </w:p>
        </w:tc>
      </w:tr>
      <w:tr w:rsidR="00120D37" w:rsidRPr="005F27A5" w14:paraId="2B481E4D" w14:textId="77777777" w:rsidTr="002E0318">
        <w:trPr>
          <w:trHeight w:val="74"/>
        </w:trPr>
        <w:tc>
          <w:tcPr>
            <w:tcW w:w="2787" w:type="dxa"/>
            <w:vMerge/>
          </w:tcPr>
          <w:p w14:paraId="5D6EDEAB" w14:textId="77777777" w:rsidR="00120D37" w:rsidRPr="005F27A5" w:rsidRDefault="00120D37"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01614042" w14:textId="77777777" w:rsidR="00120D37" w:rsidRPr="005F27A5" w:rsidRDefault="00120D37"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0AEADA4E" w14:textId="45F56557" w:rsidR="00120D37" w:rsidRPr="005F27A5" w:rsidRDefault="00120D37"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sz w:val="20"/>
                <w:szCs w:val="20"/>
              </w:rPr>
              <w:t xml:space="preserve">De asemenea, luând în considerare că proiectul transpune parțial un Regulament al UE este necesară corelarea lui cu prevederile pct. 28 al Regulamentului privind armonizarea legislației Republicii Moldova cu legislația Uniunii Europene, aprobat prin Hotărârea Guvernului nr. 1171/2018 „28. Stabilirea unor perioade de tranziție </w:t>
            </w:r>
            <w:r w:rsidRPr="005F27A5">
              <w:rPr>
                <w:rFonts w:ascii="Times New Roman" w:hAnsi="Times New Roman" w:cs="Times New Roman"/>
                <w:sz w:val="20"/>
                <w:szCs w:val="20"/>
              </w:rPr>
              <w:lastRenderedPageBreak/>
              <w:t>condiționate de momentul aderării la Uniunea Europeană în proiectele de acte normative de transpunere a regulamentelor și deciziilor UE nu se admite. Proiectele de acte normative de transpunere a regulamentelor și deciziilor UE vor conține în mod obligatoriu dispoziții ce vor prevedea abrogarea acestora la momentul aderării la Uniunea Europeană.”.</w:t>
            </w:r>
          </w:p>
        </w:tc>
        <w:tc>
          <w:tcPr>
            <w:tcW w:w="4809" w:type="dxa"/>
          </w:tcPr>
          <w:p w14:paraId="3E59180A" w14:textId="3339EADB" w:rsidR="00120D37" w:rsidRPr="001F71EB" w:rsidRDefault="00F74F03"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
                <w:sz w:val="20"/>
                <w:szCs w:val="20"/>
              </w:rPr>
              <w:lastRenderedPageBreak/>
              <w:t>Se acceptă parțial.</w:t>
            </w:r>
            <w:r w:rsidRPr="001F71EB">
              <w:rPr>
                <w:rFonts w:ascii="Times New Roman" w:hAnsi="Times New Roman" w:cs="Times New Roman"/>
                <w:bCs/>
                <w:sz w:val="20"/>
                <w:szCs w:val="20"/>
              </w:rPr>
              <w:t xml:space="preserve"> Proiectul a fost ajustat.</w:t>
            </w:r>
          </w:p>
          <w:p w14:paraId="6EC589E6" w14:textId="15B55597" w:rsidR="00F74F03" w:rsidRPr="001F71EB" w:rsidRDefault="00373999"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t xml:space="preserve">Totodată, în procedura de promovare, proiectul va fi reavizat de CAL, prin urmare acesta se va pronunța </w:t>
            </w:r>
            <w:r w:rsidRPr="001F71EB">
              <w:rPr>
                <w:rFonts w:ascii="Times New Roman" w:hAnsi="Times New Roman" w:cs="Times New Roman"/>
                <w:bCs/>
                <w:sz w:val="20"/>
                <w:szCs w:val="20"/>
              </w:rPr>
              <w:lastRenderedPageBreak/>
              <w:t>asupra necesității corelării PHG cu dispozițiile Regulamentului aprobat prin HG nr. 1117/2018.</w:t>
            </w:r>
          </w:p>
        </w:tc>
      </w:tr>
      <w:tr w:rsidR="00120D37" w:rsidRPr="005F27A5" w14:paraId="1D46B232" w14:textId="77777777" w:rsidTr="002E0318">
        <w:trPr>
          <w:trHeight w:val="74"/>
        </w:trPr>
        <w:tc>
          <w:tcPr>
            <w:tcW w:w="2787" w:type="dxa"/>
            <w:vMerge/>
          </w:tcPr>
          <w:p w14:paraId="08BF34D6" w14:textId="77777777" w:rsidR="00120D37" w:rsidRPr="005F27A5" w:rsidRDefault="00120D37"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2A5AA672" w14:textId="77777777" w:rsidR="00120D37" w:rsidRPr="005F27A5" w:rsidRDefault="00120D37"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72B03FCC" w14:textId="399A939C" w:rsidR="00120D37" w:rsidRPr="005F27A5" w:rsidRDefault="00120D37"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sz w:val="20"/>
                <w:szCs w:val="20"/>
              </w:rPr>
              <w:t>La proiectul Regulamentului:</w:t>
            </w:r>
          </w:p>
        </w:tc>
        <w:tc>
          <w:tcPr>
            <w:tcW w:w="4809" w:type="dxa"/>
          </w:tcPr>
          <w:p w14:paraId="6E8C73E3" w14:textId="77777777" w:rsidR="00120D37" w:rsidRPr="001F71EB" w:rsidRDefault="00120D37" w:rsidP="00AB0B66">
            <w:pPr>
              <w:spacing w:beforeLines="20" w:before="48" w:afterLines="20" w:after="48"/>
              <w:ind w:left="57" w:right="57"/>
              <w:jc w:val="both"/>
              <w:rPr>
                <w:rFonts w:ascii="Times New Roman" w:hAnsi="Times New Roman" w:cs="Times New Roman"/>
                <w:bCs/>
                <w:sz w:val="20"/>
                <w:szCs w:val="20"/>
              </w:rPr>
            </w:pPr>
          </w:p>
        </w:tc>
      </w:tr>
      <w:tr w:rsidR="00120D37" w:rsidRPr="005F27A5" w14:paraId="2D84F15D" w14:textId="77777777" w:rsidTr="002E0318">
        <w:trPr>
          <w:trHeight w:val="74"/>
        </w:trPr>
        <w:tc>
          <w:tcPr>
            <w:tcW w:w="2787" w:type="dxa"/>
            <w:vMerge/>
          </w:tcPr>
          <w:p w14:paraId="3C2EDCD7" w14:textId="77777777" w:rsidR="00120D37" w:rsidRPr="005F27A5" w:rsidRDefault="00120D37"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6CDAF22E" w14:textId="77777777" w:rsidR="00120D37" w:rsidRPr="005F27A5" w:rsidRDefault="00120D37"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0F7D4CA0" w14:textId="77777777" w:rsidR="00120D37" w:rsidRPr="005F27A5" w:rsidRDefault="00120D37"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La Anexa nr. 1.</w:t>
            </w:r>
          </w:p>
          <w:p w14:paraId="2689B2E4" w14:textId="40476F15" w:rsidR="00120D37" w:rsidRPr="005F27A5" w:rsidRDefault="00120D37"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sz w:val="20"/>
                <w:szCs w:val="20"/>
              </w:rPr>
              <w:t>La pct.1.3.7, autorul urmează să facă o claritate referitor la termenul „muniției”, întrucât diferă de definiția stipulată la art. 2 din Legea nr.130/2012 privind regimul armelor şi al muniţiilor cu destinaţie civilă, potrivit căruia aceasta reprezintă un ansamblu format din tubul cartușului, încărcătura de azvîrlire, capsa de aprindere şi, după caz, din proiectil. Prin analogie, se vor revedea și prevederile pct.80.7 din aceeași Anexă.</w:t>
            </w:r>
          </w:p>
        </w:tc>
        <w:tc>
          <w:tcPr>
            <w:tcW w:w="4809" w:type="dxa"/>
          </w:tcPr>
          <w:p w14:paraId="35F885EB" w14:textId="69FFA7B3" w:rsidR="00120D37" w:rsidRPr="001F71EB" w:rsidRDefault="005162ED"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
                <w:sz w:val="20"/>
                <w:szCs w:val="20"/>
              </w:rPr>
              <w:t>Se acceptă parțial</w:t>
            </w:r>
            <w:r w:rsidRPr="001F71EB">
              <w:rPr>
                <w:rFonts w:ascii="Times New Roman" w:hAnsi="Times New Roman" w:cs="Times New Roman"/>
                <w:bCs/>
                <w:sz w:val="20"/>
                <w:szCs w:val="20"/>
              </w:rPr>
              <w:t>. Proiectul a f</w:t>
            </w:r>
            <w:r w:rsidR="00BD3622" w:rsidRPr="001F71EB">
              <w:rPr>
                <w:rFonts w:ascii="Times New Roman" w:hAnsi="Times New Roman" w:cs="Times New Roman"/>
                <w:bCs/>
                <w:sz w:val="20"/>
                <w:szCs w:val="20"/>
              </w:rPr>
              <w:t>ost ajustat.</w:t>
            </w:r>
          </w:p>
          <w:p w14:paraId="71EFFE79" w14:textId="77777777" w:rsidR="00EF119C" w:rsidRPr="001F71EB" w:rsidRDefault="000D3D36"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t>P</w:t>
            </w:r>
            <w:r w:rsidR="00814950" w:rsidRPr="001F71EB">
              <w:rPr>
                <w:rFonts w:ascii="Times New Roman" w:hAnsi="Times New Roman" w:cs="Times New Roman"/>
                <w:bCs/>
                <w:sz w:val="20"/>
                <w:szCs w:val="20"/>
              </w:rPr>
              <w:t>ct. 80</w:t>
            </w:r>
            <w:r w:rsidR="00905096" w:rsidRPr="001F71EB">
              <w:rPr>
                <w:rFonts w:ascii="Times New Roman" w:hAnsi="Times New Roman" w:cs="Times New Roman"/>
                <w:bCs/>
                <w:sz w:val="20"/>
                <w:szCs w:val="20"/>
              </w:rPr>
              <w:t xml:space="preserve"> din proiect </w:t>
            </w:r>
            <w:r w:rsidR="00C70EB4" w:rsidRPr="001F71EB">
              <w:rPr>
                <w:rFonts w:ascii="Times New Roman" w:hAnsi="Times New Roman" w:cs="Times New Roman"/>
                <w:bCs/>
                <w:sz w:val="20"/>
                <w:szCs w:val="20"/>
              </w:rPr>
              <w:t>prevedere derogări, inclusiv pentru muniție</w:t>
            </w:r>
            <w:r w:rsidR="00067390" w:rsidRPr="001F71EB">
              <w:rPr>
                <w:rFonts w:ascii="Times New Roman" w:hAnsi="Times New Roman" w:cs="Times New Roman"/>
                <w:bCs/>
                <w:sz w:val="20"/>
                <w:szCs w:val="20"/>
              </w:rPr>
              <w:t>: „</w:t>
            </w:r>
            <w:r w:rsidR="00507545" w:rsidRPr="001F71EB">
              <w:rPr>
                <w:rFonts w:ascii="Times New Roman" w:hAnsi="Times New Roman" w:cs="Times New Roman"/>
                <w:bCs/>
                <w:sz w:val="20"/>
                <w:szCs w:val="20"/>
              </w:rPr>
              <w:t>80.7.</w:t>
            </w:r>
            <w:r w:rsidR="00507545" w:rsidRPr="001F71EB">
              <w:rPr>
                <w:rFonts w:ascii="Times New Roman" w:hAnsi="Times New Roman" w:cs="Times New Roman"/>
                <w:bCs/>
                <w:sz w:val="20"/>
                <w:szCs w:val="20"/>
              </w:rPr>
              <w:tab/>
              <w:t>muniţie, în sensul definiţiei din Legea nr. 130/2012 privind regimul armelor şi al muniţiilor cu destinaţie civilă, cu excepţia cazului în care este un articol care intră sub incidenţa pct. 16.</w:t>
            </w:r>
            <w:r w:rsidR="00067390" w:rsidRPr="001F71EB">
              <w:rPr>
                <w:rFonts w:ascii="Times New Roman" w:hAnsi="Times New Roman" w:cs="Times New Roman"/>
                <w:bCs/>
                <w:sz w:val="20"/>
                <w:szCs w:val="20"/>
              </w:rPr>
              <w:t>”</w:t>
            </w:r>
          </w:p>
          <w:p w14:paraId="0BA0A920" w14:textId="1942066B" w:rsidR="007A1E9C" w:rsidRPr="001F71EB" w:rsidRDefault="00D3072E"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t>Punctul 1.3.7 a fost ajustat în vederea clarificării faptului că dispoziția se referă la substanța chimică aflată în conținutul muniției și nu la muniția utilizată în calitate de armament</w:t>
            </w:r>
            <w:r w:rsidR="00604394" w:rsidRPr="001F71EB">
              <w:rPr>
                <w:rFonts w:ascii="Times New Roman" w:hAnsi="Times New Roman" w:cs="Times New Roman"/>
                <w:bCs/>
                <w:sz w:val="20"/>
                <w:szCs w:val="20"/>
              </w:rPr>
              <w:t>, reglementată de Legea</w:t>
            </w:r>
            <w:r w:rsidR="00C723FD" w:rsidRPr="001F71EB">
              <w:rPr>
                <w:rFonts w:ascii="Times New Roman" w:hAnsi="Times New Roman" w:cs="Times New Roman"/>
                <w:bCs/>
                <w:sz w:val="20"/>
                <w:szCs w:val="20"/>
              </w:rPr>
              <w:t xml:space="preserve"> nr. 130/2012 </w:t>
            </w:r>
            <w:r w:rsidR="00C723FD" w:rsidRPr="001F71EB">
              <w:rPr>
                <w:rFonts w:ascii="Times New Roman" w:hAnsi="Times New Roman" w:cs="Times New Roman"/>
                <w:sz w:val="20"/>
                <w:szCs w:val="20"/>
              </w:rPr>
              <w:t>privind regimul armelor şi al muniţiilor cu destinaţie civilă</w:t>
            </w:r>
            <w:r w:rsidRPr="001F71EB">
              <w:rPr>
                <w:rFonts w:ascii="Times New Roman" w:hAnsi="Times New Roman" w:cs="Times New Roman"/>
                <w:bCs/>
                <w:sz w:val="20"/>
                <w:szCs w:val="20"/>
              </w:rPr>
              <w:t>.</w:t>
            </w:r>
          </w:p>
        </w:tc>
      </w:tr>
      <w:tr w:rsidR="00B61A93" w:rsidRPr="005F27A5" w14:paraId="4B467B84" w14:textId="77777777" w:rsidTr="003A41F0">
        <w:trPr>
          <w:trHeight w:val="5477"/>
        </w:trPr>
        <w:tc>
          <w:tcPr>
            <w:tcW w:w="2787" w:type="dxa"/>
            <w:vMerge/>
          </w:tcPr>
          <w:p w14:paraId="602C543A" w14:textId="77777777" w:rsidR="00B61A93" w:rsidRPr="005F27A5" w:rsidRDefault="00B61A93"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1FA80DF0" w14:textId="77777777" w:rsidR="00B61A93" w:rsidRPr="005F27A5" w:rsidRDefault="00B61A93"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3E6D18B4" w14:textId="77777777" w:rsidR="00B61A93" w:rsidRPr="005F27A5" w:rsidRDefault="00B61A93"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sz w:val="20"/>
                <w:szCs w:val="20"/>
              </w:rPr>
              <w:t>La pct. 80. 5, a fost formulată o prevedere referitoare la explozivi, astfel cum sunt menționați în secțiunea 2.1 din Anexa nr. 1, introduși pe piață în vederea obținerii unui efect exploziv sau pirotehnic. În context, se atrage atenția autorului, că regimul explozivilor de uz civil în Republica Moldova este reglementat prin Legea nr. 67/2024 privind regimul explozivilor de uz civil și Hotărârea Guvernului nr. 588/2025 pentru aprobarea Reglementării tehnice privind punerea la dispoziție pe piață și controlul explozivilor de uz civil, care sunt aliniate la standardele Uniunii Europene în materie de explozivi de uz civil și transpun integral Directiva 2014/28/UE a Parlamentului European și a Consiliului din 26 februarie 2014 privind armonizarea legislației statelor membre referitoare la punerea la dispoziție pe piață și controlul explozivilor de uz civil.</w:t>
            </w:r>
          </w:p>
          <w:p w14:paraId="7A598887" w14:textId="77777777" w:rsidR="00B61A93" w:rsidRPr="005F27A5" w:rsidRDefault="00B61A93"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Noțiunea de „exploziv” este definită expres în Legea nr.67/2024 drept „materiale și articole considerate ca fiind explozivi în recomandările Organizației Națiunilor Unite privind transportul produselor periculoase și care se încadrează în clasa 1 a acestor recomandări”.</w:t>
            </w:r>
          </w:p>
          <w:p w14:paraId="0D2B7400" w14:textId="57D7ACC3" w:rsidR="00B61A93" w:rsidRPr="005F27A5" w:rsidRDefault="00B61A93"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sz w:val="20"/>
                <w:szCs w:val="20"/>
              </w:rPr>
              <w:t>Prin urmare, pentru a asigura coerența normativă și a evita interpretările divergente, se impune revizuirea și expunerea pct. 80.5, după cum urmează: ,,explozivi, în sensul definiției din Legea nr. 67/2024 privind regimul juridic al explozivilor de uz civil”.</w:t>
            </w:r>
          </w:p>
        </w:tc>
        <w:tc>
          <w:tcPr>
            <w:tcW w:w="4809" w:type="dxa"/>
          </w:tcPr>
          <w:p w14:paraId="7050E0E3" w14:textId="77777777" w:rsidR="00647F2E" w:rsidRPr="001F71EB" w:rsidRDefault="00647F2E" w:rsidP="00AB0B66">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t>Nu se acceptă.</w:t>
            </w:r>
          </w:p>
          <w:p w14:paraId="570DE63C" w14:textId="519780F4" w:rsidR="00647F2E" w:rsidRPr="001F71EB" w:rsidRDefault="00E51414" w:rsidP="001C6101">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t xml:space="preserve">Se va menține trimiterea la secțiunea 2.1, întru-cât aceasta depășește prevederile Legii </w:t>
            </w:r>
            <w:r w:rsidR="005766A6" w:rsidRPr="001F71EB">
              <w:rPr>
                <w:rFonts w:ascii="Times New Roman" w:hAnsi="Times New Roman" w:cs="Times New Roman"/>
                <w:bCs/>
                <w:sz w:val="20"/>
                <w:szCs w:val="20"/>
              </w:rPr>
              <w:t xml:space="preserve">nr. </w:t>
            </w:r>
            <w:r w:rsidRPr="001F71EB">
              <w:rPr>
                <w:rFonts w:ascii="Times New Roman" w:hAnsi="Times New Roman" w:cs="Times New Roman"/>
                <w:bCs/>
                <w:sz w:val="20"/>
                <w:szCs w:val="20"/>
              </w:rPr>
              <w:t>67</w:t>
            </w:r>
            <w:r w:rsidR="005766A6" w:rsidRPr="001F71EB">
              <w:rPr>
                <w:rFonts w:ascii="Times New Roman" w:hAnsi="Times New Roman" w:cs="Times New Roman"/>
                <w:bCs/>
                <w:sz w:val="20"/>
                <w:szCs w:val="20"/>
              </w:rPr>
              <w:t>/2024</w:t>
            </w:r>
            <w:r w:rsidR="0050095D" w:rsidRPr="001F71EB">
              <w:rPr>
                <w:rFonts w:ascii="Times New Roman" w:hAnsi="Times New Roman" w:cs="Times New Roman"/>
                <w:bCs/>
                <w:sz w:val="20"/>
                <w:szCs w:val="20"/>
              </w:rPr>
              <w:t xml:space="preserve"> </w:t>
            </w:r>
            <w:r w:rsidR="0050095D" w:rsidRPr="001F71EB">
              <w:rPr>
                <w:rFonts w:ascii="Times New Roman" w:hAnsi="Times New Roman" w:cs="Times New Roman"/>
                <w:sz w:val="20"/>
                <w:szCs w:val="20"/>
              </w:rPr>
              <w:t>privind regimul explozivilor de uz civil și Hotărârea Guvernului nr. 588/2025 pentru aprobarea Reglementării tehnice privind punerea la dispoziție pe piață și controlul explozivilor de uz civil</w:t>
            </w:r>
            <w:r w:rsidR="001C6101" w:rsidRPr="001F71EB">
              <w:rPr>
                <w:rFonts w:ascii="Times New Roman" w:hAnsi="Times New Roman" w:cs="Times New Roman"/>
                <w:sz w:val="20"/>
                <w:szCs w:val="20"/>
              </w:rPr>
              <w:t>,</w:t>
            </w:r>
            <w:r w:rsidRPr="001F71EB">
              <w:rPr>
                <w:rFonts w:ascii="Times New Roman" w:hAnsi="Times New Roman" w:cs="Times New Roman"/>
                <w:bCs/>
                <w:sz w:val="20"/>
                <w:szCs w:val="20"/>
              </w:rPr>
              <w:t xml:space="preserve"> listând și alte categorii care exced aceste acte normative.</w:t>
            </w:r>
          </w:p>
        </w:tc>
      </w:tr>
      <w:tr w:rsidR="00913039" w:rsidRPr="005F27A5" w14:paraId="6BBC7C64" w14:textId="77777777" w:rsidTr="00B47B77">
        <w:trPr>
          <w:trHeight w:val="9530"/>
        </w:trPr>
        <w:tc>
          <w:tcPr>
            <w:tcW w:w="2787" w:type="dxa"/>
            <w:vMerge/>
          </w:tcPr>
          <w:p w14:paraId="4DA47223" w14:textId="77777777" w:rsidR="00913039" w:rsidRPr="005F27A5" w:rsidRDefault="00913039"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38BB7837" w14:textId="77777777" w:rsidR="00913039" w:rsidRPr="005F27A5" w:rsidRDefault="00913039"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13789002" w14:textId="77777777" w:rsidR="00913039" w:rsidRPr="005F27A5" w:rsidRDefault="00913039"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Totodată, menționăm că proiectul hotărârii la Anexa nr.1 conține clasificări care se aplică și substanțelor/precursorilor care sunt utilizate în producerea explozivilor de uz civil sau pot deveni explozivi, ceea ce creează potențial de suprapunere cu clasificările explozivilor de uz civil prevăzute în Anexa nr. 2 din Legea nr. 67/2024 privind regimul juridic al explozivilor de uz civil și Reglementările tehnice aprobate prin Hotărârea Guvernului nr. 588/2025 pentru aprobarea Reglementării tehnice privind punerea la dispoziție pe piață și controlul explozivilor de uz civil.</w:t>
            </w:r>
          </w:p>
          <w:p w14:paraId="0F128732" w14:textId="77777777" w:rsidR="00913039" w:rsidRPr="005F27A5" w:rsidRDefault="00913039"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sz w:val="20"/>
                <w:szCs w:val="20"/>
              </w:rPr>
              <w:t xml:space="preserve">Prin urmare, se propune completarea proiectului de hotărâre cu următoarele prevederi: </w:t>
            </w:r>
            <w:r w:rsidRPr="00C376E9">
              <w:rPr>
                <w:rFonts w:ascii="Times New Roman" w:hAnsi="Times New Roman" w:cs="Times New Roman"/>
                <w:sz w:val="20"/>
                <w:szCs w:val="20"/>
              </w:rPr>
              <w:t>,,Clasificarea explozivilor de uz civil se face exclusiv în conformitate cu Legea nr. 67/2024 privind regimul juridic al explozivilor de uz civil. Prezentul Regulament nu afectează regimul juridic al explozivilor de uz civil, inclusiv cerințele de evaluare a conformității, trasabilitate, marcare și supravegherea pieței.”.</w:t>
            </w:r>
          </w:p>
          <w:p w14:paraId="54D93A8A" w14:textId="77777777" w:rsidR="00913039" w:rsidRPr="005F27A5" w:rsidRDefault="00913039"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Subsidiar, se atenționează asupra lacunelor în proiectul hotărârii din perspectiva Legii nr. 67/2024 privind regimul juridic al explozivilor de uz civil, și anume lipsa unei delimitări dintre substanțele cu proprietăți explozive (chimic) și explozivii de uz civil reglementați de Legea menționată.</w:t>
            </w:r>
          </w:p>
          <w:p w14:paraId="2CA7B4DF" w14:textId="77777777" w:rsidR="00913039" w:rsidRPr="005F27A5" w:rsidRDefault="00913039"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Astfel, Anexa nr. 1 din proiectul Regulamentului clasifică substanțele cu pericole fizice, inclusiv „substanțe și amestecuri explozive”, „substanțe care pot detona”, „pericol de explozie în masă” etc. Aceste clasificări au caracter chimic, fiind strict orientate spre identificarea riscurilor la manipulare și depozitare.</w:t>
            </w:r>
          </w:p>
          <w:p w14:paraId="38D2A8B4" w14:textId="77777777" w:rsidR="00913039" w:rsidRPr="005F27A5" w:rsidRDefault="00913039"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Conform prevederilor Legii nr. 67/2024, explozivii de uz civil sunt supuși unui regim juridic special care include evaluarea conformității, certificare, marcaj SM, trasabilitate, clasificare și control strict. Prin urmare, pentru a evita confundarea clasificării chimice cu regimul juridic al explozivilor, considerăm necesară introducerea în proiect a unei prevederi explicite care să clarifice distincția dintre cele două cadre normative.</w:t>
            </w:r>
          </w:p>
          <w:p w14:paraId="0AFFA51C" w14:textId="049EC521" w:rsidR="00913039" w:rsidRPr="005F27A5" w:rsidRDefault="00913039"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sz w:val="20"/>
                <w:szCs w:val="20"/>
              </w:rPr>
              <w:t>Reieșind din cele expuse, se recomandă de ajustat proiectul de hotărâre prin prisma reglementării substanțelor cu potențial exploziv utilizate ca explozivi, iar clasificarea din prezentul Regulamentul se aplică doar în etapa de identificare a pericolelor chimice, fără a substitui procedurile de evaluare a conformității și punere pe piață prevăzute de Legea nr. 67/2024 privind regimul juridic al explozivilor de uz civil.</w:t>
            </w:r>
          </w:p>
        </w:tc>
        <w:tc>
          <w:tcPr>
            <w:tcW w:w="4809" w:type="dxa"/>
          </w:tcPr>
          <w:p w14:paraId="4AD40950" w14:textId="77777777" w:rsidR="007125A2" w:rsidRPr="001F71EB" w:rsidRDefault="00D7501B" w:rsidP="007125A2">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t>Se acceptă. Proiectul a fost ajustat.</w:t>
            </w:r>
          </w:p>
          <w:p w14:paraId="0C6DCF75" w14:textId="346E2792" w:rsidR="00D7501B" w:rsidRPr="001F71EB" w:rsidRDefault="00960C9C" w:rsidP="007125A2">
            <w:pPr>
              <w:spacing w:beforeLines="20" w:before="48" w:afterLines="20" w:after="48"/>
              <w:ind w:left="57" w:right="57"/>
              <w:jc w:val="both"/>
              <w:rPr>
                <w:rFonts w:ascii="Times New Roman" w:hAnsi="Times New Roman" w:cs="Times New Roman"/>
                <w:sz w:val="20"/>
                <w:szCs w:val="20"/>
              </w:rPr>
            </w:pPr>
            <w:r w:rsidRPr="001F71EB">
              <w:rPr>
                <w:rFonts w:ascii="Times New Roman" w:hAnsi="Times New Roman" w:cs="Times New Roman"/>
              </w:rPr>
              <w:t>P</w:t>
            </w:r>
            <w:r w:rsidR="007125A2" w:rsidRPr="001F71EB">
              <w:rPr>
                <w:rFonts w:ascii="Times New Roman" w:hAnsi="Times New Roman" w:cs="Times New Roman"/>
              </w:rPr>
              <w:t>ct. 5 din</w:t>
            </w:r>
            <w:r w:rsidR="0080726F" w:rsidRPr="001F71EB">
              <w:rPr>
                <w:rFonts w:ascii="Times New Roman" w:hAnsi="Times New Roman" w:cs="Times New Roman"/>
              </w:rPr>
              <w:t xml:space="preserve"> proiect</w:t>
            </w:r>
            <w:r w:rsidR="00D72D13" w:rsidRPr="001F71EB">
              <w:rPr>
                <w:rFonts w:ascii="Times New Roman" w:hAnsi="Times New Roman" w:cs="Times New Roman"/>
              </w:rPr>
              <w:t>.</w:t>
            </w:r>
          </w:p>
        </w:tc>
      </w:tr>
      <w:tr w:rsidR="00120D37" w:rsidRPr="005F27A5" w14:paraId="3D9132AF" w14:textId="77777777" w:rsidTr="002E0318">
        <w:trPr>
          <w:trHeight w:val="74"/>
        </w:trPr>
        <w:tc>
          <w:tcPr>
            <w:tcW w:w="2787" w:type="dxa"/>
            <w:vMerge/>
          </w:tcPr>
          <w:p w14:paraId="0DF001C7" w14:textId="77777777" w:rsidR="00120D37" w:rsidRPr="005F27A5" w:rsidRDefault="00120D37"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4B80E923" w14:textId="77777777" w:rsidR="00120D37" w:rsidRPr="005F27A5" w:rsidRDefault="00120D37"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2B7CC63F" w14:textId="66DBD729" w:rsidR="00E60D07" w:rsidRPr="005F27A5" w:rsidRDefault="00BE1BFC"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La pct. 110, recomandăm revizuirea cuvintelor „forțele de apărare”, și după caz, completarea cu mențiuni referitoare la securitate a statului, ordine publică, pentru a evita eventuale lacune de reglementare în domeniile menționate. Totodată, autorul va clarifica ce se are în vedere prin „personalul non-miliar” și va ajusta termenul conform uzanțelor existente</w:t>
            </w:r>
            <w:r w:rsidR="002838D7" w:rsidRPr="005F27A5">
              <w:rPr>
                <w:rFonts w:ascii="Times New Roman" w:hAnsi="Times New Roman" w:cs="Times New Roman"/>
                <w:sz w:val="20"/>
                <w:szCs w:val="20"/>
              </w:rPr>
              <w:t>.</w:t>
            </w:r>
          </w:p>
        </w:tc>
        <w:tc>
          <w:tcPr>
            <w:tcW w:w="4809" w:type="dxa"/>
          </w:tcPr>
          <w:p w14:paraId="66673DBE" w14:textId="77777777" w:rsidR="00B207C4" w:rsidRPr="001F71EB" w:rsidRDefault="00BB0A90" w:rsidP="00AB0B66">
            <w:pPr>
              <w:spacing w:beforeLines="20" w:before="48" w:afterLines="20" w:after="48"/>
              <w:ind w:left="57" w:right="57"/>
              <w:jc w:val="both"/>
              <w:rPr>
                <w:rFonts w:ascii="Times New Roman" w:hAnsi="Times New Roman" w:cs="Times New Roman"/>
                <w:b/>
                <w:sz w:val="20"/>
                <w:szCs w:val="20"/>
                <w:lang w:val="ro-MD"/>
              </w:rPr>
            </w:pPr>
            <w:r w:rsidRPr="001F71EB">
              <w:rPr>
                <w:rFonts w:ascii="Times New Roman" w:hAnsi="Times New Roman" w:cs="Times New Roman"/>
                <w:b/>
                <w:sz w:val="20"/>
                <w:szCs w:val="20"/>
                <w:lang w:val="ro-MD"/>
              </w:rPr>
              <w:t>Nu se acceptă.</w:t>
            </w:r>
          </w:p>
          <w:p w14:paraId="7D0C3216" w14:textId="7B44DC00" w:rsidR="00BF5E3F" w:rsidRPr="001F71EB" w:rsidRDefault="00BB0A90" w:rsidP="007801C8">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t>Se va menține sintagma „forțele de apărare”</w:t>
            </w:r>
            <w:r w:rsidR="00E56078" w:rsidRPr="001F71EB">
              <w:rPr>
                <w:rFonts w:ascii="Times New Roman" w:hAnsi="Times New Roman" w:cs="Times New Roman"/>
                <w:bCs/>
                <w:sz w:val="20"/>
                <w:szCs w:val="20"/>
              </w:rPr>
              <w:t xml:space="preserve">, având în vedere </w:t>
            </w:r>
            <w:r w:rsidRPr="001F71EB">
              <w:rPr>
                <w:rFonts w:ascii="Times New Roman" w:hAnsi="Times New Roman" w:cs="Times New Roman"/>
                <w:bCs/>
                <w:sz w:val="20"/>
                <w:szCs w:val="20"/>
              </w:rPr>
              <w:t>că prevederea vizează exclusiv muniția destinată utilizării militare, iar extinderea domeniului de aplicare asupra altor structuri din sfera securității statului sau a ordinii publice ar depăși obiectul reglementării și scopul derogării menționate.</w:t>
            </w:r>
          </w:p>
          <w:p w14:paraId="6CCE3341" w14:textId="4A4BBEAE" w:rsidR="00BF5E3F" w:rsidRPr="001F71EB" w:rsidRDefault="00BF5E3F" w:rsidP="00C856C2">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t xml:space="preserve">În ceea ce privește noțiunea „personalul non-militar”, </w:t>
            </w:r>
            <w:r w:rsidR="00C856C2" w:rsidRPr="001F71EB">
              <w:rPr>
                <w:rFonts w:ascii="Times New Roman" w:hAnsi="Times New Roman" w:cs="Times New Roman"/>
                <w:bCs/>
                <w:sz w:val="20"/>
                <w:szCs w:val="20"/>
              </w:rPr>
              <w:t>d</w:t>
            </w:r>
            <w:r w:rsidRPr="001F71EB">
              <w:rPr>
                <w:rFonts w:ascii="Times New Roman" w:hAnsi="Times New Roman" w:cs="Times New Roman"/>
                <w:bCs/>
                <w:sz w:val="20"/>
                <w:szCs w:val="20"/>
              </w:rPr>
              <w:t xml:space="preserve">in surse </w:t>
            </w:r>
            <w:r w:rsidR="00C856C2" w:rsidRPr="001F71EB">
              <w:rPr>
                <w:rFonts w:ascii="Times New Roman" w:hAnsi="Times New Roman" w:cs="Times New Roman"/>
                <w:bCs/>
                <w:sz w:val="20"/>
                <w:szCs w:val="20"/>
              </w:rPr>
              <w:t>ne</w:t>
            </w:r>
            <w:r w:rsidRPr="001F71EB">
              <w:rPr>
                <w:rFonts w:ascii="Times New Roman" w:hAnsi="Times New Roman" w:cs="Times New Roman"/>
                <w:bCs/>
                <w:sz w:val="20"/>
                <w:szCs w:val="20"/>
              </w:rPr>
              <w:t xml:space="preserve">oficiale, termenul </w:t>
            </w:r>
            <w:r w:rsidR="00225D4C" w:rsidRPr="001F71EB">
              <w:rPr>
                <w:rFonts w:ascii="Times New Roman" w:hAnsi="Times New Roman" w:cs="Times New Roman"/>
                <w:bCs/>
                <w:sz w:val="20"/>
                <w:szCs w:val="20"/>
              </w:rPr>
              <w:t>se referă</w:t>
            </w:r>
            <w:r w:rsidRPr="001F71EB">
              <w:rPr>
                <w:rFonts w:ascii="Times New Roman" w:hAnsi="Times New Roman" w:cs="Times New Roman"/>
                <w:bCs/>
                <w:sz w:val="20"/>
                <w:szCs w:val="20"/>
              </w:rPr>
              <w:t xml:space="preserve"> personalul civil care își desfășoară activitatea în cadrul instituțiilor de apărare. Ministerul Mediului este deschis examinării propunerilor formulate de autoritățile competente, însă nu deține competența de a oferi clarificări sau de a se pronunța asupra uzanțelor terminologice din domeniul apărării, acestea revenind Ministerului Apărării</w:t>
            </w:r>
            <w:r w:rsidR="008F47DF" w:rsidRPr="001F71EB">
              <w:rPr>
                <w:rFonts w:ascii="Times New Roman" w:hAnsi="Times New Roman" w:cs="Times New Roman"/>
                <w:bCs/>
                <w:sz w:val="20"/>
                <w:szCs w:val="20"/>
              </w:rPr>
              <w:t xml:space="preserve"> și/sau Mini</w:t>
            </w:r>
            <w:r w:rsidR="007801C8" w:rsidRPr="001F71EB">
              <w:rPr>
                <w:rFonts w:ascii="Times New Roman" w:hAnsi="Times New Roman" w:cs="Times New Roman"/>
                <w:bCs/>
                <w:sz w:val="20"/>
                <w:szCs w:val="20"/>
              </w:rPr>
              <w:t>sterul Afacerilor Interne.</w:t>
            </w:r>
          </w:p>
        </w:tc>
      </w:tr>
      <w:tr w:rsidR="00E60D07" w:rsidRPr="005F27A5" w14:paraId="7865BE80" w14:textId="77777777" w:rsidTr="00C85613">
        <w:trPr>
          <w:trHeight w:val="1030"/>
        </w:trPr>
        <w:tc>
          <w:tcPr>
            <w:tcW w:w="2787" w:type="dxa"/>
            <w:vMerge/>
          </w:tcPr>
          <w:p w14:paraId="065236F9" w14:textId="77777777" w:rsidR="00E60D07" w:rsidRPr="005F27A5" w:rsidRDefault="00E60D07"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1B13A84E" w14:textId="77777777" w:rsidR="00E60D07" w:rsidRPr="005F27A5" w:rsidRDefault="00E60D07"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5C2C7481" w14:textId="0E68236D" w:rsidR="00E60D07" w:rsidRPr="005F27A5" w:rsidRDefault="00E60D07"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sz w:val="20"/>
                <w:szCs w:val="20"/>
              </w:rPr>
              <w:t>De asemenea, considerăm oportună revizuirea proiectului prin prisma regulilor de tehnică legislativă, inclusiv privind structura actului normativ, formularea și coerența normelor, indicarea corectă a actelor normative la care se face trimitere, precum și respectarea normelor gramaticale, de ortografie și punctuație.</w:t>
            </w:r>
          </w:p>
        </w:tc>
        <w:tc>
          <w:tcPr>
            <w:tcW w:w="4809" w:type="dxa"/>
          </w:tcPr>
          <w:p w14:paraId="307E4D3C" w14:textId="7085A431" w:rsidR="00E60D07" w:rsidRPr="001F71EB" w:rsidRDefault="000457A9"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
                <w:sz w:val="20"/>
                <w:szCs w:val="20"/>
              </w:rPr>
              <w:t>Se acceptă</w:t>
            </w:r>
            <w:r w:rsidR="008E7172" w:rsidRPr="001F71EB">
              <w:rPr>
                <w:rFonts w:ascii="Times New Roman" w:hAnsi="Times New Roman" w:cs="Times New Roman"/>
                <w:b/>
                <w:sz w:val="20"/>
                <w:szCs w:val="20"/>
              </w:rPr>
              <w:t>.</w:t>
            </w:r>
            <w:r w:rsidR="008E7172" w:rsidRPr="001F71EB">
              <w:rPr>
                <w:rFonts w:ascii="Times New Roman" w:hAnsi="Times New Roman" w:cs="Times New Roman"/>
                <w:bCs/>
                <w:sz w:val="20"/>
                <w:szCs w:val="20"/>
              </w:rPr>
              <w:t xml:space="preserve"> Proi</w:t>
            </w:r>
            <w:r w:rsidR="000779DF" w:rsidRPr="001F71EB">
              <w:rPr>
                <w:rFonts w:ascii="Times New Roman" w:hAnsi="Times New Roman" w:cs="Times New Roman"/>
                <w:bCs/>
                <w:sz w:val="20"/>
                <w:szCs w:val="20"/>
              </w:rPr>
              <w:t>e</w:t>
            </w:r>
            <w:r w:rsidR="008E7172" w:rsidRPr="001F71EB">
              <w:rPr>
                <w:rFonts w:ascii="Times New Roman" w:hAnsi="Times New Roman" w:cs="Times New Roman"/>
                <w:bCs/>
                <w:sz w:val="20"/>
                <w:szCs w:val="20"/>
              </w:rPr>
              <w:t>ctul a fost ajustat.</w:t>
            </w:r>
          </w:p>
        </w:tc>
      </w:tr>
      <w:tr w:rsidR="009E3705" w:rsidRPr="005F27A5" w14:paraId="63804842" w14:textId="77777777" w:rsidTr="00546251">
        <w:trPr>
          <w:trHeight w:val="60"/>
        </w:trPr>
        <w:tc>
          <w:tcPr>
            <w:tcW w:w="2787" w:type="dxa"/>
            <w:vMerge w:val="restart"/>
          </w:tcPr>
          <w:p w14:paraId="20830613" w14:textId="77777777" w:rsidR="009E3705" w:rsidRPr="005F27A5" w:rsidRDefault="009E3705"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b/>
                <w:bCs/>
                <w:color w:val="0D0D0D" w:themeColor="text1" w:themeTint="F2"/>
                <w:sz w:val="20"/>
                <w:szCs w:val="20"/>
              </w:rPr>
              <w:t>Ministerul Agriculturii și Industriei Alimentare</w:t>
            </w:r>
          </w:p>
          <w:p w14:paraId="31186BC8" w14:textId="44AD5E77" w:rsidR="009E3705" w:rsidRPr="005F27A5" w:rsidRDefault="009E3705"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color w:val="0D0D0D" w:themeColor="text1" w:themeTint="F2"/>
                <w:sz w:val="20"/>
                <w:szCs w:val="20"/>
              </w:rPr>
              <w:t>Aviz nr. 2025 PHG -3340</w:t>
            </w:r>
          </w:p>
        </w:tc>
        <w:tc>
          <w:tcPr>
            <w:tcW w:w="737" w:type="dxa"/>
            <w:vMerge w:val="restart"/>
          </w:tcPr>
          <w:p w14:paraId="10EBB65E" w14:textId="77777777" w:rsidR="009E3705" w:rsidRPr="005F27A5" w:rsidRDefault="009E3705"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41EBBBA2" w14:textId="77777777" w:rsidR="009E3705" w:rsidRPr="005F27A5" w:rsidRDefault="009E3705"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În Regulament:</w:t>
            </w:r>
          </w:p>
          <w:p w14:paraId="3DBFFE67" w14:textId="0274479B" w:rsidR="009E3705" w:rsidRPr="005F27A5" w:rsidRDefault="009E3705"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sz w:val="20"/>
                <w:szCs w:val="20"/>
              </w:rPr>
              <w:t>Definițiile de la subpct. 7.10. „producere” și 7.11. „producător” sunt deja transpuse în legislația națională prin art.4 din Legea nr. 277/2018 privind substanțele chimice, unde, conform tabelului de concordanță, noțiunile16 „producere” și 17 „producător” sunt indicate ca fiind compatibile cu Regulamentul (CE) nr. 1272/2008 al Parlamentului European și al Consiliului din 16 decembrie 2008 privind clasificarea, etichetarea și ambalarea substanțelor și a amestecurilor, de modificare și abrogare a Directivelor 67/548/CEE și 1999/45/CE, precum și de modificare a Regulamentului (CE) nr. 1907/2006 (Text cu relevanță pentru SEE), publicat în Jurnalul Oficial al Uniunii Europene L 353 din 31 decembrie 2008 (CELEX: 32008R1272), astfel cum a fost modificat ultima dată prin Regulamentul (UE) 2024/2865.</w:t>
            </w:r>
          </w:p>
        </w:tc>
        <w:tc>
          <w:tcPr>
            <w:tcW w:w="4809" w:type="dxa"/>
          </w:tcPr>
          <w:p w14:paraId="098F8F7C" w14:textId="794B2B61" w:rsidR="009E3705" w:rsidRPr="001F71EB" w:rsidRDefault="009E3705"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
                <w:sz w:val="20"/>
                <w:szCs w:val="20"/>
              </w:rPr>
              <w:t>Se acceptă.</w:t>
            </w:r>
            <w:r w:rsidRPr="001F71EB">
              <w:rPr>
                <w:rFonts w:ascii="Times New Roman" w:hAnsi="Times New Roman" w:cs="Times New Roman"/>
                <w:bCs/>
                <w:sz w:val="20"/>
                <w:szCs w:val="20"/>
              </w:rPr>
              <w:t xml:space="preserve"> Proiectul a fost ajustat.</w:t>
            </w:r>
          </w:p>
        </w:tc>
      </w:tr>
      <w:tr w:rsidR="009E3705" w:rsidRPr="005F27A5" w14:paraId="433C87E9" w14:textId="77777777" w:rsidTr="00546251">
        <w:trPr>
          <w:trHeight w:val="41"/>
        </w:trPr>
        <w:tc>
          <w:tcPr>
            <w:tcW w:w="2787" w:type="dxa"/>
            <w:vMerge/>
          </w:tcPr>
          <w:p w14:paraId="790FD0E3" w14:textId="77777777" w:rsidR="009E3705" w:rsidRPr="005F27A5" w:rsidRDefault="009E3705"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6ECD8A06" w14:textId="77777777" w:rsidR="009E3705" w:rsidRPr="005F27A5" w:rsidRDefault="009E3705"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5E35083B" w14:textId="1034BC8D" w:rsidR="009E3705" w:rsidRPr="005F27A5" w:rsidRDefault="009E3705"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sz w:val="20"/>
                <w:szCs w:val="20"/>
              </w:rPr>
              <w:t xml:space="preserve">Deși în proiect se menționează că este în concordanța cu Regulamentul (UE) 2024/2865, însă nu au fost preluate modificările </w:t>
            </w:r>
            <w:r w:rsidRPr="005F27A5">
              <w:rPr>
                <w:rFonts w:ascii="Times New Roman" w:hAnsi="Times New Roman" w:cs="Times New Roman"/>
                <w:sz w:val="20"/>
                <w:szCs w:val="20"/>
              </w:rPr>
              <w:lastRenderedPageBreak/>
              <w:t>la art. 5 și art. 6 alin. (1) din Regulamentul (CE) nr. 1272/2008, respectiv introducerea literei „(ca) date obținute din noile abordări metodologice”.</w:t>
            </w:r>
          </w:p>
        </w:tc>
        <w:tc>
          <w:tcPr>
            <w:tcW w:w="4809" w:type="dxa"/>
          </w:tcPr>
          <w:p w14:paraId="7404698F" w14:textId="7F5CD488" w:rsidR="009E3705" w:rsidRPr="001F71EB" w:rsidRDefault="0064472A" w:rsidP="00AB0B66">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lastRenderedPageBreak/>
              <w:t>Nu se accceptă.</w:t>
            </w:r>
          </w:p>
          <w:p w14:paraId="3389A99C" w14:textId="4B88BE65" w:rsidR="009E3705" w:rsidRPr="001F71EB" w:rsidRDefault="009E3705"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lastRenderedPageBreak/>
              <w:t xml:space="preserve">În clauza de armonizare </w:t>
            </w:r>
            <w:r w:rsidR="0064472A" w:rsidRPr="001F71EB">
              <w:rPr>
                <w:rFonts w:ascii="Times New Roman" w:hAnsi="Times New Roman" w:cs="Times New Roman"/>
                <w:bCs/>
                <w:sz w:val="20"/>
                <w:szCs w:val="20"/>
              </w:rPr>
              <w:t xml:space="preserve">este </w:t>
            </w:r>
            <w:r w:rsidRPr="001F71EB">
              <w:rPr>
                <w:rFonts w:ascii="Times New Roman" w:hAnsi="Times New Roman" w:cs="Times New Roman"/>
                <w:bCs/>
                <w:sz w:val="20"/>
                <w:szCs w:val="20"/>
              </w:rPr>
              <w:t>indica</w:t>
            </w:r>
            <w:r w:rsidR="00A93FE8" w:rsidRPr="001F71EB">
              <w:rPr>
                <w:rFonts w:ascii="Times New Roman" w:hAnsi="Times New Roman" w:cs="Times New Roman"/>
                <w:bCs/>
                <w:sz w:val="20"/>
                <w:szCs w:val="20"/>
              </w:rPr>
              <w:t>t</w:t>
            </w:r>
            <w:r w:rsidRPr="001F71EB">
              <w:rPr>
                <w:rFonts w:ascii="Times New Roman" w:hAnsi="Times New Roman" w:cs="Times New Roman"/>
                <w:bCs/>
                <w:sz w:val="20"/>
                <w:szCs w:val="20"/>
              </w:rPr>
              <w:t xml:space="preserve"> gradul de transpunere a Regulamentului </w:t>
            </w:r>
            <w:r w:rsidRPr="001F71EB">
              <w:rPr>
                <w:rFonts w:ascii="Times New Roman" w:hAnsi="Times New Roman" w:cs="Times New Roman"/>
                <w:sz w:val="20"/>
                <w:szCs w:val="20"/>
              </w:rPr>
              <w:t>(</w:t>
            </w:r>
            <w:r w:rsidR="002A35FD" w:rsidRPr="001F71EB">
              <w:rPr>
                <w:rFonts w:ascii="Times New Roman" w:hAnsi="Times New Roman" w:cs="Times New Roman"/>
                <w:sz w:val="20"/>
                <w:szCs w:val="20"/>
              </w:rPr>
              <w:t>C</w:t>
            </w:r>
            <w:r w:rsidRPr="001F71EB">
              <w:rPr>
                <w:rFonts w:ascii="Times New Roman" w:hAnsi="Times New Roman" w:cs="Times New Roman"/>
                <w:sz w:val="20"/>
                <w:szCs w:val="20"/>
              </w:rPr>
              <w:t xml:space="preserve">E) </w:t>
            </w:r>
            <w:r w:rsidR="002676A7" w:rsidRPr="001F71EB">
              <w:rPr>
                <w:rFonts w:ascii="Times New Roman" w:hAnsi="Times New Roman" w:cs="Times New Roman"/>
                <w:sz w:val="20"/>
                <w:szCs w:val="20"/>
              </w:rPr>
              <w:t>1272</w:t>
            </w:r>
            <w:r w:rsidRPr="001F71EB">
              <w:rPr>
                <w:rFonts w:ascii="Times New Roman" w:hAnsi="Times New Roman" w:cs="Times New Roman"/>
                <w:sz w:val="20"/>
                <w:szCs w:val="20"/>
              </w:rPr>
              <w:t>/2</w:t>
            </w:r>
            <w:r w:rsidR="002676A7" w:rsidRPr="001F71EB">
              <w:rPr>
                <w:rFonts w:ascii="Times New Roman" w:hAnsi="Times New Roman" w:cs="Times New Roman"/>
                <w:sz w:val="20"/>
                <w:szCs w:val="20"/>
              </w:rPr>
              <w:t>008</w:t>
            </w:r>
            <w:r w:rsidRPr="001F71EB">
              <w:rPr>
                <w:rFonts w:ascii="Times New Roman" w:hAnsi="Times New Roman" w:cs="Times New Roman"/>
                <w:sz w:val="20"/>
                <w:szCs w:val="20"/>
              </w:rPr>
              <w:t xml:space="preserve"> </w:t>
            </w:r>
            <w:r w:rsidRPr="001F71EB">
              <w:rPr>
                <w:rFonts w:ascii="Times New Roman" w:hAnsi="Times New Roman" w:cs="Times New Roman"/>
                <w:bCs/>
                <w:sz w:val="20"/>
                <w:szCs w:val="20"/>
              </w:rPr>
              <w:t>ca fiind „parțial”.</w:t>
            </w:r>
          </w:p>
        </w:tc>
      </w:tr>
      <w:tr w:rsidR="009E3705" w:rsidRPr="005F27A5" w14:paraId="39D581C1" w14:textId="77777777" w:rsidTr="009E3705">
        <w:trPr>
          <w:trHeight w:val="892"/>
        </w:trPr>
        <w:tc>
          <w:tcPr>
            <w:tcW w:w="2787" w:type="dxa"/>
            <w:vMerge/>
          </w:tcPr>
          <w:p w14:paraId="0436BF01" w14:textId="77777777" w:rsidR="009E3705" w:rsidRPr="005F27A5" w:rsidRDefault="009E3705"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434A362C" w14:textId="77777777" w:rsidR="009E3705" w:rsidRPr="005F27A5" w:rsidRDefault="009E3705"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73813727" w14:textId="19FF03B9" w:rsidR="009E3705" w:rsidRPr="005F27A5" w:rsidRDefault="009E3705"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La anexa nr.1:</w:t>
            </w:r>
          </w:p>
          <w:p w14:paraId="110D014A" w14:textId="192E2EE9" w:rsidR="009E3705" w:rsidRPr="00DD60B4" w:rsidRDefault="009E3705" w:rsidP="00DD60B4">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 modificările aferente secțiunii 1.2.1.4., textul și tabelul 1.3 din proiect nu au fost modificate în conformitate cu Regulamentul (UE) 2024/2865;</w:t>
            </w:r>
          </w:p>
        </w:tc>
        <w:tc>
          <w:tcPr>
            <w:tcW w:w="4809" w:type="dxa"/>
          </w:tcPr>
          <w:p w14:paraId="3AF73C6A" w14:textId="290B6E47" w:rsidR="0084191B" w:rsidRPr="001F71EB" w:rsidRDefault="009E3705" w:rsidP="00CD1DCA">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t>Se acceptă.</w:t>
            </w:r>
            <w:r w:rsidR="00903943" w:rsidRPr="001F71EB">
              <w:rPr>
                <w:rFonts w:ascii="Times New Roman" w:hAnsi="Times New Roman" w:cs="Times New Roman"/>
                <w:b/>
                <w:sz w:val="20"/>
                <w:szCs w:val="20"/>
              </w:rPr>
              <w:t xml:space="preserve"> </w:t>
            </w:r>
            <w:r w:rsidRPr="001F71EB">
              <w:rPr>
                <w:rFonts w:ascii="Times New Roman" w:hAnsi="Times New Roman" w:cs="Times New Roman"/>
                <w:b/>
                <w:sz w:val="20"/>
                <w:szCs w:val="20"/>
              </w:rPr>
              <w:t xml:space="preserve">Proiectul a fost </w:t>
            </w:r>
            <w:r w:rsidR="00A15475" w:rsidRPr="001F71EB">
              <w:rPr>
                <w:rFonts w:ascii="Times New Roman" w:hAnsi="Times New Roman" w:cs="Times New Roman"/>
                <w:b/>
                <w:sz w:val="20"/>
                <w:szCs w:val="20"/>
              </w:rPr>
              <w:t>ajustat.</w:t>
            </w:r>
          </w:p>
        </w:tc>
      </w:tr>
      <w:tr w:rsidR="009E3705" w:rsidRPr="005F27A5" w14:paraId="398D89AA" w14:textId="77777777" w:rsidTr="00D31ECB">
        <w:trPr>
          <w:trHeight w:val="584"/>
        </w:trPr>
        <w:tc>
          <w:tcPr>
            <w:tcW w:w="2787" w:type="dxa"/>
            <w:vMerge/>
          </w:tcPr>
          <w:p w14:paraId="2D499513" w14:textId="77777777" w:rsidR="009E3705" w:rsidRPr="005F27A5" w:rsidRDefault="009E3705"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7AE8C055" w14:textId="77777777" w:rsidR="009E3705" w:rsidRPr="005F27A5" w:rsidRDefault="009E3705"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21A9A923" w14:textId="77777777" w:rsidR="00DD60B4" w:rsidRPr="005F27A5" w:rsidRDefault="00DD60B4" w:rsidP="00DD60B4">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 la tabelul 2.6.3. nu sunt incluse toate compartimentele, deși în tabelul de concordanță este notat „compatibil”;</w:t>
            </w:r>
          </w:p>
          <w:p w14:paraId="4E277331" w14:textId="77777777" w:rsidR="009E3705" w:rsidRPr="005F27A5" w:rsidRDefault="009E3705" w:rsidP="00AB0B66">
            <w:pPr>
              <w:spacing w:beforeLines="20" w:before="48" w:afterLines="20" w:after="48"/>
              <w:ind w:left="57" w:right="57"/>
              <w:jc w:val="both"/>
              <w:rPr>
                <w:rFonts w:ascii="Times New Roman" w:hAnsi="Times New Roman" w:cs="Times New Roman"/>
                <w:sz w:val="20"/>
                <w:szCs w:val="20"/>
              </w:rPr>
            </w:pPr>
          </w:p>
        </w:tc>
        <w:tc>
          <w:tcPr>
            <w:tcW w:w="4809" w:type="dxa"/>
          </w:tcPr>
          <w:p w14:paraId="2CD7EED4" w14:textId="77777777" w:rsidR="009E3705" w:rsidRPr="001F71EB" w:rsidRDefault="00637A95" w:rsidP="00AB0B66">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t>Nu se acceptă</w:t>
            </w:r>
            <w:r w:rsidR="00332416" w:rsidRPr="001F71EB">
              <w:rPr>
                <w:rFonts w:ascii="Times New Roman" w:hAnsi="Times New Roman" w:cs="Times New Roman"/>
                <w:b/>
                <w:sz w:val="20"/>
                <w:szCs w:val="20"/>
              </w:rPr>
              <w:t>.</w:t>
            </w:r>
          </w:p>
          <w:p w14:paraId="5A7AF172" w14:textId="56526047" w:rsidR="00332416" w:rsidRPr="001F71EB" w:rsidRDefault="00332416" w:rsidP="00AB0B66">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Cs/>
                <w:sz w:val="20"/>
                <w:szCs w:val="20"/>
              </w:rPr>
              <w:t>Proiectul a fost ajustat prin pri</w:t>
            </w:r>
            <w:r w:rsidR="0081455E" w:rsidRPr="001F71EB">
              <w:rPr>
                <w:rFonts w:ascii="Times New Roman" w:hAnsi="Times New Roman" w:cs="Times New Roman"/>
                <w:bCs/>
                <w:sz w:val="20"/>
                <w:szCs w:val="20"/>
              </w:rPr>
              <w:t>s</w:t>
            </w:r>
            <w:r w:rsidRPr="001F71EB">
              <w:rPr>
                <w:rFonts w:ascii="Times New Roman" w:hAnsi="Times New Roman" w:cs="Times New Roman"/>
                <w:bCs/>
                <w:sz w:val="20"/>
                <w:szCs w:val="20"/>
              </w:rPr>
              <w:t>ma avizul Institutului de Standartizare din Moldova. Mai mult</w:t>
            </w:r>
            <w:r w:rsidR="0081455E" w:rsidRPr="001F71EB">
              <w:rPr>
                <w:rFonts w:ascii="Times New Roman" w:hAnsi="Times New Roman" w:cs="Times New Roman"/>
                <w:bCs/>
                <w:sz w:val="20"/>
                <w:szCs w:val="20"/>
              </w:rPr>
              <w:t>,</w:t>
            </w:r>
            <w:r w:rsidRPr="001F71EB">
              <w:rPr>
                <w:rFonts w:ascii="Times New Roman" w:hAnsi="Times New Roman" w:cs="Times New Roman"/>
                <w:bCs/>
                <w:sz w:val="20"/>
                <w:szCs w:val="20"/>
              </w:rPr>
              <w:t xml:space="preserve"> </w:t>
            </w:r>
            <w:r w:rsidR="00CE79D6" w:rsidRPr="001F71EB">
              <w:rPr>
                <w:rFonts w:ascii="Times New Roman" w:hAnsi="Times New Roman" w:cs="Times New Roman"/>
                <w:bCs/>
                <w:sz w:val="20"/>
                <w:szCs w:val="20"/>
              </w:rPr>
              <w:t>standarde</w:t>
            </w:r>
            <w:r w:rsidR="0081455E" w:rsidRPr="001F71EB">
              <w:rPr>
                <w:rFonts w:ascii="Times New Roman" w:hAnsi="Times New Roman" w:cs="Times New Roman"/>
                <w:bCs/>
                <w:sz w:val="20"/>
                <w:szCs w:val="20"/>
              </w:rPr>
              <w:t>le</w:t>
            </w:r>
            <w:r w:rsidR="00CE79D6" w:rsidRPr="001F71EB">
              <w:rPr>
                <w:rFonts w:ascii="Times New Roman" w:hAnsi="Times New Roman" w:cs="Times New Roman"/>
                <w:bCs/>
                <w:sz w:val="20"/>
                <w:szCs w:val="20"/>
              </w:rPr>
              <w:t xml:space="preserve"> naţionale (franceze și germane, în cazul dat) nu fac parte din</w:t>
            </w:r>
            <w:r w:rsidR="00D5204D" w:rsidRPr="001F71EB">
              <w:rPr>
                <w:rFonts w:ascii="Times New Roman" w:hAnsi="Times New Roman" w:cs="Times New Roman"/>
                <w:bCs/>
                <w:sz w:val="20"/>
                <w:szCs w:val="20"/>
              </w:rPr>
              <w:t xml:space="preserve"> standarde europene (EN)</w:t>
            </w:r>
            <w:r w:rsidR="00CE79D6" w:rsidRPr="001F71EB">
              <w:rPr>
                <w:rFonts w:ascii="Times New Roman" w:hAnsi="Times New Roman" w:cs="Times New Roman"/>
                <w:bCs/>
                <w:sz w:val="20"/>
                <w:szCs w:val="20"/>
              </w:rPr>
              <w:t xml:space="preserve"> </w:t>
            </w:r>
            <w:r w:rsidR="000C0729" w:rsidRPr="001F71EB">
              <w:rPr>
                <w:rFonts w:ascii="Times New Roman" w:hAnsi="Times New Roman" w:cs="Times New Roman"/>
                <w:bCs/>
                <w:sz w:val="20"/>
                <w:szCs w:val="20"/>
              </w:rPr>
              <w:t xml:space="preserve">adoptate de </w:t>
            </w:r>
            <w:r w:rsidR="004E5D22" w:rsidRPr="001F71EB">
              <w:rPr>
                <w:rFonts w:ascii="Times New Roman" w:hAnsi="Times New Roman" w:cs="Times New Roman"/>
                <w:bCs/>
                <w:sz w:val="20"/>
                <w:szCs w:val="20"/>
              </w:rPr>
              <w:t>CEN/CENELEC/ETSI.</w:t>
            </w:r>
          </w:p>
        </w:tc>
      </w:tr>
      <w:tr w:rsidR="009E3705" w:rsidRPr="005F27A5" w14:paraId="2146816F" w14:textId="77777777" w:rsidTr="009E3705">
        <w:trPr>
          <w:trHeight w:val="891"/>
        </w:trPr>
        <w:tc>
          <w:tcPr>
            <w:tcW w:w="2787" w:type="dxa"/>
            <w:vMerge/>
          </w:tcPr>
          <w:p w14:paraId="05E72424" w14:textId="77777777" w:rsidR="009E3705" w:rsidRPr="005F27A5" w:rsidRDefault="009E3705"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0F622357" w14:textId="77777777" w:rsidR="009E3705" w:rsidRPr="005F27A5" w:rsidRDefault="009E3705"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42F2852A" w14:textId="1C6C96E9" w:rsidR="009E3705" w:rsidRPr="005F27A5" w:rsidRDefault="00DD60B4"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 la tabelul 2.6.4. se face trimitere la Standarde europene, însă în tabel sunt indicate Standarde Moldovenești (SM) – situație care necesită corectare, aceiași obiecție este valabilă și pentru tabelul 2.6.3.</w:t>
            </w:r>
          </w:p>
        </w:tc>
        <w:tc>
          <w:tcPr>
            <w:tcW w:w="4809" w:type="dxa"/>
          </w:tcPr>
          <w:p w14:paraId="3F3881FA" w14:textId="77777777" w:rsidR="009E3705" w:rsidRPr="001F71EB" w:rsidRDefault="00A15475" w:rsidP="00AB0B66">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t>Nu se acceptă.</w:t>
            </w:r>
          </w:p>
          <w:p w14:paraId="6CEB7DD0" w14:textId="1DAEE30C" w:rsidR="00A15475" w:rsidRPr="001F71EB" w:rsidRDefault="00AF269D" w:rsidP="0035764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t>Pro</w:t>
            </w:r>
            <w:r w:rsidR="00DD214C" w:rsidRPr="001F71EB">
              <w:rPr>
                <w:rFonts w:ascii="Times New Roman" w:hAnsi="Times New Roman" w:cs="Times New Roman"/>
                <w:bCs/>
                <w:sz w:val="20"/>
                <w:szCs w:val="20"/>
              </w:rPr>
              <w:t>ie</w:t>
            </w:r>
            <w:r w:rsidRPr="001F71EB">
              <w:rPr>
                <w:rFonts w:ascii="Times New Roman" w:hAnsi="Times New Roman" w:cs="Times New Roman"/>
                <w:bCs/>
                <w:sz w:val="20"/>
                <w:szCs w:val="20"/>
              </w:rPr>
              <w:t>ctul a fost ajustat</w:t>
            </w:r>
            <w:r w:rsidR="00654106" w:rsidRPr="001F71EB">
              <w:rPr>
                <w:rFonts w:ascii="Times New Roman" w:hAnsi="Times New Roman" w:cs="Times New Roman"/>
                <w:bCs/>
                <w:sz w:val="20"/>
                <w:szCs w:val="20"/>
              </w:rPr>
              <w:t xml:space="preserve"> pri</w:t>
            </w:r>
            <w:r w:rsidR="00DC11F8" w:rsidRPr="001F71EB">
              <w:rPr>
                <w:rFonts w:ascii="Times New Roman" w:hAnsi="Times New Roman" w:cs="Times New Roman"/>
                <w:bCs/>
                <w:sz w:val="20"/>
                <w:szCs w:val="20"/>
              </w:rPr>
              <w:t>n pri</w:t>
            </w:r>
            <w:r w:rsidR="0081455E" w:rsidRPr="001F71EB">
              <w:rPr>
                <w:rFonts w:ascii="Times New Roman" w:hAnsi="Times New Roman" w:cs="Times New Roman"/>
                <w:bCs/>
                <w:sz w:val="20"/>
                <w:szCs w:val="20"/>
              </w:rPr>
              <w:t>s</w:t>
            </w:r>
            <w:r w:rsidR="00DC11F8" w:rsidRPr="001F71EB">
              <w:rPr>
                <w:rFonts w:ascii="Times New Roman" w:hAnsi="Times New Roman" w:cs="Times New Roman"/>
                <w:bCs/>
                <w:sz w:val="20"/>
                <w:szCs w:val="20"/>
              </w:rPr>
              <w:t>ma</w:t>
            </w:r>
            <w:r w:rsidR="00BD5F4D" w:rsidRPr="001F71EB">
              <w:rPr>
                <w:rFonts w:ascii="Times New Roman" w:hAnsi="Times New Roman" w:cs="Times New Roman"/>
                <w:bCs/>
                <w:sz w:val="20"/>
                <w:szCs w:val="20"/>
              </w:rPr>
              <w:t xml:space="preserve"> </w:t>
            </w:r>
            <w:r w:rsidRPr="001F71EB">
              <w:rPr>
                <w:rFonts w:ascii="Times New Roman" w:hAnsi="Times New Roman" w:cs="Times New Roman"/>
                <w:bCs/>
                <w:sz w:val="20"/>
                <w:szCs w:val="20"/>
              </w:rPr>
              <w:t>avizul</w:t>
            </w:r>
            <w:r w:rsidR="008806D3" w:rsidRPr="001F71EB">
              <w:rPr>
                <w:rFonts w:ascii="Times New Roman" w:hAnsi="Times New Roman" w:cs="Times New Roman"/>
                <w:bCs/>
                <w:sz w:val="20"/>
                <w:szCs w:val="20"/>
              </w:rPr>
              <w:t xml:space="preserve"> Institu</w:t>
            </w:r>
            <w:r w:rsidR="00561D1C" w:rsidRPr="001F71EB">
              <w:rPr>
                <w:rFonts w:ascii="Times New Roman" w:hAnsi="Times New Roman" w:cs="Times New Roman"/>
                <w:bCs/>
                <w:sz w:val="20"/>
                <w:szCs w:val="20"/>
              </w:rPr>
              <w:t xml:space="preserve">tului de Standartizare </w:t>
            </w:r>
            <w:r w:rsidR="007205BD" w:rsidRPr="001F71EB">
              <w:rPr>
                <w:rFonts w:ascii="Times New Roman" w:hAnsi="Times New Roman" w:cs="Times New Roman"/>
                <w:bCs/>
                <w:sz w:val="20"/>
                <w:szCs w:val="20"/>
              </w:rPr>
              <w:t xml:space="preserve">din </w:t>
            </w:r>
            <w:r w:rsidR="00561D1C" w:rsidRPr="001F71EB">
              <w:rPr>
                <w:rFonts w:ascii="Times New Roman" w:hAnsi="Times New Roman" w:cs="Times New Roman"/>
                <w:bCs/>
                <w:sz w:val="20"/>
                <w:szCs w:val="20"/>
              </w:rPr>
              <w:t>Mo</w:t>
            </w:r>
            <w:r w:rsidR="00DD214C" w:rsidRPr="001F71EB">
              <w:rPr>
                <w:rFonts w:ascii="Times New Roman" w:hAnsi="Times New Roman" w:cs="Times New Roman"/>
                <w:bCs/>
                <w:sz w:val="20"/>
                <w:szCs w:val="20"/>
              </w:rPr>
              <w:t>ldov</w:t>
            </w:r>
            <w:r w:rsidR="007205BD" w:rsidRPr="001F71EB">
              <w:rPr>
                <w:rFonts w:ascii="Times New Roman" w:hAnsi="Times New Roman" w:cs="Times New Roman"/>
                <w:bCs/>
                <w:sz w:val="20"/>
                <w:szCs w:val="20"/>
              </w:rPr>
              <w:t>a</w:t>
            </w:r>
            <w:r w:rsidR="0081455E" w:rsidRPr="001F71EB">
              <w:rPr>
                <w:rFonts w:ascii="Times New Roman" w:hAnsi="Times New Roman" w:cs="Times New Roman"/>
                <w:bCs/>
                <w:sz w:val="20"/>
                <w:szCs w:val="20"/>
              </w:rPr>
              <w:t>,</w:t>
            </w:r>
            <w:r w:rsidR="009E3B74" w:rsidRPr="001F71EB">
              <w:rPr>
                <w:rFonts w:ascii="Segoe UI" w:eastAsia="Times New Roman" w:hAnsi="Segoe UI" w:cs="Segoe UI"/>
                <w:sz w:val="18"/>
                <w:szCs w:val="18"/>
                <w:lang w:eastAsia="ro-RO"/>
              </w:rPr>
              <w:t xml:space="preserve"> </w:t>
            </w:r>
            <w:r w:rsidR="009E3B74" w:rsidRPr="001F71EB">
              <w:rPr>
                <w:rFonts w:ascii="Times New Roman" w:hAnsi="Times New Roman" w:cs="Times New Roman"/>
                <w:bCs/>
                <w:sz w:val="20"/>
                <w:szCs w:val="20"/>
              </w:rPr>
              <w:t>care este autoritatea competentă în acest domeniu.</w:t>
            </w:r>
          </w:p>
        </w:tc>
      </w:tr>
      <w:tr w:rsidR="009E3705" w:rsidRPr="005F27A5" w14:paraId="1A838BA3" w14:textId="77777777" w:rsidTr="00E22ADB">
        <w:trPr>
          <w:trHeight w:val="62"/>
        </w:trPr>
        <w:tc>
          <w:tcPr>
            <w:tcW w:w="2787" w:type="dxa"/>
            <w:vMerge/>
          </w:tcPr>
          <w:p w14:paraId="4EDF9B62" w14:textId="77777777" w:rsidR="009E3705" w:rsidRPr="005F27A5" w:rsidRDefault="009E3705"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7358E95F" w14:textId="77777777" w:rsidR="009E3705" w:rsidRPr="005F27A5" w:rsidRDefault="009E3705"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1B8CE713" w14:textId="77777777" w:rsidR="009E3705" w:rsidRPr="005F27A5" w:rsidRDefault="009E3705"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La anexa nr.2:</w:t>
            </w:r>
          </w:p>
          <w:p w14:paraId="34FDDB7F" w14:textId="11DB0CF6" w:rsidR="009E3705" w:rsidRPr="005F27A5" w:rsidRDefault="009E3705"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sz w:val="20"/>
                <w:szCs w:val="20"/>
              </w:rPr>
              <w:t>- pct. 3.4 partea 3 ,,Reguli speciale privind ambalarea”, textul „furnizarea prin stații de realimentare” urmează a fi substituit cu textul „furnizarea prin stații alimentare” cum este prevăzut în Regulamentul (UE) 2024/2865;</w:t>
            </w:r>
          </w:p>
        </w:tc>
        <w:tc>
          <w:tcPr>
            <w:tcW w:w="4809" w:type="dxa"/>
          </w:tcPr>
          <w:p w14:paraId="09DA65E4" w14:textId="0AA489AD" w:rsidR="00E22ADB" w:rsidRPr="001F71EB" w:rsidRDefault="00F019BC" w:rsidP="00E22ADB">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
                <w:sz w:val="20"/>
                <w:szCs w:val="20"/>
              </w:rPr>
              <w:t>Se acceptă.</w:t>
            </w:r>
            <w:r w:rsidRPr="001F71EB">
              <w:rPr>
                <w:rFonts w:ascii="Times New Roman" w:hAnsi="Times New Roman" w:cs="Times New Roman"/>
                <w:bCs/>
                <w:sz w:val="20"/>
                <w:szCs w:val="20"/>
              </w:rPr>
              <w:t xml:space="preserve"> Proiectul a fost ajustat.</w:t>
            </w:r>
          </w:p>
        </w:tc>
      </w:tr>
      <w:tr w:rsidR="009E3705" w:rsidRPr="005F27A5" w14:paraId="5FD619CC" w14:textId="77777777" w:rsidTr="00A64D3A">
        <w:trPr>
          <w:trHeight w:val="454"/>
        </w:trPr>
        <w:tc>
          <w:tcPr>
            <w:tcW w:w="2787" w:type="dxa"/>
            <w:vMerge/>
          </w:tcPr>
          <w:p w14:paraId="43909B58" w14:textId="77777777" w:rsidR="009E3705" w:rsidRPr="005F27A5" w:rsidRDefault="009E3705"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1DA4627A" w14:textId="77777777" w:rsidR="009E3705" w:rsidRPr="005F27A5" w:rsidRDefault="009E3705"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46629E30" w14:textId="7B28904E" w:rsidR="009E3705" w:rsidRPr="00A64D3A" w:rsidRDefault="009E3705"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 lipsește partea 2-a a anexei nr. 6 și tabelul 3 „Lista clasificărilor și etichetărilor armonizate ale substanțelor periculoase” din partea 3 (modificată prin Regulamentul delegat (UE) 2025/1222).</w:t>
            </w:r>
          </w:p>
        </w:tc>
        <w:tc>
          <w:tcPr>
            <w:tcW w:w="4809" w:type="dxa"/>
          </w:tcPr>
          <w:p w14:paraId="28A18194" w14:textId="77777777" w:rsidR="009E3705" w:rsidRPr="001F71EB" w:rsidRDefault="00E22ADB"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
                <w:sz w:val="20"/>
                <w:szCs w:val="20"/>
              </w:rPr>
              <w:t>Se acceptă</w:t>
            </w:r>
            <w:r w:rsidR="00C15EB0" w:rsidRPr="001F71EB">
              <w:rPr>
                <w:rFonts w:ascii="Times New Roman" w:hAnsi="Times New Roman" w:cs="Times New Roman"/>
                <w:b/>
                <w:sz w:val="20"/>
                <w:szCs w:val="20"/>
              </w:rPr>
              <w:t xml:space="preserve"> parțial</w:t>
            </w:r>
            <w:r w:rsidR="00E94A25" w:rsidRPr="001F71EB">
              <w:rPr>
                <w:rFonts w:ascii="Times New Roman" w:hAnsi="Times New Roman" w:cs="Times New Roman"/>
                <w:b/>
                <w:sz w:val="20"/>
                <w:szCs w:val="20"/>
              </w:rPr>
              <w:t>.</w:t>
            </w:r>
            <w:r w:rsidR="00E94A25" w:rsidRPr="001F71EB">
              <w:rPr>
                <w:rFonts w:ascii="Times New Roman" w:hAnsi="Times New Roman" w:cs="Times New Roman"/>
                <w:bCs/>
                <w:sz w:val="20"/>
                <w:szCs w:val="20"/>
              </w:rPr>
              <w:t xml:space="preserve"> Proiectul a fost ajustat.</w:t>
            </w:r>
          </w:p>
          <w:p w14:paraId="505B764C" w14:textId="40925B10" w:rsidR="00B453F8" w:rsidRPr="001F71EB" w:rsidRDefault="00B453F8"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t>Partea</w:t>
            </w:r>
            <w:r w:rsidR="006F02D5" w:rsidRPr="001F71EB">
              <w:rPr>
                <w:rFonts w:ascii="Times New Roman" w:hAnsi="Times New Roman" w:cs="Times New Roman"/>
                <w:bCs/>
                <w:sz w:val="20"/>
                <w:szCs w:val="20"/>
              </w:rPr>
              <w:t xml:space="preserve"> </w:t>
            </w:r>
            <w:r w:rsidRPr="001F71EB">
              <w:rPr>
                <w:rFonts w:ascii="Times New Roman" w:hAnsi="Times New Roman" w:cs="Times New Roman"/>
                <w:bCs/>
                <w:sz w:val="20"/>
                <w:szCs w:val="20"/>
              </w:rPr>
              <w:t xml:space="preserve">a 2-a din anexa </w:t>
            </w:r>
            <w:r w:rsidR="005573EC" w:rsidRPr="001F71EB">
              <w:rPr>
                <w:rFonts w:ascii="Times New Roman" w:hAnsi="Times New Roman" w:cs="Times New Roman"/>
                <w:bCs/>
                <w:sz w:val="20"/>
                <w:szCs w:val="20"/>
              </w:rPr>
              <w:t>nr.6 este prezentă în proiect, fiind Tabelul 2</w:t>
            </w:r>
            <w:r w:rsidR="00625C6A" w:rsidRPr="001F71EB">
              <w:rPr>
                <w:rFonts w:ascii="Times New Roman" w:hAnsi="Times New Roman" w:cs="Times New Roman"/>
                <w:bCs/>
                <w:sz w:val="20"/>
                <w:szCs w:val="20"/>
              </w:rPr>
              <w:t>, acesta este modificat prin prisma</w:t>
            </w:r>
            <w:r w:rsidR="00625C6A" w:rsidRPr="001F71EB">
              <w:rPr>
                <w:rFonts w:ascii="Times New Roman" w:hAnsi="Times New Roman" w:cs="Times New Roman"/>
                <w:b/>
                <w:sz w:val="20"/>
                <w:szCs w:val="20"/>
              </w:rPr>
              <w:t xml:space="preserve"> </w:t>
            </w:r>
            <w:r w:rsidR="00625C6A" w:rsidRPr="001F71EB">
              <w:rPr>
                <w:rFonts w:ascii="Times New Roman" w:hAnsi="Times New Roman" w:cs="Times New Roman"/>
                <w:sz w:val="20"/>
                <w:szCs w:val="20"/>
              </w:rPr>
              <w:t>Regulamentul delegat (UE) 2025/1222.</w:t>
            </w:r>
          </w:p>
        </w:tc>
      </w:tr>
      <w:tr w:rsidR="009E3705" w:rsidRPr="005F27A5" w14:paraId="6A0F4340" w14:textId="77777777" w:rsidTr="00197829">
        <w:trPr>
          <w:trHeight w:val="2381"/>
        </w:trPr>
        <w:tc>
          <w:tcPr>
            <w:tcW w:w="2787" w:type="dxa"/>
            <w:vMerge/>
          </w:tcPr>
          <w:p w14:paraId="02D45D79" w14:textId="77777777" w:rsidR="009E3705" w:rsidRPr="005F27A5" w:rsidRDefault="009E3705"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28129E23" w14:textId="77777777" w:rsidR="009E3705" w:rsidRPr="005F27A5" w:rsidRDefault="009E3705"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6D495A83" w14:textId="723642AD" w:rsidR="009E3705" w:rsidRPr="005F27A5" w:rsidRDefault="009E3705"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color w:val="000000"/>
                <w:sz w:val="20"/>
                <w:szCs w:val="20"/>
              </w:rPr>
              <w:t>Ținem să menționăm că în anexa nr. I pct.1 litera (c) la Regulamentul (UE) nr. 547/2011 al Comisiei din 8 iunie 2011 de punere în aplicare a Regulamentului (CE) nr. 1107/2009 al Parlamentului European și al Consiliului în ceea ce privește cerințele de etichetare pentru produsele de protecție a plantelor, Regulamentul (UE) nr. 283/2013 al Comisiei din 1 martie 2013 de stabilire a cerințelor în materie de date aplicabile substanțelor active, în conformitate cu Regulamentul (CE) nr. 1107/2009 al Parlamentului European și al Consiliului privind introducerea pe piață a produselor fitosanitare, Regulamentul (UE) nr. 283/2013 al Comisiei din 1 martie 2013 de stabilire a cerințelor în materie de date aplicabile substanțelor active, în conformitate cu Regulamentul (CE) nr. 1107/2009 al Parlamentului European și al Consiliului privind introducerea pe piață a produselor fitosanitare, se face trimitere la anexa VI al Regulamentului nr. 1272/2008, motiv pentru care includerea acesteia în proiect este necesară;</w:t>
            </w:r>
          </w:p>
        </w:tc>
        <w:tc>
          <w:tcPr>
            <w:tcW w:w="4809" w:type="dxa"/>
          </w:tcPr>
          <w:p w14:paraId="32225478" w14:textId="246D2104" w:rsidR="009E3705" w:rsidRPr="001F71EB" w:rsidRDefault="00A65776" w:rsidP="00AB0B66">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t>Se ia act.</w:t>
            </w:r>
          </w:p>
        </w:tc>
      </w:tr>
      <w:tr w:rsidR="009E3705" w:rsidRPr="005F27A5" w14:paraId="751C1286" w14:textId="77777777" w:rsidTr="00546251">
        <w:trPr>
          <w:trHeight w:val="41"/>
        </w:trPr>
        <w:tc>
          <w:tcPr>
            <w:tcW w:w="2787" w:type="dxa"/>
            <w:vMerge/>
          </w:tcPr>
          <w:p w14:paraId="33A89F4C" w14:textId="77777777" w:rsidR="009E3705" w:rsidRPr="005F27A5" w:rsidRDefault="009E3705"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66F3E792" w14:textId="77777777" w:rsidR="009E3705" w:rsidRPr="005F27A5" w:rsidRDefault="009E3705"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3607B863" w14:textId="2430717D" w:rsidR="009E3705" w:rsidRPr="005F27A5" w:rsidRDefault="009E3705"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sz w:val="20"/>
                <w:szCs w:val="20"/>
              </w:rPr>
              <w:t>- În anexa nr. 8, textul de la pct. 1 „Aplicare”, subpct. 1.1.–1.5., nu corespunde cu modificările din Regulamentul (UE) 2024/2865 (obiecție aplicabilă și pentru subpct. 2.1., 2.4. (unde se adaugă punctul 6 privind „compoziția conformă cu o formulă standard”), precum și pentru modificările din partea B – secțiunea 3.1., secțiunea 3.6., introducerea subpct. 1.1a și a liniuței de la secțiunea 4.1., precum și din partea C – secțiunile 1.2. și 1.4.).</w:t>
            </w:r>
          </w:p>
        </w:tc>
        <w:tc>
          <w:tcPr>
            <w:tcW w:w="4809" w:type="dxa"/>
          </w:tcPr>
          <w:p w14:paraId="4D5FFDDE" w14:textId="77777777" w:rsidR="009E3705" w:rsidRPr="001F71EB" w:rsidRDefault="009E3705"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
                <w:sz w:val="20"/>
                <w:szCs w:val="20"/>
              </w:rPr>
              <w:t>Se acceptă</w:t>
            </w:r>
            <w:r w:rsidR="00973CB8" w:rsidRPr="001F71EB">
              <w:rPr>
                <w:rFonts w:ascii="Times New Roman" w:hAnsi="Times New Roman" w:cs="Times New Roman"/>
                <w:b/>
                <w:sz w:val="20"/>
                <w:szCs w:val="20"/>
              </w:rPr>
              <w:t xml:space="preserve"> parțial</w:t>
            </w:r>
            <w:r w:rsidRPr="001F71EB">
              <w:rPr>
                <w:rFonts w:ascii="Times New Roman" w:hAnsi="Times New Roman" w:cs="Times New Roman"/>
                <w:b/>
                <w:sz w:val="20"/>
                <w:szCs w:val="20"/>
              </w:rPr>
              <w:t>.</w:t>
            </w:r>
            <w:r w:rsidR="002C2CC2" w:rsidRPr="001F71EB">
              <w:rPr>
                <w:rFonts w:ascii="Times New Roman" w:hAnsi="Times New Roman" w:cs="Times New Roman"/>
                <w:b/>
                <w:sz w:val="20"/>
                <w:szCs w:val="20"/>
              </w:rPr>
              <w:t xml:space="preserve"> </w:t>
            </w:r>
            <w:r w:rsidR="002C2CC2" w:rsidRPr="001F71EB">
              <w:rPr>
                <w:rFonts w:ascii="Times New Roman" w:hAnsi="Times New Roman" w:cs="Times New Roman"/>
                <w:bCs/>
                <w:sz w:val="20"/>
                <w:szCs w:val="20"/>
              </w:rPr>
              <w:t>Proi</w:t>
            </w:r>
            <w:r w:rsidR="005C6902" w:rsidRPr="001F71EB">
              <w:rPr>
                <w:rFonts w:ascii="Times New Roman" w:hAnsi="Times New Roman" w:cs="Times New Roman"/>
                <w:bCs/>
                <w:sz w:val="20"/>
                <w:szCs w:val="20"/>
              </w:rPr>
              <w:t>e</w:t>
            </w:r>
            <w:r w:rsidR="002C2CC2" w:rsidRPr="001F71EB">
              <w:rPr>
                <w:rFonts w:ascii="Times New Roman" w:hAnsi="Times New Roman" w:cs="Times New Roman"/>
                <w:bCs/>
                <w:sz w:val="20"/>
                <w:szCs w:val="20"/>
              </w:rPr>
              <w:t xml:space="preserve">ctul a fost </w:t>
            </w:r>
            <w:r w:rsidR="00C129C0" w:rsidRPr="001F71EB">
              <w:rPr>
                <w:rFonts w:ascii="Times New Roman" w:hAnsi="Times New Roman" w:cs="Times New Roman"/>
                <w:bCs/>
                <w:sz w:val="20"/>
                <w:szCs w:val="20"/>
              </w:rPr>
              <w:t>ajustat.</w:t>
            </w:r>
          </w:p>
          <w:p w14:paraId="61397A77" w14:textId="7FD37951" w:rsidR="003A5A9A" w:rsidRPr="001F71EB" w:rsidRDefault="00097B62"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t>Mai mult</w:t>
            </w:r>
            <w:r w:rsidR="003A5A9A" w:rsidRPr="001F71EB">
              <w:rPr>
                <w:rFonts w:ascii="Times New Roman" w:hAnsi="Times New Roman" w:cs="Times New Roman"/>
                <w:bCs/>
                <w:sz w:val="20"/>
                <w:szCs w:val="20"/>
              </w:rPr>
              <w:t xml:space="preserve">, subliniem că clauza de armonizare </w:t>
            </w:r>
            <w:r w:rsidRPr="001F71EB">
              <w:rPr>
                <w:rFonts w:ascii="Times New Roman" w:hAnsi="Times New Roman" w:cs="Times New Roman"/>
                <w:bCs/>
                <w:sz w:val="20"/>
                <w:szCs w:val="20"/>
              </w:rPr>
              <w:t>stabilește</w:t>
            </w:r>
            <w:r w:rsidR="003A5A9A" w:rsidRPr="001F71EB">
              <w:rPr>
                <w:rFonts w:ascii="Times New Roman" w:hAnsi="Times New Roman" w:cs="Times New Roman"/>
                <w:bCs/>
                <w:sz w:val="20"/>
                <w:szCs w:val="20"/>
              </w:rPr>
              <w:t xml:space="preserve"> un grad de transpunere „parțial”, ceea ce confirmă caracterul incomplet al </w:t>
            </w:r>
            <w:r w:rsidR="00357375" w:rsidRPr="001F71EB">
              <w:rPr>
                <w:rFonts w:ascii="Times New Roman" w:hAnsi="Times New Roman" w:cs="Times New Roman"/>
                <w:bCs/>
                <w:sz w:val="20"/>
                <w:szCs w:val="20"/>
              </w:rPr>
              <w:t>transpunerii.</w:t>
            </w:r>
          </w:p>
        </w:tc>
      </w:tr>
      <w:tr w:rsidR="009E3705" w:rsidRPr="005F27A5" w14:paraId="0DB31FD1" w14:textId="77777777" w:rsidTr="00546251">
        <w:trPr>
          <w:trHeight w:val="41"/>
        </w:trPr>
        <w:tc>
          <w:tcPr>
            <w:tcW w:w="2787" w:type="dxa"/>
            <w:vMerge/>
          </w:tcPr>
          <w:p w14:paraId="50FFA314" w14:textId="77777777" w:rsidR="009E3705" w:rsidRPr="005F27A5" w:rsidRDefault="009E3705"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7A200E9A" w14:textId="77777777" w:rsidR="009E3705" w:rsidRPr="005F27A5" w:rsidRDefault="009E3705"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3ADD3011" w14:textId="461B43F2" w:rsidR="009E3705" w:rsidRPr="005F27A5" w:rsidRDefault="009E3705"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sz w:val="20"/>
                <w:szCs w:val="20"/>
              </w:rPr>
              <w:t>Totodată, în tabelul de concordanță nu sunt indicate informații la anexa nr. 7 din proiect, rămânând neclar dacă prevederile acesteia sunt naționale sau transpuse.</w:t>
            </w:r>
          </w:p>
        </w:tc>
        <w:tc>
          <w:tcPr>
            <w:tcW w:w="4809" w:type="dxa"/>
          </w:tcPr>
          <w:p w14:paraId="6B1736BC" w14:textId="77777777" w:rsidR="009E3705" w:rsidRPr="001F71EB" w:rsidRDefault="00FC79D3" w:rsidP="00AB0B66">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t>Nu se acceptă</w:t>
            </w:r>
            <w:r w:rsidR="007F11CE" w:rsidRPr="001F71EB">
              <w:rPr>
                <w:rFonts w:ascii="Times New Roman" w:hAnsi="Times New Roman" w:cs="Times New Roman"/>
                <w:b/>
                <w:sz w:val="20"/>
                <w:szCs w:val="20"/>
              </w:rPr>
              <w:t>.</w:t>
            </w:r>
          </w:p>
          <w:p w14:paraId="5289DB69" w14:textId="602D0B99" w:rsidR="007F11CE" w:rsidRPr="001F71EB" w:rsidRDefault="007F11CE"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t>Î</w:t>
            </w:r>
            <w:r w:rsidR="00DB094A" w:rsidRPr="001F71EB">
              <w:rPr>
                <w:rFonts w:ascii="Times New Roman" w:hAnsi="Times New Roman" w:cs="Times New Roman"/>
                <w:bCs/>
                <w:sz w:val="20"/>
                <w:szCs w:val="20"/>
              </w:rPr>
              <w:t>n To</w:t>
            </w:r>
            <w:r w:rsidR="005C7D53" w:rsidRPr="001F71EB">
              <w:rPr>
                <w:rFonts w:ascii="Times New Roman" w:hAnsi="Times New Roman" w:cs="Times New Roman"/>
                <w:bCs/>
                <w:sz w:val="20"/>
                <w:szCs w:val="20"/>
              </w:rPr>
              <w:t>C gradul de compa</w:t>
            </w:r>
            <w:r w:rsidR="00814022" w:rsidRPr="001F71EB">
              <w:rPr>
                <w:rFonts w:ascii="Times New Roman" w:hAnsi="Times New Roman" w:cs="Times New Roman"/>
                <w:bCs/>
                <w:sz w:val="20"/>
                <w:szCs w:val="20"/>
              </w:rPr>
              <w:t xml:space="preserve">tibilitate </w:t>
            </w:r>
            <w:r w:rsidR="00745BB0" w:rsidRPr="001F71EB">
              <w:rPr>
                <w:rFonts w:ascii="Times New Roman" w:hAnsi="Times New Roman" w:cs="Times New Roman"/>
                <w:bCs/>
                <w:sz w:val="20"/>
                <w:szCs w:val="20"/>
              </w:rPr>
              <w:t>pentru Anexa VII din Regulamentul</w:t>
            </w:r>
            <w:r w:rsidR="00A10F3D" w:rsidRPr="001F71EB">
              <w:rPr>
                <w:rFonts w:ascii="Times New Roman" w:hAnsi="Times New Roman" w:cs="Times New Roman"/>
                <w:bCs/>
                <w:sz w:val="20"/>
                <w:szCs w:val="20"/>
              </w:rPr>
              <w:t xml:space="preserve"> (CE) nr. 1272/2008</w:t>
            </w:r>
            <w:r w:rsidR="00745BB0" w:rsidRPr="001F71EB">
              <w:rPr>
                <w:rFonts w:ascii="Times New Roman" w:hAnsi="Times New Roman" w:cs="Times New Roman"/>
                <w:bCs/>
                <w:sz w:val="20"/>
                <w:szCs w:val="20"/>
              </w:rPr>
              <w:t xml:space="preserve"> </w:t>
            </w:r>
            <w:r w:rsidR="00A10F3D" w:rsidRPr="001F71EB">
              <w:rPr>
                <w:rFonts w:ascii="Times New Roman" w:hAnsi="Times New Roman" w:cs="Times New Roman"/>
                <w:bCs/>
                <w:sz w:val="20"/>
                <w:szCs w:val="20"/>
              </w:rPr>
              <w:t xml:space="preserve">este indicat </w:t>
            </w:r>
            <w:r w:rsidR="00814022" w:rsidRPr="001F71EB">
              <w:rPr>
                <w:rFonts w:ascii="Times New Roman" w:hAnsi="Times New Roman" w:cs="Times New Roman"/>
                <w:bCs/>
                <w:sz w:val="20"/>
                <w:szCs w:val="20"/>
              </w:rPr>
              <w:t xml:space="preserve">ca fiind </w:t>
            </w:r>
            <w:r w:rsidR="00745BB0" w:rsidRPr="001F71EB">
              <w:t>„</w:t>
            </w:r>
            <w:r w:rsidR="00745BB0" w:rsidRPr="001F71EB">
              <w:rPr>
                <w:rFonts w:ascii="Times New Roman" w:hAnsi="Times New Roman" w:cs="Times New Roman"/>
                <w:bCs/>
                <w:sz w:val="20"/>
                <w:szCs w:val="20"/>
              </w:rPr>
              <w:t>Prevederi UE neaplicabile”</w:t>
            </w:r>
            <w:r w:rsidR="00814022" w:rsidRPr="001F71EB">
              <w:rPr>
                <w:rFonts w:ascii="Times New Roman" w:hAnsi="Times New Roman" w:cs="Times New Roman"/>
                <w:bCs/>
                <w:sz w:val="20"/>
                <w:szCs w:val="20"/>
              </w:rPr>
              <w:t xml:space="preserve">, astfel </w:t>
            </w:r>
            <w:r w:rsidR="00223786" w:rsidRPr="001F71EB">
              <w:rPr>
                <w:rFonts w:ascii="Times New Roman" w:hAnsi="Times New Roman" w:cs="Times New Roman"/>
                <w:bCs/>
                <w:sz w:val="20"/>
                <w:szCs w:val="20"/>
              </w:rPr>
              <w:t xml:space="preserve">prevederile din </w:t>
            </w:r>
            <w:r w:rsidR="00814022" w:rsidRPr="001F71EB">
              <w:rPr>
                <w:rFonts w:ascii="Times New Roman" w:hAnsi="Times New Roman" w:cs="Times New Roman"/>
                <w:bCs/>
                <w:sz w:val="20"/>
                <w:szCs w:val="20"/>
              </w:rPr>
              <w:t>anexa nr. 7</w:t>
            </w:r>
            <w:r w:rsidR="00223786" w:rsidRPr="001F71EB">
              <w:rPr>
                <w:rFonts w:ascii="Times New Roman" w:hAnsi="Times New Roman" w:cs="Times New Roman"/>
                <w:bCs/>
                <w:sz w:val="20"/>
                <w:szCs w:val="20"/>
              </w:rPr>
              <w:t xml:space="preserve"> </w:t>
            </w:r>
            <w:r w:rsidR="009D2E8A" w:rsidRPr="001F71EB">
              <w:rPr>
                <w:rFonts w:ascii="Times New Roman" w:hAnsi="Times New Roman" w:cs="Times New Roman"/>
                <w:bCs/>
                <w:sz w:val="20"/>
                <w:szCs w:val="20"/>
              </w:rPr>
              <w:t>au caracter național</w:t>
            </w:r>
            <w:r w:rsidR="00223786" w:rsidRPr="001F71EB">
              <w:rPr>
                <w:rFonts w:ascii="Times New Roman" w:hAnsi="Times New Roman" w:cs="Times New Roman"/>
                <w:bCs/>
                <w:sz w:val="20"/>
                <w:szCs w:val="20"/>
              </w:rPr>
              <w:t>.</w:t>
            </w:r>
          </w:p>
        </w:tc>
      </w:tr>
      <w:tr w:rsidR="009E3705" w:rsidRPr="005F27A5" w14:paraId="371639E8" w14:textId="77777777" w:rsidTr="00546251">
        <w:trPr>
          <w:trHeight w:val="41"/>
        </w:trPr>
        <w:tc>
          <w:tcPr>
            <w:tcW w:w="2787" w:type="dxa"/>
            <w:vMerge/>
          </w:tcPr>
          <w:p w14:paraId="2BD85225" w14:textId="77777777" w:rsidR="009E3705" w:rsidRPr="005F27A5" w:rsidRDefault="009E3705"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24D41848" w14:textId="77777777" w:rsidR="009E3705" w:rsidRPr="005F27A5" w:rsidRDefault="009E3705"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77B43687" w14:textId="6B4B9C2A" w:rsidR="009E3705" w:rsidRPr="005F27A5" w:rsidRDefault="009E3705"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sz w:val="20"/>
                <w:szCs w:val="20"/>
              </w:rPr>
              <w:t>Revizuirea transpunerii subpct. 1.5.2.5 din anexa nr.1, astfel încât în Regulamentul nr. 1272/2008 se face trimiterea la Regulamentul (CE) nr. 1107/2009 care este transpus parțial prin Legea nr. 403/2025 și nu prin Legea nr. 277/2018 cum este menționat în proiect.</w:t>
            </w:r>
          </w:p>
        </w:tc>
        <w:tc>
          <w:tcPr>
            <w:tcW w:w="4809" w:type="dxa"/>
          </w:tcPr>
          <w:p w14:paraId="579CD7F8" w14:textId="79CA1C64" w:rsidR="009E3705" w:rsidRPr="001F71EB" w:rsidRDefault="009E3705" w:rsidP="00AB0B66">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t>Se acceptă.</w:t>
            </w:r>
            <w:r w:rsidR="00C129C0" w:rsidRPr="001F71EB">
              <w:rPr>
                <w:rFonts w:ascii="Times New Roman" w:hAnsi="Times New Roman" w:cs="Times New Roman"/>
                <w:b/>
                <w:sz w:val="20"/>
                <w:szCs w:val="20"/>
              </w:rPr>
              <w:t xml:space="preserve"> </w:t>
            </w:r>
            <w:r w:rsidR="00C129C0" w:rsidRPr="001F71EB">
              <w:rPr>
                <w:rFonts w:ascii="Times New Roman" w:hAnsi="Times New Roman" w:cs="Times New Roman"/>
                <w:bCs/>
                <w:sz w:val="20"/>
                <w:szCs w:val="20"/>
              </w:rPr>
              <w:t>Pro</w:t>
            </w:r>
            <w:r w:rsidR="005C6902" w:rsidRPr="001F71EB">
              <w:rPr>
                <w:rFonts w:ascii="Times New Roman" w:hAnsi="Times New Roman" w:cs="Times New Roman"/>
                <w:bCs/>
                <w:sz w:val="20"/>
                <w:szCs w:val="20"/>
              </w:rPr>
              <w:t>ie</w:t>
            </w:r>
            <w:r w:rsidR="00C129C0" w:rsidRPr="001F71EB">
              <w:rPr>
                <w:rFonts w:ascii="Times New Roman" w:hAnsi="Times New Roman" w:cs="Times New Roman"/>
                <w:bCs/>
                <w:sz w:val="20"/>
                <w:szCs w:val="20"/>
              </w:rPr>
              <w:t>ctul</w:t>
            </w:r>
            <w:r w:rsidR="005C6902" w:rsidRPr="001F71EB">
              <w:rPr>
                <w:rFonts w:ascii="Times New Roman" w:hAnsi="Times New Roman" w:cs="Times New Roman"/>
                <w:bCs/>
                <w:sz w:val="20"/>
                <w:szCs w:val="20"/>
              </w:rPr>
              <w:t xml:space="preserve"> a fost ajustat.</w:t>
            </w:r>
          </w:p>
        </w:tc>
      </w:tr>
      <w:tr w:rsidR="009E3705" w:rsidRPr="005F27A5" w14:paraId="20CE3296" w14:textId="77777777" w:rsidTr="00546251">
        <w:trPr>
          <w:trHeight w:val="41"/>
        </w:trPr>
        <w:tc>
          <w:tcPr>
            <w:tcW w:w="2787" w:type="dxa"/>
            <w:vMerge/>
          </w:tcPr>
          <w:p w14:paraId="6AB859F0" w14:textId="77777777" w:rsidR="009E3705" w:rsidRPr="005F27A5" w:rsidRDefault="009E3705"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3D5F322A" w14:textId="77777777" w:rsidR="009E3705" w:rsidRPr="005F27A5" w:rsidRDefault="009E3705"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20BE5AB3" w14:textId="77777777" w:rsidR="009E3705" w:rsidRPr="005F27A5" w:rsidRDefault="009E3705"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 xml:space="preserve">Totodată, potrivit Regulamentului privind armonizarea legislației Republicii Moldova cu legislația Uniunii Europene, aprobat prin Hotărârea Guvernului nr. 1171/2018, precum și Normelor de Legiferare, orice prevederi ale actului UE care nu sunt preluate în </w:t>
            </w:r>
            <w:r w:rsidRPr="005F27A5">
              <w:rPr>
                <w:rFonts w:ascii="Times New Roman" w:hAnsi="Times New Roman" w:cs="Times New Roman"/>
                <w:sz w:val="20"/>
                <w:szCs w:val="20"/>
              </w:rPr>
              <w:lastRenderedPageBreak/>
              <w:t>proiect, trebuie justificate în Nota de fundamentare și/sau în tabelul de concordanță.</w:t>
            </w:r>
          </w:p>
          <w:p w14:paraId="08145745" w14:textId="3DCA9B8E" w:rsidR="009E3705" w:rsidRPr="005F27A5" w:rsidRDefault="009E3705"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sz w:val="20"/>
                <w:szCs w:val="20"/>
              </w:rPr>
              <w:t>În acest sens, având în vedere că Regulamentul de punere în aplicare (UE) nr. 540/2011 face trimitere la art. 37, iar în tabelul de concordanță acest articol este indicat drept prevedere a Uniunii Europene neaplicabilă, se impune fundamentarea acestui aspect în nota de fundamentare și tabel de concordanță.</w:t>
            </w:r>
          </w:p>
        </w:tc>
        <w:tc>
          <w:tcPr>
            <w:tcW w:w="4809" w:type="dxa"/>
          </w:tcPr>
          <w:p w14:paraId="00E4EE56" w14:textId="77777777" w:rsidR="009E3705" w:rsidRPr="001F71EB" w:rsidRDefault="009E3705" w:rsidP="00AB0B66">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lastRenderedPageBreak/>
              <w:t>Nu se acceptă.</w:t>
            </w:r>
          </w:p>
          <w:p w14:paraId="0F6495A9" w14:textId="638A69E6" w:rsidR="009E3705" w:rsidRPr="001F71EB" w:rsidRDefault="00E568F0"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t>Gradul de compatibilitate este reflectat în ToC și nu în Nota de fundamentare.</w:t>
            </w:r>
          </w:p>
        </w:tc>
      </w:tr>
      <w:tr w:rsidR="009E3705" w:rsidRPr="005F27A5" w14:paraId="4B32E1F2" w14:textId="77777777" w:rsidTr="00546251">
        <w:trPr>
          <w:trHeight w:val="41"/>
        </w:trPr>
        <w:tc>
          <w:tcPr>
            <w:tcW w:w="2787" w:type="dxa"/>
            <w:vMerge/>
          </w:tcPr>
          <w:p w14:paraId="21777531" w14:textId="77777777" w:rsidR="009E3705" w:rsidRPr="005F27A5" w:rsidRDefault="009E3705"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7ED7A453" w14:textId="77777777" w:rsidR="009E3705" w:rsidRPr="005F27A5" w:rsidRDefault="009E3705"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31C807F4" w14:textId="5352689C" w:rsidR="009E3705" w:rsidRPr="005F27A5" w:rsidRDefault="009E3705"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sz w:val="20"/>
                <w:szCs w:val="20"/>
              </w:rPr>
              <w:t>Conform art. 8 și 9 din Legea nr. 277/2018, Agenția Națională de Reglementare a Activităților Nucleare, Radiologice și Chimice „este responsabilă pentru gestionarea integrată a substanțelor chimice” și art. 9 „asigură exercitarea funcțiilor de gestionare a domeniului managementului integrat al substanțelor chimice, gestionarea aplicării prevederilor prezentei legi și ale regulamentelor ce reies din prezenta lege” astfel nu este clar principiul repartizării rolurilor conform acestui regulament.</w:t>
            </w:r>
          </w:p>
        </w:tc>
        <w:tc>
          <w:tcPr>
            <w:tcW w:w="4809" w:type="dxa"/>
          </w:tcPr>
          <w:p w14:paraId="1A26DDB8" w14:textId="77777777" w:rsidR="009E3705" w:rsidRPr="001F71EB" w:rsidRDefault="009E3705" w:rsidP="00AB0B66">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t>Nu se acceptă.</w:t>
            </w:r>
          </w:p>
          <w:p w14:paraId="0C8A2192" w14:textId="1D1D7224" w:rsidR="009E3705" w:rsidRPr="001F71EB" w:rsidRDefault="009E3705" w:rsidP="00673560">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t xml:space="preserve">La momentul înregistrării proiectului </w:t>
            </w:r>
            <w:r w:rsidR="004341DF" w:rsidRPr="001F71EB">
              <w:rPr>
                <w:rFonts w:ascii="Times New Roman" w:hAnsi="Times New Roman" w:cs="Times New Roman"/>
                <w:bCs/>
                <w:sz w:val="20"/>
                <w:szCs w:val="20"/>
              </w:rPr>
              <w:t xml:space="preserve">de HG </w:t>
            </w:r>
            <w:r w:rsidRPr="001F71EB">
              <w:rPr>
                <w:rFonts w:ascii="Times New Roman" w:hAnsi="Times New Roman" w:cs="Times New Roman"/>
                <w:bCs/>
                <w:sz w:val="20"/>
                <w:szCs w:val="20"/>
              </w:rPr>
              <w:t>la Cancelaria de Stat, Ministerul Mediului avea în curs proiectul nr. 401/MM/2025, care prevedea modificarea Legii nr. 277/2018 privind substanțele chimice, prin înlocuirea pe întreg textul Legii a denumirii autorității „Agenția Națională de Reglementare a Activităților Nucleare, Radiologice și Chimice” cu „Agenția de Mediu”.</w:t>
            </w:r>
          </w:p>
          <w:p w14:paraId="2A368ED2" w14:textId="213C63FB" w:rsidR="009E3705" w:rsidRPr="001F71EB" w:rsidRDefault="009E3705"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t>În prezent, proiectul nr. 401/MM/2025 se află în proces de consultare cu Comisia Europeană, simultan având drept scop alinierea la Regulamentul (CE) nr. 1907/2006 (REACH). Astfel, reforma Agenției de Mediu, prin atribuirea acesteia a competențelor în domeniul gestionării substanțelor chimice, este preluată de proiectul de lege pentru modificarea unor acte normative (IL nr. 415 din 17.12.2025).</w:t>
            </w:r>
          </w:p>
          <w:p w14:paraId="61E5E299" w14:textId="44D2FE62" w:rsidR="009E3705" w:rsidRPr="001F71EB" w:rsidRDefault="009E3705"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t>Se preconizează aprobarea Regulamentului la momentul intrării în vigoare a legii menționate, cu desemnarea Agenției de Mediu în calitate de autoritate responsabilă de gestionarea integrată a substanțelor chimice.</w:t>
            </w:r>
          </w:p>
        </w:tc>
      </w:tr>
      <w:tr w:rsidR="009E3705" w:rsidRPr="005F27A5" w14:paraId="7735CA55" w14:textId="77777777" w:rsidTr="00546251">
        <w:trPr>
          <w:trHeight w:val="41"/>
        </w:trPr>
        <w:tc>
          <w:tcPr>
            <w:tcW w:w="2787" w:type="dxa"/>
            <w:vMerge/>
          </w:tcPr>
          <w:p w14:paraId="7A12DCFF" w14:textId="77777777" w:rsidR="009E3705" w:rsidRPr="005F27A5" w:rsidRDefault="009E3705"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40B52BE8" w14:textId="77777777" w:rsidR="009E3705" w:rsidRPr="005F27A5" w:rsidRDefault="009E3705"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01623422" w14:textId="3B627D90" w:rsidR="009E3705" w:rsidRPr="005F27A5" w:rsidRDefault="009E3705"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sz w:val="20"/>
                <w:szCs w:val="20"/>
              </w:rPr>
              <w:t>Capitolul II, La secțiunea a 1-a lipsește subsecțiunea a 4-a, la secțiunea a 2-a sunt două subsecțiuni a 4-a,</w:t>
            </w:r>
          </w:p>
        </w:tc>
        <w:tc>
          <w:tcPr>
            <w:tcW w:w="4809" w:type="dxa"/>
          </w:tcPr>
          <w:p w14:paraId="2F76AF74" w14:textId="0E001641" w:rsidR="009E3705" w:rsidRPr="001F71EB" w:rsidRDefault="009E3705"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
                <w:sz w:val="20"/>
                <w:szCs w:val="20"/>
              </w:rPr>
              <w:t>Se accceptă.</w:t>
            </w:r>
            <w:r w:rsidRPr="001F71EB">
              <w:rPr>
                <w:rFonts w:ascii="Times New Roman" w:hAnsi="Times New Roman" w:cs="Times New Roman"/>
                <w:bCs/>
                <w:sz w:val="20"/>
                <w:szCs w:val="20"/>
              </w:rPr>
              <w:t xml:space="preserve"> Proiectul a fost ajustat.</w:t>
            </w:r>
          </w:p>
        </w:tc>
      </w:tr>
      <w:tr w:rsidR="009E3705" w:rsidRPr="005F27A5" w14:paraId="5A19FE6B" w14:textId="77777777" w:rsidTr="00546251">
        <w:trPr>
          <w:trHeight w:val="41"/>
        </w:trPr>
        <w:tc>
          <w:tcPr>
            <w:tcW w:w="2787" w:type="dxa"/>
            <w:vMerge/>
          </w:tcPr>
          <w:p w14:paraId="65A01860" w14:textId="77777777" w:rsidR="009E3705" w:rsidRPr="005F27A5" w:rsidRDefault="009E3705"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49D3F5EA" w14:textId="77777777" w:rsidR="009E3705" w:rsidRPr="005F27A5" w:rsidRDefault="009E3705"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638DE015" w14:textId="3FAFB231" w:rsidR="009E3705" w:rsidRPr="005F27A5" w:rsidRDefault="009E3705"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sz w:val="20"/>
                <w:szCs w:val="20"/>
              </w:rPr>
              <w:t>Pct. 144 Agenția de Mediu creează și menține Sistemul național de suport al agenților economici în domeniul produselor chimice (Helpdesk) deși conform art. 9 lit. r) din Legea nr. 277/2018 aceasta este atribuită Agenției Naționale de Reglementare a Activităților Nucleare, Radiologice și Chimice.</w:t>
            </w:r>
          </w:p>
        </w:tc>
        <w:tc>
          <w:tcPr>
            <w:tcW w:w="4809" w:type="dxa"/>
          </w:tcPr>
          <w:p w14:paraId="7024025E" w14:textId="551A8A92" w:rsidR="008F2BBC" w:rsidRPr="001F71EB" w:rsidRDefault="009E3705" w:rsidP="008F2BBC">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t>Nu se acceptă.</w:t>
            </w:r>
          </w:p>
          <w:p w14:paraId="4F7E7AC2" w14:textId="31E1BEF8" w:rsidR="009E3705" w:rsidRPr="001F71EB" w:rsidRDefault="009E3705" w:rsidP="00314608">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t>La momentul înregistrării proiectului de</w:t>
            </w:r>
            <w:r w:rsidR="00797732" w:rsidRPr="001F71EB">
              <w:rPr>
                <w:rFonts w:ascii="Times New Roman" w:hAnsi="Times New Roman" w:cs="Times New Roman"/>
                <w:bCs/>
                <w:sz w:val="20"/>
                <w:szCs w:val="20"/>
              </w:rPr>
              <w:t xml:space="preserve"> HG</w:t>
            </w:r>
            <w:r w:rsidRPr="001F71EB">
              <w:rPr>
                <w:rFonts w:ascii="Times New Roman" w:hAnsi="Times New Roman" w:cs="Times New Roman"/>
                <w:bCs/>
                <w:sz w:val="20"/>
                <w:szCs w:val="20"/>
              </w:rPr>
              <w:t xml:space="preserve"> la Cancelaria de Stat, Ministerul Mediului avea în curs proiectul nr. 401/MM/2025, care prevedea modificarea Legii nr. 277/2018 privind substanțele chimice, prin înlocuirea pe întreg textul Legii a denumirii autorității „Agenția Națională de Reglementare a Activităților </w:t>
            </w:r>
            <w:r w:rsidRPr="001F71EB">
              <w:rPr>
                <w:rFonts w:ascii="Times New Roman" w:hAnsi="Times New Roman" w:cs="Times New Roman"/>
                <w:bCs/>
                <w:sz w:val="20"/>
                <w:szCs w:val="20"/>
              </w:rPr>
              <w:lastRenderedPageBreak/>
              <w:t>Nucleare, Radiologice și Chimice” cu „Agenția de Mediu”.</w:t>
            </w:r>
          </w:p>
          <w:p w14:paraId="42383DDE" w14:textId="77777777" w:rsidR="009E3705" w:rsidRPr="001F71EB" w:rsidRDefault="009E3705" w:rsidP="00314608">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t>În prezent, proiectul nr. 401/MM/2025 se află în proces de consultare cu Comisia Europeană, simultant având drept scop alinierea la Regulamentul (CE) nr. 1907/2006 (REACH). Astfel, reforma Agenției de Mediu, prin atribuirea acesteia a competențelor în domeniul gestionării substanțelor chimice, este preluată de proiectul de lege pentru modificarea unor acte normative (IL nr. 415 din 17.12.2025).</w:t>
            </w:r>
          </w:p>
          <w:p w14:paraId="54DA69CF" w14:textId="02AA3BE1" w:rsidR="009E3705" w:rsidRPr="001F71EB" w:rsidRDefault="009E3705" w:rsidP="00314608">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Cs/>
                <w:sz w:val="20"/>
                <w:szCs w:val="20"/>
              </w:rPr>
              <w:t>Se preconizează aprobarea Regulamentului la momentul intrării în vigoare a legii menționate, cu desemnarea Agenției de Mediu în calitate de autoritate responsabilă de gestionarea integrată a substanțelor chimice.</w:t>
            </w:r>
          </w:p>
        </w:tc>
      </w:tr>
      <w:tr w:rsidR="009E3705" w:rsidRPr="005F27A5" w14:paraId="753F7047" w14:textId="77777777" w:rsidTr="00546251">
        <w:trPr>
          <w:trHeight w:val="41"/>
        </w:trPr>
        <w:tc>
          <w:tcPr>
            <w:tcW w:w="2787" w:type="dxa"/>
            <w:vMerge/>
          </w:tcPr>
          <w:p w14:paraId="32422F01" w14:textId="77777777" w:rsidR="009E3705" w:rsidRPr="005F27A5" w:rsidRDefault="009E3705"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301214ED" w14:textId="77777777" w:rsidR="009E3705" w:rsidRPr="005F27A5" w:rsidRDefault="009E3705"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40B9A097" w14:textId="522B2587" w:rsidR="009E3705" w:rsidRPr="005F27A5" w:rsidRDefault="009E3705"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sz w:val="20"/>
                <w:szCs w:val="20"/>
              </w:rPr>
              <w:t>Pct. 145 definește Agenția Națională pentru Sănătate Publică ca autoritate desemnată și ulterior ca organism desemnat, necesită corectare.</w:t>
            </w:r>
          </w:p>
        </w:tc>
        <w:tc>
          <w:tcPr>
            <w:tcW w:w="4809" w:type="dxa"/>
          </w:tcPr>
          <w:p w14:paraId="2C528830" w14:textId="2853D21F" w:rsidR="009E3705" w:rsidRPr="001F71EB" w:rsidRDefault="009E3705"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
                <w:sz w:val="20"/>
                <w:szCs w:val="20"/>
              </w:rPr>
              <w:t>Se acceptă.</w:t>
            </w:r>
            <w:r w:rsidRPr="001F71EB">
              <w:rPr>
                <w:rFonts w:ascii="Times New Roman" w:hAnsi="Times New Roman" w:cs="Times New Roman"/>
                <w:bCs/>
                <w:sz w:val="20"/>
                <w:szCs w:val="20"/>
              </w:rPr>
              <w:t xml:space="preserve"> Proiectul a fost ajustat.</w:t>
            </w:r>
          </w:p>
        </w:tc>
      </w:tr>
      <w:tr w:rsidR="009E3705" w:rsidRPr="005F27A5" w14:paraId="19A1FDE3" w14:textId="77777777" w:rsidTr="00546251">
        <w:trPr>
          <w:trHeight w:val="41"/>
        </w:trPr>
        <w:tc>
          <w:tcPr>
            <w:tcW w:w="2787" w:type="dxa"/>
            <w:vMerge/>
          </w:tcPr>
          <w:p w14:paraId="1DC341A4" w14:textId="77777777" w:rsidR="009E3705" w:rsidRPr="005F27A5" w:rsidRDefault="009E3705"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66B9EF24" w14:textId="77777777" w:rsidR="009E3705" w:rsidRPr="005F27A5" w:rsidRDefault="009E3705"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06182B9F" w14:textId="24480BD7" w:rsidR="009E3705" w:rsidRPr="005F27A5" w:rsidRDefault="009E3705"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sz w:val="20"/>
                <w:szCs w:val="20"/>
              </w:rPr>
              <w:t>Pct. 165 și 166 sunt contradictorii deoarece proiectul Hotărârii Guvernului aprobă un singur act normativ — Regulamentul privind clasificarea, etichetarea și ambalarea substanțelor și a amestecurilor. Cu toate acestea: pct. 165 face referire la un Regulament privind clasificarea, etichetarea și ambalarea substanțelor, pct. 166 face referire la un Regulament privind clasificarea, etichetarea și ambalarea amestecurilor.</w:t>
            </w:r>
          </w:p>
        </w:tc>
        <w:tc>
          <w:tcPr>
            <w:tcW w:w="4809" w:type="dxa"/>
          </w:tcPr>
          <w:p w14:paraId="0461BA2B" w14:textId="7C97A492" w:rsidR="009E3705" w:rsidRPr="001F71EB" w:rsidRDefault="00056A9F" w:rsidP="00AB0B66">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t xml:space="preserve">Se acceptă parțial. </w:t>
            </w:r>
            <w:r w:rsidRPr="001F71EB">
              <w:rPr>
                <w:rFonts w:ascii="Times New Roman" w:hAnsi="Times New Roman" w:cs="Times New Roman"/>
                <w:bCs/>
                <w:sz w:val="20"/>
                <w:szCs w:val="20"/>
              </w:rPr>
              <w:t>Proiectul a fost ajustat</w:t>
            </w:r>
            <w:r w:rsidR="00496568" w:rsidRPr="001F71EB">
              <w:rPr>
                <w:rFonts w:ascii="Times New Roman" w:hAnsi="Times New Roman" w:cs="Times New Roman"/>
                <w:bCs/>
                <w:sz w:val="20"/>
                <w:szCs w:val="20"/>
              </w:rPr>
              <w:t>.</w:t>
            </w:r>
          </w:p>
          <w:p w14:paraId="65865BA6" w14:textId="49933E09" w:rsidR="00266423" w:rsidRPr="001F71EB" w:rsidRDefault="00266423" w:rsidP="00266423">
            <w:pPr>
              <w:spacing w:beforeLines="20" w:before="48" w:afterLines="20" w:after="48"/>
              <w:ind w:left="57" w:right="57"/>
              <w:jc w:val="both"/>
              <w:rPr>
                <w:rFonts w:ascii="Times New Roman" w:hAnsi="Times New Roman" w:cs="Times New Roman"/>
                <w:sz w:val="20"/>
                <w:szCs w:val="20"/>
                <w:shd w:val="clear" w:color="auto" w:fill="FFFFFF" w:themeFill="background1"/>
              </w:rPr>
            </w:pPr>
            <w:r w:rsidRPr="001F71EB">
              <w:rPr>
                <w:rFonts w:ascii="Times New Roman" w:hAnsi="Times New Roman" w:cs="Times New Roman"/>
                <w:sz w:val="20"/>
                <w:szCs w:val="20"/>
                <w:shd w:val="clear" w:color="auto" w:fill="FFFFFF" w:themeFill="background1"/>
              </w:rPr>
              <w:t>Prevederile pct. 165 și 166 au fost formulate în</w:t>
            </w:r>
            <w:r w:rsidR="00CB6581" w:rsidRPr="001F71EB">
              <w:rPr>
                <w:rFonts w:ascii="Times New Roman" w:hAnsi="Times New Roman" w:cs="Times New Roman"/>
                <w:sz w:val="20"/>
                <w:szCs w:val="20"/>
                <w:shd w:val="clear" w:color="auto" w:fill="FFFFFF" w:themeFill="background1"/>
              </w:rPr>
              <w:t xml:space="preserve"> așa</w:t>
            </w:r>
            <w:r w:rsidRPr="001F71EB">
              <w:rPr>
                <w:rFonts w:ascii="Times New Roman" w:hAnsi="Times New Roman" w:cs="Times New Roman"/>
                <w:sz w:val="20"/>
                <w:szCs w:val="20"/>
                <w:shd w:val="clear" w:color="auto" w:fill="FFFFFF" w:themeFill="background1"/>
              </w:rPr>
              <w:t xml:space="preserve"> mod pentru a reflecta perioadele de intrare în vigoare pentru </w:t>
            </w:r>
            <w:r w:rsidRPr="001F71EB">
              <w:rPr>
                <w:rFonts w:ascii="Times New Roman" w:hAnsi="Times New Roman" w:cs="Times New Roman"/>
                <w:b/>
                <w:bCs/>
                <w:sz w:val="20"/>
                <w:szCs w:val="20"/>
                <w:shd w:val="clear" w:color="auto" w:fill="FFFFFF" w:themeFill="background1"/>
              </w:rPr>
              <w:t>aplicarea cerințelor de clasificare, ambalare și etichetare</w:t>
            </w:r>
            <w:r w:rsidRPr="001F71EB">
              <w:rPr>
                <w:rFonts w:ascii="Times New Roman" w:hAnsi="Times New Roman" w:cs="Times New Roman"/>
                <w:sz w:val="20"/>
                <w:szCs w:val="20"/>
                <w:shd w:val="clear" w:color="auto" w:fill="FFFFFF" w:themeFill="background1"/>
              </w:rPr>
              <w:t>, respectiv:</w:t>
            </w:r>
          </w:p>
          <w:p w14:paraId="10F7CCA4" w14:textId="77777777" w:rsidR="00266423" w:rsidRPr="001F71EB" w:rsidRDefault="00266423" w:rsidP="00266423">
            <w:pPr>
              <w:spacing w:beforeLines="20" w:before="48" w:afterLines="20" w:after="48"/>
              <w:ind w:left="57" w:right="57"/>
              <w:jc w:val="both"/>
              <w:rPr>
                <w:rFonts w:ascii="Times New Roman" w:hAnsi="Times New Roman" w:cs="Times New Roman"/>
                <w:sz w:val="20"/>
                <w:szCs w:val="20"/>
                <w:shd w:val="clear" w:color="auto" w:fill="FFFFFF" w:themeFill="background1"/>
              </w:rPr>
            </w:pPr>
            <w:r w:rsidRPr="001F71EB">
              <w:rPr>
                <w:rFonts w:ascii="Times New Roman" w:hAnsi="Times New Roman" w:cs="Times New Roman"/>
                <w:sz w:val="20"/>
                <w:szCs w:val="20"/>
                <w:shd w:val="clear" w:color="auto" w:fill="FFFFFF" w:themeFill="background1"/>
              </w:rPr>
              <w:t>– 1 an pentru substanțe;</w:t>
            </w:r>
          </w:p>
          <w:p w14:paraId="684E29AF" w14:textId="0C4367F5" w:rsidR="00244761" w:rsidRPr="001F71EB" w:rsidRDefault="00266423" w:rsidP="00266423">
            <w:pPr>
              <w:spacing w:beforeLines="20" w:before="48" w:afterLines="20" w:after="48"/>
              <w:ind w:left="57" w:right="57"/>
              <w:jc w:val="both"/>
              <w:rPr>
                <w:rFonts w:ascii="Times New Roman" w:hAnsi="Times New Roman" w:cs="Times New Roman"/>
                <w:sz w:val="20"/>
                <w:szCs w:val="20"/>
                <w:shd w:val="clear" w:color="auto" w:fill="FFFFFF" w:themeFill="background1"/>
              </w:rPr>
            </w:pPr>
            <w:r w:rsidRPr="001F71EB">
              <w:rPr>
                <w:rFonts w:ascii="Times New Roman" w:hAnsi="Times New Roman" w:cs="Times New Roman"/>
                <w:sz w:val="20"/>
                <w:szCs w:val="20"/>
                <w:shd w:val="clear" w:color="auto" w:fill="FFFFFF" w:themeFill="background1"/>
              </w:rPr>
              <w:t>– 3 ani pentru amestecuri.</w:t>
            </w:r>
          </w:p>
        </w:tc>
      </w:tr>
      <w:tr w:rsidR="009E3705" w:rsidRPr="005F27A5" w14:paraId="4E7EAF17" w14:textId="77777777" w:rsidTr="00696A48">
        <w:trPr>
          <w:trHeight w:val="595"/>
        </w:trPr>
        <w:tc>
          <w:tcPr>
            <w:tcW w:w="2787" w:type="dxa"/>
            <w:vMerge/>
          </w:tcPr>
          <w:p w14:paraId="7695A2BC" w14:textId="77777777" w:rsidR="009E3705" w:rsidRPr="005F27A5" w:rsidRDefault="009E3705"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65910C1E" w14:textId="77777777" w:rsidR="009E3705" w:rsidRPr="005F27A5" w:rsidRDefault="009E3705"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088AC4A0" w14:textId="3A04C52B" w:rsidR="009E3705" w:rsidRPr="005F27A5" w:rsidRDefault="009E3705"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sz w:val="20"/>
                <w:szCs w:val="20"/>
              </w:rPr>
              <w:t>În anexa 8, partea 3, pct. 3.1 și 3.3, trebuie ajustate pentru a corespunde cadrului normativ național.</w:t>
            </w:r>
          </w:p>
        </w:tc>
        <w:tc>
          <w:tcPr>
            <w:tcW w:w="4809" w:type="dxa"/>
          </w:tcPr>
          <w:p w14:paraId="4EA5ECEA" w14:textId="238087FD" w:rsidR="003A2110" w:rsidRPr="001F71EB" w:rsidRDefault="009E3705" w:rsidP="00F03F43">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
                <w:sz w:val="20"/>
                <w:szCs w:val="20"/>
              </w:rPr>
              <w:t>Se acceptă.</w:t>
            </w:r>
            <w:r w:rsidRPr="001F71EB">
              <w:rPr>
                <w:rFonts w:ascii="Times New Roman" w:hAnsi="Times New Roman" w:cs="Times New Roman"/>
                <w:bCs/>
                <w:sz w:val="20"/>
                <w:szCs w:val="20"/>
              </w:rPr>
              <w:t xml:space="preserve"> Proiectul a fost ajustat.</w:t>
            </w:r>
          </w:p>
        </w:tc>
      </w:tr>
      <w:tr w:rsidR="00A275D1" w:rsidRPr="005F27A5" w14:paraId="1C026F76" w14:textId="77777777" w:rsidTr="0027421C">
        <w:tc>
          <w:tcPr>
            <w:tcW w:w="2787" w:type="dxa"/>
          </w:tcPr>
          <w:p w14:paraId="57B6D6C5" w14:textId="77777777" w:rsidR="00A275D1" w:rsidRPr="005F27A5" w:rsidRDefault="004A4768"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b/>
                <w:bCs/>
                <w:color w:val="0D0D0D" w:themeColor="text1" w:themeTint="F2"/>
                <w:sz w:val="20"/>
                <w:szCs w:val="20"/>
              </w:rPr>
              <w:t>Agenția Națională pentru Siguranța Alimentelor</w:t>
            </w:r>
          </w:p>
          <w:p w14:paraId="634581CA" w14:textId="13EF92A8" w:rsidR="0027421C" w:rsidRPr="005F27A5" w:rsidRDefault="0027421C"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color w:val="0D0D0D" w:themeColor="text1" w:themeTint="F2"/>
                <w:sz w:val="20"/>
                <w:szCs w:val="20"/>
              </w:rPr>
              <w:t>Aviz nr.</w:t>
            </w:r>
            <w:r w:rsidR="00823B9E" w:rsidRPr="005F27A5">
              <w:rPr>
                <w:rFonts w:ascii="Times New Roman" w:hAnsi="Times New Roman" w:cs="Times New Roman"/>
                <w:color w:val="0D0D0D" w:themeColor="text1" w:themeTint="F2"/>
                <w:sz w:val="20"/>
                <w:szCs w:val="20"/>
              </w:rPr>
              <w:t xml:space="preserve"> 13-6222</w:t>
            </w:r>
            <w:r w:rsidRPr="005F27A5">
              <w:rPr>
                <w:rFonts w:ascii="Times New Roman" w:hAnsi="Times New Roman" w:cs="Times New Roman"/>
                <w:color w:val="0D0D0D" w:themeColor="text1" w:themeTint="F2"/>
                <w:sz w:val="20"/>
                <w:szCs w:val="20"/>
              </w:rPr>
              <w:t xml:space="preserve"> din</w:t>
            </w:r>
            <w:r w:rsidR="00823B9E" w:rsidRPr="005F27A5">
              <w:rPr>
                <w:rFonts w:ascii="Times New Roman" w:hAnsi="Times New Roman" w:cs="Times New Roman"/>
                <w:color w:val="0D0D0D" w:themeColor="text1" w:themeTint="F2"/>
                <w:sz w:val="20"/>
                <w:szCs w:val="20"/>
              </w:rPr>
              <w:t xml:space="preserve"> 18.11.2025</w:t>
            </w:r>
          </w:p>
        </w:tc>
        <w:tc>
          <w:tcPr>
            <w:tcW w:w="737" w:type="dxa"/>
          </w:tcPr>
          <w:p w14:paraId="7C91195E" w14:textId="77777777" w:rsidR="00A275D1" w:rsidRPr="005F27A5" w:rsidRDefault="00A275D1"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65871612" w14:textId="2164478C" w:rsidR="00A275D1" w:rsidRPr="005F27A5" w:rsidRDefault="00346F54"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b/>
                <w:bCs/>
                <w:color w:val="000000"/>
                <w:sz w:val="20"/>
                <w:szCs w:val="20"/>
              </w:rPr>
              <w:t>Lipsa obiecțiilor și propunerilor.</w:t>
            </w:r>
          </w:p>
        </w:tc>
        <w:tc>
          <w:tcPr>
            <w:tcW w:w="4809" w:type="dxa"/>
          </w:tcPr>
          <w:p w14:paraId="0A66922D" w14:textId="77777777" w:rsidR="00A275D1" w:rsidRPr="001F71EB" w:rsidRDefault="00A275D1" w:rsidP="00AB0B66">
            <w:pPr>
              <w:spacing w:beforeLines="20" w:before="48" w:afterLines="20" w:after="48"/>
              <w:ind w:left="57" w:right="57"/>
              <w:jc w:val="both"/>
              <w:rPr>
                <w:rFonts w:ascii="Times New Roman" w:hAnsi="Times New Roman" w:cs="Times New Roman"/>
                <w:bCs/>
                <w:sz w:val="20"/>
                <w:szCs w:val="20"/>
              </w:rPr>
            </w:pPr>
          </w:p>
        </w:tc>
      </w:tr>
      <w:tr w:rsidR="00A275D1" w:rsidRPr="005F27A5" w14:paraId="74347738" w14:textId="77777777" w:rsidTr="0027421C">
        <w:tc>
          <w:tcPr>
            <w:tcW w:w="2787" w:type="dxa"/>
          </w:tcPr>
          <w:p w14:paraId="002CB91B" w14:textId="77777777" w:rsidR="00A275D1" w:rsidRPr="005F27A5" w:rsidRDefault="004A4768"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b/>
                <w:bCs/>
                <w:color w:val="0D0D0D" w:themeColor="text1" w:themeTint="F2"/>
                <w:sz w:val="20"/>
                <w:szCs w:val="20"/>
              </w:rPr>
              <w:t>Ministerul Apărării</w:t>
            </w:r>
          </w:p>
          <w:p w14:paraId="4B525F2C" w14:textId="36844F92" w:rsidR="0027421C" w:rsidRPr="005F27A5" w:rsidRDefault="0027421C"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color w:val="0D0D0D" w:themeColor="text1" w:themeTint="F2"/>
                <w:sz w:val="20"/>
                <w:szCs w:val="20"/>
              </w:rPr>
              <w:t>Aviz nr.</w:t>
            </w:r>
            <w:r w:rsidR="00B1327C" w:rsidRPr="005F27A5">
              <w:rPr>
                <w:rFonts w:ascii="Times New Roman" w:hAnsi="Times New Roman" w:cs="Times New Roman"/>
                <w:color w:val="0D0D0D" w:themeColor="text1" w:themeTint="F2"/>
                <w:sz w:val="20"/>
                <w:szCs w:val="20"/>
              </w:rPr>
              <w:t xml:space="preserve"> 11/1318</w:t>
            </w:r>
            <w:r w:rsidRPr="005F27A5">
              <w:rPr>
                <w:rFonts w:ascii="Times New Roman" w:hAnsi="Times New Roman" w:cs="Times New Roman"/>
                <w:color w:val="0D0D0D" w:themeColor="text1" w:themeTint="F2"/>
                <w:sz w:val="20"/>
                <w:szCs w:val="20"/>
              </w:rPr>
              <w:t xml:space="preserve"> din </w:t>
            </w:r>
            <w:r w:rsidR="00B1327C" w:rsidRPr="005F27A5">
              <w:rPr>
                <w:rFonts w:ascii="Times New Roman" w:hAnsi="Times New Roman" w:cs="Times New Roman"/>
                <w:color w:val="0D0D0D" w:themeColor="text1" w:themeTint="F2"/>
                <w:sz w:val="20"/>
                <w:szCs w:val="20"/>
              </w:rPr>
              <w:t>11</w:t>
            </w:r>
            <w:r w:rsidRPr="005F27A5">
              <w:rPr>
                <w:rFonts w:ascii="Times New Roman" w:hAnsi="Times New Roman" w:cs="Times New Roman"/>
                <w:color w:val="0D0D0D" w:themeColor="text1" w:themeTint="F2"/>
                <w:sz w:val="20"/>
                <w:szCs w:val="20"/>
              </w:rPr>
              <w:t>.</w:t>
            </w:r>
            <w:r w:rsidR="00B1327C" w:rsidRPr="005F27A5">
              <w:rPr>
                <w:rFonts w:ascii="Times New Roman" w:hAnsi="Times New Roman" w:cs="Times New Roman"/>
                <w:color w:val="0D0D0D" w:themeColor="text1" w:themeTint="F2"/>
                <w:sz w:val="20"/>
                <w:szCs w:val="20"/>
              </w:rPr>
              <w:t>11.</w:t>
            </w:r>
            <w:r w:rsidRPr="005F27A5">
              <w:rPr>
                <w:rFonts w:ascii="Times New Roman" w:hAnsi="Times New Roman" w:cs="Times New Roman"/>
                <w:color w:val="0D0D0D" w:themeColor="text1" w:themeTint="F2"/>
                <w:sz w:val="20"/>
                <w:szCs w:val="20"/>
              </w:rPr>
              <w:t>2025</w:t>
            </w:r>
          </w:p>
        </w:tc>
        <w:tc>
          <w:tcPr>
            <w:tcW w:w="737" w:type="dxa"/>
          </w:tcPr>
          <w:p w14:paraId="3219E756" w14:textId="77777777" w:rsidR="00A275D1" w:rsidRPr="005F27A5" w:rsidRDefault="00A275D1"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26CCAB9B" w14:textId="5B98CB63" w:rsidR="00A275D1" w:rsidRPr="005F27A5" w:rsidRDefault="0059220F"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b/>
                <w:bCs/>
                <w:color w:val="000000"/>
                <w:sz w:val="20"/>
                <w:szCs w:val="20"/>
              </w:rPr>
              <w:t>Lipsa obiecțiilor și propunerilor.</w:t>
            </w:r>
          </w:p>
        </w:tc>
        <w:tc>
          <w:tcPr>
            <w:tcW w:w="4809" w:type="dxa"/>
          </w:tcPr>
          <w:p w14:paraId="14E0193A" w14:textId="77777777" w:rsidR="00A275D1" w:rsidRPr="001F71EB" w:rsidRDefault="00A275D1" w:rsidP="00AB0B66">
            <w:pPr>
              <w:spacing w:beforeLines="20" w:before="48" w:afterLines="20" w:after="48"/>
              <w:ind w:left="57" w:right="57"/>
              <w:jc w:val="both"/>
              <w:rPr>
                <w:rFonts w:ascii="Times New Roman" w:hAnsi="Times New Roman" w:cs="Times New Roman"/>
                <w:bCs/>
                <w:sz w:val="20"/>
                <w:szCs w:val="20"/>
              </w:rPr>
            </w:pPr>
          </w:p>
        </w:tc>
      </w:tr>
      <w:tr w:rsidR="00F22DA2" w:rsidRPr="005F27A5" w14:paraId="04BE25FC" w14:textId="77777777" w:rsidTr="00F22DA2">
        <w:trPr>
          <w:trHeight w:val="618"/>
        </w:trPr>
        <w:tc>
          <w:tcPr>
            <w:tcW w:w="2787" w:type="dxa"/>
            <w:vMerge w:val="restart"/>
          </w:tcPr>
          <w:p w14:paraId="64ACB90D" w14:textId="77777777" w:rsidR="00F22DA2" w:rsidRPr="005F27A5" w:rsidRDefault="00F22DA2"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b/>
                <w:bCs/>
                <w:color w:val="0D0D0D" w:themeColor="text1" w:themeTint="F2"/>
                <w:sz w:val="20"/>
                <w:szCs w:val="20"/>
              </w:rPr>
              <w:t>Ministerul Dezvoltării Economice și Digitalizării</w:t>
            </w:r>
          </w:p>
          <w:p w14:paraId="17EE51DF" w14:textId="1250C1DD" w:rsidR="00F22DA2" w:rsidRPr="005F27A5" w:rsidRDefault="00F22DA2"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color w:val="0D0D0D" w:themeColor="text1" w:themeTint="F2"/>
                <w:sz w:val="20"/>
                <w:szCs w:val="20"/>
              </w:rPr>
              <w:lastRenderedPageBreak/>
              <w:t>Aviz nr. 16/2-3482 din 08.12.2025</w:t>
            </w:r>
          </w:p>
        </w:tc>
        <w:tc>
          <w:tcPr>
            <w:tcW w:w="737" w:type="dxa"/>
            <w:vMerge w:val="restart"/>
          </w:tcPr>
          <w:p w14:paraId="2CC794B5" w14:textId="77777777" w:rsidR="00F22DA2" w:rsidRPr="005F27A5" w:rsidRDefault="00F22DA2"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7FA09C2C" w14:textId="6B2E7E0B" w:rsidR="00F22DA2" w:rsidRPr="005F27A5" w:rsidRDefault="00F22DA2"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sz w:val="20"/>
                <w:szCs w:val="20"/>
              </w:rPr>
              <w:t xml:space="preserve">1. La pct. 108. Norma expusă stabilește că, „Guvernul poate introduce derogări în partea 2 a anexei nr.2 în funcție de modificări adoptate de Uniunea Europeană.”. Se recomandă de a reformula </w:t>
            </w:r>
            <w:r w:rsidRPr="005F27A5">
              <w:rPr>
                <w:rFonts w:ascii="Times New Roman" w:hAnsi="Times New Roman" w:cs="Times New Roman"/>
                <w:sz w:val="20"/>
                <w:szCs w:val="20"/>
              </w:rPr>
              <w:lastRenderedPageBreak/>
              <w:t>norma, similar normei de la pct. 143. În acest sens, se propune următorul cuprins al pct.108: „Ministerul Mediului actualizează partea 2 a anexei nr.2 și propune Guvernului spre aprobare, în funcție de modificările adoptate de Uniunea Europeană.”.</w:t>
            </w:r>
          </w:p>
        </w:tc>
        <w:tc>
          <w:tcPr>
            <w:tcW w:w="4809" w:type="dxa"/>
          </w:tcPr>
          <w:p w14:paraId="4F943B92" w14:textId="488B528F" w:rsidR="00F22DA2" w:rsidRPr="001F71EB" w:rsidRDefault="00125BD4"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
                <w:sz w:val="20"/>
                <w:szCs w:val="20"/>
              </w:rPr>
              <w:lastRenderedPageBreak/>
              <w:t>Se acceptă.</w:t>
            </w:r>
            <w:r w:rsidRPr="001F71EB">
              <w:rPr>
                <w:rFonts w:ascii="Times New Roman" w:hAnsi="Times New Roman" w:cs="Times New Roman"/>
                <w:bCs/>
                <w:sz w:val="20"/>
                <w:szCs w:val="20"/>
              </w:rPr>
              <w:t xml:space="preserve"> Proiectul a fost ajustat.</w:t>
            </w:r>
          </w:p>
        </w:tc>
      </w:tr>
      <w:tr w:rsidR="00F22DA2" w:rsidRPr="005F27A5" w14:paraId="4521FB9F" w14:textId="77777777" w:rsidTr="00F22DA2">
        <w:trPr>
          <w:trHeight w:val="617"/>
        </w:trPr>
        <w:tc>
          <w:tcPr>
            <w:tcW w:w="2787" w:type="dxa"/>
            <w:vMerge/>
          </w:tcPr>
          <w:p w14:paraId="16B26ABE" w14:textId="77777777" w:rsidR="00F22DA2" w:rsidRPr="005F27A5" w:rsidRDefault="00F22DA2"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55B5B731" w14:textId="77777777" w:rsidR="00F22DA2" w:rsidRPr="005F27A5" w:rsidRDefault="00F22DA2"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084AD807" w14:textId="77777777" w:rsidR="00832F55" w:rsidRPr="005F27A5" w:rsidRDefault="00832F55"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2. La punctul 158, conform Tabelului de concordanță, pct. 158 din Regulament transpune art.46 alin.(1) din Regulamentul (CE) nr. 1272/2008, care prevede:</w:t>
            </w:r>
          </w:p>
          <w:p w14:paraId="33A7A608" w14:textId="77777777" w:rsidR="00832F55" w:rsidRPr="005F27A5" w:rsidRDefault="00832F55"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„(1) Statele membre iau toate măsurile necesare, inclusiv menținerea unui sistem de controale oficiale, pentru a garanta că substanțele și amestecurile nu sunt introduse pe piață decât dacă au fost clasificate, etichetate, notificate și ambalate în conformitate cu prezentul regulament.” Conform considerentului 9 din Regulamentul (UE) 2019/1020 privind supravegherea pieței și conformitatea produselor:</w:t>
            </w:r>
          </w:p>
          <w:p w14:paraId="028A97F8" w14:textId="77777777" w:rsidR="00832F55" w:rsidRPr="005F27A5" w:rsidRDefault="00832F55"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„(9) Responsabilitatea pentru asigurarea aplicării legislației de armonizare a Uniunii ar trebui să revină statelor membre, iar autoritățile lor de supraveghere a pieței ar trebui să se asigure că legislația este respectată pe deplin. De aceea, statele membre ar trebui să stabilească abordări sistematice pentru a asigura eficiența supravegherii pieței și a altor activități de asigurare a aplicării legislației.”</w:t>
            </w:r>
          </w:p>
          <w:p w14:paraId="408E2419" w14:textId="77777777" w:rsidR="00832F55" w:rsidRPr="005F27A5" w:rsidRDefault="00832F55"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De menţionat, că Legea nr. 162/2023 privind supravegherea pieței și conformitatea produselor, care a transpus în legislaţia națională Regulamentul (UE) 2019/1020, se aplică produselor care cad sub incidenţa reglementărilor tehnice ce transpun legislaţia de armonizare a Uniunii Europene, specificate în anexa nr.1 la legea prenotată, în măsura în care nu există dispoziţii specifice cu acelaşi obiectiv care reglementează mai detaliat aspecte specifice legate de supravegherea pieţei. La poziția 44 din anexa nr.1, „Domenii/categorii de produse reglementate este specificată expres „Înregistrare, evaluare, autorizare şi restricționare a substanţelor chimice”.</w:t>
            </w:r>
          </w:p>
          <w:p w14:paraId="6C2F3412" w14:textId="77777777" w:rsidR="00A94D45" w:rsidRPr="005F27A5" w:rsidRDefault="00832F55"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În contextul celor expuse și în vederea asigurării corectitudinii transpunerii prevederilor Regulamentului (CE) nr. 1272/2008 propunem dezvoltare punctului 158, care se referă la „menţinerea unui sistem de controale oficiale” ținând cont de faptul că există un</w:t>
            </w:r>
            <w:r w:rsidR="00A94D45" w:rsidRPr="005F27A5">
              <w:rPr>
                <w:rFonts w:ascii="Times New Roman" w:hAnsi="Times New Roman" w:cs="Times New Roman"/>
                <w:sz w:val="20"/>
                <w:szCs w:val="20"/>
              </w:rPr>
              <w:t xml:space="preserve"> cadru legal naţional care reglementează supravegherea produselor pe piața Republicii Moldova, după cum urmează:</w:t>
            </w:r>
          </w:p>
          <w:p w14:paraId="2F1885DA" w14:textId="77777777" w:rsidR="00B2670C" w:rsidRPr="005F27A5" w:rsidRDefault="00A94D45"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lastRenderedPageBreak/>
              <w:t>„158. Supravegherea pieţei şi controlul respectării cerinţelor privind clasificarea, etichetarea și ambalarea substanțelor și amestecurilor chimice care sunt introduse și/sau la dispoziție pe piaţă se efectuează în condiţiile Legii nr.162/2023 privind supravegherea pieţei şi conformitatea produselor.</w:t>
            </w:r>
          </w:p>
          <w:p w14:paraId="671B77FB" w14:textId="3A36339A" w:rsidR="00B2670C" w:rsidRPr="005F27A5" w:rsidRDefault="00A94D45"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158</w:t>
            </w:r>
            <w:r w:rsidR="003421C2">
              <w:rPr>
                <w:rFonts w:ascii="Times New Roman" w:hAnsi="Times New Roman" w:cs="Times New Roman"/>
                <w:sz w:val="20"/>
                <w:szCs w:val="20"/>
              </w:rPr>
              <w:t>.</w:t>
            </w:r>
            <w:r w:rsidRPr="005F27A5">
              <w:rPr>
                <w:rFonts w:ascii="Times New Roman" w:hAnsi="Times New Roman" w:cs="Times New Roman"/>
                <w:sz w:val="20"/>
                <w:szCs w:val="20"/>
              </w:rPr>
              <w:t>1. Inspectoratul pentru Protecţia Mediului este autoritatea responsabilă de supraveghere a pieţei în domeniul reglementat de prezentul Regulament.</w:t>
            </w:r>
          </w:p>
          <w:p w14:paraId="376D51C9" w14:textId="4C6662F3" w:rsidR="00B2670C" w:rsidRPr="005F27A5" w:rsidRDefault="00A94D45"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158</w:t>
            </w:r>
            <w:r w:rsidR="003421C2">
              <w:rPr>
                <w:rFonts w:ascii="Times New Roman" w:hAnsi="Times New Roman" w:cs="Times New Roman"/>
                <w:sz w:val="20"/>
                <w:szCs w:val="20"/>
              </w:rPr>
              <w:t>.</w:t>
            </w:r>
            <w:r w:rsidRPr="005F27A5">
              <w:rPr>
                <w:rFonts w:ascii="Times New Roman" w:hAnsi="Times New Roman" w:cs="Times New Roman"/>
                <w:sz w:val="20"/>
                <w:szCs w:val="20"/>
              </w:rPr>
              <w:t>2. În cazul în care constată că o substanță și amestec chimic care intră sub incidenţa prezentului Regulament, prezintă un risc pentru sănătatea sau securitatea persoanelor, acesta efectuează o evaluare a etichetării substanţelor și amestecurile în cauză, acoperind toate cerinţele relevante stabilite în prezentul Regulament pentru a garanta că substanțele și amestecurile nu sunt plasate pe piaţă decât dacă au fost clasificate, etichetate și ambalate în conformitate cu prezentul regulament. Operatorii economici vizați cooperează în acest scop cu Inspectoratul pentru Protecţia Mediului, la solicitarea acestuia.</w:t>
            </w:r>
          </w:p>
          <w:p w14:paraId="30C8C6F4" w14:textId="7FFF31B5" w:rsidR="00B2670C" w:rsidRPr="005F27A5" w:rsidRDefault="00A94D45"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158</w:t>
            </w:r>
            <w:r w:rsidR="003421C2">
              <w:rPr>
                <w:rFonts w:ascii="Times New Roman" w:hAnsi="Times New Roman" w:cs="Times New Roman"/>
                <w:sz w:val="20"/>
                <w:szCs w:val="20"/>
              </w:rPr>
              <w:t>.</w:t>
            </w:r>
            <w:r w:rsidRPr="005F27A5">
              <w:rPr>
                <w:rFonts w:ascii="Times New Roman" w:hAnsi="Times New Roman" w:cs="Times New Roman"/>
                <w:sz w:val="20"/>
                <w:szCs w:val="20"/>
              </w:rPr>
              <w:t>3. În cazul în care, pe parcursul evaluării menţionate la punctul 158</w:t>
            </w:r>
            <w:r w:rsidR="003421C2">
              <w:rPr>
                <w:rFonts w:ascii="Times New Roman" w:hAnsi="Times New Roman" w:cs="Times New Roman"/>
                <w:sz w:val="20"/>
                <w:szCs w:val="20"/>
              </w:rPr>
              <w:t>.</w:t>
            </w:r>
            <w:r w:rsidRPr="005F27A5">
              <w:rPr>
                <w:rFonts w:ascii="Times New Roman" w:hAnsi="Times New Roman" w:cs="Times New Roman"/>
                <w:sz w:val="20"/>
                <w:szCs w:val="20"/>
              </w:rPr>
              <w:t>2, Inspectoratul pentru Protecţia Mediului constată că substanțele și amestecurile nu respectă cerinţele stabilite în prezentul Regulament, acesta solicită imediat operatorului economic vizat să întreprindă toate acţiunile corective corespunzătoare pentru a aduce substanțele și amestecurile în conformitate cu cerinţele respective sau să îl retragă de pe piaţă sau să îl recheme într-un termen rezonabil, proporţional cu natura riscului stabilit de către aceasta.</w:t>
            </w:r>
          </w:p>
          <w:p w14:paraId="59ED6F4B" w14:textId="7C22FB44" w:rsidR="00B2670C" w:rsidRPr="005F27A5" w:rsidRDefault="00A94D45"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158</w:t>
            </w:r>
            <w:r w:rsidR="003421C2">
              <w:rPr>
                <w:rFonts w:ascii="Times New Roman" w:hAnsi="Times New Roman" w:cs="Times New Roman"/>
                <w:sz w:val="20"/>
                <w:szCs w:val="20"/>
              </w:rPr>
              <w:t>.</w:t>
            </w:r>
            <w:r w:rsidRPr="005F27A5">
              <w:rPr>
                <w:rFonts w:ascii="Times New Roman" w:hAnsi="Times New Roman" w:cs="Times New Roman"/>
                <w:sz w:val="20"/>
                <w:szCs w:val="20"/>
              </w:rPr>
              <w:t>4. Operatorul economic se asigură că sunt întreprinse toate acţiunile corective corespunzătoare cu privire la toate substanțele și amestecurile vizate pe care acesta le-a pus la dispoziţie pe piaţă.</w:t>
            </w:r>
          </w:p>
          <w:p w14:paraId="3741A72C" w14:textId="650E4C1F" w:rsidR="00F22DA2" w:rsidRPr="005F27A5" w:rsidRDefault="00A94D45"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158</w:t>
            </w:r>
            <w:r w:rsidR="003421C2">
              <w:rPr>
                <w:rFonts w:ascii="Times New Roman" w:hAnsi="Times New Roman" w:cs="Times New Roman"/>
                <w:sz w:val="20"/>
                <w:szCs w:val="20"/>
              </w:rPr>
              <w:t>.</w:t>
            </w:r>
            <w:r w:rsidRPr="005F27A5">
              <w:rPr>
                <w:rFonts w:ascii="Times New Roman" w:hAnsi="Times New Roman" w:cs="Times New Roman"/>
                <w:sz w:val="20"/>
                <w:szCs w:val="20"/>
              </w:rPr>
              <w:t xml:space="preserve">5. În cazul în care operatorul economic relevant nu întreprinde acţiunile corective în termenul menţionat la punctul 1583, Inspectoratul pentru Protecţia Mediului ia toate măsurile corespunzătoare pentru a interzice sau a restricționa punerea la dispoziţie pe piață substanțele și amestecurile ori pentru a retrage sau a rechema substanțele și amestecurile de pe piaţă. Inspectoratul pentru Protecţia Mediului informează Ministerul Mediului, Agenția </w:t>
            </w:r>
            <w:r w:rsidRPr="005F27A5">
              <w:rPr>
                <w:rFonts w:ascii="Times New Roman" w:hAnsi="Times New Roman" w:cs="Times New Roman"/>
                <w:sz w:val="20"/>
                <w:szCs w:val="20"/>
              </w:rPr>
              <w:lastRenderedPageBreak/>
              <w:t>de Mediu, Comisia Europeană şi statele membre ale Uniunii Europene despre măsurile luate.”</w:t>
            </w:r>
          </w:p>
        </w:tc>
        <w:tc>
          <w:tcPr>
            <w:tcW w:w="4809" w:type="dxa"/>
          </w:tcPr>
          <w:p w14:paraId="4103E5A8" w14:textId="7C04850A" w:rsidR="00C21898" w:rsidRPr="001F71EB" w:rsidRDefault="00C21898"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
                <w:sz w:val="20"/>
                <w:szCs w:val="20"/>
              </w:rPr>
              <w:lastRenderedPageBreak/>
              <w:t xml:space="preserve">Se acceptă. </w:t>
            </w:r>
            <w:r w:rsidRPr="001F71EB">
              <w:rPr>
                <w:rFonts w:ascii="Times New Roman" w:hAnsi="Times New Roman" w:cs="Times New Roman"/>
                <w:bCs/>
                <w:sz w:val="20"/>
                <w:szCs w:val="20"/>
              </w:rPr>
              <w:t>Proiectul a fost ajustat.</w:t>
            </w:r>
          </w:p>
          <w:p w14:paraId="6CB70AB0" w14:textId="26E70800" w:rsidR="00C21898" w:rsidRPr="001F71EB" w:rsidRDefault="00C21898" w:rsidP="006F1407">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t>Pct</w:t>
            </w:r>
            <w:r w:rsidR="00E50194" w:rsidRPr="001F71EB">
              <w:rPr>
                <w:rFonts w:ascii="Times New Roman" w:hAnsi="Times New Roman" w:cs="Times New Roman"/>
                <w:bCs/>
                <w:sz w:val="20"/>
                <w:szCs w:val="20"/>
              </w:rPr>
              <w:t>. 153 din proiect.</w:t>
            </w:r>
          </w:p>
        </w:tc>
      </w:tr>
      <w:tr w:rsidR="00F22DA2" w:rsidRPr="005F27A5" w14:paraId="5521A379" w14:textId="77777777" w:rsidTr="00F22DA2">
        <w:trPr>
          <w:trHeight w:val="617"/>
        </w:trPr>
        <w:tc>
          <w:tcPr>
            <w:tcW w:w="2787" w:type="dxa"/>
            <w:vMerge/>
          </w:tcPr>
          <w:p w14:paraId="43BEDC00" w14:textId="77777777" w:rsidR="00F22DA2" w:rsidRPr="005F27A5" w:rsidRDefault="00F22DA2"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0C0AD2A8" w14:textId="77777777" w:rsidR="00F22DA2" w:rsidRPr="005F27A5" w:rsidRDefault="00F22DA2"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164024AA" w14:textId="2E0E7261" w:rsidR="00F22DA2" w:rsidRPr="005F27A5" w:rsidRDefault="00792CAF"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2. La punctul 160, cuvintele „controalelor oficiale” se vor substituie cu cuvintele „supravegherii pieței”.</w:t>
            </w:r>
          </w:p>
        </w:tc>
        <w:tc>
          <w:tcPr>
            <w:tcW w:w="4809" w:type="dxa"/>
          </w:tcPr>
          <w:p w14:paraId="35CB58FD" w14:textId="5470B9C2" w:rsidR="00F22DA2" w:rsidRPr="001F71EB" w:rsidRDefault="00C21898"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
                <w:sz w:val="20"/>
                <w:szCs w:val="20"/>
              </w:rPr>
              <w:t xml:space="preserve">Se acceptă. </w:t>
            </w:r>
            <w:r w:rsidRPr="001F71EB">
              <w:rPr>
                <w:rFonts w:ascii="Times New Roman" w:hAnsi="Times New Roman" w:cs="Times New Roman"/>
                <w:bCs/>
                <w:sz w:val="20"/>
                <w:szCs w:val="20"/>
              </w:rPr>
              <w:t>Proiectul a fost ajustat.</w:t>
            </w:r>
          </w:p>
        </w:tc>
      </w:tr>
      <w:tr w:rsidR="00F22DA2" w:rsidRPr="005F27A5" w14:paraId="2E8B1825" w14:textId="77777777" w:rsidTr="00F22DA2">
        <w:trPr>
          <w:trHeight w:val="617"/>
        </w:trPr>
        <w:tc>
          <w:tcPr>
            <w:tcW w:w="2787" w:type="dxa"/>
            <w:vMerge/>
          </w:tcPr>
          <w:p w14:paraId="06893054" w14:textId="77777777" w:rsidR="00F22DA2" w:rsidRPr="005F27A5" w:rsidRDefault="00F22DA2"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580FB20C" w14:textId="77777777" w:rsidR="00F22DA2" w:rsidRPr="005F27A5" w:rsidRDefault="00F22DA2"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6D2E64A7" w14:textId="077F700C" w:rsidR="00F22DA2" w:rsidRPr="005F27A5" w:rsidRDefault="00F22DA2"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Referitor la anexa nr.8 a Regulamentului Partea C Formatul transmiterilor La subct. 1.2 - Identificarea amestecului, transmițătorul și punctul de contact. Ca identificat de produs se prevede „Alți identificatori (numărul autorizației, codurile pentru produse ale întreprinderii)”. Astfel, este necesar de a concretiza denumirea autorizație, precum și legea care prevede eliberarea acesteia.</w:t>
            </w:r>
          </w:p>
        </w:tc>
        <w:tc>
          <w:tcPr>
            <w:tcW w:w="4809" w:type="dxa"/>
          </w:tcPr>
          <w:p w14:paraId="27D842E5" w14:textId="688D7FB1" w:rsidR="00F22DA2" w:rsidRPr="001F71EB" w:rsidRDefault="00D53CCE"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
                <w:sz w:val="20"/>
                <w:szCs w:val="20"/>
              </w:rPr>
              <w:t>Se acceptă.</w:t>
            </w:r>
            <w:r w:rsidRPr="001F71EB">
              <w:rPr>
                <w:rFonts w:ascii="Times New Roman" w:hAnsi="Times New Roman" w:cs="Times New Roman"/>
                <w:bCs/>
                <w:sz w:val="20"/>
                <w:szCs w:val="20"/>
              </w:rPr>
              <w:t xml:space="preserve"> Proiectul a fost ajustat.</w:t>
            </w:r>
          </w:p>
        </w:tc>
      </w:tr>
      <w:tr w:rsidR="00844A95" w:rsidRPr="005F27A5" w14:paraId="45F4E23E" w14:textId="77777777" w:rsidTr="00844A95">
        <w:trPr>
          <w:trHeight w:val="281"/>
        </w:trPr>
        <w:tc>
          <w:tcPr>
            <w:tcW w:w="2787" w:type="dxa"/>
            <w:vMerge w:val="restart"/>
          </w:tcPr>
          <w:p w14:paraId="17D38BF7" w14:textId="77777777" w:rsidR="00844A95" w:rsidRPr="005F27A5" w:rsidRDefault="00844A95"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b/>
                <w:bCs/>
                <w:color w:val="0D0D0D" w:themeColor="text1" w:themeTint="F2"/>
                <w:sz w:val="20"/>
                <w:szCs w:val="20"/>
              </w:rPr>
              <w:t>Institutul de Standardizare din Moldova</w:t>
            </w:r>
          </w:p>
          <w:p w14:paraId="362A9C1F" w14:textId="2C342601" w:rsidR="00844A95" w:rsidRPr="005F27A5" w:rsidRDefault="00844A95" w:rsidP="00AB0B66">
            <w:pPr>
              <w:spacing w:beforeLines="20" w:before="48" w:afterLines="20" w:after="48"/>
              <w:ind w:left="57" w:right="57"/>
              <w:contextualSpacing/>
              <w:jc w:val="center"/>
              <w:rPr>
                <w:rFonts w:ascii="Times New Roman" w:hAnsi="Times New Roman" w:cs="Times New Roman"/>
                <w:color w:val="0D0D0D" w:themeColor="text1" w:themeTint="F2"/>
                <w:sz w:val="20"/>
                <w:szCs w:val="20"/>
              </w:rPr>
            </w:pPr>
            <w:r w:rsidRPr="005F27A5">
              <w:rPr>
                <w:rFonts w:ascii="Times New Roman" w:hAnsi="Times New Roman" w:cs="Times New Roman"/>
                <w:color w:val="0D0D0D" w:themeColor="text1" w:themeTint="F2"/>
                <w:sz w:val="20"/>
                <w:szCs w:val="20"/>
              </w:rPr>
              <w:t>Aviz 04-02/544 din 28.11.2025</w:t>
            </w:r>
          </w:p>
        </w:tc>
        <w:tc>
          <w:tcPr>
            <w:tcW w:w="737" w:type="dxa"/>
            <w:vMerge w:val="restart"/>
          </w:tcPr>
          <w:p w14:paraId="1BB4190C" w14:textId="77777777" w:rsidR="00844A95" w:rsidRPr="005F27A5" w:rsidRDefault="00844A95"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01CEEFEB" w14:textId="30E2A3C7" w:rsidR="00682664" w:rsidRDefault="00B9517B" w:rsidP="00AB0B66">
            <w:pPr>
              <w:spacing w:beforeLines="20" w:before="48" w:afterLines="20" w:after="48"/>
              <w:ind w:left="57" w:right="57"/>
              <w:jc w:val="both"/>
              <w:rPr>
                <w:rFonts w:ascii="Times New Roman" w:hAnsi="Times New Roman" w:cs="Times New Roman"/>
                <w:sz w:val="20"/>
                <w:szCs w:val="20"/>
              </w:rPr>
            </w:pPr>
            <w:r>
              <w:rPr>
                <w:rFonts w:ascii="Times New Roman" w:hAnsi="Times New Roman" w:cs="Times New Roman"/>
                <w:sz w:val="20"/>
                <w:szCs w:val="20"/>
              </w:rPr>
              <w:t>ISM a examinat proiectul</w:t>
            </w:r>
            <w:r w:rsidR="00AA0861">
              <w:rPr>
                <w:rFonts w:ascii="Times New Roman" w:hAnsi="Times New Roman" w:cs="Times New Roman"/>
                <w:sz w:val="20"/>
                <w:szCs w:val="20"/>
              </w:rPr>
              <w:t xml:space="preserve"> șiVă informează că standardele europene, internaționale și ale </w:t>
            </w:r>
            <w:r w:rsidR="0002215C">
              <w:rPr>
                <w:rFonts w:ascii="Times New Roman" w:hAnsi="Times New Roman" w:cs="Times New Roman"/>
                <w:sz w:val="20"/>
                <w:szCs w:val="20"/>
              </w:rPr>
              <w:t>altor țări</w:t>
            </w:r>
            <w:r w:rsidR="00371E6E" w:rsidRPr="005F27A5">
              <w:rPr>
                <w:rFonts w:ascii="Times New Roman" w:hAnsi="Times New Roman" w:cs="Times New Roman"/>
                <w:sz w:val="20"/>
                <w:szCs w:val="20"/>
              </w:rPr>
              <w:t xml:space="preserve"> se pun </w:t>
            </w:r>
            <w:r w:rsidR="00044885">
              <w:rPr>
                <w:rFonts w:ascii="Times New Roman" w:hAnsi="Times New Roman" w:cs="Times New Roman"/>
                <w:sz w:val="20"/>
                <w:szCs w:val="20"/>
              </w:rPr>
              <w:t>î</w:t>
            </w:r>
            <w:r w:rsidR="00371E6E" w:rsidRPr="005F27A5">
              <w:rPr>
                <w:rFonts w:ascii="Times New Roman" w:hAnsi="Times New Roman" w:cs="Times New Roman"/>
                <w:sz w:val="20"/>
                <w:szCs w:val="20"/>
              </w:rPr>
              <w:t xml:space="preserve">n aplicare </w:t>
            </w:r>
            <w:r w:rsidR="00044885">
              <w:rPr>
                <w:rFonts w:ascii="Times New Roman" w:hAnsi="Times New Roman" w:cs="Times New Roman"/>
                <w:sz w:val="20"/>
                <w:szCs w:val="20"/>
              </w:rPr>
              <w:t>î</w:t>
            </w:r>
            <w:r w:rsidR="00371E6E" w:rsidRPr="005F27A5">
              <w:rPr>
                <w:rFonts w:ascii="Times New Roman" w:hAnsi="Times New Roman" w:cs="Times New Roman"/>
                <w:sz w:val="20"/>
                <w:szCs w:val="20"/>
              </w:rPr>
              <w:t>n Republica Moldova prin adoptarea acestora exclusiv de c</w:t>
            </w:r>
            <w:r w:rsidR="00044885">
              <w:rPr>
                <w:rFonts w:ascii="Times New Roman" w:hAnsi="Times New Roman" w:cs="Times New Roman"/>
                <w:sz w:val="20"/>
                <w:szCs w:val="20"/>
              </w:rPr>
              <w:t>ă</w:t>
            </w:r>
            <w:r w:rsidR="00371E6E" w:rsidRPr="005F27A5">
              <w:rPr>
                <w:rFonts w:ascii="Times New Roman" w:hAnsi="Times New Roman" w:cs="Times New Roman"/>
                <w:sz w:val="20"/>
                <w:szCs w:val="20"/>
              </w:rPr>
              <w:t xml:space="preserve">tre ISM </w:t>
            </w:r>
            <w:r w:rsidR="00044885">
              <w:rPr>
                <w:rFonts w:ascii="Times New Roman" w:hAnsi="Times New Roman" w:cs="Times New Roman"/>
                <w:sz w:val="20"/>
                <w:szCs w:val="20"/>
              </w:rPr>
              <w:t>ș</w:t>
            </w:r>
            <w:r w:rsidR="00371E6E" w:rsidRPr="005F27A5">
              <w:rPr>
                <w:rFonts w:ascii="Times New Roman" w:hAnsi="Times New Roman" w:cs="Times New Roman"/>
                <w:sz w:val="20"/>
                <w:szCs w:val="20"/>
              </w:rPr>
              <w:t xml:space="preserve">i prin atribuirea siglei SM. </w:t>
            </w:r>
            <w:r w:rsidR="00044885">
              <w:rPr>
                <w:rFonts w:ascii="Times New Roman" w:hAnsi="Times New Roman" w:cs="Times New Roman"/>
                <w:sz w:val="20"/>
                <w:szCs w:val="20"/>
              </w:rPr>
              <w:t>Î</w:t>
            </w:r>
            <w:r w:rsidR="00371E6E" w:rsidRPr="005F27A5">
              <w:rPr>
                <w:rFonts w:ascii="Times New Roman" w:hAnsi="Times New Roman" w:cs="Times New Roman"/>
                <w:sz w:val="20"/>
                <w:szCs w:val="20"/>
              </w:rPr>
              <w:t>n aceast</w:t>
            </w:r>
            <w:r w:rsidR="00044885">
              <w:rPr>
                <w:rFonts w:ascii="Times New Roman" w:hAnsi="Times New Roman" w:cs="Times New Roman"/>
                <w:sz w:val="20"/>
                <w:szCs w:val="20"/>
              </w:rPr>
              <w:t>ă</w:t>
            </w:r>
            <w:r w:rsidR="00371E6E" w:rsidRPr="005F27A5">
              <w:rPr>
                <w:rFonts w:ascii="Times New Roman" w:hAnsi="Times New Roman" w:cs="Times New Roman"/>
                <w:sz w:val="20"/>
                <w:szCs w:val="20"/>
              </w:rPr>
              <w:t xml:space="preserve"> ordine de idei, este necesar</w:t>
            </w:r>
            <w:r w:rsidR="00033201">
              <w:rPr>
                <w:rFonts w:ascii="Times New Roman" w:hAnsi="Times New Roman" w:cs="Times New Roman"/>
                <w:sz w:val="20"/>
                <w:szCs w:val="20"/>
              </w:rPr>
              <w:t>ă</w:t>
            </w:r>
            <w:r w:rsidR="00371E6E" w:rsidRPr="005F27A5">
              <w:rPr>
                <w:rFonts w:ascii="Times New Roman" w:hAnsi="Times New Roman" w:cs="Times New Roman"/>
                <w:sz w:val="20"/>
                <w:szCs w:val="20"/>
              </w:rPr>
              <w:t xml:space="preserve"> indicarea corect</w:t>
            </w:r>
            <w:r w:rsidR="00033201">
              <w:rPr>
                <w:rFonts w:ascii="Times New Roman" w:hAnsi="Times New Roman" w:cs="Times New Roman"/>
                <w:sz w:val="20"/>
                <w:szCs w:val="20"/>
              </w:rPr>
              <w:t>ă</w:t>
            </w:r>
            <w:r w:rsidR="00371E6E" w:rsidRPr="005F27A5">
              <w:rPr>
                <w:rFonts w:ascii="Times New Roman" w:hAnsi="Times New Roman" w:cs="Times New Roman"/>
                <w:sz w:val="20"/>
                <w:szCs w:val="20"/>
              </w:rPr>
              <w:t xml:space="preserve"> a indicativelor standardelor men</w:t>
            </w:r>
            <w:r w:rsidR="00033201">
              <w:rPr>
                <w:rFonts w:ascii="Times New Roman" w:hAnsi="Times New Roman" w:cs="Times New Roman"/>
                <w:sz w:val="20"/>
                <w:szCs w:val="20"/>
              </w:rPr>
              <w:t>ț</w:t>
            </w:r>
            <w:r w:rsidR="00371E6E" w:rsidRPr="005F27A5">
              <w:rPr>
                <w:rFonts w:ascii="Times New Roman" w:hAnsi="Times New Roman" w:cs="Times New Roman"/>
                <w:sz w:val="20"/>
                <w:szCs w:val="20"/>
              </w:rPr>
              <w:t xml:space="preserve">ionate </w:t>
            </w:r>
            <w:r w:rsidR="00033201">
              <w:rPr>
                <w:rFonts w:ascii="Times New Roman" w:hAnsi="Times New Roman" w:cs="Times New Roman"/>
                <w:sz w:val="20"/>
                <w:szCs w:val="20"/>
              </w:rPr>
              <w:t>î</w:t>
            </w:r>
            <w:r w:rsidR="00371E6E" w:rsidRPr="005F27A5">
              <w:rPr>
                <w:rFonts w:ascii="Times New Roman" w:hAnsi="Times New Roman" w:cs="Times New Roman"/>
                <w:sz w:val="20"/>
                <w:szCs w:val="20"/>
              </w:rPr>
              <w:t>n document (SM EN ...).</w:t>
            </w:r>
          </w:p>
          <w:p w14:paraId="67319548" w14:textId="776E78A7" w:rsidR="00844A95" w:rsidRPr="00605EEE" w:rsidRDefault="00371E6E" w:rsidP="00C35159">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Totodat</w:t>
            </w:r>
            <w:r w:rsidR="00033201">
              <w:rPr>
                <w:rFonts w:ascii="Times New Roman" w:hAnsi="Times New Roman" w:cs="Times New Roman"/>
                <w:sz w:val="20"/>
                <w:szCs w:val="20"/>
              </w:rPr>
              <w:t>ă</w:t>
            </w:r>
            <w:r w:rsidRPr="005F27A5">
              <w:rPr>
                <w:rFonts w:ascii="Times New Roman" w:hAnsi="Times New Roman" w:cs="Times New Roman"/>
                <w:sz w:val="20"/>
                <w:szCs w:val="20"/>
              </w:rPr>
              <w:t>, ISM V</w:t>
            </w:r>
            <w:r w:rsidR="00033201">
              <w:rPr>
                <w:rFonts w:ascii="Times New Roman" w:hAnsi="Times New Roman" w:cs="Times New Roman"/>
                <w:sz w:val="20"/>
                <w:szCs w:val="20"/>
              </w:rPr>
              <w:t>ă</w:t>
            </w:r>
            <w:r w:rsidRPr="005F27A5">
              <w:rPr>
                <w:rFonts w:ascii="Times New Roman" w:hAnsi="Times New Roman" w:cs="Times New Roman"/>
                <w:sz w:val="20"/>
                <w:szCs w:val="20"/>
              </w:rPr>
              <w:t xml:space="preserve"> atrage aten</w:t>
            </w:r>
            <w:r w:rsidR="00033201">
              <w:rPr>
                <w:rFonts w:ascii="Times New Roman" w:hAnsi="Times New Roman" w:cs="Times New Roman"/>
                <w:sz w:val="20"/>
                <w:szCs w:val="20"/>
              </w:rPr>
              <w:t>ț</w:t>
            </w:r>
            <w:r w:rsidRPr="005F27A5">
              <w:rPr>
                <w:rFonts w:ascii="Times New Roman" w:hAnsi="Times New Roman" w:cs="Times New Roman"/>
                <w:sz w:val="20"/>
                <w:szCs w:val="20"/>
              </w:rPr>
              <w:t>ia asupra faptului c</w:t>
            </w:r>
            <w:r w:rsidR="00033201">
              <w:rPr>
                <w:rFonts w:ascii="Times New Roman" w:hAnsi="Times New Roman" w:cs="Times New Roman"/>
                <w:sz w:val="20"/>
                <w:szCs w:val="20"/>
              </w:rPr>
              <w:t>ă</w:t>
            </w:r>
            <w:r w:rsidRPr="005F27A5">
              <w:rPr>
                <w:rFonts w:ascii="Times New Roman" w:hAnsi="Times New Roman" w:cs="Times New Roman"/>
                <w:sz w:val="20"/>
                <w:szCs w:val="20"/>
              </w:rPr>
              <w:t>, referin</w:t>
            </w:r>
            <w:r w:rsidR="00033201">
              <w:rPr>
                <w:rFonts w:ascii="Times New Roman" w:hAnsi="Times New Roman" w:cs="Times New Roman"/>
                <w:sz w:val="20"/>
                <w:szCs w:val="20"/>
              </w:rPr>
              <w:t>ț</w:t>
            </w:r>
            <w:r w:rsidRPr="005F27A5">
              <w:rPr>
                <w:rFonts w:ascii="Times New Roman" w:hAnsi="Times New Roman" w:cs="Times New Roman"/>
                <w:sz w:val="20"/>
                <w:szCs w:val="20"/>
              </w:rPr>
              <w:t>ele la standarde trebuie s</w:t>
            </w:r>
            <w:r w:rsidR="008A5B25">
              <w:rPr>
                <w:rFonts w:ascii="Times New Roman" w:hAnsi="Times New Roman" w:cs="Times New Roman"/>
                <w:sz w:val="20"/>
                <w:szCs w:val="20"/>
              </w:rPr>
              <w:t>ă</w:t>
            </w:r>
            <w:r w:rsidRPr="005F27A5">
              <w:rPr>
                <w:rFonts w:ascii="Times New Roman" w:hAnsi="Times New Roman" w:cs="Times New Roman"/>
                <w:sz w:val="20"/>
                <w:szCs w:val="20"/>
              </w:rPr>
              <w:t xml:space="preserve"> fie prezentate nedatate, dac</w:t>
            </w:r>
            <w:r w:rsidR="009215E9">
              <w:rPr>
                <w:rFonts w:ascii="Times New Roman" w:hAnsi="Times New Roman" w:cs="Times New Roman"/>
                <w:sz w:val="20"/>
                <w:szCs w:val="20"/>
              </w:rPr>
              <w:t>ă</w:t>
            </w:r>
            <w:r w:rsidRPr="005F27A5">
              <w:rPr>
                <w:rFonts w:ascii="Times New Roman" w:hAnsi="Times New Roman" w:cs="Times New Roman"/>
                <w:sz w:val="20"/>
                <w:szCs w:val="20"/>
              </w:rPr>
              <w:t xml:space="preserve"> referin</w:t>
            </w:r>
            <w:r w:rsidR="009215E9">
              <w:rPr>
                <w:rFonts w:ascii="Times New Roman" w:hAnsi="Times New Roman" w:cs="Times New Roman"/>
                <w:sz w:val="20"/>
                <w:szCs w:val="20"/>
              </w:rPr>
              <w:t>ț</w:t>
            </w:r>
            <w:r w:rsidRPr="005F27A5">
              <w:rPr>
                <w:rFonts w:ascii="Times New Roman" w:hAnsi="Times New Roman" w:cs="Times New Roman"/>
                <w:sz w:val="20"/>
                <w:szCs w:val="20"/>
              </w:rPr>
              <w:t>ele din documentul transpus nu prev</w:t>
            </w:r>
            <w:r w:rsidR="009215E9">
              <w:rPr>
                <w:rFonts w:ascii="Times New Roman" w:hAnsi="Times New Roman" w:cs="Times New Roman"/>
                <w:sz w:val="20"/>
                <w:szCs w:val="20"/>
              </w:rPr>
              <w:t>ă</w:t>
            </w:r>
            <w:r w:rsidRPr="005F27A5">
              <w:rPr>
                <w:rFonts w:ascii="Times New Roman" w:hAnsi="Times New Roman" w:cs="Times New Roman"/>
                <w:sz w:val="20"/>
                <w:szCs w:val="20"/>
              </w:rPr>
              <w:t>d anul adopt</w:t>
            </w:r>
            <w:r w:rsidR="009215E9">
              <w:rPr>
                <w:rFonts w:ascii="Times New Roman" w:hAnsi="Times New Roman" w:cs="Times New Roman"/>
                <w:sz w:val="20"/>
                <w:szCs w:val="20"/>
              </w:rPr>
              <w:t>ă</w:t>
            </w:r>
            <w:r w:rsidRPr="005F27A5">
              <w:rPr>
                <w:rFonts w:ascii="Times New Roman" w:hAnsi="Times New Roman" w:cs="Times New Roman"/>
                <w:sz w:val="20"/>
                <w:szCs w:val="20"/>
              </w:rPr>
              <w:t>rii. Acest fapt va facilita aplicarea legislaliei na</w:t>
            </w:r>
            <w:r w:rsidR="009215E9">
              <w:rPr>
                <w:rFonts w:ascii="Times New Roman" w:hAnsi="Times New Roman" w:cs="Times New Roman"/>
                <w:sz w:val="20"/>
                <w:szCs w:val="20"/>
              </w:rPr>
              <w:t>ț</w:t>
            </w:r>
            <w:r w:rsidRPr="005F27A5">
              <w:rPr>
                <w:rFonts w:ascii="Times New Roman" w:hAnsi="Times New Roman" w:cs="Times New Roman"/>
                <w:sz w:val="20"/>
                <w:szCs w:val="20"/>
              </w:rPr>
              <w:t>ionale, iar revizuirile ulterioare ale acestor standarde vor fi aplicabile, f</w:t>
            </w:r>
            <w:r w:rsidR="00FE14BE">
              <w:rPr>
                <w:rFonts w:ascii="Times New Roman" w:hAnsi="Times New Roman" w:cs="Times New Roman"/>
                <w:sz w:val="20"/>
                <w:szCs w:val="20"/>
              </w:rPr>
              <w:t>ă</w:t>
            </w:r>
            <w:r w:rsidRPr="005F27A5">
              <w:rPr>
                <w:rFonts w:ascii="Times New Roman" w:hAnsi="Times New Roman" w:cs="Times New Roman"/>
                <w:sz w:val="20"/>
                <w:szCs w:val="20"/>
              </w:rPr>
              <w:t>r</w:t>
            </w:r>
            <w:r w:rsidR="00FE14BE">
              <w:rPr>
                <w:rFonts w:ascii="Times New Roman" w:hAnsi="Times New Roman" w:cs="Times New Roman"/>
                <w:sz w:val="20"/>
                <w:szCs w:val="20"/>
              </w:rPr>
              <w:t>ă</w:t>
            </w:r>
            <w:r w:rsidRPr="005F27A5">
              <w:rPr>
                <w:rFonts w:ascii="Times New Roman" w:hAnsi="Times New Roman" w:cs="Times New Roman"/>
                <w:sz w:val="20"/>
                <w:szCs w:val="20"/>
              </w:rPr>
              <w:t xml:space="preserve"> a se impune necesitatea modific</w:t>
            </w:r>
            <w:r w:rsidR="00FE14BE">
              <w:rPr>
                <w:rFonts w:ascii="Times New Roman" w:hAnsi="Times New Roman" w:cs="Times New Roman"/>
                <w:sz w:val="20"/>
                <w:szCs w:val="20"/>
              </w:rPr>
              <w:t>ă</w:t>
            </w:r>
            <w:r w:rsidRPr="005F27A5">
              <w:rPr>
                <w:rFonts w:ascii="Times New Roman" w:hAnsi="Times New Roman" w:cs="Times New Roman"/>
                <w:sz w:val="20"/>
                <w:szCs w:val="20"/>
              </w:rPr>
              <w:t>rii hot</w:t>
            </w:r>
            <w:r w:rsidR="00FE14BE">
              <w:rPr>
                <w:rFonts w:ascii="Times New Roman" w:hAnsi="Times New Roman" w:cs="Times New Roman"/>
                <w:sz w:val="20"/>
                <w:szCs w:val="20"/>
              </w:rPr>
              <w:t>ă</w:t>
            </w:r>
            <w:r w:rsidRPr="005F27A5">
              <w:rPr>
                <w:rFonts w:ascii="Times New Roman" w:hAnsi="Times New Roman" w:cs="Times New Roman"/>
                <w:sz w:val="20"/>
                <w:szCs w:val="20"/>
              </w:rPr>
              <w:t>r</w:t>
            </w:r>
            <w:r w:rsidR="00FE14BE">
              <w:rPr>
                <w:rFonts w:ascii="Times New Roman" w:hAnsi="Times New Roman" w:cs="Times New Roman"/>
                <w:sz w:val="20"/>
                <w:szCs w:val="20"/>
              </w:rPr>
              <w:t>â</w:t>
            </w:r>
            <w:r w:rsidRPr="005F27A5">
              <w:rPr>
                <w:rFonts w:ascii="Times New Roman" w:hAnsi="Times New Roman" w:cs="Times New Roman"/>
                <w:sz w:val="20"/>
                <w:szCs w:val="20"/>
              </w:rPr>
              <w:t xml:space="preserve">rii </w:t>
            </w:r>
            <w:r w:rsidR="00FE14BE">
              <w:rPr>
                <w:rFonts w:ascii="Times New Roman" w:hAnsi="Times New Roman" w:cs="Times New Roman"/>
                <w:sz w:val="20"/>
                <w:szCs w:val="20"/>
              </w:rPr>
              <w:t>î</w:t>
            </w:r>
            <w:r w:rsidRPr="005F27A5">
              <w:rPr>
                <w:rFonts w:ascii="Times New Roman" w:hAnsi="Times New Roman" w:cs="Times New Roman"/>
                <w:sz w:val="20"/>
                <w:szCs w:val="20"/>
              </w:rPr>
              <w:t>n cauz</w:t>
            </w:r>
            <w:r w:rsidR="00FE14BE">
              <w:rPr>
                <w:rFonts w:ascii="Times New Roman" w:hAnsi="Times New Roman" w:cs="Times New Roman"/>
                <w:sz w:val="20"/>
                <w:szCs w:val="20"/>
              </w:rPr>
              <w:t>ă</w:t>
            </w:r>
            <w:r w:rsidRPr="005F27A5">
              <w:rPr>
                <w:rFonts w:ascii="Times New Roman" w:hAnsi="Times New Roman" w:cs="Times New Roman"/>
                <w:sz w:val="20"/>
                <w:szCs w:val="20"/>
              </w:rPr>
              <w:t>. Lista referintelor corecte este prezenta</w:t>
            </w:r>
            <w:r w:rsidR="00060BFF">
              <w:rPr>
                <w:rFonts w:ascii="Times New Roman" w:hAnsi="Times New Roman" w:cs="Times New Roman"/>
                <w:sz w:val="20"/>
                <w:szCs w:val="20"/>
              </w:rPr>
              <w:t>ț</w:t>
            </w:r>
            <w:r w:rsidRPr="005F27A5">
              <w:rPr>
                <w:rFonts w:ascii="Times New Roman" w:hAnsi="Times New Roman" w:cs="Times New Roman"/>
                <w:sz w:val="20"/>
                <w:szCs w:val="20"/>
              </w:rPr>
              <w:t xml:space="preserve">i </w:t>
            </w:r>
            <w:r w:rsidR="00D60F25">
              <w:rPr>
                <w:rFonts w:ascii="Times New Roman" w:hAnsi="Times New Roman" w:cs="Times New Roman"/>
                <w:sz w:val="20"/>
                <w:szCs w:val="20"/>
              </w:rPr>
              <w:t>î</w:t>
            </w:r>
            <w:r w:rsidRPr="005F27A5">
              <w:rPr>
                <w:rFonts w:ascii="Times New Roman" w:hAnsi="Times New Roman" w:cs="Times New Roman"/>
                <w:sz w:val="20"/>
                <w:szCs w:val="20"/>
              </w:rPr>
              <w:t>n anex</w:t>
            </w:r>
            <w:r w:rsidR="00FE14BE">
              <w:rPr>
                <w:rFonts w:ascii="Times New Roman" w:hAnsi="Times New Roman" w:cs="Times New Roman"/>
                <w:sz w:val="20"/>
                <w:szCs w:val="20"/>
              </w:rPr>
              <w:t>ă</w:t>
            </w:r>
            <w:r w:rsidR="00060BFF">
              <w:rPr>
                <w:rFonts w:ascii="Times New Roman" w:hAnsi="Times New Roman" w:cs="Times New Roman"/>
                <w:sz w:val="20"/>
                <w:szCs w:val="20"/>
              </w:rPr>
              <w:t>.</w:t>
            </w:r>
          </w:p>
        </w:tc>
        <w:tc>
          <w:tcPr>
            <w:tcW w:w="4809" w:type="dxa"/>
          </w:tcPr>
          <w:p w14:paraId="7438E6A3" w14:textId="2872308A" w:rsidR="00844A95" w:rsidRPr="001F71EB" w:rsidRDefault="00457C59"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
                <w:sz w:val="20"/>
                <w:szCs w:val="20"/>
              </w:rPr>
              <w:t>Se acceptă.</w:t>
            </w:r>
            <w:r w:rsidRPr="001F71EB">
              <w:rPr>
                <w:rFonts w:ascii="Times New Roman" w:hAnsi="Times New Roman" w:cs="Times New Roman"/>
                <w:bCs/>
                <w:sz w:val="20"/>
                <w:szCs w:val="20"/>
              </w:rPr>
              <w:t xml:space="preserve"> Proiectul a fost ajustat.</w:t>
            </w:r>
          </w:p>
        </w:tc>
      </w:tr>
      <w:tr w:rsidR="0052246C" w:rsidRPr="005F27A5" w14:paraId="5A720BA8" w14:textId="77777777" w:rsidTr="005254BB">
        <w:trPr>
          <w:trHeight w:val="1291"/>
        </w:trPr>
        <w:tc>
          <w:tcPr>
            <w:tcW w:w="2787" w:type="dxa"/>
            <w:vMerge/>
          </w:tcPr>
          <w:p w14:paraId="0A6D128B" w14:textId="77777777" w:rsidR="0052246C" w:rsidRPr="005F27A5" w:rsidRDefault="0052246C"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156D1738" w14:textId="77777777" w:rsidR="0052246C" w:rsidRPr="005F27A5" w:rsidRDefault="0052246C"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4226DF99" w14:textId="67307B27" w:rsidR="00C35159" w:rsidRDefault="00C35159" w:rsidP="00605EEE">
            <w:pPr>
              <w:spacing w:beforeLines="20" w:before="48" w:afterLines="20" w:after="48"/>
              <w:ind w:left="57" w:right="57"/>
              <w:jc w:val="both"/>
              <w:rPr>
                <w:rFonts w:ascii="Times New Roman" w:hAnsi="Times New Roman" w:cs="Times New Roman"/>
                <w:sz w:val="20"/>
                <w:szCs w:val="20"/>
              </w:rPr>
            </w:pPr>
            <w:r>
              <w:rPr>
                <w:rFonts w:ascii="Times New Roman" w:hAnsi="Times New Roman" w:cs="Times New Roman"/>
                <w:sz w:val="20"/>
                <w:szCs w:val="20"/>
              </w:rPr>
              <w:t>Î</w:t>
            </w:r>
            <w:r w:rsidRPr="005F27A5">
              <w:rPr>
                <w:rFonts w:ascii="Times New Roman" w:hAnsi="Times New Roman" w:cs="Times New Roman"/>
                <w:sz w:val="20"/>
                <w:szCs w:val="20"/>
              </w:rPr>
              <w:t>n cadrul proiectului de hot</w:t>
            </w:r>
            <w:r>
              <w:rPr>
                <w:rFonts w:ascii="Times New Roman" w:hAnsi="Times New Roman" w:cs="Times New Roman"/>
                <w:sz w:val="20"/>
                <w:szCs w:val="20"/>
              </w:rPr>
              <w:t>ărâre</w:t>
            </w:r>
            <w:r w:rsidRPr="005F27A5">
              <w:rPr>
                <w:rFonts w:ascii="Times New Roman" w:hAnsi="Times New Roman" w:cs="Times New Roman"/>
                <w:sz w:val="20"/>
                <w:szCs w:val="20"/>
              </w:rPr>
              <w:t xml:space="preserve"> se face referin</w:t>
            </w:r>
            <w:r>
              <w:rPr>
                <w:rFonts w:ascii="Times New Roman" w:hAnsi="Times New Roman" w:cs="Times New Roman"/>
                <w:sz w:val="20"/>
                <w:szCs w:val="20"/>
              </w:rPr>
              <w:t>ță</w:t>
            </w:r>
            <w:r w:rsidRPr="005F27A5">
              <w:rPr>
                <w:rFonts w:ascii="Times New Roman" w:hAnsi="Times New Roman" w:cs="Times New Roman"/>
                <w:sz w:val="20"/>
                <w:szCs w:val="20"/>
              </w:rPr>
              <w:t xml:space="preserve"> la standardele nationale germane DIN 51794 </w:t>
            </w:r>
            <w:r>
              <w:rPr>
                <w:rFonts w:ascii="Times New Roman" w:hAnsi="Times New Roman" w:cs="Times New Roman"/>
                <w:sz w:val="20"/>
                <w:szCs w:val="20"/>
              </w:rPr>
              <w:t>și</w:t>
            </w:r>
            <w:r w:rsidRPr="005F27A5">
              <w:rPr>
                <w:rFonts w:ascii="Times New Roman" w:hAnsi="Times New Roman" w:cs="Times New Roman"/>
                <w:sz w:val="20"/>
                <w:szCs w:val="20"/>
              </w:rPr>
              <w:t xml:space="preserve"> DIN 52025 care sunt propuse de Regulamentul (CE) ca alternativ</w:t>
            </w:r>
            <w:r>
              <w:rPr>
                <w:rFonts w:ascii="Times New Roman" w:hAnsi="Times New Roman" w:cs="Times New Roman"/>
                <w:sz w:val="20"/>
                <w:szCs w:val="20"/>
              </w:rPr>
              <w:t>ă</w:t>
            </w:r>
            <w:r w:rsidRPr="005F27A5">
              <w:rPr>
                <w:rFonts w:ascii="Times New Roman" w:hAnsi="Times New Roman" w:cs="Times New Roman"/>
                <w:sz w:val="20"/>
                <w:szCs w:val="20"/>
              </w:rPr>
              <w:t xml:space="preserve"> doar pentru scop de comparabilitate, acestea nu sunt standarde europene, ci ale unei </w:t>
            </w:r>
            <w:r>
              <w:rPr>
                <w:rFonts w:ascii="Times New Roman" w:hAnsi="Times New Roman" w:cs="Times New Roman"/>
                <w:sz w:val="20"/>
                <w:szCs w:val="20"/>
              </w:rPr>
              <w:t>ță</w:t>
            </w:r>
            <w:r w:rsidRPr="005F27A5">
              <w:rPr>
                <w:rFonts w:ascii="Times New Roman" w:hAnsi="Times New Roman" w:cs="Times New Roman"/>
                <w:sz w:val="20"/>
                <w:szCs w:val="20"/>
              </w:rPr>
              <w:t xml:space="preserve">ri din Europa </w:t>
            </w:r>
            <w:r>
              <w:rPr>
                <w:rFonts w:ascii="Times New Roman" w:hAnsi="Times New Roman" w:cs="Times New Roman"/>
                <w:sz w:val="20"/>
                <w:szCs w:val="20"/>
              </w:rPr>
              <w:t>ș</w:t>
            </w:r>
            <w:r w:rsidRPr="005F27A5">
              <w:rPr>
                <w:rFonts w:ascii="Times New Roman" w:hAnsi="Times New Roman" w:cs="Times New Roman"/>
                <w:sz w:val="20"/>
                <w:szCs w:val="20"/>
              </w:rPr>
              <w:t xml:space="preserve">i nu fac parte din sistemul CEN/CENELEC/ETSI. De asemenea </w:t>
            </w:r>
            <w:r>
              <w:rPr>
                <w:rFonts w:ascii="Times New Roman" w:hAnsi="Times New Roman" w:cs="Times New Roman"/>
                <w:sz w:val="20"/>
                <w:szCs w:val="20"/>
              </w:rPr>
              <w:t>î</w:t>
            </w:r>
            <w:r w:rsidRPr="005F27A5">
              <w:rPr>
                <w:rFonts w:ascii="Times New Roman" w:hAnsi="Times New Roman" w:cs="Times New Roman"/>
                <w:sz w:val="20"/>
                <w:szCs w:val="20"/>
              </w:rPr>
              <w:t>n proiectul de hot</w:t>
            </w:r>
            <w:r>
              <w:rPr>
                <w:rFonts w:ascii="Times New Roman" w:hAnsi="Times New Roman" w:cs="Times New Roman"/>
                <w:sz w:val="20"/>
                <w:szCs w:val="20"/>
              </w:rPr>
              <w:t>ărâ</w:t>
            </w:r>
            <w:r w:rsidRPr="005F27A5">
              <w:rPr>
                <w:rFonts w:ascii="Times New Roman" w:hAnsi="Times New Roman" w:cs="Times New Roman"/>
                <w:sz w:val="20"/>
                <w:szCs w:val="20"/>
              </w:rPr>
              <w:t>re se face referin</w:t>
            </w:r>
            <w:r>
              <w:rPr>
                <w:rFonts w:ascii="Times New Roman" w:hAnsi="Times New Roman" w:cs="Times New Roman"/>
                <w:sz w:val="20"/>
                <w:szCs w:val="20"/>
              </w:rPr>
              <w:t>ță</w:t>
            </w:r>
            <w:r w:rsidRPr="005F27A5">
              <w:rPr>
                <w:rFonts w:ascii="Times New Roman" w:hAnsi="Times New Roman" w:cs="Times New Roman"/>
                <w:sz w:val="20"/>
                <w:szCs w:val="20"/>
              </w:rPr>
              <w:t xml:space="preserve"> la standardul american ASTM D240, care este propus cu titlu informativ </w:t>
            </w:r>
            <w:r>
              <w:rPr>
                <w:rFonts w:ascii="Times New Roman" w:hAnsi="Times New Roman" w:cs="Times New Roman"/>
                <w:sz w:val="20"/>
                <w:szCs w:val="20"/>
              </w:rPr>
              <w:t>ș</w:t>
            </w:r>
            <w:r w:rsidRPr="005F27A5">
              <w:rPr>
                <w:rFonts w:ascii="Times New Roman" w:hAnsi="Times New Roman" w:cs="Times New Roman"/>
                <w:sz w:val="20"/>
                <w:szCs w:val="20"/>
              </w:rPr>
              <w:t>i care doar la necesitate poate fi adoptat de c</w:t>
            </w:r>
            <w:r>
              <w:rPr>
                <w:rFonts w:ascii="Times New Roman" w:hAnsi="Times New Roman" w:cs="Times New Roman"/>
                <w:sz w:val="20"/>
                <w:szCs w:val="20"/>
              </w:rPr>
              <w:t>ă</w:t>
            </w:r>
            <w:r w:rsidRPr="005F27A5">
              <w:rPr>
                <w:rFonts w:ascii="Times New Roman" w:hAnsi="Times New Roman" w:cs="Times New Roman"/>
                <w:sz w:val="20"/>
                <w:szCs w:val="20"/>
              </w:rPr>
              <w:t>tre ISM. Prin urmare includerea lor in legislatia na</w:t>
            </w:r>
            <w:r w:rsidR="0041287B">
              <w:rPr>
                <w:rFonts w:ascii="Times New Roman" w:hAnsi="Times New Roman" w:cs="Times New Roman"/>
                <w:sz w:val="20"/>
                <w:szCs w:val="20"/>
              </w:rPr>
              <w:t>ț</w:t>
            </w:r>
            <w:r w:rsidRPr="005F27A5">
              <w:rPr>
                <w:rFonts w:ascii="Times New Roman" w:hAnsi="Times New Roman" w:cs="Times New Roman"/>
                <w:sz w:val="20"/>
                <w:szCs w:val="20"/>
              </w:rPr>
              <w:t>ional</w:t>
            </w:r>
            <w:r>
              <w:rPr>
                <w:rFonts w:ascii="Times New Roman" w:hAnsi="Times New Roman" w:cs="Times New Roman"/>
                <w:sz w:val="20"/>
                <w:szCs w:val="20"/>
              </w:rPr>
              <w:t>ă</w:t>
            </w:r>
            <w:r w:rsidRPr="005F27A5">
              <w:rPr>
                <w:rFonts w:ascii="Times New Roman" w:hAnsi="Times New Roman" w:cs="Times New Roman"/>
                <w:sz w:val="20"/>
                <w:szCs w:val="20"/>
              </w:rPr>
              <w:t xml:space="preserve"> poate fi realizat</w:t>
            </w:r>
            <w:r>
              <w:rPr>
                <w:rFonts w:ascii="Times New Roman" w:hAnsi="Times New Roman" w:cs="Times New Roman"/>
                <w:sz w:val="20"/>
                <w:szCs w:val="20"/>
              </w:rPr>
              <w:t>ă</w:t>
            </w:r>
            <w:r w:rsidRPr="005F27A5">
              <w:rPr>
                <w:rFonts w:ascii="Times New Roman" w:hAnsi="Times New Roman" w:cs="Times New Roman"/>
                <w:sz w:val="20"/>
                <w:szCs w:val="20"/>
              </w:rPr>
              <w:t xml:space="preserve"> doar la decizia asumat</w:t>
            </w:r>
            <w:r>
              <w:rPr>
                <w:rFonts w:ascii="Times New Roman" w:hAnsi="Times New Roman" w:cs="Times New Roman"/>
                <w:sz w:val="20"/>
                <w:szCs w:val="20"/>
              </w:rPr>
              <w:t>ă</w:t>
            </w:r>
            <w:r w:rsidRPr="005F27A5">
              <w:rPr>
                <w:rFonts w:ascii="Times New Roman" w:hAnsi="Times New Roman" w:cs="Times New Roman"/>
                <w:sz w:val="20"/>
                <w:szCs w:val="20"/>
              </w:rPr>
              <w:t xml:space="preserve"> a Ministerului Mediului.</w:t>
            </w:r>
          </w:p>
          <w:p w14:paraId="47476D47" w14:textId="51591F64" w:rsidR="00605EEE" w:rsidRDefault="00605EEE" w:rsidP="00605EEE">
            <w:pPr>
              <w:spacing w:beforeLines="20" w:before="48" w:afterLines="20" w:after="48"/>
              <w:ind w:left="57" w:right="57"/>
              <w:jc w:val="both"/>
              <w:rPr>
                <w:rFonts w:ascii="Times New Roman" w:hAnsi="Times New Roman" w:cs="Times New Roman"/>
                <w:sz w:val="20"/>
                <w:szCs w:val="20"/>
              </w:rPr>
            </w:pPr>
            <w:r>
              <w:rPr>
                <w:rFonts w:ascii="Times New Roman" w:hAnsi="Times New Roman" w:cs="Times New Roman"/>
                <w:sz w:val="20"/>
                <w:szCs w:val="20"/>
              </w:rPr>
              <w:t>Î</w:t>
            </w:r>
            <w:r w:rsidRPr="005F27A5">
              <w:rPr>
                <w:rFonts w:ascii="Times New Roman" w:hAnsi="Times New Roman" w:cs="Times New Roman"/>
                <w:sz w:val="20"/>
                <w:szCs w:val="20"/>
              </w:rPr>
              <w:t>n aceea</w:t>
            </w:r>
            <w:r>
              <w:rPr>
                <w:rFonts w:ascii="Times New Roman" w:hAnsi="Times New Roman" w:cs="Times New Roman"/>
                <w:sz w:val="20"/>
                <w:szCs w:val="20"/>
              </w:rPr>
              <w:t>ș</w:t>
            </w:r>
            <w:r w:rsidRPr="005F27A5">
              <w:rPr>
                <w:rFonts w:ascii="Times New Roman" w:hAnsi="Times New Roman" w:cs="Times New Roman"/>
                <w:sz w:val="20"/>
                <w:szCs w:val="20"/>
              </w:rPr>
              <w:t xml:space="preserve">i ordine de idei, </w:t>
            </w:r>
            <w:r>
              <w:rPr>
                <w:rFonts w:ascii="Times New Roman" w:hAnsi="Times New Roman" w:cs="Times New Roman"/>
                <w:sz w:val="20"/>
                <w:szCs w:val="20"/>
              </w:rPr>
              <w:t>ținând</w:t>
            </w:r>
            <w:r w:rsidRPr="005F27A5">
              <w:rPr>
                <w:rFonts w:ascii="Times New Roman" w:hAnsi="Times New Roman" w:cs="Times New Roman"/>
                <w:sz w:val="20"/>
                <w:szCs w:val="20"/>
              </w:rPr>
              <w:t xml:space="preserve"> cont </w:t>
            </w:r>
            <w:r>
              <w:rPr>
                <w:rFonts w:ascii="Times New Roman" w:hAnsi="Times New Roman" w:cs="Times New Roman"/>
                <w:sz w:val="20"/>
                <w:szCs w:val="20"/>
              </w:rPr>
              <w:t>că</w:t>
            </w:r>
            <w:r w:rsidRPr="005F27A5">
              <w:rPr>
                <w:rFonts w:ascii="Times New Roman" w:hAnsi="Times New Roman" w:cs="Times New Roman"/>
                <w:sz w:val="20"/>
                <w:szCs w:val="20"/>
              </w:rPr>
              <w:t xml:space="preserve"> </w:t>
            </w:r>
            <w:r>
              <w:rPr>
                <w:rFonts w:ascii="Times New Roman" w:hAnsi="Times New Roman" w:cs="Times New Roman"/>
                <w:sz w:val="20"/>
                <w:szCs w:val="20"/>
              </w:rPr>
              <w:t>î</w:t>
            </w:r>
            <w:r w:rsidRPr="005F27A5">
              <w:rPr>
                <w:rFonts w:ascii="Times New Roman" w:hAnsi="Times New Roman" w:cs="Times New Roman"/>
                <w:sz w:val="20"/>
                <w:szCs w:val="20"/>
              </w:rPr>
              <w:t>n documentul men</w:t>
            </w:r>
            <w:r>
              <w:rPr>
                <w:rFonts w:ascii="Times New Roman" w:hAnsi="Times New Roman" w:cs="Times New Roman"/>
                <w:sz w:val="20"/>
                <w:szCs w:val="20"/>
              </w:rPr>
              <w:t>ț</w:t>
            </w:r>
            <w:r w:rsidRPr="005F27A5">
              <w:rPr>
                <w:rFonts w:ascii="Times New Roman" w:hAnsi="Times New Roman" w:cs="Times New Roman"/>
                <w:sz w:val="20"/>
                <w:szCs w:val="20"/>
              </w:rPr>
              <w:t>ionat se face referin</w:t>
            </w:r>
            <w:r>
              <w:rPr>
                <w:rFonts w:ascii="Times New Roman" w:hAnsi="Times New Roman" w:cs="Times New Roman"/>
                <w:sz w:val="20"/>
                <w:szCs w:val="20"/>
              </w:rPr>
              <w:t>ță</w:t>
            </w:r>
            <w:r w:rsidRPr="005F27A5">
              <w:rPr>
                <w:rFonts w:ascii="Times New Roman" w:hAnsi="Times New Roman" w:cs="Times New Roman"/>
                <w:sz w:val="20"/>
                <w:szCs w:val="20"/>
              </w:rPr>
              <w:t xml:space="preserve"> la standardele interna</w:t>
            </w:r>
            <w:r w:rsidR="0041287B">
              <w:rPr>
                <w:rFonts w:ascii="Times New Roman" w:hAnsi="Times New Roman" w:cs="Times New Roman"/>
                <w:sz w:val="20"/>
                <w:szCs w:val="20"/>
              </w:rPr>
              <w:t>ț</w:t>
            </w:r>
            <w:r w:rsidRPr="005F27A5">
              <w:rPr>
                <w:rFonts w:ascii="Times New Roman" w:hAnsi="Times New Roman" w:cs="Times New Roman"/>
                <w:sz w:val="20"/>
                <w:szCs w:val="20"/>
              </w:rPr>
              <w:t xml:space="preserve">ionale ISO 6503 </w:t>
            </w:r>
            <w:r>
              <w:rPr>
                <w:rFonts w:ascii="Times New Roman" w:hAnsi="Times New Roman" w:cs="Times New Roman"/>
                <w:sz w:val="20"/>
                <w:szCs w:val="20"/>
              </w:rPr>
              <w:t>ș</w:t>
            </w:r>
            <w:r w:rsidRPr="005F27A5">
              <w:rPr>
                <w:rFonts w:ascii="Times New Roman" w:hAnsi="Times New Roman" w:cs="Times New Roman"/>
                <w:sz w:val="20"/>
                <w:szCs w:val="20"/>
              </w:rPr>
              <w:t xml:space="preserve">i ISO 4626, care la moment nu sunt adoptate in calitate de standarde </w:t>
            </w:r>
            <w:r w:rsidRPr="005F27A5">
              <w:rPr>
                <w:rFonts w:ascii="Times New Roman" w:hAnsi="Times New Roman" w:cs="Times New Roman"/>
                <w:sz w:val="20"/>
                <w:szCs w:val="20"/>
              </w:rPr>
              <w:lastRenderedPageBreak/>
              <w:t>moldovene</w:t>
            </w:r>
            <w:r>
              <w:rPr>
                <w:rFonts w:ascii="Times New Roman" w:hAnsi="Times New Roman" w:cs="Times New Roman"/>
                <w:sz w:val="20"/>
                <w:szCs w:val="20"/>
              </w:rPr>
              <w:t>ș</w:t>
            </w:r>
            <w:r w:rsidRPr="005F27A5">
              <w:rPr>
                <w:rFonts w:ascii="Times New Roman" w:hAnsi="Times New Roman" w:cs="Times New Roman"/>
                <w:sz w:val="20"/>
                <w:szCs w:val="20"/>
              </w:rPr>
              <w:t>ti, V</w:t>
            </w:r>
            <w:r>
              <w:rPr>
                <w:rFonts w:ascii="Times New Roman" w:hAnsi="Times New Roman" w:cs="Times New Roman"/>
                <w:sz w:val="20"/>
                <w:szCs w:val="20"/>
              </w:rPr>
              <w:t>ă</w:t>
            </w:r>
            <w:r w:rsidRPr="005F27A5">
              <w:rPr>
                <w:rFonts w:ascii="Times New Roman" w:hAnsi="Times New Roman" w:cs="Times New Roman"/>
                <w:sz w:val="20"/>
                <w:szCs w:val="20"/>
              </w:rPr>
              <w:t xml:space="preserve"> comunic</w:t>
            </w:r>
            <w:r>
              <w:rPr>
                <w:rFonts w:ascii="Times New Roman" w:hAnsi="Times New Roman" w:cs="Times New Roman"/>
                <w:sz w:val="20"/>
                <w:szCs w:val="20"/>
              </w:rPr>
              <w:t>ă</w:t>
            </w:r>
            <w:r w:rsidRPr="005F27A5">
              <w:rPr>
                <w:rFonts w:ascii="Times New Roman" w:hAnsi="Times New Roman" w:cs="Times New Roman"/>
                <w:sz w:val="20"/>
                <w:szCs w:val="20"/>
              </w:rPr>
              <w:t>m c</w:t>
            </w:r>
            <w:r>
              <w:rPr>
                <w:rFonts w:ascii="Times New Roman" w:hAnsi="Times New Roman" w:cs="Times New Roman"/>
                <w:sz w:val="20"/>
                <w:szCs w:val="20"/>
              </w:rPr>
              <w:t>ă</w:t>
            </w:r>
            <w:r w:rsidRPr="005F27A5">
              <w:rPr>
                <w:rFonts w:ascii="Times New Roman" w:hAnsi="Times New Roman" w:cs="Times New Roman"/>
                <w:sz w:val="20"/>
                <w:szCs w:val="20"/>
              </w:rPr>
              <w:t xml:space="preserve"> Regulamentul poate fi aprobat doar dup</w:t>
            </w:r>
            <w:r>
              <w:rPr>
                <w:rFonts w:ascii="Times New Roman" w:hAnsi="Times New Roman" w:cs="Times New Roman"/>
                <w:sz w:val="20"/>
                <w:szCs w:val="20"/>
              </w:rPr>
              <w:t>ă</w:t>
            </w:r>
            <w:r w:rsidRPr="005F27A5">
              <w:rPr>
                <w:rFonts w:ascii="Times New Roman" w:hAnsi="Times New Roman" w:cs="Times New Roman"/>
                <w:sz w:val="20"/>
                <w:szCs w:val="20"/>
              </w:rPr>
              <w:t xml:space="preserve"> adoptarea acestora.</w:t>
            </w:r>
          </w:p>
          <w:p w14:paraId="15208614" w14:textId="1A382326" w:rsidR="0052246C" w:rsidRPr="005F27A5" w:rsidRDefault="00605EEE" w:rsidP="00605EEE">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sz w:val="20"/>
                <w:szCs w:val="20"/>
              </w:rPr>
              <w:t xml:space="preserve">Astfel, standardele germane, americane </w:t>
            </w:r>
            <w:r>
              <w:rPr>
                <w:rFonts w:ascii="Times New Roman" w:hAnsi="Times New Roman" w:cs="Times New Roman"/>
                <w:sz w:val="20"/>
                <w:szCs w:val="20"/>
              </w:rPr>
              <w:t>ș</w:t>
            </w:r>
            <w:r w:rsidRPr="005F27A5">
              <w:rPr>
                <w:rFonts w:ascii="Times New Roman" w:hAnsi="Times New Roman" w:cs="Times New Roman"/>
                <w:sz w:val="20"/>
                <w:szCs w:val="20"/>
              </w:rPr>
              <w:t>i cele interna</w:t>
            </w:r>
            <w:r>
              <w:rPr>
                <w:rFonts w:ascii="Times New Roman" w:hAnsi="Times New Roman" w:cs="Times New Roman"/>
                <w:sz w:val="20"/>
                <w:szCs w:val="20"/>
              </w:rPr>
              <w:t>ț</w:t>
            </w:r>
            <w:r w:rsidRPr="005F27A5">
              <w:rPr>
                <w:rFonts w:ascii="Times New Roman" w:hAnsi="Times New Roman" w:cs="Times New Roman"/>
                <w:sz w:val="20"/>
                <w:szCs w:val="20"/>
              </w:rPr>
              <w:t>ionale pot fi adoptate la solicitarea suplimentar</w:t>
            </w:r>
            <w:r>
              <w:rPr>
                <w:rFonts w:ascii="Times New Roman" w:hAnsi="Times New Roman" w:cs="Times New Roman"/>
                <w:sz w:val="20"/>
                <w:szCs w:val="20"/>
              </w:rPr>
              <w:t>ă</w:t>
            </w:r>
            <w:r w:rsidRPr="005F27A5">
              <w:rPr>
                <w:rFonts w:ascii="Times New Roman" w:hAnsi="Times New Roman" w:cs="Times New Roman"/>
                <w:sz w:val="20"/>
                <w:szCs w:val="20"/>
              </w:rPr>
              <w:t xml:space="preserve"> a Ministerului Mediului.</w:t>
            </w:r>
          </w:p>
        </w:tc>
        <w:tc>
          <w:tcPr>
            <w:tcW w:w="4809" w:type="dxa"/>
          </w:tcPr>
          <w:p w14:paraId="1BC472BA" w14:textId="0FB3D81F" w:rsidR="0052246C" w:rsidRPr="001F71EB" w:rsidRDefault="00457C59"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lastRenderedPageBreak/>
              <w:t>Menționăm că, prin scrisoarea nr. 07/1-07/3154 din 24.11.2025, Ministerul Mediului a prezentat lista de standarde care urmează a fi adoptate de Organismul Național de Standardizare, printre acestea fiind incluse și standardele internaționale ISO 6503 și ISO 4626. Totodată, suplimentar scrisorii menționate, Ministerul va interveni cu o solicitare privind adoptarea standardului american ASTM D240.</w:t>
            </w:r>
          </w:p>
        </w:tc>
      </w:tr>
      <w:tr w:rsidR="00B63D5F" w:rsidRPr="005F27A5" w14:paraId="28E4C683" w14:textId="77777777" w:rsidTr="0027421C">
        <w:tc>
          <w:tcPr>
            <w:tcW w:w="2787" w:type="dxa"/>
          </w:tcPr>
          <w:p w14:paraId="091BD353" w14:textId="77777777" w:rsidR="00B63D5F" w:rsidRPr="005F27A5" w:rsidRDefault="00B63D5F"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b/>
                <w:bCs/>
                <w:color w:val="0D0D0D" w:themeColor="text1" w:themeTint="F2"/>
                <w:sz w:val="20"/>
                <w:szCs w:val="20"/>
              </w:rPr>
              <w:t>Ministerul Educației și Cercetării</w:t>
            </w:r>
          </w:p>
          <w:p w14:paraId="50BEEA83" w14:textId="0B86BBF2" w:rsidR="00B63D5F" w:rsidRPr="005F27A5" w:rsidRDefault="00B63D5F"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color w:val="0D0D0D" w:themeColor="text1" w:themeTint="F2"/>
                <w:sz w:val="20"/>
                <w:szCs w:val="20"/>
              </w:rPr>
              <w:t>Aviz nr. 02/33/25 din 10.11.2025</w:t>
            </w:r>
          </w:p>
        </w:tc>
        <w:tc>
          <w:tcPr>
            <w:tcW w:w="737" w:type="dxa"/>
          </w:tcPr>
          <w:p w14:paraId="47379209" w14:textId="777777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39EA3312" w14:textId="4AE4ED82" w:rsidR="00B63D5F" w:rsidRPr="005F27A5" w:rsidRDefault="00B63D5F" w:rsidP="00AB0B66">
            <w:pPr>
              <w:spacing w:beforeLines="20" w:before="48" w:afterLines="20" w:after="48"/>
              <w:ind w:left="57" w:right="57"/>
              <w:jc w:val="both"/>
              <w:rPr>
                <w:rFonts w:ascii="Times New Roman" w:hAnsi="Times New Roman" w:cs="Times New Roman"/>
                <w:b/>
                <w:bCs/>
                <w:color w:val="000000"/>
                <w:sz w:val="20"/>
                <w:szCs w:val="20"/>
              </w:rPr>
            </w:pPr>
            <w:r w:rsidRPr="005F27A5">
              <w:rPr>
                <w:rFonts w:ascii="Times New Roman" w:hAnsi="Times New Roman" w:cs="Times New Roman"/>
                <w:b/>
                <w:bCs/>
                <w:color w:val="000000"/>
                <w:sz w:val="20"/>
                <w:szCs w:val="20"/>
              </w:rPr>
              <w:t>Lipsa obiecțiilor și propunerilor.</w:t>
            </w:r>
          </w:p>
        </w:tc>
        <w:tc>
          <w:tcPr>
            <w:tcW w:w="4809" w:type="dxa"/>
          </w:tcPr>
          <w:p w14:paraId="68B5FE2C" w14:textId="77777777" w:rsidR="00B63D5F" w:rsidRPr="001F71EB" w:rsidRDefault="00B63D5F" w:rsidP="00AB0B66">
            <w:pPr>
              <w:spacing w:beforeLines="20" w:before="48" w:afterLines="20" w:after="48"/>
              <w:ind w:left="57" w:right="57"/>
              <w:jc w:val="both"/>
              <w:rPr>
                <w:rFonts w:ascii="Times New Roman" w:hAnsi="Times New Roman" w:cs="Times New Roman"/>
                <w:bCs/>
                <w:sz w:val="20"/>
                <w:szCs w:val="20"/>
              </w:rPr>
            </w:pPr>
          </w:p>
        </w:tc>
      </w:tr>
      <w:tr w:rsidR="00B63D5F" w:rsidRPr="005F27A5" w14:paraId="379F4EF9" w14:textId="77777777" w:rsidTr="0027421C">
        <w:tc>
          <w:tcPr>
            <w:tcW w:w="2787" w:type="dxa"/>
          </w:tcPr>
          <w:p w14:paraId="255D188B" w14:textId="77777777" w:rsidR="00B63D5F" w:rsidRPr="005F27A5" w:rsidRDefault="00B63D5F"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b/>
                <w:bCs/>
                <w:color w:val="0D0D0D" w:themeColor="text1" w:themeTint="F2"/>
                <w:sz w:val="20"/>
                <w:szCs w:val="20"/>
              </w:rPr>
              <w:t>Ministerul Energiei</w:t>
            </w:r>
          </w:p>
          <w:p w14:paraId="6225D333" w14:textId="2EAD8CA0" w:rsidR="00B63D5F" w:rsidRPr="005F27A5" w:rsidRDefault="00B63D5F"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color w:val="0D0D0D" w:themeColor="text1" w:themeTint="F2"/>
                <w:sz w:val="20"/>
                <w:szCs w:val="20"/>
              </w:rPr>
              <w:t>Aviz nr.</w:t>
            </w:r>
            <w:r w:rsidR="00474B23" w:rsidRPr="005F27A5">
              <w:rPr>
                <w:rFonts w:ascii="Times New Roman" w:hAnsi="Times New Roman" w:cs="Times New Roman"/>
                <w:color w:val="0D0D0D" w:themeColor="text1" w:themeTint="F2"/>
                <w:sz w:val="20"/>
                <w:szCs w:val="20"/>
              </w:rPr>
              <w:t xml:space="preserve"> 07-2988 din 26.11.2025</w:t>
            </w:r>
          </w:p>
        </w:tc>
        <w:tc>
          <w:tcPr>
            <w:tcW w:w="737" w:type="dxa"/>
          </w:tcPr>
          <w:p w14:paraId="60242E6E" w14:textId="777777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6716292B" w14:textId="707765C8" w:rsidR="00B63D5F" w:rsidRPr="005F27A5" w:rsidRDefault="00474B23"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b/>
                <w:bCs/>
                <w:color w:val="000000"/>
                <w:sz w:val="20"/>
                <w:szCs w:val="20"/>
              </w:rPr>
              <w:t>Lipsa obiecțiilor și propunerilor.</w:t>
            </w:r>
          </w:p>
        </w:tc>
        <w:tc>
          <w:tcPr>
            <w:tcW w:w="4809" w:type="dxa"/>
          </w:tcPr>
          <w:p w14:paraId="58365673" w14:textId="77777777" w:rsidR="00B63D5F" w:rsidRPr="001F71EB" w:rsidRDefault="00B63D5F" w:rsidP="00AB0B66">
            <w:pPr>
              <w:spacing w:beforeLines="20" w:before="48" w:afterLines="20" w:after="48"/>
              <w:ind w:left="57" w:right="57"/>
              <w:jc w:val="both"/>
              <w:rPr>
                <w:rFonts w:ascii="Times New Roman" w:hAnsi="Times New Roman" w:cs="Times New Roman"/>
                <w:bCs/>
                <w:sz w:val="20"/>
                <w:szCs w:val="20"/>
              </w:rPr>
            </w:pPr>
          </w:p>
        </w:tc>
      </w:tr>
      <w:tr w:rsidR="00B63D5F" w:rsidRPr="005F27A5" w14:paraId="0DC03E47" w14:textId="77777777" w:rsidTr="0027421C">
        <w:tc>
          <w:tcPr>
            <w:tcW w:w="2787" w:type="dxa"/>
          </w:tcPr>
          <w:p w14:paraId="1654517A" w14:textId="77777777" w:rsidR="00B63D5F" w:rsidRPr="005F27A5" w:rsidRDefault="00B63D5F"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b/>
                <w:bCs/>
                <w:color w:val="0D0D0D" w:themeColor="text1" w:themeTint="F2"/>
                <w:sz w:val="20"/>
                <w:szCs w:val="20"/>
              </w:rPr>
              <w:t>Ministerul Finanțelor (inclusiv Serviciul Vamal)</w:t>
            </w:r>
          </w:p>
          <w:p w14:paraId="7C5C1E79" w14:textId="19DCC456" w:rsidR="00B63D5F" w:rsidRPr="005F27A5" w:rsidRDefault="00B63D5F" w:rsidP="00AB0B66">
            <w:pPr>
              <w:spacing w:beforeLines="20" w:before="48" w:afterLines="20" w:after="48"/>
              <w:ind w:left="57" w:right="57"/>
              <w:contextualSpacing/>
              <w:jc w:val="center"/>
              <w:rPr>
                <w:rFonts w:ascii="Times New Roman" w:hAnsi="Times New Roman" w:cs="Times New Roman"/>
                <w:color w:val="0D0D0D" w:themeColor="text1" w:themeTint="F2"/>
                <w:sz w:val="20"/>
                <w:szCs w:val="20"/>
              </w:rPr>
            </w:pPr>
            <w:r w:rsidRPr="005F27A5">
              <w:rPr>
                <w:rFonts w:ascii="Times New Roman" w:hAnsi="Times New Roman" w:cs="Times New Roman"/>
                <w:color w:val="0D0D0D" w:themeColor="text1" w:themeTint="F2"/>
                <w:sz w:val="20"/>
                <w:szCs w:val="20"/>
              </w:rPr>
              <w:t xml:space="preserve">Aviz nr. </w:t>
            </w:r>
            <w:r w:rsidR="001C1002" w:rsidRPr="005F27A5">
              <w:rPr>
                <w:rFonts w:ascii="Times New Roman" w:hAnsi="Times New Roman" w:cs="Times New Roman"/>
                <w:color w:val="0D0D0D" w:themeColor="text1" w:themeTint="F2"/>
                <w:sz w:val="20"/>
                <w:szCs w:val="20"/>
              </w:rPr>
              <w:t>09/2-03/602/1703</w:t>
            </w:r>
            <w:r w:rsidR="006461E8" w:rsidRPr="005F27A5">
              <w:rPr>
                <w:rFonts w:ascii="Times New Roman" w:hAnsi="Times New Roman" w:cs="Times New Roman"/>
                <w:color w:val="0D0D0D" w:themeColor="text1" w:themeTint="F2"/>
                <w:sz w:val="20"/>
                <w:szCs w:val="20"/>
              </w:rPr>
              <w:t xml:space="preserve"> din 05.12.2025</w:t>
            </w:r>
          </w:p>
        </w:tc>
        <w:tc>
          <w:tcPr>
            <w:tcW w:w="737" w:type="dxa"/>
          </w:tcPr>
          <w:p w14:paraId="750A0B27" w14:textId="777777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1D5AD979" w14:textId="037DDAE0" w:rsidR="00B63D5F" w:rsidRPr="005F27A5" w:rsidRDefault="003D22EA"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La punctul 2 din Regulament, subpunctul 2.2 va avea următorul cuprins: ,,2.2 substanțelor și amestecurilor care fac obiectul supravegherii vamale, cu condiția să nu fie supuse niciunui tratament sau niciunei transformări, care sunt plasate în depozit temporar, zonă liberă, antrepozit vamal, destinate reexportului sau în regimul vamal de tranzit”. Modificarea are ca scop ajustarea termenilor utilizați, în conformitate cu prevederile Codului Vamal, pentru a asigura coerență juridică și aplicare uniformă a Regulamentului.</w:t>
            </w:r>
          </w:p>
        </w:tc>
        <w:tc>
          <w:tcPr>
            <w:tcW w:w="4809" w:type="dxa"/>
          </w:tcPr>
          <w:p w14:paraId="4155A5A3" w14:textId="2B630352" w:rsidR="00B63D5F" w:rsidRPr="001F71EB" w:rsidRDefault="00D53CCE"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
                <w:sz w:val="20"/>
                <w:szCs w:val="20"/>
              </w:rPr>
              <w:t>Se acceptă.</w:t>
            </w:r>
            <w:r w:rsidRPr="001F71EB">
              <w:rPr>
                <w:rFonts w:ascii="Times New Roman" w:hAnsi="Times New Roman" w:cs="Times New Roman"/>
                <w:bCs/>
                <w:sz w:val="20"/>
                <w:szCs w:val="20"/>
              </w:rPr>
              <w:t xml:space="preserve"> Proiectul</w:t>
            </w:r>
            <w:r w:rsidR="00136FCB" w:rsidRPr="001F71EB">
              <w:rPr>
                <w:rFonts w:ascii="Times New Roman" w:hAnsi="Times New Roman" w:cs="Times New Roman"/>
                <w:bCs/>
                <w:sz w:val="20"/>
                <w:szCs w:val="20"/>
              </w:rPr>
              <w:t xml:space="preserve"> </w:t>
            </w:r>
            <w:r w:rsidRPr="001F71EB">
              <w:rPr>
                <w:rFonts w:ascii="Times New Roman" w:hAnsi="Times New Roman" w:cs="Times New Roman"/>
                <w:bCs/>
                <w:sz w:val="20"/>
                <w:szCs w:val="20"/>
              </w:rPr>
              <w:t>a fost</w:t>
            </w:r>
            <w:r w:rsidR="00136FCB" w:rsidRPr="001F71EB">
              <w:rPr>
                <w:rFonts w:ascii="Times New Roman" w:hAnsi="Times New Roman" w:cs="Times New Roman"/>
                <w:bCs/>
                <w:sz w:val="20"/>
                <w:szCs w:val="20"/>
              </w:rPr>
              <w:t xml:space="preserve"> </w:t>
            </w:r>
            <w:r w:rsidRPr="001F71EB">
              <w:rPr>
                <w:rFonts w:ascii="Times New Roman" w:hAnsi="Times New Roman" w:cs="Times New Roman"/>
                <w:bCs/>
                <w:sz w:val="20"/>
                <w:szCs w:val="20"/>
              </w:rPr>
              <w:t>ajustat</w:t>
            </w:r>
            <w:r w:rsidR="00136FCB" w:rsidRPr="001F71EB">
              <w:rPr>
                <w:rFonts w:ascii="Times New Roman" w:hAnsi="Times New Roman" w:cs="Times New Roman"/>
                <w:bCs/>
                <w:sz w:val="20"/>
                <w:szCs w:val="20"/>
              </w:rPr>
              <w:t>.</w:t>
            </w:r>
          </w:p>
        </w:tc>
      </w:tr>
      <w:tr w:rsidR="00B63D5F" w:rsidRPr="005F27A5" w14:paraId="77129A6F" w14:textId="77777777" w:rsidTr="0027421C">
        <w:tc>
          <w:tcPr>
            <w:tcW w:w="2787" w:type="dxa"/>
          </w:tcPr>
          <w:p w14:paraId="5F6DDDD7" w14:textId="74CD676F" w:rsidR="00B63D5F" w:rsidRPr="005F27A5" w:rsidRDefault="00B63D5F"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b/>
                <w:bCs/>
                <w:color w:val="0D0D0D" w:themeColor="text1" w:themeTint="F2"/>
                <w:sz w:val="20"/>
                <w:szCs w:val="20"/>
              </w:rPr>
              <w:t xml:space="preserve">Ministerul Infrastructurii și Dezvoltării Regionale </w:t>
            </w:r>
            <w:r w:rsidRPr="005F27A5">
              <w:rPr>
                <w:rFonts w:ascii="Times New Roman" w:hAnsi="Times New Roman" w:cs="Times New Roman"/>
                <w:color w:val="0D0D0D" w:themeColor="text1" w:themeTint="F2"/>
                <w:sz w:val="20"/>
                <w:szCs w:val="20"/>
              </w:rPr>
              <w:t>Aviz nr. 10 – 6442 din 08.12.2025</w:t>
            </w:r>
          </w:p>
        </w:tc>
        <w:tc>
          <w:tcPr>
            <w:tcW w:w="737" w:type="dxa"/>
          </w:tcPr>
          <w:p w14:paraId="14E45DF2" w14:textId="777777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17F4C26A" w14:textId="4EC1CFB3" w:rsidR="00B63D5F" w:rsidRPr="005F27A5" w:rsidRDefault="00B63D5F" w:rsidP="00AB0B66">
            <w:pPr>
              <w:spacing w:beforeLines="20" w:before="48" w:afterLines="20" w:after="48"/>
              <w:ind w:left="57" w:right="57"/>
              <w:jc w:val="both"/>
              <w:rPr>
                <w:rFonts w:ascii="Times New Roman" w:hAnsi="Times New Roman" w:cs="Times New Roman"/>
                <w:b/>
                <w:bCs/>
                <w:color w:val="000000"/>
                <w:sz w:val="20"/>
                <w:szCs w:val="20"/>
              </w:rPr>
            </w:pPr>
            <w:r w:rsidRPr="005F27A5">
              <w:rPr>
                <w:rFonts w:ascii="Times New Roman" w:hAnsi="Times New Roman" w:cs="Times New Roman"/>
                <w:b/>
                <w:bCs/>
                <w:color w:val="000000"/>
                <w:sz w:val="20"/>
                <w:szCs w:val="20"/>
              </w:rPr>
              <w:t>Lipsa obiecțiilor și propunerilor.</w:t>
            </w:r>
          </w:p>
        </w:tc>
        <w:tc>
          <w:tcPr>
            <w:tcW w:w="4809" w:type="dxa"/>
          </w:tcPr>
          <w:p w14:paraId="23D32A83" w14:textId="77777777" w:rsidR="00B63D5F" w:rsidRPr="001F71EB" w:rsidRDefault="00B63D5F" w:rsidP="00AB0B66">
            <w:pPr>
              <w:spacing w:beforeLines="20" w:before="48" w:afterLines="20" w:after="48"/>
              <w:ind w:left="57" w:right="57"/>
              <w:jc w:val="both"/>
              <w:rPr>
                <w:rFonts w:ascii="Times New Roman" w:hAnsi="Times New Roman" w:cs="Times New Roman"/>
                <w:bCs/>
                <w:sz w:val="20"/>
                <w:szCs w:val="20"/>
              </w:rPr>
            </w:pPr>
          </w:p>
        </w:tc>
      </w:tr>
      <w:tr w:rsidR="00B63D5F" w:rsidRPr="005F27A5" w14:paraId="7B51E1C0" w14:textId="77777777" w:rsidTr="0027421C">
        <w:tc>
          <w:tcPr>
            <w:tcW w:w="2787" w:type="dxa"/>
          </w:tcPr>
          <w:p w14:paraId="6C8F30C4" w14:textId="77777777" w:rsidR="00B63D5F" w:rsidRPr="005F27A5" w:rsidRDefault="00B63D5F"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b/>
                <w:bCs/>
                <w:color w:val="0D0D0D" w:themeColor="text1" w:themeTint="F2"/>
                <w:sz w:val="20"/>
                <w:szCs w:val="20"/>
              </w:rPr>
              <w:t>Agenția Națională Transport Auto</w:t>
            </w:r>
          </w:p>
          <w:p w14:paraId="6B19C099" w14:textId="65DD014B" w:rsidR="00B63D5F" w:rsidRPr="005F27A5" w:rsidRDefault="00B63D5F" w:rsidP="00AB0B66">
            <w:pPr>
              <w:spacing w:beforeLines="20" w:before="48" w:afterLines="20" w:after="48"/>
              <w:ind w:left="57" w:right="57"/>
              <w:contextualSpacing/>
              <w:jc w:val="center"/>
              <w:rPr>
                <w:rFonts w:ascii="Times New Roman" w:hAnsi="Times New Roman" w:cs="Times New Roman"/>
                <w:color w:val="0D0D0D" w:themeColor="text1" w:themeTint="F2"/>
                <w:sz w:val="20"/>
                <w:szCs w:val="20"/>
              </w:rPr>
            </w:pPr>
            <w:r w:rsidRPr="005F27A5">
              <w:rPr>
                <w:rFonts w:ascii="Times New Roman" w:hAnsi="Times New Roman" w:cs="Times New Roman"/>
                <w:color w:val="0D0D0D" w:themeColor="text1" w:themeTint="F2"/>
                <w:sz w:val="20"/>
                <w:szCs w:val="20"/>
              </w:rPr>
              <w:t>Aviz Nr. 02/1-1- 6189 din 19.11.2025</w:t>
            </w:r>
          </w:p>
        </w:tc>
        <w:tc>
          <w:tcPr>
            <w:tcW w:w="737" w:type="dxa"/>
          </w:tcPr>
          <w:p w14:paraId="55FE9BCD" w14:textId="777777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23ABE8CE" w14:textId="4AEB354B" w:rsidR="00B63D5F" w:rsidRPr="005F27A5" w:rsidRDefault="00B63D5F" w:rsidP="00AB0B66">
            <w:pPr>
              <w:spacing w:beforeLines="20" w:before="48" w:afterLines="20" w:after="48"/>
              <w:ind w:left="57" w:right="57"/>
              <w:jc w:val="both"/>
              <w:rPr>
                <w:rFonts w:ascii="Times New Roman" w:hAnsi="Times New Roman" w:cs="Times New Roman"/>
                <w:b/>
                <w:bCs/>
                <w:color w:val="000000"/>
                <w:sz w:val="20"/>
                <w:szCs w:val="20"/>
              </w:rPr>
            </w:pPr>
            <w:r w:rsidRPr="005F27A5">
              <w:rPr>
                <w:rFonts w:ascii="Times New Roman" w:hAnsi="Times New Roman" w:cs="Times New Roman"/>
                <w:b/>
                <w:bCs/>
                <w:color w:val="000000"/>
                <w:sz w:val="20"/>
                <w:szCs w:val="20"/>
              </w:rPr>
              <w:t>Lipsa obiecțiilor și propunerilor.</w:t>
            </w:r>
          </w:p>
        </w:tc>
        <w:tc>
          <w:tcPr>
            <w:tcW w:w="4809" w:type="dxa"/>
          </w:tcPr>
          <w:p w14:paraId="150EFECE" w14:textId="77777777" w:rsidR="00B63D5F" w:rsidRPr="001F71EB" w:rsidRDefault="00B63D5F" w:rsidP="00AB0B66">
            <w:pPr>
              <w:spacing w:beforeLines="20" w:before="48" w:afterLines="20" w:after="48"/>
              <w:ind w:left="57" w:right="57"/>
              <w:jc w:val="both"/>
              <w:rPr>
                <w:rFonts w:ascii="Times New Roman" w:hAnsi="Times New Roman" w:cs="Times New Roman"/>
                <w:bCs/>
                <w:sz w:val="20"/>
                <w:szCs w:val="20"/>
              </w:rPr>
            </w:pPr>
          </w:p>
        </w:tc>
      </w:tr>
      <w:tr w:rsidR="00B63D5F" w:rsidRPr="005F27A5" w14:paraId="5450AC47" w14:textId="77777777" w:rsidTr="0027421C">
        <w:tc>
          <w:tcPr>
            <w:tcW w:w="2787" w:type="dxa"/>
          </w:tcPr>
          <w:p w14:paraId="5B9904C7" w14:textId="77777777" w:rsidR="00B63D5F" w:rsidRPr="005F27A5" w:rsidRDefault="00B63D5F"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b/>
                <w:bCs/>
                <w:color w:val="0D0D0D" w:themeColor="text1" w:themeTint="F2"/>
                <w:sz w:val="20"/>
                <w:szCs w:val="20"/>
              </w:rPr>
              <w:t>Autoritatea Aeronautică Civilă</w:t>
            </w:r>
          </w:p>
          <w:p w14:paraId="6E8D300C" w14:textId="611D646A" w:rsidR="00B63D5F" w:rsidRPr="005F27A5" w:rsidRDefault="00B63D5F" w:rsidP="00AB0B66">
            <w:pPr>
              <w:spacing w:beforeLines="20" w:before="48" w:afterLines="20" w:after="48"/>
              <w:ind w:left="57" w:right="57"/>
              <w:contextualSpacing/>
              <w:jc w:val="center"/>
              <w:rPr>
                <w:rFonts w:ascii="Times New Roman" w:hAnsi="Times New Roman" w:cs="Times New Roman"/>
                <w:color w:val="0D0D0D" w:themeColor="text1" w:themeTint="F2"/>
                <w:sz w:val="20"/>
                <w:szCs w:val="20"/>
              </w:rPr>
            </w:pPr>
            <w:r w:rsidRPr="005F27A5">
              <w:rPr>
                <w:rFonts w:ascii="Times New Roman" w:hAnsi="Times New Roman" w:cs="Times New Roman"/>
                <w:color w:val="0D0D0D" w:themeColor="text1" w:themeTint="F2"/>
                <w:sz w:val="20"/>
                <w:szCs w:val="20"/>
              </w:rPr>
              <w:t>Aviz Nr. 3175 din 26.11.2025</w:t>
            </w:r>
          </w:p>
          <w:p w14:paraId="456B442C" w14:textId="29EF5ACD" w:rsidR="00B63D5F" w:rsidRPr="005F27A5" w:rsidRDefault="00B63D5F"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color w:val="0D0D0D" w:themeColor="text1" w:themeTint="F2"/>
                <w:sz w:val="20"/>
                <w:szCs w:val="20"/>
              </w:rPr>
              <w:t>(SI E-Legiferare)</w:t>
            </w:r>
          </w:p>
        </w:tc>
        <w:tc>
          <w:tcPr>
            <w:tcW w:w="737" w:type="dxa"/>
          </w:tcPr>
          <w:p w14:paraId="3F232A18" w14:textId="777777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4E50EE1C" w14:textId="77777777" w:rsidR="005B02C7" w:rsidRPr="005F27A5" w:rsidRDefault="00B63D5F"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Ca urmare a examinării, se constată că prevederile punctelor 127–129 din proiectul național, care reglementează suprapunerea etichetării CLP (Classification, Labelling and Packaging) și cele de Transport, sunt aliniate în mare măsură cu standardele internaționale, iar pentru a asigura conformitatea deplină, considerăm necesar completarea sau modificarea după caz, a punctului 6 din proiectul regulamentului în următoarea redacție:</w:t>
            </w:r>
          </w:p>
          <w:p w14:paraId="4312B9F4" w14:textId="39174F7B"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sz w:val="20"/>
                <w:szCs w:val="20"/>
              </w:rPr>
              <w:t xml:space="preserve">„6. Pentru transportul aerian, aplicarea prevederilor punctelor 127–129, precum și a tuturor celorlalte dispoziții ale prezentului </w:t>
            </w:r>
            <w:r w:rsidRPr="005F27A5">
              <w:rPr>
                <w:rFonts w:ascii="Times New Roman" w:hAnsi="Times New Roman" w:cs="Times New Roman"/>
                <w:sz w:val="20"/>
                <w:szCs w:val="20"/>
              </w:rPr>
              <w:lastRenderedPageBreak/>
              <w:t>Regulament, se efectuează fără a aduce atingere cerințelor specifice privind clasificarea, etichetarea, ambalarea și documentarea prevăzute de Instrucțiunile Tehnice ale ICAO pentru transportul aerian al mărfurilor periculoase (Doc 9284). În cazul oricărei discrepanțe, prevederile Instrucțiunilor Tehnice ICAO prevalează și constituie cadrul normativ obligatoriu pentru operațiunile de transport aerian”.</w:t>
            </w:r>
          </w:p>
        </w:tc>
        <w:tc>
          <w:tcPr>
            <w:tcW w:w="4809" w:type="dxa"/>
          </w:tcPr>
          <w:p w14:paraId="40749A4F" w14:textId="24A0DA7E" w:rsidR="00B63D5F" w:rsidRPr="001F71EB" w:rsidRDefault="00716471"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
                <w:sz w:val="20"/>
                <w:szCs w:val="20"/>
              </w:rPr>
              <w:lastRenderedPageBreak/>
              <w:t>Se acceptă.</w:t>
            </w:r>
            <w:r w:rsidRPr="001F71EB">
              <w:rPr>
                <w:rFonts w:ascii="Times New Roman" w:hAnsi="Times New Roman" w:cs="Times New Roman"/>
                <w:bCs/>
                <w:sz w:val="20"/>
                <w:szCs w:val="20"/>
              </w:rPr>
              <w:t xml:space="preserve"> Proiectul a fost ajustat.</w:t>
            </w:r>
          </w:p>
        </w:tc>
      </w:tr>
      <w:tr w:rsidR="00B63D5F" w:rsidRPr="005F27A5" w14:paraId="7C2C495F" w14:textId="77777777" w:rsidTr="0027421C">
        <w:tc>
          <w:tcPr>
            <w:tcW w:w="2787" w:type="dxa"/>
          </w:tcPr>
          <w:p w14:paraId="08DFA5E3" w14:textId="77777777" w:rsidR="00B63D5F" w:rsidRPr="005F27A5" w:rsidRDefault="00B63D5F"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b/>
                <w:bCs/>
                <w:color w:val="0D0D0D" w:themeColor="text1" w:themeTint="F2"/>
                <w:sz w:val="20"/>
                <w:szCs w:val="20"/>
              </w:rPr>
              <w:t>Agenția Navală a Republicii Moldova</w:t>
            </w:r>
          </w:p>
          <w:p w14:paraId="41236B33" w14:textId="77777777" w:rsidR="00B63D5F" w:rsidRPr="005F27A5" w:rsidRDefault="00B63D5F" w:rsidP="00AB0B66">
            <w:pPr>
              <w:spacing w:beforeLines="20" w:before="48" w:afterLines="20" w:after="48"/>
              <w:ind w:left="57" w:right="57"/>
              <w:contextualSpacing/>
              <w:jc w:val="center"/>
              <w:rPr>
                <w:rFonts w:ascii="Times New Roman" w:hAnsi="Times New Roman" w:cs="Times New Roman"/>
                <w:color w:val="0D0D0D" w:themeColor="text1" w:themeTint="F2"/>
                <w:sz w:val="20"/>
                <w:szCs w:val="20"/>
              </w:rPr>
            </w:pPr>
            <w:r w:rsidRPr="005F27A5">
              <w:rPr>
                <w:rFonts w:ascii="Times New Roman" w:hAnsi="Times New Roman" w:cs="Times New Roman"/>
                <w:color w:val="0D0D0D" w:themeColor="text1" w:themeTint="F2"/>
                <w:sz w:val="20"/>
                <w:szCs w:val="20"/>
              </w:rPr>
              <w:t>Aviz Nr. 03-506 din 24.12.2025</w:t>
            </w:r>
          </w:p>
          <w:p w14:paraId="33BADFEB" w14:textId="2180CE12" w:rsidR="00B63D5F" w:rsidRPr="005F27A5" w:rsidRDefault="00B63D5F" w:rsidP="00AB0B66">
            <w:pPr>
              <w:spacing w:beforeLines="20" w:before="48" w:afterLines="20" w:after="48"/>
              <w:ind w:left="57" w:right="57"/>
              <w:contextualSpacing/>
              <w:jc w:val="center"/>
              <w:rPr>
                <w:rFonts w:ascii="Times New Roman" w:hAnsi="Times New Roman" w:cs="Times New Roman"/>
                <w:color w:val="0D0D0D" w:themeColor="text1" w:themeTint="F2"/>
                <w:sz w:val="20"/>
                <w:szCs w:val="20"/>
              </w:rPr>
            </w:pPr>
            <w:r w:rsidRPr="005F27A5">
              <w:rPr>
                <w:rFonts w:ascii="Times New Roman" w:hAnsi="Times New Roman" w:cs="Times New Roman"/>
                <w:color w:val="0D0D0D" w:themeColor="text1" w:themeTint="F2"/>
                <w:sz w:val="20"/>
                <w:szCs w:val="20"/>
              </w:rPr>
              <w:t>(SI E-legiferare)</w:t>
            </w:r>
          </w:p>
        </w:tc>
        <w:tc>
          <w:tcPr>
            <w:tcW w:w="737" w:type="dxa"/>
          </w:tcPr>
          <w:p w14:paraId="232D176F" w14:textId="777777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13E8C7BB" w14:textId="16C901B6" w:rsidR="00B63D5F" w:rsidRPr="005F27A5" w:rsidRDefault="00B63D5F" w:rsidP="00AB0B66">
            <w:pPr>
              <w:spacing w:beforeLines="20" w:before="48" w:afterLines="20" w:after="48"/>
              <w:ind w:left="57" w:right="57"/>
              <w:jc w:val="both"/>
              <w:rPr>
                <w:rFonts w:ascii="Times New Roman" w:hAnsi="Times New Roman" w:cs="Times New Roman"/>
                <w:b/>
                <w:bCs/>
                <w:color w:val="000000"/>
                <w:sz w:val="20"/>
                <w:szCs w:val="20"/>
              </w:rPr>
            </w:pPr>
            <w:r w:rsidRPr="005F27A5">
              <w:rPr>
                <w:rFonts w:ascii="Times New Roman" w:hAnsi="Times New Roman" w:cs="Times New Roman"/>
                <w:b/>
                <w:bCs/>
                <w:color w:val="000000"/>
                <w:sz w:val="20"/>
                <w:szCs w:val="20"/>
              </w:rPr>
              <w:t>Lipsa obiecțiilor și propunerilor.</w:t>
            </w:r>
          </w:p>
        </w:tc>
        <w:tc>
          <w:tcPr>
            <w:tcW w:w="4809" w:type="dxa"/>
          </w:tcPr>
          <w:p w14:paraId="64431292" w14:textId="77777777" w:rsidR="00B63D5F" w:rsidRPr="001F71EB" w:rsidRDefault="00B63D5F" w:rsidP="00AB0B66">
            <w:pPr>
              <w:spacing w:beforeLines="20" w:before="48" w:afterLines="20" w:after="48"/>
              <w:ind w:left="57" w:right="57"/>
              <w:jc w:val="both"/>
              <w:rPr>
                <w:rFonts w:ascii="Times New Roman" w:hAnsi="Times New Roman" w:cs="Times New Roman"/>
                <w:bCs/>
                <w:sz w:val="20"/>
                <w:szCs w:val="20"/>
              </w:rPr>
            </w:pPr>
          </w:p>
        </w:tc>
      </w:tr>
      <w:tr w:rsidR="00B63D5F" w:rsidRPr="005F27A5" w14:paraId="7A3295EB" w14:textId="77777777" w:rsidTr="0027421C">
        <w:tc>
          <w:tcPr>
            <w:tcW w:w="2787" w:type="dxa"/>
          </w:tcPr>
          <w:p w14:paraId="4DA84AEE" w14:textId="77777777" w:rsidR="00B63D5F" w:rsidRPr="005F27A5" w:rsidRDefault="00B63D5F"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b/>
                <w:bCs/>
                <w:color w:val="0D0D0D" w:themeColor="text1" w:themeTint="F2"/>
                <w:sz w:val="20"/>
                <w:szCs w:val="20"/>
              </w:rPr>
              <w:t>Agenția Feroviară</w:t>
            </w:r>
          </w:p>
          <w:p w14:paraId="6716798E" w14:textId="77777777" w:rsidR="00B63D5F" w:rsidRPr="005F27A5" w:rsidRDefault="00B63D5F" w:rsidP="00AB0B66">
            <w:pPr>
              <w:spacing w:beforeLines="20" w:before="48" w:afterLines="20" w:after="48"/>
              <w:ind w:left="57" w:right="57"/>
              <w:contextualSpacing/>
              <w:jc w:val="center"/>
              <w:rPr>
                <w:rFonts w:ascii="Times New Roman" w:hAnsi="Times New Roman" w:cs="Times New Roman"/>
                <w:color w:val="0D0D0D" w:themeColor="text1" w:themeTint="F2"/>
                <w:sz w:val="20"/>
                <w:szCs w:val="20"/>
              </w:rPr>
            </w:pPr>
            <w:r w:rsidRPr="005F27A5">
              <w:rPr>
                <w:rFonts w:ascii="Times New Roman" w:hAnsi="Times New Roman" w:cs="Times New Roman"/>
                <w:color w:val="0D0D0D" w:themeColor="text1" w:themeTint="F2"/>
                <w:sz w:val="20"/>
                <w:szCs w:val="20"/>
              </w:rPr>
              <w:t>Aviz nr. 01-273 din 25.11.2025</w:t>
            </w:r>
          </w:p>
          <w:p w14:paraId="5479E9A5" w14:textId="2919BB66" w:rsidR="00B63D5F" w:rsidRPr="005F27A5" w:rsidRDefault="00B63D5F" w:rsidP="00AB0B66">
            <w:pPr>
              <w:spacing w:beforeLines="20" w:before="48" w:afterLines="20" w:after="48"/>
              <w:ind w:left="57" w:right="57"/>
              <w:contextualSpacing/>
              <w:jc w:val="center"/>
              <w:rPr>
                <w:rFonts w:ascii="Times New Roman" w:hAnsi="Times New Roman" w:cs="Times New Roman"/>
                <w:color w:val="0D0D0D" w:themeColor="text1" w:themeTint="F2"/>
                <w:sz w:val="20"/>
                <w:szCs w:val="20"/>
              </w:rPr>
            </w:pPr>
            <w:r w:rsidRPr="005F27A5">
              <w:rPr>
                <w:rFonts w:ascii="Times New Roman" w:hAnsi="Times New Roman" w:cs="Times New Roman"/>
                <w:color w:val="0D0D0D" w:themeColor="text1" w:themeTint="F2"/>
                <w:sz w:val="20"/>
                <w:szCs w:val="20"/>
              </w:rPr>
              <w:t>(SI E-legiferare)</w:t>
            </w:r>
          </w:p>
        </w:tc>
        <w:tc>
          <w:tcPr>
            <w:tcW w:w="737" w:type="dxa"/>
          </w:tcPr>
          <w:p w14:paraId="64054405" w14:textId="777777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390F4EEE" w14:textId="15A50C2E" w:rsidR="00B63D5F" w:rsidRPr="005F27A5" w:rsidRDefault="00B63D5F" w:rsidP="00AB0B66">
            <w:pPr>
              <w:spacing w:beforeLines="20" w:before="48" w:afterLines="20" w:after="48"/>
              <w:ind w:left="57" w:right="57"/>
              <w:jc w:val="both"/>
              <w:rPr>
                <w:rFonts w:ascii="Times New Roman" w:hAnsi="Times New Roman" w:cs="Times New Roman"/>
                <w:b/>
                <w:bCs/>
                <w:color w:val="000000"/>
                <w:sz w:val="20"/>
                <w:szCs w:val="20"/>
              </w:rPr>
            </w:pPr>
            <w:r w:rsidRPr="005F27A5">
              <w:rPr>
                <w:rFonts w:ascii="Times New Roman" w:hAnsi="Times New Roman" w:cs="Times New Roman"/>
                <w:b/>
                <w:bCs/>
                <w:color w:val="000000"/>
                <w:sz w:val="20"/>
                <w:szCs w:val="20"/>
              </w:rPr>
              <w:t>Lipsa obiecțiilor și propunerilor.</w:t>
            </w:r>
          </w:p>
        </w:tc>
        <w:tc>
          <w:tcPr>
            <w:tcW w:w="4809" w:type="dxa"/>
          </w:tcPr>
          <w:p w14:paraId="1B53D582" w14:textId="77777777" w:rsidR="00B63D5F" w:rsidRPr="001F71EB" w:rsidRDefault="00B63D5F" w:rsidP="00AB0B66">
            <w:pPr>
              <w:spacing w:beforeLines="20" w:before="48" w:afterLines="20" w:after="48"/>
              <w:ind w:left="57" w:right="57"/>
              <w:jc w:val="both"/>
              <w:rPr>
                <w:rFonts w:ascii="Times New Roman" w:hAnsi="Times New Roman" w:cs="Times New Roman"/>
                <w:bCs/>
                <w:sz w:val="20"/>
                <w:szCs w:val="20"/>
              </w:rPr>
            </w:pPr>
          </w:p>
        </w:tc>
      </w:tr>
      <w:tr w:rsidR="00B63D5F" w:rsidRPr="005F27A5" w14:paraId="6D9A6E77" w14:textId="77777777" w:rsidTr="0027421C">
        <w:tc>
          <w:tcPr>
            <w:tcW w:w="2787" w:type="dxa"/>
          </w:tcPr>
          <w:p w14:paraId="5D1FDA3F" w14:textId="77777777" w:rsidR="00B63D5F" w:rsidRPr="005F27A5" w:rsidRDefault="00B63D5F"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b/>
                <w:bCs/>
                <w:color w:val="0D0D0D" w:themeColor="text1" w:themeTint="F2"/>
                <w:sz w:val="20"/>
                <w:szCs w:val="20"/>
              </w:rPr>
              <w:t>Ministerul Muncii și Protecției Sociale</w:t>
            </w:r>
          </w:p>
          <w:p w14:paraId="79CC582C" w14:textId="5674BA29" w:rsidR="00B63D5F" w:rsidRPr="005F27A5" w:rsidRDefault="00B63D5F"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color w:val="0D0D0D" w:themeColor="text1" w:themeTint="F2"/>
                <w:sz w:val="20"/>
                <w:szCs w:val="20"/>
              </w:rPr>
              <w:t>Aviz nr. 07/5285 din 14.11.2025</w:t>
            </w:r>
          </w:p>
        </w:tc>
        <w:tc>
          <w:tcPr>
            <w:tcW w:w="737" w:type="dxa"/>
          </w:tcPr>
          <w:p w14:paraId="2F5F8D31" w14:textId="777777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421AC382" w14:textId="44A41692"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Pentru a asigura mai multă claritate referitoare la sursele de informații în procesul de identificare și examinare a informațiilor disponibile referitoare la substanțe, precum și pentru a ajusta anumite noțiuni la cadrul normativ național din domeniul securității și sănătății în muncă propunem:</w:t>
            </w:r>
          </w:p>
          <w:p w14:paraId="4D13104A" w14:textId="777777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1. La Regulament:</w:t>
            </w:r>
          </w:p>
          <w:p w14:paraId="021A0001" w14:textId="777777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1.1. pct. 20.2., pct. 29.2., după cuvântul „accidente” se completează cu cuvintele „și boli”.</w:t>
            </w:r>
          </w:p>
          <w:p w14:paraId="63599F55" w14:textId="777777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1.2. la pct.87 cuvintele „ocrotirea sănătății și a siguranței” se substituie cu cuvintele „protecția securității și sănătății”.</w:t>
            </w:r>
          </w:p>
          <w:p w14:paraId="571FF5BD" w14:textId="777777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2. În anexa 1 la Regulament:</w:t>
            </w:r>
          </w:p>
          <w:p w14:paraId="0FBA06C8" w14:textId="777777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2.1 pct.1.1.1.3. și pct. 4.3.2.4.1 după cuvântul „accidente” se completează cu cuvintele „și boli”;</w:t>
            </w:r>
          </w:p>
          <w:p w14:paraId="38B3C1D8" w14:textId="777777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2.2 la pct. 1.4.1 alineatul (II) cuvintele „sănătatea și securitatea” se substituie cu cuvintele „securitatea și sănătatea”;</w:t>
            </w:r>
          </w:p>
          <w:p w14:paraId="65ED4604" w14:textId="777777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3. În anexa 7 la Regulament în ultima propoziție cuvintele „sănătatea și securitatea” se substituie cu cuvintele „securitatea și sănătatea”;</w:t>
            </w:r>
          </w:p>
          <w:p w14:paraId="7FB8585B" w14:textId="67ACA971"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4. La Nota de fundamentare la pct. 4.4 secțiunea Securitatea în muncă cuvintele „”sănătății și securității” se substituie cu cuvintele „securității și sănătății”.</w:t>
            </w:r>
          </w:p>
        </w:tc>
        <w:tc>
          <w:tcPr>
            <w:tcW w:w="4809" w:type="dxa"/>
          </w:tcPr>
          <w:p w14:paraId="5E2286CE" w14:textId="65F2AFF8" w:rsidR="00B63D5F" w:rsidRPr="001F71EB" w:rsidRDefault="00BA09EB"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
                <w:sz w:val="20"/>
                <w:szCs w:val="20"/>
              </w:rPr>
              <w:t>S</w:t>
            </w:r>
            <w:r w:rsidR="007C7645" w:rsidRPr="001F71EB">
              <w:rPr>
                <w:rFonts w:ascii="Times New Roman" w:hAnsi="Times New Roman" w:cs="Times New Roman"/>
                <w:b/>
                <w:sz w:val="20"/>
                <w:szCs w:val="20"/>
              </w:rPr>
              <w:t>e</w:t>
            </w:r>
            <w:r w:rsidRPr="001F71EB">
              <w:rPr>
                <w:rFonts w:ascii="Times New Roman" w:hAnsi="Times New Roman" w:cs="Times New Roman"/>
                <w:b/>
                <w:sz w:val="20"/>
                <w:szCs w:val="20"/>
              </w:rPr>
              <w:t xml:space="preserve"> acceptă</w:t>
            </w:r>
            <w:r w:rsidR="007C7645" w:rsidRPr="001F71EB">
              <w:rPr>
                <w:rFonts w:ascii="Times New Roman" w:hAnsi="Times New Roman" w:cs="Times New Roman"/>
                <w:b/>
                <w:sz w:val="20"/>
                <w:szCs w:val="20"/>
              </w:rPr>
              <w:t>.</w:t>
            </w:r>
            <w:r w:rsidR="007C7645" w:rsidRPr="001F71EB">
              <w:rPr>
                <w:rFonts w:ascii="Times New Roman" w:hAnsi="Times New Roman" w:cs="Times New Roman"/>
                <w:bCs/>
                <w:sz w:val="20"/>
                <w:szCs w:val="20"/>
              </w:rPr>
              <w:t xml:space="preserve"> Proiectul a fost ajustat.</w:t>
            </w:r>
          </w:p>
        </w:tc>
      </w:tr>
      <w:tr w:rsidR="00E84835" w:rsidRPr="005F27A5" w14:paraId="36A9AABC" w14:textId="77777777" w:rsidTr="00E84835">
        <w:trPr>
          <w:trHeight w:val="833"/>
        </w:trPr>
        <w:tc>
          <w:tcPr>
            <w:tcW w:w="2787" w:type="dxa"/>
            <w:vMerge w:val="restart"/>
          </w:tcPr>
          <w:p w14:paraId="5A867F0C" w14:textId="77777777" w:rsidR="00E84835" w:rsidRPr="005F27A5" w:rsidRDefault="00E84835"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b/>
                <w:bCs/>
                <w:color w:val="0D0D0D" w:themeColor="text1" w:themeTint="F2"/>
                <w:sz w:val="20"/>
                <w:szCs w:val="20"/>
              </w:rPr>
              <w:lastRenderedPageBreak/>
              <w:t>Ministerul Sănătății (inclusiv Agenția Națională</w:t>
            </w:r>
          </w:p>
          <w:p w14:paraId="6C52759E" w14:textId="77777777" w:rsidR="00E84835" w:rsidRPr="005F27A5" w:rsidRDefault="00E84835"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b/>
                <w:bCs/>
                <w:color w:val="0D0D0D" w:themeColor="text1" w:themeTint="F2"/>
                <w:sz w:val="20"/>
                <w:szCs w:val="20"/>
              </w:rPr>
              <w:t>pentru Sănătate Publică)</w:t>
            </w:r>
          </w:p>
          <w:p w14:paraId="20C41FE6" w14:textId="5F302A6D" w:rsidR="00E84835" w:rsidRPr="005F27A5" w:rsidRDefault="00E84835"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color w:val="0D0D0D" w:themeColor="text1" w:themeTint="F2"/>
                <w:sz w:val="20"/>
                <w:szCs w:val="20"/>
              </w:rPr>
              <w:t>Aviz nr. 09/ 3743  din  27.11.2025</w:t>
            </w:r>
          </w:p>
        </w:tc>
        <w:tc>
          <w:tcPr>
            <w:tcW w:w="737" w:type="dxa"/>
            <w:vMerge w:val="restart"/>
          </w:tcPr>
          <w:p w14:paraId="1F088316" w14:textId="77777777" w:rsidR="00E84835" w:rsidRPr="005F27A5" w:rsidRDefault="00E84835"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2499B63D" w14:textId="3A97D879" w:rsidR="00E84835" w:rsidRPr="005F27A5" w:rsidRDefault="00E84835" w:rsidP="00BD6360">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1. La pct. 146 textul „prezintă Agenției Naționale pentru Sănătate Publică” se substituie cu textul „prezintă, prin intermediul platformei electronice de gestionare a datelor privind riscurile chimice, Agenției Naționale pentru Sănătate Publică”.</w:t>
            </w:r>
          </w:p>
        </w:tc>
        <w:tc>
          <w:tcPr>
            <w:tcW w:w="4809" w:type="dxa"/>
          </w:tcPr>
          <w:p w14:paraId="37F1146F" w14:textId="07436E60" w:rsidR="00E84835" w:rsidRPr="001F71EB" w:rsidRDefault="00E84835"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
                <w:sz w:val="20"/>
                <w:szCs w:val="20"/>
              </w:rPr>
              <w:t>Se acceptă</w:t>
            </w:r>
            <w:r w:rsidRPr="001F71EB">
              <w:rPr>
                <w:rFonts w:ascii="Times New Roman" w:hAnsi="Times New Roman" w:cs="Times New Roman"/>
                <w:bCs/>
                <w:sz w:val="20"/>
                <w:szCs w:val="20"/>
              </w:rPr>
              <w:t>. Proiectul a fost ajustat.</w:t>
            </w:r>
          </w:p>
        </w:tc>
      </w:tr>
      <w:tr w:rsidR="00E84835" w:rsidRPr="005F27A5" w14:paraId="10CCEAD1" w14:textId="77777777" w:rsidTr="00E84835">
        <w:trPr>
          <w:trHeight w:val="833"/>
        </w:trPr>
        <w:tc>
          <w:tcPr>
            <w:tcW w:w="2787" w:type="dxa"/>
            <w:vMerge/>
          </w:tcPr>
          <w:p w14:paraId="0A7C3BD6" w14:textId="77777777" w:rsidR="00E84835" w:rsidRPr="005F27A5" w:rsidRDefault="00E84835"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5B10320B" w14:textId="77777777" w:rsidR="00E84835" w:rsidRPr="005F27A5" w:rsidRDefault="00E84835"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175CBDC5" w14:textId="218A4C35" w:rsidR="00E84835" w:rsidRPr="005F27A5" w:rsidRDefault="00C72C95" w:rsidP="00C72C95">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2. La pct. 152 cuvintele „centrelor antitoxice” se substituie cu textul „centrelor toxicologice”.</w:t>
            </w:r>
          </w:p>
        </w:tc>
        <w:tc>
          <w:tcPr>
            <w:tcW w:w="4809" w:type="dxa"/>
          </w:tcPr>
          <w:p w14:paraId="6CED4D73" w14:textId="77777777" w:rsidR="00E84835" w:rsidRPr="001F71EB" w:rsidRDefault="006D4821" w:rsidP="00AB0B66">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t>Nu se acceptă.</w:t>
            </w:r>
          </w:p>
          <w:p w14:paraId="5BE8E603" w14:textId="2EAFBED2" w:rsidR="006D4821" w:rsidRPr="001F71EB" w:rsidRDefault="00457459" w:rsidP="00C93ABD">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t xml:space="preserve">Obiecția nu poate fi acceptată, întrucât propunerea vizează modificarea denumirii unei asociații profesionale internaționale - </w:t>
            </w:r>
            <w:r w:rsidRPr="001F71EB">
              <w:rPr>
                <w:rFonts w:ascii="Times New Roman" w:hAnsi="Times New Roman" w:cs="Times New Roman"/>
                <w:bCs/>
                <w:i/>
                <w:iCs/>
                <w:sz w:val="20"/>
                <w:szCs w:val="20"/>
              </w:rPr>
              <w:t>European Association of Poisons Centres and Clinical Toxicologists</w:t>
            </w:r>
            <w:r w:rsidRPr="001F71EB">
              <w:rPr>
                <w:rFonts w:ascii="Times New Roman" w:hAnsi="Times New Roman" w:cs="Times New Roman"/>
                <w:bCs/>
                <w:sz w:val="20"/>
                <w:szCs w:val="20"/>
              </w:rPr>
              <w:t xml:space="preserve"> (Asociația europeană a centrelor antitoxice și a toxicologilor clinicieni). Astfel, orice substituire terminologică ar conduce la o denaturare a denumirii oficiale a organizației și nu este justificată din punct de vedere normativ.</w:t>
            </w:r>
          </w:p>
        </w:tc>
      </w:tr>
      <w:tr w:rsidR="00E84835" w:rsidRPr="005F27A5" w14:paraId="0C3CD382" w14:textId="77777777" w:rsidTr="00E84835">
        <w:trPr>
          <w:trHeight w:val="833"/>
        </w:trPr>
        <w:tc>
          <w:tcPr>
            <w:tcW w:w="2787" w:type="dxa"/>
            <w:vMerge/>
          </w:tcPr>
          <w:p w14:paraId="205912B8" w14:textId="77777777" w:rsidR="00E84835" w:rsidRPr="005F27A5" w:rsidRDefault="00E84835"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142FD891" w14:textId="77777777" w:rsidR="00E84835" w:rsidRPr="005F27A5" w:rsidRDefault="00E84835"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0A93DD3D" w14:textId="253AF6C6" w:rsidR="00E84835" w:rsidRPr="005F27A5" w:rsidRDefault="00C72C95" w:rsidP="00CC1C7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3. La Anexa nr. 8, Partea A, pct. 3.1. va avea următorul cuprins: „3.1. Înainte de a introduce amestecurile pe piață, transmițătorii furnizează Agenției Naționale pentru Sănătate Publică, în temeiul pct. 145, informațiile referitoare la amestecurile clasificate ca fiind periculoase pe baza efectelor fizice sau asupra sănătății. Transmiterea trebuie să conțină informațiile prevăzute în partea B. Acestea se transmit prin intermediul platformei electronice de gestionare a datelor privind riscurile chimice pus la dispoziție de agenție în mod gratuit.”.</w:t>
            </w:r>
          </w:p>
        </w:tc>
        <w:tc>
          <w:tcPr>
            <w:tcW w:w="4809" w:type="dxa"/>
          </w:tcPr>
          <w:p w14:paraId="659B273A" w14:textId="2FEDCA11" w:rsidR="00E84835" w:rsidRPr="001F71EB" w:rsidRDefault="00CC1C76" w:rsidP="00AB0B66">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t>Se acceptă</w:t>
            </w:r>
            <w:r w:rsidRPr="001F71EB">
              <w:rPr>
                <w:rFonts w:ascii="Times New Roman" w:hAnsi="Times New Roman" w:cs="Times New Roman"/>
                <w:bCs/>
                <w:sz w:val="20"/>
                <w:szCs w:val="20"/>
              </w:rPr>
              <w:t>. Proiectul a fost ajustat.</w:t>
            </w:r>
          </w:p>
        </w:tc>
      </w:tr>
      <w:tr w:rsidR="00E84835" w:rsidRPr="005F27A5" w14:paraId="4A4EB5E8" w14:textId="77777777" w:rsidTr="00E84835">
        <w:trPr>
          <w:trHeight w:val="833"/>
        </w:trPr>
        <w:tc>
          <w:tcPr>
            <w:tcW w:w="2787" w:type="dxa"/>
            <w:vMerge/>
          </w:tcPr>
          <w:p w14:paraId="148AEA3C" w14:textId="77777777" w:rsidR="00E84835" w:rsidRPr="005F27A5" w:rsidRDefault="00E84835"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3048C8A1" w14:textId="77777777" w:rsidR="00E84835" w:rsidRPr="005F27A5" w:rsidRDefault="00E84835"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7345913E" w14:textId="37F2F2F7" w:rsidR="00E84835" w:rsidRPr="005F27A5" w:rsidRDefault="00C72C95" w:rsidP="00C72C95">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4. La Anexa nr. 8, Partea A, pct. 3.2. cuvintele „un organism desemnat” se substituie cu textul „Agenția Națională pentru Sănătate Publică”.</w:t>
            </w:r>
          </w:p>
        </w:tc>
        <w:tc>
          <w:tcPr>
            <w:tcW w:w="4809" w:type="dxa"/>
          </w:tcPr>
          <w:p w14:paraId="4EE1DFAC" w14:textId="4ADDBF08" w:rsidR="00E84835" w:rsidRPr="001F71EB" w:rsidRDefault="00CC1C76" w:rsidP="00AB0B66">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t>Se acceptă</w:t>
            </w:r>
            <w:r w:rsidRPr="001F71EB">
              <w:rPr>
                <w:rFonts w:ascii="Times New Roman" w:hAnsi="Times New Roman" w:cs="Times New Roman"/>
                <w:bCs/>
                <w:sz w:val="20"/>
                <w:szCs w:val="20"/>
              </w:rPr>
              <w:t>. Proiectul a fost ajustat.</w:t>
            </w:r>
          </w:p>
        </w:tc>
      </w:tr>
      <w:tr w:rsidR="00E84835" w:rsidRPr="005F27A5" w14:paraId="2094EDB8" w14:textId="77777777" w:rsidTr="00E84835">
        <w:trPr>
          <w:trHeight w:val="833"/>
        </w:trPr>
        <w:tc>
          <w:tcPr>
            <w:tcW w:w="2787" w:type="dxa"/>
            <w:vMerge/>
          </w:tcPr>
          <w:p w14:paraId="48A558C0" w14:textId="77777777" w:rsidR="00E84835" w:rsidRPr="005F27A5" w:rsidRDefault="00E84835"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0A4AA4EE" w14:textId="77777777" w:rsidR="00E84835" w:rsidRPr="005F27A5" w:rsidRDefault="00E84835"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6CA5F681" w14:textId="3FD15B8A" w:rsidR="00E84835" w:rsidRPr="005F27A5" w:rsidRDefault="00012EB2" w:rsidP="00012EB2">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5. La Anexa nr. 8, Partea A, pct. 3.3. va avea următorul cuprins: „3.3.Transmiterea de date are loc în limba română.”.</w:t>
            </w:r>
          </w:p>
        </w:tc>
        <w:tc>
          <w:tcPr>
            <w:tcW w:w="4809" w:type="dxa"/>
          </w:tcPr>
          <w:p w14:paraId="35EEADF9" w14:textId="047097E6" w:rsidR="00E84835" w:rsidRPr="001F71EB" w:rsidRDefault="00CC1C76" w:rsidP="00AB0B66">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t>Se acceptă</w:t>
            </w:r>
            <w:r w:rsidRPr="001F71EB">
              <w:rPr>
                <w:rFonts w:ascii="Times New Roman" w:hAnsi="Times New Roman" w:cs="Times New Roman"/>
                <w:bCs/>
                <w:sz w:val="20"/>
                <w:szCs w:val="20"/>
              </w:rPr>
              <w:t>. Proiectul a fost ajustat.</w:t>
            </w:r>
          </w:p>
        </w:tc>
      </w:tr>
      <w:tr w:rsidR="00E84835" w:rsidRPr="005F27A5" w14:paraId="0C588D63" w14:textId="77777777" w:rsidTr="00E84835">
        <w:trPr>
          <w:trHeight w:val="833"/>
        </w:trPr>
        <w:tc>
          <w:tcPr>
            <w:tcW w:w="2787" w:type="dxa"/>
            <w:vMerge/>
          </w:tcPr>
          <w:p w14:paraId="0C707188" w14:textId="77777777" w:rsidR="00E84835" w:rsidRPr="005F27A5" w:rsidRDefault="00E84835"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50C01F09" w14:textId="77777777" w:rsidR="00E84835" w:rsidRPr="005F27A5" w:rsidRDefault="00E84835"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757371AF" w14:textId="0B30C9B4" w:rsidR="00E84835" w:rsidRPr="005F27A5" w:rsidRDefault="00C12014" w:rsidP="00C12014">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6. La Anexa nr. 8, Partea A, pct. 6.1. textul „ formatele XML pentru transmiteri”, se exlude.</w:t>
            </w:r>
          </w:p>
        </w:tc>
        <w:tc>
          <w:tcPr>
            <w:tcW w:w="4809" w:type="dxa"/>
          </w:tcPr>
          <w:p w14:paraId="68DD4979" w14:textId="7174E8A6" w:rsidR="00E84835" w:rsidRPr="001F71EB" w:rsidRDefault="006D4821" w:rsidP="00AB0B66">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t>Se acceptă</w:t>
            </w:r>
            <w:r w:rsidRPr="001F71EB">
              <w:rPr>
                <w:rFonts w:ascii="Times New Roman" w:hAnsi="Times New Roman" w:cs="Times New Roman"/>
                <w:bCs/>
                <w:sz w:val="20"/>
                <w:szCs w:val="20"/>
              </w:rPr>
              <w:t>. Proiectul a fost ajustat.</w:t>
            </w:r>
          </w:p>
        </w:tc>
      </w:tr>
      <w:tr w:rsidR="00E84835" w:rsidRPr="005F27A5" w14:paraId="23A4EA26" w14:textId="77777777" w:rsidTr="00E84835">
        <w:trPr>
          <w:trHeight w:val="833"/>
        </w:trPr>
        <w:tc>
          <w:tcPr>
            <w:tcW w:w="2787" w:type="dxa"/>
            <w:vMerge/>
          </w:tcPr>
          <w:p w14:paraId="3C34CE0E" w14:textId="77777777" w:rsidR="00E84835" w:rsidRPr="005F27A5" w:rsidRDefault="00E84835"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50D1C6AD" w14:textId="77777777" w:rsidR="00E84835" w:rsidRPr="005F27A5" w:rsidRDefault="00E84835"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1ABFC1A7" w14:textId="6E58622F" w:rsidR="00E84835" w:rsidRPr="005F27A5" w:rsidRDefault="00BD6360"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7. La Anexa nr. 8, Partea C, pct. 1.1. cuvintele „organismele desemnate” se sustituie cu textul „Agenția Națională pentru Sănătate Publică”.</w:t>
            </w:r>
          </w:p>
        </w:tc>
        <w:tc>
          <w:tcPr>
            <w:tcW w:w="4809" w:type="dxa"/>
          </w:tcPr>
          <w:p w14:paraId="4974DF3C" w14:textId="3A185105" w:rsidR="00E84835" w:rsidRPr="001F71EB" w:rsidRDefault="00CC1C76" w:rsidP="00AB0B66">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t>Se acceptă</w:t>
            </w:r>
            <w:r w:rsidRPr="001F71EB">
              <w:rPr>
                <w:rFonts w:ascii="Times New Roman" w:hAnsi="Times New Roman" w:cs="Times New Roman"/>
                <w:bCs/>
                <w:sz w:val="20"/>
                <w:szCs w:val="20"/>
              </w:rPr>
              <w:t>. Proiectul a fost ajustat.</w:t>
            </w:r>
          </w:p>
        </w:tc>
      </w:tr>
      <w:tr w:rsidR="00B63D5F" w:rsidRPr="005F27A5" w14:paraId="2E59F9B3" w14:textId="77777777" w:rsidTr="0027421C">
        <w:tc>
          <w:tcPr>
            <w:tcW w:w="2787" w:type="dxa"/>
          </w:tcPr>
          <w:p w14:paraId="45761E1C" w14:textId="77777777" w:rsidR="00B63D5F" w:rsidRPr="005F27A5" w:rsidRDefault="00B63D5F"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b/>
                <w:bCs/>
                <w:color w:val="0D0D0D" w:themeColor="text1" w:themeTint="F2"/>
                <w:sz w:val="20"/>
                <w:szCs w:val="20"/>
              </w:rPr>
              <w:lastRenderedPageBreak/>
              <w:t>Serviciul de Informații și Securitate</w:t>
            </w:r>
          </w:p>
          <w:p w14:paraId="3A0732FF" w14:textId="1E5534E1" w:rsidR="00B63D5F" w:rsidRPr="005F27A5" w:rsidRDefault="00B63D5F" w:rsidP="00AB0B66">
            <w:pPr>
              <w:spacing w:beforeLines="20" w:before="48" w:afterLines="20" w:after="48"/>
              <w:ind w:left="57" w:right="57"/>
              <w:contextualSpacing/>
              <w:jc w:val="center"/>
              <w:rPr>
                <w:rFonts w:ascii="Times New Roman" w:hAnsi="Times New Roman" w:cs="Times New Roman"/>
                <w:color w:val="0D0D0D" w:themeColor="text1" w:themeTint="F2"/>
                <w:sz w:val="20"/>
                <w:szCs w:val="20"/>
              </w:rPr>
            </w:pPr>
            <w:r w:rsidRPr="005F27A5">
              <w:rPr>
                <w:rFonts w:ascii="Times New Roman" w:hAnsi="Times New Roman" w:cs="Times New Roman"/>
                <w:color w:val="0D0D0D" w:themeColor="text1" w:themeTint="F2"/>
                <w:sz w:val="20"/>
                <w:szCs w:val="20"/>
              </w:rPr>
              <w:t>Aviz</w:t>
            </w:r>
            <w:r w:rsidR="003B20A5" w:rsidRPr="005F27A5">
              <w:rPr>
                <w:rFonts w:ascii="Times New Roman" w:hAnsi="Times New Roman" w:cs="Times New Roman"/>
                <w:color w:val="0D0D0D" w:themeColor="text1" w:themeTint="F2"/>
                <w:sz w:val="20"/>
                <w:szCs w:val="20"/>
              </w:rPr>
              <w:t xml:space="preserve"> nr.</w:t>
            </w:r>
            <w:r w:rsidR="009130EE" w:rsidRPr="005F27A5">
              <w:rPr>
                <w:rFonts w:ascii="Times New Roman" w:hAnsi="Times New Roman" w:cs="Times New Roman"/>
                <w:color w:val="0D0D0D" w:themeColor="text1" w:themeTint="F2"/>
                <w:sz w:val="20"/>
                <w:szCs w:val="20"/>
              </w:rPr>
              <w:t xml:space="preserve"> IE/12623 04</w:t>
            </w:r>
            <w:r w:rsidR="003B20A5" w:rsidRPr="005F27A5">
              <w:rPr>
                <w:rFonts w:ascii="Times New Roman" w:hAnsi="Times New Roman" w:cs="Times New Roman"/>
                <w:color w:val="0D0D0D" w:themeColor="text1" w:themeTint="F2"/>
                <w:sz w:val="20"/>
                <w:szCs w:val="20"/>
              </w:rPr>
              <w:t>.1</w:t>
            </w:r>
            <w:r w:rsidR="009130EE" w:rsidRPr="005F27A5">
              <w:rPr>
                <w:rFonts w:ascii="Times New Roman" w:hAnsi="Times New Roman" w:cs="Times New Roman"/>
                <w:color w:val="0D0D0D" w:themeColor="text1" w:themeTint="F2"/>
                <w:sz w:val="20"/>
                <w:szCs w:val="20"/>
              </w:rPr>
              <w:t>2</w:t>
            </w:r>
            <w:r w:rsidR="003B20A5" w:rsidRPr="005F27A5">
              <w:rPr>
                <w:rFonts w:ascii="Times New Roman" w:hAnsi="Times New Roman" w:cs="Times New Roman"/>
                <w:color w:val="0D0D0D" w:themeColor="text1" w:themeTint="F2"/>
                <w:sz w:val="20"/>
                <w:szCs w:val="20"/>
              </w:rPr>
              <w:t>.2025</w:t>
            </w:r>
          </w:p>
        </w:tc>
        <w:tc>
          <w:tcPr>
            <w:tcW w:w="737" w:type="dxa"/>
          </w:tcPr>
          <w:p w14:paraId="413C3827" w14:textId="777777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3E431000" w14:textId="50F4E60A" w:rsidR="00B63D5F" w:rsidRPr="005F27A5" w:rsidRDefault="007F2E34"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 xml:space="preserve">Totodată, în scopul </w:t>
            </w:r>
            <w:r w:rsidR="00D77AE3" w:rsidRPr="005F27A5">
              <w:rPr>
                <w:rFonts w:ascii="Times New Roman" w:hAnsi="Times New Roman" w:cs="Times New Roman"/>
                <w:color w:val="000000"/>
                <w:sz w:val="20"/>
                <w:szCs w:val="20"/>
              </w:rPr>
              <w:t>consolidării conținutului proiectului și al asigurării concordanței acestuia cu cadrul juridic releant, se propune următoarea redacție a pct. 4 după cum urmează: „</w:t>
            </w:r>
            <w:r w:rsidR="00C7339A" w:rsidRPr="005F27A5">
              <w:rPr>
                <w:rFonts w:ascii="Times New Roman" w:hAnsi="Times New Roman" w:cs="Times New Roman"/>
                <w:color w:val="000000"/>
                <w:sz w:val="20"/>
                <w:szCs w:val="20"/>
              </w:rPr>
              <w:t xml:space="preserve"> Prezentul Regulament nu se aplică în cazurile speciale pentru anumite substanțe sau a</w:t>
            </w:r>
            <w:r w:rsidR="00406E4B" w:rsidRPr="005F27A5">
              <w:rPr>
                <w:rFonts w:ascii="Times New Roman" w:hAnsi="Times New Roman" w:cs="Times New Roman"/>
                <w:color w:val="000000"/>
                <w:sz w:val="20"/>
                <w:szCs w:val="20"/>
              </w:rPr>
              <w:t>m</w:t>
            </w:r>
            <w:r w:rsidR="00C7339A" w:rsidRPr="005F27A5">
              <w:rPr>
                <w:rFonts w:ascii="Times New Roman" w:hAnsi="Times New Roman" w:cs="Times New Roman"/>
                <w:color w:val="000000"/>
                <w:sz w:val="20"/>
                <w:szCs w:val="20"/>
              </w:rPr>
              <w:t>estecuri atunci când acest l</w:t>
            </w:r>
            <w:r w:rsidR="009709EF">
              <w:rPr>
                <w:rFonts w:ascii="Times New Roman" w:hAnsi="Times New Roman" w:cs="Times New Roman"/>
                <w:color w:val="000000"/>
                <w:sz w:val="20"/>
                <w:szCs w:val="20"/>
              </w:rPr>
              <w:t>u</w:t>
            </w:r>
            <w:r w:rsidR="00C7339A" w:rsidRPr="005F27A5">
              <w:rPr>
                <w:rFonts w:ascii="Times New Roman" w:hAnsi="Times New Roman" w:cs="Times New Roman"/>
                <w:color w:val="000000"/>
                <w:sz w:val="20"/>
                <w:szCs w:val="20"/>
              </w:rPr>
              <w:t xml:space="preserve">cru este necesar </w:t>
            </w:r>
            <w:r w:rsidR="00045FFA" w:rsidRPr="005F27A5">
              <w:rPr>
                <w:rFonts w:ascii="Times New Roman" w:hAnsi="Times New Roman" w:cs="Times New Roman"/>
                <w:color w:val="000000"/>
                <w:sz w:val="20"/>
                <w:szCs w:val="20"/>
              </w:rPr>
              <w:t>pentru protecția intereselor esențiale de securitate națională</w:t>
            </w:r>
            <w:r w:rsidR="00D77AE3" w:rsidRPr="005F27A5">
              <w:rPr>
                <w:rFonts w:ascii="Times New Roman" w:hAnsi="Times New Roman" w:cs="Times New Roman"/>
                <w:color w:val="000000"/>
                <w:sz w:val="20"/>
                <w:szCs w:val="20"/>
              </w:rPr>
              <w:t>”.</w:t>
            </w:r>
          </w:p>
        </w:tc>
        <w:tc>
          <w:tcPr>
            <w:tcW w:w="4809" w:type="dxa"/>
          </w:tcPr>
          <w:p w14:paraId="2DC9B60E" w14:textId="6776B6EA" w:rsidR="00B63D5F" w:rsidRPr="001F71EB" w:rsidRDefault="00E457DC"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
                <w:sz w:val="20"/>
                <w:szCs w:val="20"/>
              </w:rPr>
              <w:t>Se acceptă.</w:t>
            </w:r>
            <w:r w:rsidRPr="001F71EB">
              <w:rPr>
                <w:rFonts w:ascii="Times New Roman" w:hAnsi="Times New Roman" w:cs="Times New Roman"/>
                <w:bCs/>
                <w:sz w:val="20"/>
                <w:szCs w:val="20"/>
              </w:rPr>
              <w:t xml:space="preserve"> Proiectul a fost ajustat.</w:t>
            </w:r>
          </w:p>
        </w:tc>
      </w:tr>
      <w:tr w:rsidR="00B63D5F" w:rsidRPr="005F27A5" w14:paraId="3CCC9056" w14:textId="77777777" w:rsidTr="0027421C">
        <w:tc>
          <w:tcPr>
            <w:tcW w:w="2787" w:type="dxa"/>
          </w:tcPr>
          <w:p w14:paraId="1E589843" w14:textId="77777777" w:rsidR="00B63D5F" w:rsidRPr="005F27A5" w:rsidRDefault="00B63D5F"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b/>
                <w:bCs/>
                <w:color w:val="0D0D0D" w:themeColor="text1" w:themeTint="F2"/>
                <w:sz w:val="20"/>
                <w:szCs w:val="20"/>
              </w:rPr>
              <w:t>Cancelaria de Stat</w:t>
            </w:r>
          </w:p>
          <w:p w14:paraId="47D5F73D" w14:textId="77777777" w:rsidR="00B63D5F" w:rsidRPr="005F27A5" w:rsidRDefault="00B63D5F"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b/>
                <w:bCs/>
                <w:color w:val="0D0D0D" w:themeColor="text1" w:themeTint="F2"/>
                <w:sz w:val="20"/>
                <w:szCs w:val="20"/>
              </w:rPr>
              <w:t>Grupul de Lucru al comisiei de stat pentru reglementarea</w:t>
            </w:r>
          </w:p>
          <w:p w14:paraId="767AC223" w14:textId="77777777" w:rsidR="00B63D5F" w:rsidRPr="005F27A5" w:rsidRDefault="00B63D5F"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b/>
                <w:bCs/>
                <w:color w:val="0D0D0D" w:themeColor="text1" w:themeTint="F2"/>
                <w:sz w:val="20"/>
                <w:szCs w:val="20"/>
              </w:rPr>
              <w:t>activității de întreprinzător</w:t>
            </w:r>
          </w:p>
          <w:p w14:paraId="45F3D732" w14:textId="69073C01" w:rsidR="00B63D5F" w:rsidRPr="005F27A5" w:rsidRDefault="00B63D5F" w:rsidP="00AB0B66">
            <w:pPr>
              <w:spacing w:beforeLines="20" w:before="48" w:afterLines="20" w:after="48"/>
              <w:ind w:left="57" w:right="57"/>
              <w:contextualSpacing/>
              <w:jc w:val="center"/>
              <w:rPr>
                <w:rFonts w:ascii="Times New Roman" w:hAnsi="Times New Roman" w:cs="Times New Roman"/>
                <w:color w:val="0D0D0D" w:themeColor="text1" w:themeTint="F2"/>
                <w:sz w:val="20"/>
                <w:szCs w:val="20"/>
              </w:rPr>
            </w:pPr>
            <w:r w:rsidRPr="005F27A5">
              <w:rPr>
                <w:rFonts w:ascii="Times New Roman" w:hAnsi="Times New Roman" w:cs="Times New Roman"/>
                <w:color w:val="0D0D0D" w:themeColor="text1" w:themeTint="F2"/>
                <w:sz w:val="20"/>
                <w:szCs w:val="20"/>
              </w:rPr>
              <w:t>Aviz nr. 38-78-11659 din 19.11.2025</w:t>
            </w:r>
          </w:p>
        </w:tc>
        <w:tc>
          <w:tcPr>
            <w:tcW w:w="737" w:type="dxa"/>
          </w:tcPr>
          <w:p w14:paraId="3693606C" w14:textId="777777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4EE6DF1B" w14:textId="6C721D4E"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Prevederile p. 1.5 din proiectul Regulamentului privind clasificarea, etichetarea și ambalarea substanțelor și amestecurilor (proiectul) se referă la obligații pentru utilizatorii din aval, importatorii și distribuitorii menționați la pct. 146 și pct. 147 de a transmite Agenției Naționale pentru Sănătate Publică informații relevante pentru un răspuns în situații de urgență privind sănătatea, în conformitate cu anexa nr. 8. Prevederile respective, cât și prevederile pct. 146, pct. 147 nu se acceptă, deoarece conform proiectului de hotărâre de Guvern monitorizarea și implementarea prezentei hotărâri se pun în sarcina Agenției de Mediu (p.2). Se recomandă de substituit la punctele respective, cât și la alte puncte relevante (p.145), Agenția Națională pentru Sănătate Publică cu Agenția de Mediu pentru a evita situații de dublări în reglementare. Aceste două agenții vor interacționa în baza Legii nr. 142/2018 cu privire la schimbul de date şi interoperabilitate.</w:t>
            </w:r>
          </w:p>
        </w:tc>
        <w:tc>
          <w:tcPr>
            <w:tcW w:w="4809" w:type="dxa"/>
          </w:tcPr>
          <w:p w14:paraId="257308F2" w14:textId="32BD1F8D" w:rsidR="002E52C7" w:rsidRPr="001F71EB" w:rsidRDefault="00B81D90" w:rsidP="00AB0B66">
            <w:pPr>
              <w:spacing w:beforeLines="20" w:before="48" w:afterLines="20" w:after="48"/>
              <w:ind w:left="57" w:right="57"/>
              <w:jc w:val="both"/>
              <w:rPr>
                <w:rFonts w:ascii="Times New Roman" w:hAnsi="Times New Roman" w:cs="Times New Roman"/>
                <w:b/>
                <w:bCs/>
                <w:sz w:val="20"/>
                <w:szCs w:val="20"/>
              </w:rPr>
            </w:pPr>
            <w:r w:rsidRPr="001F71EB">
              <w:rPr>
                <w:rFonts w:ascii="Times New Roman" w:hAnsi="Times New Roman" w:cs="Times New Roman"/>
                <w:b/>
                <w:bCs/>
                <w:sz w:val="20"/>
                <w:szCs w:val="20"/>
              </w:rPr>
              <w:t>Se acceptă</w:t>
            </w:r>
            <w:r w:rsidR="007E5FA0" w:rsidRPr="001F71EB">
              <w:rPr>
                <w:rFonts w:ascii="Times New Roman" w:hAnsi="Times New Roman" w:cs="Times New Roman"/>
                <w:b/>
                <w:bCs/>
                <w:sz w:val="20"/>
                <w:szCs w:val="20"/>
              </w:rPr>
              <w:t xml:space="preserve"> parțial</w:t>
            </w:r>
            <w:r w:rsidRPr="001F71EB">
              <w:rPr>
                <w:rFonts w:ascii="Times New Roman" w:hAnsi="Times New Roman" w:cs="Times New Roman"/>
                <w:b/>
                <w:bCs/>
                <w:sz w:val="20"/>
                <w:szCs w:val="20"/>
              </w:rPr>
              <w:t xml:space="preserve">. </w:t>
            </w:r>
            <w:r w:rsidRPr="001F71EB">
              <w:rPr>
                <w:rFonts w:ascii="Times New Roman" w:hAnsi="Times New Roman" w:cs="Times New Roman"/>
                <w:sz w:val="20"/>
                <w:szCs w:val="20"/>
              </w:rPr>
              <w:t>Proiectul a fost ajustat.</w:t>
            </w:r>
          </w:p>
          <w:p w14:paraId="0A0A00C7" w14:textId="65A6504F" w:rsidR="0070407C" w:rsidRPr="001F71EB" w:rsidRDefault="009C0AE9" w:rsidP="003A709C">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t>Responsabilitățile A</w:t>
            </w:r>
            <w:r w:rsidR="008A7203" w:rsidRPr="001F71EB">
              <w:rPr>
                <w:rFonts w:ascii="Times New Roman" w:hAnsi="Times New Roman" w:cs="Times New Roman"/>
                <w:bCs/>
                <w:sz w:val="20"/>
                <w:szCs w:val="20"/>
              </w:rPr>
              <w:t xml:space="preserve">genției </w:t>
            </w:r>
            <w:r w:rsidRPr="001F71EB">
              <w:rPr>
                <w:rFonts w:ascii="Times New Roman" w:hAnsi="Times New Roman" w:cs="Times New Roman"/>
                <w:bCs/>
                <w:sz w:val="20"/>
                <w:szCs w:val="20"/>
              </w:rPr>
              <w:t>N</w:t>
            </w:r>
            <w:r w:rsidR="008A7203" w:rsidRPr="001F71EB">
              <w:rPr>
                <w:rFonts w:ascii="Times New Roman" w:hAnsi="Times New Roman" w:cs="Times New Roman"/>
                <w:bCs/>
                <w:sz w:val="20"/>
                <w:szCs w:val="20"/>
              </w:rPr>
              <w:t xml:space="preserve">aționale pentru </w:t>
            </w:r>
            <w:r w:rsidRPr="001F71EB">
              <w:rPr>
                <w:rFonts w:ascii="Times New Roman" w:hAnsi="Times New Roman" w:cs="Times New Roman"/>
                <w:bCs/>
                <w:sz w:val="20"/>
                <w:szCs w:val="20"/>
              </w:rPr>
              <w:t>S</w:t>
            </w:r>
            <w:r w:rsidR="008A7203" w:rsidRPr="001F71EB">
              <w:rPr>
                <w:rFonts w:ascii="Times New Roman" w:hAnsi="Times New Roman" w:cs="Times New Roman"/>
                <w:bCs/>
                <w:sz w:val="20"/>
                <w:szCs w:val="20"/>
              </w:rPr>
              <w:t xml:space="preserve">ănătate </w:t>
            </w:r>
            <w:r w:rsidRPr="001F71EB">
              <w:rPr>
                <w:rFonts w:ascii="Times New Roman" w:hAnsi="Times New Roman" w:cs="Times New Roman"/>
                <w:bCs/>
                <w:sz w:val="20"/>
                <w:szCs w:val="20"/>
              </w:rPr>
              <w:t>P</w:t>
            </w:r>
            <w:r w:rsidR="008A7203" w:rsidRPr="001F71EB">
              <w:rPr>
                <w:rFonts w:ascii="Times New Roman" w:hAnsi="Times New Roman" w:cs="Times New Roman"/>
                <w:bCs/>
                <w:sz w:val="20"/>
                <w:szCs w:val="20"/>
              </w:rPr>
              <w:t xml:space="preserve">ublică și </w:t>
            </w:r>
            <w:r w:rsidRPr="001F71EB">
              <w:rPr>
                <w:rFonts w:ascii="Times New Roman" w:hAnsi="Times New Roman" w:cs="Times New Roman"/>
                <w:bCs/>
                <w:sz w:val="20"/>
                <w:szCs w:val="20"/>
              </w:rPr>
              <w:t>A</w:t>
            </w:r>
            <w:r w:rsidR="008A7203" w:rsidRPr="001F71EB">
              <w:rPr>
                <w:rFonts w:ascii="Times New Roman" w:hAnsi="Times New Roman" w:cs="Times New Roman"/>
                <w:bCs/>
                <w:sz w:val="20"/>
                <w:szCs w:val="20"/>
              </w:rPr>
              <w:t xml:space="preserve">genției de </w:t>
            </w:r>
            <w:r w:rsidRPr="001F71EB">
              <w:rPr>
                <w:rFonts w:ascii="Times New Roman" w:hAnsi="Times New Roman" w:cs="Times New Roman"/>
                <w:bCs/>
                <w:sz w:val="20"/>
                <w:szCs w:val="20"/>
              </w:rPr>
              <w:t>M</w:t>
            </w:r>
            <w:r w:rsidR="008A7203" w:rsidRPr="001F71EB">
              <w:rPr>
                <w:rFonts w:ascii="Times New Roman" w:hAnsi="Times New Roman" w:cs="Times New Roman"/>
                <w:bCs/>
                <w:sz w:val="20"/>
                <w:szCs w:val="20"/>
              </w:rPr>
              <w:t>ediu</w:t>
            </w:r>
            <w:r w:rsidRPr="001F71EB">
              <w:rPr>
                <w:rFonts w:ascii="Times New Roman" w:hAnsi="Times New Roman" w:cs="Times New Roman"/>
                <w:bCs/>
                <w:sz w:val="20"/>
                <w:szCs w:val="20"/>
              </w:rPr>
              <w:t xml:space="preserve"> au fost delimitate prin puncte separate în PHG</w:t>
            </w:r>
            <w:r w:rsidR="003A709C" w:rsidRPr="001F71EB">
              <w:rPr>
                <w:rFonts w:ascii="Times New Roman" w:hAnsi="Times New Roman" w:cs="Times New Roman"/>
                <w:bCs/>
                <w:sz w:val="20"/>
                <w:szCs w:val="20"/>
              </w:rPr>
              <w:t>.</w:t>
            </w:r>
          </w:p>
        </w:tc>
      </w:tr>
      <w:tr w:rsidR="00B63D5F" w:rsidRPr="005F27A5" w14:paraId="6F39AC5D" w14:textId="77777777" w:rsidTr="0027421C">
        <w:tc>
          <w:tcPr>
            <w:tcW w:w="2787" w:type="dxa"/>
          </w:tcPr>
          <w:p w14:paraId="779BD830" w14:textId="77777777" w:rsidR="00B63D5F" w:rsidRPr="005F27A5" w:rsidRDefault="00B63D5F"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tcPr>
          <w:p w14:paraId="30C1A632" w14:textId="777777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10119047" w14:textId="70D91B81"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La punctul 38 sunt necesare modificări redacționale, deoarece sunt prevăzute norme de trimitere tot la p. 38. Recomandare valabilă și pentru p. 43 (totodată, se va substitui cuvântul „articolul” cu cuvântul „punctul”), subsecțiunea a 4-a, care începe cu p. 60 și următoarele (subsecțiunea precedentă tot e a 4-a), p.70, p.110 (totodată, se va substitui cuvântul „articolul” cu cuvântul „punctul”). Menționăm, că în anexe sunt prevăzute norme de trimitere la anexe numerotate cu cifre romane.</w:t>
            </w:r>
          </w:p>
        </w:tc>
        <w:tc>
          <w:tcPr>
            <w:tcW w:w="4809" w:type="dxa"/>
          </w:tcPr>
          <w:p w14:paraId="0CD8AB8B" w14:textId="3D48A146" w:rsidR="00B63D5F" w:rsidRPr="001F71EB" w:rsidRDefault="002C76DB" w:rsidP="007D655C">
            <w:pPr>
              <w:spacing w:beforeLines="20" w:before="48" w:afterLines="20" w:after="48"/>
              <w:ind w:left="57" w:right="57"/>
              <w:jc w:val="both"/>
              <w:rPr>
                <w:rFonts w:ascii="Times New Roman" w:hAnsi="Times New Roman" w:cs="Times New Roman"/>
                <w:b/>
                <w:bCs/>
                <w:sz w:val="20"/>
                <w:szCs w:val="20"/>
              </w:rPr>
            </w:pPr>
            <w:r w:rsidRPr="001F71EB">
              <w:rPr>
                <w:rFonts w:ascii="Times New Roman" w:hAnsi="Times New Roman" w:cs="Times New Roman"/>
                <w:b/>
                <w:bCs/>
                <w:sz w:val="20"/>
                <w:szCs w:val="20"/>
              </w:rPr>
              <w:t>Se acceptă.</w:t>
            </w:r>
            <w:r w:rsidR="00AD67FD" w:rsidRPr="001F71EB">
              <w:rPr>
                <w:rFonts w:ascii="Times New Roman" w:hAnsi="Times New Roman" w:cs="Times New Roman"/>
                <w:b/>
                <w:bCs/>
                <w:sz w:val="20"/>
                <w:szCs w:val="20"/>
              </w:rPr>
              <w:t xml:space="preserve"> </w:t>
            </w:r>
            <w:r w:rsidR="00AD67FD" w:rsidRPr="001F71EB">
              <w:rPr>
                <w:rFonts w:ascii="Times New Roman" w:hAnsi="Times New Roman" w:cs="Times New Roman"/>
                <w:sz w:val="20"/>
                <w:szCs w:val="20"/>
              </w:rPr>
              <w:t>Proiectul a f</w:t>
            </w:r>
            <w:r w:rsidR="001E7E8C" w:rsidRPr="001F71EB">
              <w:rPr>
                <w:rFonts w:ascii="Times New Roman" w:hAnsi="Times New Roman" w:cs="Times New Roman"/>
                <w:sz w:val="20"/>
                <w:szCs w:val="20"/>
              </w:rPr>
              <w:t>ost ajustat.</w:t>
            </w:r>
          </w:p>
        </w:tc>
      </w:tr>
      <w:tr w:rsidR="00B63D5F" w:rsidRPr="005F27A5" w14:paraId="3E86FBB1" w14:textId="77777777" w:rsidTr="0027421C">
        <w:tc>
          <w:tcPr>
            <w:tcW w:w="2787" w:type="dxa"/>
          </w:tcPr>
          <w:p w14:paraId="7AC94CD0" w14:textId="77777777" w:rsidR="00B63D5F" w:rsidRPr="005F27A5" w:rsidRDefault="00B63D5F"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tcPr>
          <w:p w14:paraId="1794C1A0" w14:textId="777777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40D4C68E" w14:textId="4758C833"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 xml:space="preserve">Prevederile p. 39 din proiect stabilesc, că atunci când producătorul, importatorul sau utilizatorul din aval efectuează noi teste și analize ecotoxicologice sau toxicologice, acestea vor fi efectuate în conformitate cu Legea nr. 277/2018 privind substanțele chimice sau alte standarde internaționale și Legea nr. 211/2017 privind protecţia animalelor folosite în scopuri experimentale sau în alte scopuri ştiinţifice, dacă este cazul. Cuvintele „sau alte standarde internaționale” sunt incerte, pot crea situații de incertitudine și de </w:t>
            </w:r>
            <w:r w:rsidRPr="005F27A5">
              <w:rPr>
                <w:rFonts w:ascii="Times New Roman" w:hAnsi="Times New Roman" w:cs="Times New Roman"/>
                <w:color w:val="000000"/>
                <w:sz w:val="20"/>
                <w:szCs w:val="20"/>
              </w:rPr>
              <w:lastRenderedPageBreak/>
              <w:t>interpretări abuzive și necesită a fi concretizate sau excluse. Recomandare valabilă și pentru p. 40 (sistem de calitate relevant recunoscut, standard relevant recunoscut), p. 129 (în conformitate cu regulile privind transportul mărfurilor periculoase).</w:t>
            </w:r>
          </w:p>
        </w:tc>
        <w:tc>
          <w:tcPr>
            <w:tcW w:w="4809" w:type="dxa"/>
          </w:tcPr>
          <w:p w14:paraId="03F6B08B" w14:textId="73D793C6" w:rsidR="006C3FE2" w:rsidRPr="001F71EB" w:rsidRDefault="006C3FE2" w:rsidP="00AB0B66">
            <w:pPr>
              <w:spacing w:beforeLines="20" w:before="48" w:afterLines="20" w:after="48"/>
              <w:ind w:left="57" w:right="57"/>
              <w:jc w:val="both"/>
              <w:rPr>
                <w:rFonts w:ascii="Times New Roman" w:hAnsi="Times New Roman" w:cs="Times New Roman"/>
                <w:b/>
                <w:bCs/>
                <w:sz w:val="20"/>
                <w:szCs w:val="20"/>
              </w:rPr>
            </w:pPr>
            <w:r w:rsidRPr="001F71EB">
              <w:rPr>
                <w:rFonts w:ascii="Times New Roman" w:hAnsi="Times New Roman" w:cs="Times New Roman"/>
                <w:b/>
                <w:bCs/>
                <w:sz w:val="20"/>
                <w:szCs w:val="20"/>
              </w:rPr>
              <w:lastRenderedPageBreak/>
              <w:t xml:space="preserve">Se acceptă parțial. </w:t>
            </w:r>
            <w:r w:rsidRPr="001F71EB">
              <w:rPr>
                <w:rFonts w:ascii="Times New Roman" w:hAnsi="Times New Roman" w:cs="Times New Roman"/>
                <w:sz w:val="20"/>
                <w:szCs w:val="20"/>
              </w:rPr>
              <w:t>Proiec</w:t>
            </w:r>
            <w:r w:rsidR="007D698D" w:rsidRPr="001F71EB">
              <w:rPr>
                <w:rFonts w:ascii="Times New Roman" w:hAnsi="Times New Roman" w:cs="Times New Roman"/>
                <w:sz w:val="20"/>
                <w:szCs w:val="20"/>
              </w:rPr>
              <w:t>tul a fost ajustat.</w:t>
            </w:r>
          </w:p>
          <w:p w14:paraId="7E27763C" w14:textId="38A602B6" w:rsidR="00F06BD7" w:rsidRPr="001F71EB" w:rsidRDefault="00BF3D6B" w:rsidP="00D43F24">
            <w:pPr>
              <w:spacing w:beforeLines="20" w:before="48" w:afterLines="20" w:after="48"/>
              <w:ind w:left="57" w:right="57"/>
              <w:jc w:val="both"/>
              <w:rPr>
                <w:rFonts w:ascii="Times New Roman" w:hAnsi="Times New Roman" w:cs="Times New Roman"/>
                <w:sz w:val="20"/>
                <w:szCs w:val="20"/>
              </w:rPr>
            </w:pPr>
            <w:r w:rsidRPr="001F71EB">
              <w:rPr>
                <w:rFonts w:ascii="Times New Roman" w:hAnsi="Times New Roman" w:cs="Times New Roman"/>
                <w:sz w:val="20"/>
                <w:szCs w:val="20"/>
              </w:rPr>
              <w:t xml:space="preserve">În ceea ce privește pct. 40 (pct. 41 în versiunea actualizată), </w:t>
            </w:r>
            <w:r w:rsidR="00EF1B87" w:rsidRPr="001F71EB">
              <w:rPr>
                <w:rFonts w:ascii="Times New Roman" w:hAnsi="Times New Roman" w:cs="Times New Roman"/>
                <w:sz w:val="20"/>
                <w:szCs w:val="20"/>
              </w:rPr>
              <w:t>„</w:t>
            </w:r>
            <w:r w:rsidR="00EF1B87" w:rsidRPr="001F71EB">
              <w:rPr>
                <w:rFonts w:ascii="Times New Roman" w:hAnsi="Times New Roman" w:cs="Times New Roman"/>
                <w:color w:val="000000"/>
                <w:sz w:val="20"/>
                <w:szCs w:val="20"/>
              </w:rPr>
              <w:t>sistem de calitate relevant recunoscut, standard relevant recunoscut”</w:t>
            </w:r>
            <w:r w:rsidRPr="001F71EB">
              <w:rPr>
                <w:rFonts w:ascii="Times New Roman" w:hAnsi="Times New Roman" w:cs="Times New Roman"/>
                <w:sz w:val="20"/>
                <w:szCs w:val="20"/>
              </w:rPr>
              <w:t xml:space="preserve"> nu presupune o interpretare abuzivă sau neclară. Se subliniază că operatorul economic are dreptul de a efectua teste suplimentare, după propria alegere, în laboratoare care respectă standarde recunoscute, precum ISO/IEC 17025 </w:t>
            </w:r>
            <w:r w:rsidRPr="001F71EB">
              <w:rPr>
                <w:rFonts w:ascii="Times New Roman" w:hAnsi="Times New Roman" w:cs="Times New Roman"/>
                <w:sz w:val="20"/>
                <w:szCs w:val="20"/>
              </w:rPr>
              <w:lastRenderedPageBreak/>
              <w:t>sau Bunele Practici de Laborator (GLP).</w:t>
            </w:r>
            <w:r w:rsidR="00DC2C8E" w:rsidRPr="001F71EB">
              <w:rPr>
                <w:rFonts w:ascii="Times New Roman" w:hAnsi="Times New Roman" w:cs="Times New Roman"/>
                <w:sz w:val="20"/>
                <w:szCs w:val="20"/>
              </w:rPr>
              <w:t xml:space="preserve"> F</w:t>
            </w:r>
            <w:r w:rsidR="00F06BD7" w:rsidRPr="001F71EB">
              <w:rPr>
                <w:rFonts w:ascii="Times New Roman" w:hAnsi="Times New Roman" w:cs="Times New Roman"/>
                <w:sz w:val="20"/>
                <w:szCs w:val="20"/>
              </w:rPr>
              <w:t xml:space="preserve">ormulare oferă flexibilitatea necesară pentru a permite </w:t>
            </w:r>
            <w:r w:rsidR="00450706" w:rsidRPr="001F71EB">
              <w:rPr>
                <w:rFonts w:ascii="Times New Roman" w:hAnsi="Times New Roman" w:cs="Times New Roman"/>
                <w:sz w:val="20"/>
                <w:szCs w:val="20"/>
              </w:rPr>
              <w:t>efectuarea testelor</w:t>
            </w:r>
            <w:r w:rsidR="00F06BD7" w:rsidRPr="001F71EB">
              <w:rPr>
                <w:rFonts w:ascii="Times New Roman" w:hAnsi="Times New Roman" w:cs="Times New Roman"/>
                <w:sz w:val="20"/>
                <w:szCs w:val="20"/>
              </w:rPr>
              <w:t xml:space="preserve"> fără a limita operatorii economici exclusiv la standarde enumerate expres, care pot deveni în timp depășite</w:t>
            </w:r>
            <w:r w:rsidR="00DC2C8E" w:rsidRPr="001F71EB">
              <w:rPr>
                <w:rFonts w:ascii="Times New Roman" w:hAnsi="Times New Roman" w:cs="Times New Roman"/>
                <w:sz w:val="20"/>
                <w:szCs w:val="20"/>
              </w:rPr>
              <w:t>.</w:t>
            </w:r>
          </w:p>
          <w:p w14:paraId="3DD20E9A" w14:textId="389CA503" w:rsidR="00F06BD7" w:rsidRPr="001F71EB" w:rsidRDefault="008745DA" w:rsidP="00D43F24">
            <w:pPr>
              <w:spacing w:beforeLines="20" w:before="48" w:afterLines="20" w:after="48"/>
              <w:ind w:left="57" w:right="57"/>
              <w:jc w:val="both"/>
              <w:rPr>
                <w:rFonts w:ascii="Times New Roman" w:hAnsi="Times New Roman" w:cs="Times New Roman"/>
                <w:sz w:val="20"/>
                <w:szCs w:val="20"/>
              </w:rPr>
            </w:pPr>
            <w:r w:rsidRPr="001F71EB">
              <w:rPr>
                <w:rFonts w:ascii="Times New Roman" w:hAnsi="Times New Roman" w:cs="Times New Roman"/>
                <w:sz w:val="20"/>
                <w:szCs w:val="20"/>
              </w:rPr>
              <w:t>Aceleași considerente sunt aplicabile și p</w:t>
            </w:r>
            <w:r w:rsidR="00D43F24" w:rsidRPr="001F71EB">
              <w:rPr>
                <w:rFonts w:ascii="Times New Roman" w:hAnsi="Times New Roman" w:cs="Times New Roman"/>
                <w:sz w:val="20"/>
                <w:szCs w:val="20"/>
              </w:rPr>
              <w:t>ct</w:t>
            </w:r>
            <w:r w:rsidRPr="001F71EB">
              <w:rPr>
                <w:rFonts w:ascii="Times New Roman" w:hAnsi="Times New Roman" w:cs="Times New Roman"/>
                <w:sz w:val="20"/>
                <w:szCs w:val="20"/>
              </w:rPr>
              <w:t>. 129</w:t>
            </w:r>
            <w:r w:rsidR="00577CA4" w:rsidRPr="001F71EB">
              <w:rPr>
                <w:rFonts w:ascii="Times New Roman" w:hAnsi="Times New Roman" w:cs="Times New Roman"/>
                <w:sz w:val="20"/>
                <w:szCs w:val="20"/>
              </w:rPr>
              <w:t xml:space="preserve"> </w:t>
            </w:r>
            <w:r w:rsidR="001F1971" w:rsidRPr="001F71EB">
              <w:rPr>
                <w:rFonts w:ascii="Times New Roman" w:hAnsi="Times New Roman" w:cs="Times New Roman"/>
                <w:sz w:val="20"/>
                <w:szCs w:val="20"/>
              </w:rPr>
              <w:t>(</w:t>
            </w:r>
            <w:r w:rsidR="00577CA4" w:rsidRPr="001F71EB">
              <w:rPr>
                <w:rFonts w:ascii="Times New Roman" w:hAnsi="Times New Roman" w:cs="Times New Roman"/>
                <w:sz w:val="20"/>
                <w:szCs w:val="20"/>
              </w:rPr>
              <w:t>pct. 123</w:t>
            </w:r>
            <w:r w:rsidR="001F1971" w:rsidRPr="001F71EB">
              <w:rPr>
                <w:rFonts w:ascii="Times New Roman" w:hAnsi="Times New Roman" w:cs="Times New Roman"/>
                <w:sz w:val="20"/>
                <w:szCs w:val="20"/>
              </w:rPr>
              <w:t>)</w:t>
            </w:r>
            <w:r w:rsidRPr="001F71EB">
              <w:rPr>
                <w:rFonts w:ascii="Times New Roman" w:hAnsi="Times New Roman" w:cs="Times New Roman"/>
                <w:sz w:val="20"/>
                <w:szCs w:val="20"/>
              </w:rPr>
              <w:t xml:space="preserve"> („în conformitate cu regulile privind transportul mărfurilor periculoase”), unde utilizarea unor noțiuni generale este justificată de necesitatea de a acoperi ansamblul reglementărilor internaționale aplicabile (de exemplu ADR, RID, IMDG, IATA), fără a fi necesară enumerarea exhaustivă a acestora în actul normativ.</w:t>
            </w:r>
          </w:p>
        </w:tc>
      </w:tr>
      <w:tr w:rsidR="00B63D5F" w:rsidRPr="005F27A5" w14:paraId="5DF433DE" w14:textId="77777777" w:rsidTr="0027421C">
        <w:tc>
          <w:tcPr>
            <w:tcW w:w="2787" w:type="dxa"/>
          </w:tcPr>
          <w:p w14:paraId="2DA8E0A4" w14:textId="77777777" w:rsidR="00B63D5F" w:rsidRPr="005F27A5" w:rsidRDefault="00B63D5F"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tcPr>
          <w:p w14:paraId="42BED24A" w14:textId="777777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2D962B23" w14:textId="2BE09DF2"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Prevederile p. 64 din proiect stabilesc, că producătorii, importatorii și utilizatorii din aval iau toate măsurile rezonabile de care dispun pentru a se pune la curent cu noile informaţii tehnice sau știinţifice care pot afecta clasificarea substanţelor sau a amestecurilor pe care le plasează pe piaţă. În cazul în care un producător, importator sau utilizator din aval ia cunoștinţă de astfel de informaţii pe care le consideră a fi relevante și fiabile, respectivul producător, importator sau utilizator din aval efectuează fără întârziere o nouă evaluare în conformitate cu prezentul capitol. Prevederile respective, de asemenea lasă loc de interpretări diferite și necesită a fi concretizate. Se recomandă reformularea prevederilor respective, similar prevederilor p. 112 din proiect, și anume: Producătorii, importatorii și utilizatorii din aval iau cunoștință cu noile informaţii tehnice sau știinţifice care pot afecta clasificarea substanţelor sau a amestecurilor pe care le plasează pe piaţă. În cazul în care un producător, importator sau utilizator din aval ia cunoștinţă de astfel de informaţii pe care le consideră a fi relevante și fiabile, respectivul producător, importator sau utilizator din aval efectuează fără întârziere, în orice caz, nu mai târziu de 18 luni, o nouă evaluare în conformitate cu prezentul capitol.</w:t>
            </w:r>
          </w:p>
        </w:tc>
        <w:tc>
          <w:tcPr>
            <w:tcW w:w="4809" w:type="dxa"/>
          </w:tcPr>
          <w:p w14:paraId="3CB528AE" w14:textId="77777777" w:rsidR="0067752B" w:rsidRPr="001F71EB" w:rsidRDefault="0067752B" w:rsidP="00AB0B66">
            <w:pPr>
              <w:spacing w:beforeLines="20" w:before="48" w:afterLines="20" w:after="48"/>
              <w:ind w:left="57" w:right="57"/>
              <w:jc w:val="both"/>
              <w:rPr>
                <w:rFonts w:ascii="Times New Roman" w:eastAsia="Aptos" w:hAnsi="Times New Roman" w:cs="Times New Roman"/>
                <w:b/>
                <w:bCs/>
                <w:sz w:val="20"/>
                <w:szCs w:val="20"/>
              </w:rPr>
            </w:pPr>
            <w:r w:rsidRPr="001F71EB">
              <w:rPr>
                <w:rFonts w:ascii="Times New Roman" w:eastAsia="Aptos" w:hAnsi="Times New Roman" w:cs="Times New Roman"/>
                <w:b/>
                <w:bCs/>
                <w:sz w:val="20"/>
                <w:szCs w:val="20"/>
              </w:rPr>
              <w:t>Se acceptă parțial.</w:t>
            </w:r>
          </w:p>
          <w:p w14:paraId="0CE682D7" w14:textId="210E26C0" w:rsidR="0067752B" w:rsidRPr="001F71EB" w:rsidRDefault="0067752B" w:rsidP="00AB0B66">
            <w:pPr>
              <w:spacing w:beforeLines="20" w:before="48" w:afterLines="20" w:after="48"/>
              <w:ind w:left="57" w:right="57"/>
              <w:jc w:val="both"/>
              <w:rPr>
                <w:rFonts w:ascii="Times New Roman" w:eastAsia="Aptos" w:hAnsi="Times New Roman" w:cs="Times New Roman"/>
                <w:sz w:val="20"/>
                <w:szCs w:val="20"/>
              </w:rPr>
            </w:pPr>
            <w:r w:rsidRPr="001F71EB">
              <w:rPr>
                <w:rFonts w:ascii="Times New Roman" w:eastAsia="Aptos" w:hAnsi="Times New Roman" w:cs="Times New Roman"/>
                <w:sz w:val="20"/>
                <w:szCs w:val="20"/>
              </w:rPr>
              <w:t>Pct. 112</w:t>
            </w:r>
            <w:r w:rsidR="000E617C" w:rsidRPr="001F71EB">
              <w:rPr>
                <w:rFonts w:ascii="Times New Roman" w:eastAsia="Aptos" w:hAnsi="Times New Roman" w:cs="Times New Roman"/>
                <w:sz w:val="20"/>
                <w:szCs w:val="20"/>
              </w:rPr>
              <w:t>(108)</w:t>
            </w:r>
            <w:r w:rsidRPr="001F71EB">
              <w:rPr>
                <w:rFonts w:ascii="Times New Roman" w:eastAsia="Aptos" w:hAnsi="Times New Roman" w:cs="Times New Roman"/>
                <w:sz w:val="20"/>
                <w:szCs w:val="20"/>
              </w:rPr>
              <w:t xml:space="preserve"> prevede: „</w:t>
            </w:r>
            <w:r w:rsidRPr="001F71EB">
              <w:rPr>
                <w:rFonts w:ascii="Times New Roman" w:eastAsia="Aptos" w:hAnsi="Times New Roman" w:cs="Times New Roman"/>
                <w:i/>
                <w:iCs/>
                <w:sz w:val="20"/>
                <w:szCs w:val="20"/>
              </w:rPr>
              <w:t>În cazul în care este necesară o modificare privind clasificarea sau etichetarea unei substanţe sau a unui amestec, de altă natură decât cea menţionată la pct. 1</w:t>
            </w:r>
            <w:r w:rsidR="00E34AE1" w:rsidRPr="001F71EB">
              <w:rPr>
                <w:rFonts w:ascii="Times New Roman" w:eastAsia="Aptos" w:hAnsi="Times New Roman" w:cs="Times New Roman"/>
                <w:i/>
                <w:iCs/>
                <w:sz w:val="20"/>
                <w:szCs w:val="20"/>
              </w:rPr>
              <w:t>07</w:t>
            </w:r>
            <w:r w:rsidRPr="001F71EB">
              <w:rPr>
                <w:rFonts w:ascii="Times New Roman" w:eastAsia="Aptos" w:hAnsi="Times New Roman" w:cs="Times New Roman"/>
                <w:i/>
                <w:iCs/>
                <w:sz w:val="20"/>
                <w:szCs w:val="20"/>
              </w:rPr>
              <w:t xml:space="preserve"> de la prezentul articol, furnizorul substanţei respective sau a amestecului respectiv se asigură că eticheta este actualizată fără întârzieri nejustificate și, în orice caz, </w:t>
            </w:r>
            <w:r w:rsidRPr="001F71EB">
              <w:rPr>
                <w:rFonts w:ascii="Times New Roman" w:eastAsia="Aptos" w:hAnsi="Times New Roman" w:cs="Times New Roman"/>
                <w:b/>
                <w:bCs/>
                <w:i/>
                <w:iCs/>
                <w:sz w:val="20"/>
                <w:szCs w:val="20"/>
              </w:rPr>
              <w:t>nu mai târziu de 18 luni</w:t>
            </w:r>
            <w:r w:rsidRPr="001F71EB">
              <w:rPr>
                <w:rFonts w:ascii="Times New Roman" w:eastAsia="Aptos" w:hAnsi="Times New Roman" w:cs="Times New Roman"/>
                <w:i/>
                <w:iCs/>
                <w:sz w:val="20"/>
                <w:szCs w:val="20"/>
              </w:rPr>
              <w:t xml:space="preserve"> de când rezultatele noii evaluări menţionate la pct.67 sunt obţinute de către furnizorul respectiv sau îi sunt comunicate acestuia.</w:t>
            </w:r>
            <w:r w:rsidRPr="001F71EB">
              <w:rPr>
                <w:rFonts w:ascii="Times New Roman" w:eastAsia="Aptos" w:hAnsi="Times New Roman" w:cs="Times New Roman"/>
                <w:sz w:val="20"/>
                <w:szCs w:val="20"/>
              </w:rPr>
              <w:t>”</w:t>
            </w:r>
          </w:p>
          <w:p w14:paraId="7501B7C7" w14:textId="56A411D5" w:rsidR="00B63D5F" w:rsidRPr="001F71EB" w:rsidRDefault="0067752B"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eastAsia="Aptos" w:hAnsi="Times New Roman" w:cs="Times New Roman"/>
                <w:sz w:val="20"/>
                <w:szCs w:val="20"/>
              </w:rPr>
              <w:t>Totuși, pct. 6</w:t>
            </w:r>
            <w:r w:rsidR="006A3892" w:rsidRPr="001F71EB">
              <w:rPr>
                <w:rFonts w:ascii="Times New Roman" w:eastAsia="Aptos" w:hAnsi="Times New Roman" w:cs="Times New Roman"/>
                <w:sz w:val="20"/>
                <w:szCs w:val="20"/>
              </w:rPr>
              <w:t>4(65)</w:t>
            </w:r>
            <w:r w:rsidRPr="001F71EB">
              <w:rPr>
                <w:rFonts w:ascii="Times New Roman" w:eastAsia="Aptos" w:hAnsi="Times New Roman" w:cs="Times New Roman"/>
                <w:sz w:val="20"/>
                <w:szCs w:val="20"/>
              </w:rPr>
              <w:t xml:space="preserve"> presupune că producătorul ia toate măsurile să efectueze o reevaluare imediat ce primește informații noi referitoare la proprietățile periculoase ale substanței. Această reevaluare nu poate fi amânată până la expirarea termenului de 18 luni. Pericolele asociate unei substanțe chimice trebuie luate în considerare fără întârziere pentru a asigura protecția sănătății umane și a mediului și pentru a preveni riscurile. Astfel, în scopul ca prevederile pct.64 să nu fie interpretabile se propune, termenul de 20 de zile.</w:t>
            </w:r>
          </w:p>
        </w:tc>
      </w:tr>
      <w:tr w:rsidR="00B63D5F" w:rsidRPr="005F27A5" w14:paraId="0646F843" w14:textId="77777777" w:rsidTr="0027421C">
        <w:tc>
          <w:tcPr>
            <w:tcW w:w="2787" w:type="dxa"/>
          </w:tcPr>
          <w:p w14:paraId="37ACAF61" w14:textId="77777777" w:rsidR="00B63D5F" w:rsidRPr="005F27A5" w:rsidRDefault="00B63D5F"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tcPr>
          <w:p w14:paraId="76D0E3CB" w14:textId="777777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46BFCE7E" w14:textId="57B5E7CB"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 xml:space="preserve">Prevederile p. 74.3 din proiect stabilesc, că în cazul în care substanţa nu este inclusă nici în partea 2 din anexa nr. 6, nici în Inventarul de clasificare și etichetare al Uniunii Europene deținut de Agenția Europeană pentru Produse Chimice, numărul prevăzut de CAS </w:t>
            </w:r>
            <w:r w:rsidRPr="005F27A5">
              <w:rPr>
                <w:rFonts w:ascii="Times New Roman" w:hAnsi="Times New Roman" w:cs="Times New Roman"/>
                <w:color w:val="000000"/>
                <w:sz w:val="20"/>
                <w:szCs w:val="20"/>
              </w:rPr>
              <w:lastRenderedPageBreak/>
              <w:t>(denumit în continuare „numărul CAS”), împreună cu denumirea stabilită în nomenclatura prevăzută de IUPAC (denumită în continuare „nomenclatura IUPAC”), sau numărul CAS împreună cu altă denumire chimică internațională; sau … mai departe după text. Se recomandă de prevăzut norme de clarificare referitor la CAS și IUPAC.</w:t>
            </w:r>
          </w:p>
        </w:tc>
        <w:tc>
          <w:tcPr>
            <w:tcW w:w="4809" w:type="dxa"/>
          </w:tcPr>
          <w:p w14:paraId="47619968" w14:textId="69D206A8" w:rsidR="00B63D5F" w:rsidRPr="001F71EB" w:rsidRDefault="00015D04" w:rsidP="005230E8">
            <w:pPr>
              <w:spacing w:beforeLines="20" w:before="48" w:afterLines="20" w:after="48"/>
              <w:ind w:left="57" w:right="57"/>
              <w:jc w:val="both"/>
              <w:rPr>
                <w:rFonts w:ascii="Times New Roman" w:eastAsia="Aptos" w:hAnsi="Times New Roman" w:cs="Times New Roman"/>
                <w:b/>
                <w:bCs/>
                <w:sz w:val="20"/>
                <w:szCs w:val="20"/>
              </w:rPr>
            </w:pPr>
            <w:r w:rsidRPr="001F71EB">
              <w:rPr>
                <w:rFonts w:ascii="Times New Roman" w:eastAsia="Aptos" w:hAnsi="Times New Roman" w:cs="Times New Roman"/>
                <w:b/>
                <w:bCs/>
                <w:sz w:val="20"/>
                <w:szCs w:val="20"/>
              </w:rPr>
              <w:lastRenderedPageBreak/>
              <w:t>Se acceptă.</w:t>
            </w:r>
            <w:r w:rsidR="005230E8" w:rsidRPr="001F71EB">
              <w:rPr>
                <w:rFonts w:ascii="Times New Roman" w:eastAsia="Aptos" w:hAnsi="Times New Roman" w:cs="Times New Roman"/>
                <w:b/>
                <w:bCs/>
                <w:sz w:val="20"/>
                <w:szCs w:val="20"/>
              </w:rPr>
              <w:t xml:space="preserve"> </w:t>
            </w:r>
            <w:r w:rsidR="005230E8" w:rsidRPr="001F71EB">
              <w:rPr>
                <w:rFonts w:ascii="Times New Roman" w:eastAsia="Aptos" w:hAnsi="Times New Roman" w:cs="Times New Roman"/>
                <w:sz w:val="20"/>
                <w:szCs w:val="20"/>
              </w:rPr>
              <w:t>Proiectul a fost ajustat.</w:t>
            </w:r>
          </w:p>
        </w:tc>
      </w:tr>
      <w:tr w:rsidR="00B63D5F" w:rsidRPr="005F27A5" w14:paraId="14964548" w14:textId="77777777" w:rsidTr="0027421C">
        <w:tc>
          <w:tcPr>
            <w:tcW w:w="2787" w:type="dxa"/>
          </w:tcPr>
          <w:p w14:paraId="6D726728" w14:textId="77777777" w:rsidR="00B63D5F" w:rsidRPr="005F27A5" w:rsidRDefault="00B63D5F"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tcPr>
          <w:p w14:paraId="58EC6370" w14:textId="777777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7FAFADE7" w14:textId="1D32E98E"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 xml:space="preserve">Proiectul prevede, că producătorul, importatorul sau utilizatorul din aval al unei substanțe dintr un amestec poate înainta Agenției de Mediu o cerere pentru utilizarea unei denumiri chimice alternative care se referă la substanța respectivă dintr-un amestec, fie prin intermediul unei denumiri care identifică cele mai importante grupe chimice funcționale, fie prin intermediul unei denumiri alternative, în cazul în care substanța îndeplinește criteriile stabilite în partea 1 din anexa nr. 1 și în cazul în care poate demonstra că divulgarea pe etichetă sau în fișa cu date de securitate a identității chimice a substanței respective pune în pericol natura confidențială a activității sale, în special drepturile sale de proprietate intelectuală (p.81). Orice cerere menționată la pct.81 se formulează în conformitate cu prevederile din Anexa nr.7 și este însoţită de plata unei taxe. Cuantumul taxelor este stabilit de Agentia de Mediu. Pentru IMM-uri se stabilește o taxă redusă (p.82). De asemenea sunt prevăzute norme de solicitare a informației suplimentare din partea Agenției de Mediu (p.83), acceptarea/ne acceptarea cererii, retragerea sau modificarea deciziei (pp. 84, 87). Prevederile respective vor crea un act permisiv și nu se acceptă, deoarece contravin principiului reglementării materiale şi procedurale prin acte legislative a condițiilor şi a procedurilor de reglementare prin autorizare a activității de întreprinzător (lit. d) al art. 5 din Legea nr. 160/2011). Totodată, orice plată de eliberare a actelor permisive trebuie să fie expres prevăzută în Nomenclatorul actelor permisive (alin. (1) al art. 9 din Legea nr. 160/2011). Menționăm, că prevederile articolului 24 din Regulamentul (CE) Nr. 1272/2008 al Parlamentului European și al Consiliului din 16 decembrie 2008 privind clasificarea, etichetarea și ambalarea substanțelor și a amestecurilor1 stabilesc, că cererea se adresează Agenției (Agenția Europeană pentru Produse Chimice, instituită prin Regulamentul (CE) nr. 1907/2006) iar taxele se stabilesc de Comisie. Agenția informează autoritățile competente ale statelor membre cu privire la rezultatul cererii în conformitate cu alineatul (3) sau (4) și le pune </w:t>
            </w:r>
            <w:r w:rsidRPr="005F27A5">
              <w:rPr>
                <w:rFonts w:ascii="Times New Roman" w:hAnsi="Times New Roman" w:cs="Times New Roman"/>
                <w:color w:val="000000"/>
                <w:sz w:val="20"/>
                <w:szCs w:val="20"/>
              </w:rPr>
              <w:lastRenderedPageBreak/>
              <w:t>la dispoziție informațiile prezentate de către producător, importator sau utilizatorul din aval. Astfel, prevederile respective din Regulamentul (CE) Nr. 1272/2008 au aplicabilitate directă și nu necesită a fi transpuse, prin substituirea Agenției Europene pentru Produse Chimice și Comisiei Europene cu Agenția de Mediu. Din cele expuse se recomandă excluderea din proiect a punctelor 81 – 88, p.1.4 din anexa nr. 1 și a anexei nr. 7.</w:t>
            </w:r>
          </w:p>
        </w:tc>
        <w:tc>
          <w:tcPr>
            <w:tcW w:w="4809" w:type="dxa"/>
          </w:tcPr>
          <w:p w14:paraId="0BF49CD2" w14:textId="77777777" w:rsidR="000E71FA" w:rsidRPr="001F71EB" w:rsidRDefault="000E71FA" w:rsidP="00AB0B66">
            <w:pPr>
              <w:spacing w:beforeLines="20" w:before="48" w:afterLines="20" w:after="48"/>
              <w:ind w:left="57" w:right="57"/>
              <w:jc w:val="both"/>
              <w:rPr>
                <w:rFonts w:ascii="Times New Roman" w:eastAsia="Aptos" w:hAnsi="Times New Roman" w:cs="Times New Roman"/>
                <w:b/>
                <w:bCs/>
                <w:sz w:val="20"/>
                <w:szCs w:val="20"/>
              </w:rPr>
            </w:pPr>
            <w:r w:rsidRPr="001F71EB">
              <w:rPr>
                <w:rFonts w:ascii="Times New Roman" w:eastAsia="Aptos" w:hAnsi="Times New Roman" w:cs="Times New Roman"/>
                <w:b/>
                <w:bCs/>
                <w:sz w:val="20"/>
                <w:szCs w:val="20"/>
              </w:rPr>
              <w:lastRenderedPageBreak/>
              <w:t>Se acceptă parțial.</w:t>
            </w:r>
          </w:p>
          <w:p w14:paraId="4230CA6E" w14:textId="0B4BFF50" w:rsidR="000E71FA" w:rsidRPr="001F71EB" w:rsidRDefault="000E71FA" w:rsidP="00AB0B66">
            <w:pPr>
              <w:spacing w:beforeLines="20" w:before="48" w:afterLines="20" w:after="48"/>
              <w:ind w:left="57" w:right="57"/>
              <w:jc w:val="both"/>
              <w:rPr>
                <w:rFonts w:ascii="Times New Roman" w:eastAsia="Aptos" w:hAnsi="Times New Roman" w:cs="Times New Roman"/>
                <w:sz w:val="20"/>
                <w:szCs w:val="20"/>
              </w:rPr>
            </w:pPr>
            <w:r w:rsidRPr="001F71EB">
              <w:rPr>
                <w:rFonts w:ascii="Times New Roman" w:eastAsia="Aptos" w:hAnsi="Times New Roman" w:cs="Times New Roman"/>
                <w:sz w:val="20"/>
                <w:szCs w:val="20"/>
              </w:rPr>
              <w:t xml:space="preserve">Proiectul </w:t>
            </w:r>
            <w:r w:rsidR="003C0BCF" w:rsidRPr="001F71EB">
              <w:rPr>
                <w:rFonts w:ascii="Times New Roman" w:eastAsia="Aptos" w:hAnsi="Times New Roman" w:cs="Times New Roman"/>
                <w:sz w:val="20"/>
                <w:szCs w:val="20"/>
              </w:rPr>
              <w:t>a fost</w:t>
            </w:r>
            <w:r w:rsidRPr="001F71EB">
              <w:rPr>
                <w:rFonts w:ascii="Times New Roman" w:eastAsia="Aptos" w:hAnsi="Times New Roman" w:cs="Times New Roman"/>
                <w:sz w:val="20"/>
                <w:szCs w:val="20"/>
              </w:rPr>
              <w:t xml:space="preserve"> ajustat prin prizma art. 9, lit. c) din Legea nr. 277/2018 privind substanțele chimice, care prevede: „c) Agenția Națională constituie punctul de legătură pentru comunicarea și cooperarea cu Agenția Europeană pentru Produse Chimice cu referire la legislația privind substanțele chimice”.</w:t>
            </w:r>
          </w:p>
          <w:p w14:paraId="11AF7E8B" w14:textId="64D2A2E5" w:rsidR="00B63D5F" w:rsidRPr="001F71EB" w:rsidRDefault="000E71FA"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eastAsia="Aptos" w:hAnsi="Times New Roman" w:cs="Times New Roman"/>
                <w:sz w:val="20"/>
                <w:szCs w:val="20"/>
              </w:rPr>
              <w:t>Astfel, decizia de acordare denumirii chimice alternative îi revine Agenției Europeane pentru Produse Chimice.</w:t>
            </w:r>
          </w:p>
        </w:tc>
      </w:tr>
      <w:tr w:rsidR="00B63D5F" w:rsidRPr="005F27A5" w14:paraId="26469892" w14:textId="77777777" w:rsidTr="0027421C">
        <w:tc>
          <w:tcPr>
            <w:tcW w:w="2787" w:type="dxa"/>
          </w:tcPr>
          <w:p w14:paraId="19A06D51" w14:textId="77777777" w:rsidR="00B63D5F" w:rsidRPr="005F27A5" w:rsidRDefault="00B63D5F"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tcPr>
          <w:p w14:paraId="3A8E6C02" w14:textId="777777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04D24952" w14:textId="78E103F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Prevederile p. 108 din proiect stabilesc, că Guvernul poate introduce derogări în partea 2 a anexei nr.2 în funcție de modificări adoptate de Uniunea Europeană. Prevederile respective ridică semne de întrebare, deoarece aceeași autoritate își stabilește atribuții pe care le are. Se recomandă reformularea prevederilor respective, similar prevederilor p. 143 din proiect, și anume: Ministerul Mediului actualizează partea 2 a anexei nr.2 și propune Guvernului spre aprobare, în funcție de modificările adoptate de Uniunea Europeană.</w:t>
            </w:r>
          </w:p>
        </w:tc>
        <w:tc>
          <w:tcPr>
            <w:tcW w:w="4809" w:type="dxa"/>
          </w:tcPr>
          <w:p w14:paraId="125371EF" w14:textId="3686E843" w:rsidR="00B63D5F" w:rsidRPr="001F71EB" w:rsidRDefault="00745EE5" w:rsidP="00AC248D">
            <w:pPr>
              <w:spacing w:beforeLines="20" w:before="48" w:afterLines="20" w:after="48"/>
              <w:ind w:left="57" w:right="57"/>
              <w:jc w:val="both"/>
              <w:rPr>
                <w:rFonts w:ascii="Times New Roman" w:hAnsi="Times New Roman" w:cs="Times New Roman"/>
                <w:b/>
                <w:bCs/>
                <w:sz w:val="20"/>
                <w:szCs w:val="20"/>
              </w:rPr>
            </w:pPr>
            <w:r w:rsidRPr="001F71EB">
              <w:rPr>
                <w:rFonts w:ascii="Times New Roman" w:hAnsi="Times New Roman" w:cs="Times New Roman"/>
                <w:b/>
                <w:bCs/>
                <w:sz w:val="20"/>
                <w:szCs w:val="20"/>
              </w:rPr>
              <w:t>Se acceptă.</w:t>
            </w:r>
            <w:r w:rsidR="00AC248D" w:rsidRPr="001F71EB">
              <w:rPr>
                <w:rFonts w:ascii="Times New Roman" w:hAnsi="Times New Roman" w:cs="Times New Roman"/>
                <w:b/>
                <w:bCs/>
                <w:sz w:val="20"/>
                <w:szCs w:val="20"/>
              </w:rPr>
              <w:t xml:space="preserve"> </w:t>
            </w:r>
            <w:r w:rsidRPr="001F71EB">
              <w:rPr>
                <w:rFonts w:ascii="Times New Roman" w:hAnsi="Times New Roman" w:cs="Times New Roman"/>
                <w:sz w:val="20"/>
                <w:szCs w:val="20"/>
              </w:rPr>
              <w:t xml:space="preserve">Proiectul </w:t>
            </w:r>
            <w:r w:rsidR="00AC248D" w:rsidRPr="001F71EB">
              <w:rPr>
                <w:rFonts w:ascii="Times New Roman" w:hAnsi="Times New Roman" w:cs="Times New Roman"/>
                <w:sz w:val="20"/>
                <w:szCs w:val="20"/>
              </w:rPr>
              <w:t>a fost</w:t>
            </w:r>
            <w:r w:rsidRPr="001F71EB">
              <w:rPr>
                <w:rFonts w:ascii="Times New Roman" w:hAnsi="Times New Roman" w:cs="Times New Roman"/>
                <w:sz w:val="20"/>
                <w:szCs w:val="20"/>
              </w:rPr>
              <w:t xml:space="preserve"> ajustat.</w:t>
            </w:r>
          </w:p>
        </w:tc>
      </w:tr>
      <w:tr w:rsidR="00B63D5F" w:rsidRPr="005F27A5" w14:paraId="0AC04088" w14:textId="77777777" w:rsidTr="0027421C">
        <w:tc>
          <w:tcPr>
            <w:tcW w:w="2787" w:type="dxa"/>
          </w:tcPr>
          <w:p w14:paraId="521CD7BB" w14:textId="77777777" w:rsidR="00B63D5F" w:rsidRPr="005F27A5" w:rsidRDefault="00B63D5F"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tcPr>
          <w:p w14:paraId="378D1213" w14:textId="777777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39FB4762" w14:textId="195E6E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La anexa nr. 1 este menționat Regulamentul privind stabilirea metodelor de testare a substanțelor chimice aprobat de Guvern (p.2.6.4.5.) și se recomand de prevăzut numărul și data adoptării documentului. Sau de prevăzut doar metodele de testare a substanțelor chimice aprobate de Guvern, fără indicarea regulamentului, fapt ce presupune că acestea vor fi adoptate ulterior.</w:t>
            </w:r>
          </w:p>
        </w:tc>
        <w:tc>
          <w:tcPr>
            <w:tcW w:w="4809" w:type="dxa"/>
          </w:tcPr>
          <w:p w14:paraId="77EE4454" w14:textId="4C95D514" w:rsidR="00B63D5F" w:rsidRPr="001F71EB" w:rsidRDefault="00FC2625" w:rsidP="00634ACE">
            <w:pPr>
              <w:spacing w:beforeLines="20" w:before="48" w:afterLines="20" w:after="48"/>
              <w:ind w:left="57" w:right="57"/>
              <w:jc w:val="both"/>
              <w:rPr>
                <w:rFonts w:ascii="Times New Roman" w:eastAsia="Aptos" w:hAnsi="Times New Roman" w:cs="Times New Roman"/>
                <w:b/>
                <w:bCs/>
                <w:sz w:val="20"/>
                <w:szCs w:val="20"/>
              </w:rPr>
            </w:pPr>
            <w:r w:rsidRPr="001F71EB">
              <w:rPr>
                <w:rFonts w:ascii="Times New Roman" w:eastAsia="Aptos" w:hAnsi="Times New Roman" w:cs="Times New Roman"/>
                <w:b/>
                <w:bCs/>
                <w:sz w:val="20"/>
                <w:szCs w:val="20"/>
              </w:rPr>
              <w:t>Se acceptă.</w:t>
            </w:r>
            <w:r w:rsidR="00634ACE" w:rsidRPr="001F71EB">
              <w:rPr>
                <w:rFonts w:ascii="Times New Roman" w:eastAsia="Aptos" w:hAnsi="Times New Roman" w:cs="Times New Roman"/>
                <w:b/>
                <w:bCs/>
                <w:sz w:val="20"/>
                <w:szCs w:val="20"/>
              </w:rPr>
              <w:t xml:space="preserve"> </w:t>
            </w:r>
            <w:r w:rsidRPr="001F71EB">
              <w:rPr>
                <w:rFonts w:ascii="Times New Roman" w:eastAsia="Aptos" w:hAnsi="Times New Roman" w:cs="Times New Roman"/>
                <w:sz w:val="20"/>
                <w:szCs w:val="20"/>
              </w:rPr>
              <w:t xml:space="preserve">Proiectul </w:t>
            </w:r>
            <w:r w:rsidR="00634ACE" w:rsidRPr="001F71EB">
              <w:rPr>
                <w:rFonts w:ascii="Times New Roman" w:eastAsia="Aptos" w:hAnsi="Times New Roman" w:cs="Times New Roman"/>
                <w:sz w:val="20"/>
                <w:szCs w:val="20"/>
              </w:rPr>
              <w:t>a fost</w:t>
            </w:r>
            <w:r w:rsidRPr="001F71EB">
              <w:rPr>
                <w:rFonts w:ascii="Times New Roman" w:eastAsia="Aptos" w:hAnsi="Times New Roman" w:cs="Times New Roman"/>
                <w:sz w:val="20"/>
                <w:szCs w:val="20"/>
              </w:rPr>
              <w:t xml:space="preserve"> ajustat.</w:t>
            </w:r>
          </w:p>
        </w:tc>
      </w:tr>
      <w:tr w:rsidR="00B63D5F" w:rsidRPr="005F27A5" w14:paraId="061F764F" w14:textId="77777777" w:rsidTr="0027421C">
        <w:tc>
          <w:tcPr>
            <w:tcW w:w="2787" w:type="dxa"/>
          </w:tcPr>
          <w:p w14:paraId="4F123B49" w14:textId="77777777" w:rsidR="00B63D5F" w:rsidRPr="005F27A5" w:rsidRDefault="00B63D5F"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tcPr>
          <w:p w14:paraId="09792C06" w14:textId="777777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089AA71E" w14:textId="1F352D3C"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La anexa nr. 8 se recomandă revizuirea prevederilor de transpunere mecanică a documentului UE. Spre exemplu, transmiterea de date are loc în limba oficială a statului sau statelor membre în care amestecul se introduce pe piață, cu excepția cazului în care statul sau statele membre în cauză dispun altfel (p. 3.3 din partea A). Totodată, la această anexă se recomandă de concretizat prevederile referitor la autorizație (p.1.2, partea C).</w:t>
            </w:r>
          </w:p>
        </w:tc>
        <w:tc>
          <w:tcPr>
            <w:tcW w:w="4809" w:type="dxa"/>
          </w:tcPr>
          <w:p w14:paraId="3009E192" w14:textId="246FEE27" w:rsidR="005248D2" w:rsidRPr="001F71EB" w:rsidRDefault="005248D2" w:rsidP="001762B0">
            <w:pPr>
              <w:spacing w:beforeLines="20" w:before="48" w:afterLines="20" w:after="48"/>
              <w:ind w:left="57" w:right="57"/>
              <w:jc w:val="both"/>
              <w:rPr>
                <w:rFonts w:ascii="Times New Roman" w:eastAsia="Aptos" w:hAnsi="Times New Roman" w:cs="Times New Roman"/>
                <w:b/>
                <w:bCs/>
                <w:sz w:val="20"/>
                <w:szCs w:val="20"/>
              </w:rPr>
            </w:pPr>
            <w:r w:rsidRPr="001F71EB">
              <w:rPr>
                <w:rFonts w:ascii="Times New Roman" w:eastAsia="Aptos" w:hAnsi="Times New Roman" w:cs="Times New Roman"/>
                <w:b/>
                <w:bCs/>
                <w:sz w:val="20"/>
                <w:szCs w:val="20"/>
              </w:rPr>
              <w:t>Se acceptă.</w:t>
            </w:r>
            <w:r w:rsidR="001762B0" w:rsidRPr="001F71EB">
              <w:rPr>
                <w:rFonts w:ascii="Times New Roman" w:eastAsia="Aptos" w:hAnsi="Times New Roman" w:cs="Times New Roman"/>
                <w:b/>
                <w:bCs/>
                <w:sz w:val="20"/>
                <w:szCs w:val="20"/>
              </w:rPr>
              <w:t xml:space="preserve"> </w:t>
            </w:r>
            <w:r w:rsidRPr="001F71EB">
              <w:rPr>
                <w:rFonts w:ascii="Times New Roman" w:eastAsia="Aptos" w:hAnsi="Times New Roman" w:cs="Times New Roman"/>
                <w:sz w:val="20"/>
                <w:szCs w:val="20"/>
              </w:rPr>
              <w:t xml:space="preserve">Proiectul </w:t>
            </w:r>
            <w:r w:rsidR="001762B0" w:rsidRPr="001F71EB">
              <w:rPr>
                <w:rFonts w:ascii="Times New Roman" w:eastAsia="Aptos" w:hAnsi="Times New Roman" w:cs="Times New Roman"/>
                <w:sz w:val="20"/>
                <w:szCs w:val="20"/>
              </w:rPr>
              <w:t>a fost</w:t>
            </w:r>
            <w:r w:rsidRPr="001F71EB">
              <w:rPr>
                <w:rFonts w:ascii="Times New Roman" w:eastAsia="Aptos" w:hAnsi="Times New Roman" w:cs="Times New Roman"/>
                <w:sz w:val="20"/>
                <w:szCs w:val="20"/>
              </w:rPr>
              <w:t xml:space="preserve"> ajustat.</w:t>
            </w:r>
          </w:p>
        </w:tc>
      </w:tr>
      <w:tr w:rsidR="00B63D5F" w:rsidRPr="005F27A5" w14:paraId="1B27B5EF" w14:textId="77777777" w:rsidTr="0027421C">
        <w:tc>
          <w:tcPr>
            <w:tcW w:w="2787" w:type="dxa"/>
          </w:tcPr>
          <w:p w14:paraId="0EFF60E9" w14:textId="77777777" w:rsidR="00B63D5F" w:rsidRPr="005F27A5" w:rsidRDefault="00B63D5F"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tcPr>
          <w:p w14:paraId="76358862" w14:textId="777777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7EBE0B36" w14:textId="482D1D0F"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La Nota de fundamentare:</w:t>
            </w:r>
          </w:p>
        </w:tc>
        <w:tc>
          <w:tcPr>
            <w:tcW w:w="4809" w:type="dxa"/>
          </w:tcPr>
          <w:p w14:paraId="5BC1214F" w14:textId="77777777" w:rsidR="00B63D5F" w:rsidRPr="001F71EB" w:rsidRDefault="00B63D5F" w:rsidP="00AB0B66">
            <w:pPr>
              <w:spacing w:beforeLines="20" w:before="48" w:afterLines="20" w:after="48"/>
              <w:ind w:left="57" w:right="57"/>
              <w:jc w:val="both"/>
              <w:rPr>
                <w:rFonts w:ascii="Times New Roman" w:hAnsi="Times New Roman" w:cs="Times New Roman"/>
                <w:bCs/>
                <w:sz w:val="20"/>
                <w:szCs w:val="20"/>
              </w:rPr>
            </w:pPr>
          </w:p>
        </w:tc>
      </w:tr>
      <w:tr w:rsidR="00B63D5F" w:rsidRPr="005F27A5" w14:paraId="35508E4A" w14:textId="77777777" w:rsidTr="0027421C">
        <w:tc>
          <w:tcPr>
            <w:tcW w:w="2787" w:type="dxa"/>
          </w:tcPr>
          <w:p w14:paraId="235E677C" w14:textId="77777777" w:rsidR="00B63D5F" w:rsidRPr="005F27A5" w:rsidRDefault="00B63D5F"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tcPr>
          <w:p w14:paraId="77B4BFCF" w14:textId="777777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6C2F5824" w14:textId="64C5A24D"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La sub punctului 2.1 în calitate de temei legal este menționat art. 46, alin. (1), litera b) din Legea nr. 277/2018 privind substanțele chimice. Prevederile respective din Legea nr. 277/2018 sunt expuse la general.</w:t>
            </w:r>
          </w:p>
        </w:tc>
        <w:tc>
          <w:tcPr>
            <w:tcW w:w="4809" w:type="dxa"/>
          </w:tcPr>
          <w:p w14:paraId="43145422" w14:textId="77777777" w:rsidR="001F6675" w:rsidRPr="001F71EB" w:rsidRDefault="001F6675" w:rsidP="00AB0B66">
            <w:pPr>
              <w:spacing w:beforeLines="20" w:before="48" w:afterLines="20" w:after="48"/>
              <w:ind w:left="57" w:right="57"/>
              <w:jc w:val="both"/>
              <w:rPr>
                <w:rFonts w:ascii="Times New Roman" w:eastAsia="Aptos" w:hAnsi="Times New Roman" w:cs="Times New Roman"/>
                <w:b/>
                <w:bCs/>
                <w:sz w:val="20"/>
                <w:szCs w:val="20"/>
              </w:rPr>
            </w:pPr>
            <w:r w:rsidRPr="001F71EB">
              <w:rPr>
                <w:rFonts w:ascii="Times New Roman" w:eastAsia="Aptos" w:hAnsi="Times New Roman" w:cs="Times New Roman"/>
                <w:b/>
                <w:bCs/>
                <w:sz w:val="20"/>
                <w:szCs w:val="20"/>
              </w:rPr>
              <w:t>Se ia act.</w:t>
            </w:r>
          </w:p>
          <w:p w14:paraId="6F55454D" w14:textId="7DEC827A" w:rsidR="00B63D5F" w:rsidRPr="001F71EB" w:rsidRDefault="001F6675"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eastAsia="Aptos" w:hAnsi="Times New Roman" w:cs="Times New Roman"/>
                <w:sz w:val="20"/>
                <w:szCs w:val="20"/>
              </w:rPr>
              <w:t>Temeiul legal a fost coordonat cu Cancelaria de Stat.</w:t>
            </w:r>
          </w:p>
        </w:tc>
      </w:tr>
      <w:tr w:rsidR="00B63D5F" w:rsidRPr="005F27A5" w14:paraId="607A0641" w14:textId="77777777" w:rsidTr="0027421C">
        <w:tc>
          <w:tcPr>
            <w:tcW w:w="2787" w:type="dxa"/>
          </w:tcPr>
          <w:p w14:paraId="186C944A" w14:textId="77777777" w:rsidR="00B63D5F" w:rsidRPr="005F27A5" w:rsidRDefault="00B63D5F"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tcPr>
          <w:p w14:paraId="18819554" w14:textId="777777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3E4A8511" w14:textId="1E5235CA"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 xml:space="preserve">La sub punctului 2.2 se recomandă inițial de formulat clar și succint problema/problemele care se propun a fi soluționate. Reieșind din conținutul proiectului și Notei de fundamentare, problemele pot fi </w:t>
            </w:r>
            <w:r w:rsidRPr="005F27A5">
              <w:rPr>
                <w:rFonts w:ascii="Times New Roman" w:hAnsi="Times New Roman" w:cs="Times New Roman"/>
                <w:color w:val="000000"/>
                <w:sz w:val="20"/>
                <w:szCs w:val="20"/>
              </w:rPr>
              <w:lastRenderedPageBreak/>
              <w:t>definite ca: nivel scăzut de protecție a sănătății oamenilor și a mediului; și nivel scăzut de protecție a consumatorilor. Referitor la informația că normele privind clasificarea gradului de pericol chimic și comunicarea acestuia nu sunt aplicate de toți operatorii relevanți din lanțul de aprovizionare, acestea nu constituie problemă, dar cauze a unei probleme. Totodată, la acest sub punct se vor descrie părțile interesate care sunt afectate de problemă și cele care participă la apariția acesteia, numărul de agenți economici care vor fi afectați, altă informație relevantă.</w:t>
            </w:r>
          </w:p>
        </w:tc>
        <w:tc>
          <w:tcPr>
            <w:tcW w:w="4809" w:type="dxa"/>
          </w:tcPr>
          <w:p w14:paraId="4BDFB6F1" w14:textId="1AE49C6D" w:rsidR="00B63D5F" w:rsidRPr="001F71EB" w:rsidRDefault="006C144C" w:rsidP="00634ACE">
            <w:pPr>
              <w:spacing w:beforeLines="20" w:before="48" w:afterLines="20" w:after="48"/>
              <w:ind w:left="57" w:right="57"/>
              <w:jc w:val="both"/>
              <w:rPr>
                <w:rFonts w:ascii="Times New Roman" w:eastAsia="Aptos" w:hAnsi="Times New Roman" w:cs="Times New Roman"/>
                <w:b/>
                <w:bCs/>
                <w:sz w:val="20"/>
                <w:szCs w:val="20"/>
              </w:rPr>
            </w:pPr>
            <w:r w:rsidRPr="001F71EB">
              <w:rPr>
                <w:rFonts w:ascii="Times New Roman" w:eastAsia="Aptos" w:hAnsi="Times New Roman" w:cs="Times New Roman"/>
                <w:b/>
                <w:bCs/>
                <w:sz w:val="20"/>
                <w:szCs w:val="20"/>
              </w:rPr>
              <w:lastRenderedPageBreak/>
              <w:t>Se acceptă.</w:t>
            </w:r>
            <w:r w:rsidR="00634ACE" w:rsidRPr="001F71EB">
              <w:rPr>
                <w:rFonts w:ascii="Times New Roman" w:eastAsia="Aptos" w:hAnsi="Times New Roman" w:cs="Times New Roman"/>
                <w:b/>
                <w:bCs/>
                <w:sz w:val="20"/>
                <w:szCs w:val="20"/>
              </w:rPr>
              <w:t xml:space="preserve"> </w:t>
            </w:r>
            <w:r w:rsidRPr="001F71EB">
              <w:rPr>
                <w:rFonts w:ascii="Times New Roman" w:eastAsia="Aptos" w:hAnsi="Times New Roman" w:cs="Times New Roman"/>
                <w:sz w:val="20"/>
                <w:szCs w:val="20"/>
              </w:rPr>
              <w:t>Nota de fundamentare a fost ajustată.</w:t>
            </w:r>
          </w:p>
        </w:tc>
      </w:tr>
      <w:tr w:rsidR="00B63D5F" w:rsidRPr="005F27A5" w14:paraId="403C50E7" w14:textId="77777777" w:rsidTr="0027421C">
        <w:tc>
          <w:tcPr>
            <w:tcW w:w="2787" w:type="dxa"/>
          </w:tcPr>
          <w:p w14:paraId="66ECB361" w14:textId="77777777" w:rsidR="00B63D5F" w:rsidRPr="005F27A5" w:rsidRDefault="00B63D5F"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tcPr>
          <w:p w14:paraId="21AA82CE" w14:textId="777777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2568E843" w14:textId="7150F46D"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Informația referitor la obiectivele care vor fi atinse pe termen scurt nu este relevantă și necesită a fi exclusă, deoarece 1 Crearea unui cadru de acte normative consolidat în domeniul gestionării substanțelor chimice, stabilit de Legea nr. 277/2018 privind substanțele chimice; 2. Armonizarea legislației naționale cu cea a Uniunii Europene – în special la prevederile Regulamentului (CE) nr. 1272/2008, pentru a asigura compatibilitatea cu standardele europene; 3. Asigurarea informării populației despre riscurile provenite de la substanțele chimice prin comunicarea, folosind pictograme de pericol, cuvinte de avertizare, fraze de pericol, fraze de precauție sunt instrumente de soluționare a problemelor.</w:t>
            </w:r>
          </w:p>
        </w:tc>
        <w:tc>
          <w:tcPr>
            <w:tcW w:w="4809" w:type="dxa"/>
          </w:tcPr>
          <w:p w14:paraId="44A31A7F" w14:textId="3C96933D" w:rsidR="00B63D5F" w:rsidRPr="001F71EB" w:rsidRDefault="004C65CD" w:rsidP="00634ACE">
            <w:pPr>
              <w:spacing w:beforeLines="20" w:before="48" w:afterLines="20" w:after="48"/>
              <w:ind w:left="57" w:right="57"/>
              <w:jc w:val="both"/>
              <w:rPr>
                <w:rFonts w:ascii="Times New Roman" w:eastAsia="Aptos" w:hAnsi="Times New Roman" w:cs="Times New Roman"/>
                <w:b/>
                <w:bCs/>
                <w:sz w:val="20"/>
                <w:szCs w:val="20"/>
              </w:rPr>
            </w:pPr>
            <w:r w:rsidRPr="001F71EB">
              <w:rPr>
                <w:rFonts w:ascii="Times New Roman" w:eastAsia="Aptos" w:hAnsi="Times New Roman" w:cs="Times New Roman"/>
                <w:b/>
                <w:bCs/>
                <w:sz w:val="20"/>
                <w:szCs w:val="20"/>
              </w:rPr>
              <w:t>Se acceptă.</w:t>
            </w:r>
            <w:r w:rsidR="00634ACE" w:rsidRPr="001F71EB">
              <w:rPr>
                <w:rFonts w:ascii="Times New Roman" w:eastAsia="Aptos" w:hAnsi="Times New Roman" w:cs="Times New Roman"/>
                <w:b/>
                <w:bCs/>
                <w:sz w:val="20"/>
                <w:szCs w:val="20"/>
              </w:rPr>
              <w:t xml:space="preserve"> </w:t>
            </w:r>
            <w:r w:rsidRPr="001F71EB">
              <w:rPr>
                <w:rFonts w:ascii="Times New Roman" w:eastAsia="Aptos" w:hAnsi="Times New Roman" w:cs="Times New Roman"/>
                <w:sz w:val="20"/>
                <w:szCs w:val="20"/>
              </w:rPr>
              <w:t>Nota de fundare a fost ajustată.</w:t>
            </w:r>
          </w:p>
        </w:tc>
      </w:tr>
      <w:tr w:rsidR="00B63D5F" w:rsidRPr="005F27A5" w14:paraId="739CB6E5" w14:textId="77777777" w:rsidTr="0027421C">
        <w:tc>
          <w:tcPr>
            <w:tcW w:w="2787" w:type="dxa"/>
          </w:tcPr>
          <w:p w14:paraId="62E46AE8" w14:textId="77777777" w:rsidR="00B63D5F" w:rsidRPr="005F27A5" w:rsidRDefault="00B63D5F"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tcPr>
          <w:p w14:paraId="6FE62D01" w14:textId="777777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6C5980B0" w14:textId="1F60D8ED"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La acest compartiment este prevăzut, că controlul respectării cerințelor este exercitat de autoritățile desemnate de mediu și sănătății umane, cum ar fi: Inspectoratul pentru Protecția Mediului și Agenția Națională pentru Sănătate Publică, care verifică corectitudinea clasificării, conformitatea etichetelor și ambalajelor. Abordarea respectivă nu se acceptă, deoarece vor fi stabilite dublări în reglementare. Se recomandă de a prevedea o singură autoritate de control, care va coopta și alte autorități în procesul de control. Informația referitor la principalele prevederi ale proiectului este prezentată la general și se recomandă detalierea acesteia. Se vor explică modificările propuse, precum și rezultatele scontate după adoptarea și implementarea actului normativ.</w:t>
            </w:r>
          </w:p>
        </w:tc>
        <w:tc>
          <w:tcPr>
            <w:tcW w:w="4809" w:type="dxa"/>
          </w:tcPr>
          <w:p w14:paraId="40AACD8F" w14:textId="0DCA793A" w:rsidR="00B63D5F" w:rsidRPr="001F71EB" w:rsidRDefault="001B0385" w:rsidP="002E0CA1">
            <w:pPr>
              <w:spacing w:beforeLines="20" w:before="48" w:afterLines="20" w:after="48"/>
              <w:ind w:left="57" w:right="57"/>
              <w:jc w:val="both"/>
              <w:rPr>
                <w:rFonts w:ascii="Times New Roman" w:eastAsia="Aptos" w:hAnsi="Times New Roman" w:cs="Times New Roman"/>
                <w:b/>
                <w:bCs/>
                <w:sz w:val="20"/>
                <w:szCs w:val="20"/>
              </w:rPr>
            </w:pPr>
            <w:r w:rsidRPr="001F71EB">
              <w:rPr>
                <w:rFonts w:ascii="Times New Roman" w:eastAsia="Aptos" w:hAnsi="Times New Roman" w:cs="Times New Roman"/>
                <w:b/>
                <w:bCs/>
                <w:sz w:val="20"/>
                <w:szCs w:val="20"/>
              </w:rPr>
              <w:t>Se acceptă.</w:t>
            </w:r>
            <w:r w:rsidR="002E0CA1" w:rsidRPr="001F71EB">
              <w:rPr>
                <w:rFonts w:ascii="Times New Roman" w:eastAsia="Aptos" w:hAnsi="Times New Roman" w:cs="Times New Roman"/>
                <w:b/>
                <w:bCs/>
                <w:sz w:val="20"/>
                <w:szCs w:val="20"/>
              </w:rPr>
              <w:t xml:space="preserve"> </w:t>
            </w:r>
            <w:r w:rsidRPr="001F71EB">
              <w:rPr>
                <w:rFonts w:ascii="Times New Roman" w:eastAsia="Aptos" w:hAnsi="Times New Roman" w:cs="Times New Roman"/>
                <w:sz w:val="20"/>
                <w:szCs w:val="20"/>
              </w:rPr>
              <w:t>Nota de fundamentare a fost ajustată.</w:t>
            </w:r>
          </w:p>
        </w:tc>
      </w:tr>
      <w:tr w:rsidR="00B63D5F" w:rsidRPr="005F27A5" w14:paraId="0E0F5E7D" w14:textId="77777777" w:rsidTr="0027421C">
        <w:tc>
          <w:tcPr>
            <w:tcW w:w="2787" w:type="dxa"/>
          </w:tcPr>
          <w:p w14:paraId="76B4D693" w14:textId="77777777" w:rsidR="00B63D5F" w:rsidRPr="005F27A5" w:rsidRDefault="00B63D5F"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tcPr>
          <w:p w14:paraId="1298C05D" w14:textId="777777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091871A7" w14:textId="3E3F3836"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 xml:space="preserve">La sub punctul 4.3 este prevăzută informație doar la general că agenții economici vor suporta costuri. Deoarece proiectul prevede stabilirea unor obligații pentru: 1.2.1. producătorii, importatorii și utilizatorii din aval de a clasifica substanțele și amestecurile plasate pe piață; 1.2.2. producătorii unei substanțe sau ai unui amestec de a eticheta și a ambala substanțele și amestecurile plasate pe piață; </w:t>
            </w:r>
            <w:r w:rsidRPr="005F27A5">
              <w:rPr>
                <w:rFonts w:ascii="Times New Roman" w:hAnsi="Times New Roman" w:cs="Times New Roman"/>
                <w:color w:val="000000"/>
                <w:sz w:val="20"/>
                <w:szCs w:val="20"/>
              </w:rPr>
              <w:lastRenderedPageBreak/>
              <w:t>1.2.3. producătorii, fabricanții de articole și importatorii de a clasifica substanțele care nu sunt încă plasate pe piață care fac obiectul înregistrării în temeiul Legii nr. 277/2018 privind substanțele chimice, se recomandă de prevăzut costuri cuantificate pentru implementarea reglementării de către aceste categorii de agenți economici.</w:t>
            </w:r>
          </w:p>
        </w:tc>
        <w:tc>
          <w:tcPr>
            <w:tcW w:w="4809" w:type="dxa"/>
          </w:tcPr>
          <w:p w14:paraId="09CCBA2F" w14:textId="07ADE3BF" w:rsidR="00B63D5F" w:rsidRPr="001F71EB" w:rsidRDefault="00BF7B59" w:rsidP="006353C9">
            <w:pPr>
              <w:spacing w:beforeLines="20" w:before="48" w:afterLines="20" w:after="48"/>
              <w:ind w:left="57" w:right="57"/>
              <w:jc w:val="both"/>
              <w:rPr>
                <w:rFonts w:ascii="Times New Roman" w:eastAsia="Aptos" w:hAnsi="Times New Roman" w:cs="Times New Roman"/>
                <w:b/>
                <w:bCs/>
                <w:sz w:val="20"/>
                <w:szCs w:val="20"/>
              </w:rPr>
            </w:pPr>
            <w:r w:rsidRPr="001F71EB">
              <w:rPr>
                <w:rFonts w:ascii="Times New Roman" w:eastAsia="Aptos" w:hAnsi="Times New Roman" w:cs="Times New Roman"/>
                <w:b/>
                <w:bCs/>
                <w:sz w:val="20"/>
                <w:szCs w:val="20"/>
              </w:rPr>
              <w:lastRenderedPageBreak/>
              <w:t>Se acceptă.</w:t>
            </w:r>
            <w:r w:rsidR="006353C9" w:rsidRPr="001F71EB">
              <w:rPr>
                <w:rFonts w:ascii="Times New Roman" w:eastAsia="Aptos" w:hAnsi="Times New Roman" w:cs="Times New Roman"/>
                <w:b/>
                <w:bCs/>
                <w:sz w:val="20"/>
                <w:szCs w:val="20"/>
              </w:rPr>
              <w:t xml:space="preserve"> </w:t>
            </w:r>
            <w:r w:rsidRPr="001F71EB">
              <w:rPr>
                <w:rFonts w:ascii="Times New Roman" w:eastAsia="Aptos" w:hAnsi="Times New Roman" w:cs="Times New Roman"/>
                <w:sz w:val="20"/>
                <w:szCs w:val="20"/>
              </w:rPr>
              <w:t>Nota de fundamentare a fost ajustată.</w:t>
            </w:r>
          </w:p>
        </w:tc>
      </w:tr>
      <w:tr w:rsidR="00B63D5F" w:rsidRPr="005F27A5" w14:paraId="27185267" w14:textId="77777777" w:rsidTr="0027421C">
        <w:tc>
          <w:tcPr>
            <w:tcW w:w="2787" w:type="dxa"/>
          </w:tcPr>
          <w:p w14:paraId="0838E8C6" w14:textId="77777777" w:rsidR="00B63D5F" w:rsidRPr="005F27A5" w:rsidRDefault="00B63D5F"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tcPr>
          <w:p w14:paraId="0A469653" w14:textId="777777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5101AFF0" w14:textId="64E9DCDF"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La acest compartiment este prezentată informația doar referitor la publicarea anunțului de inițiere a elaborării proiectului și este necesar de prevăzut linkul, prin care poate fi nemijlocit accesat proiectul și Nota de fundamentare. Totodată, se recomandă organizarea consultărilor publice a proiectului și Notei de fundamentare cu reprezentanții mediului de afaceri, fiind expuse rezultatele acestor consultări. Deoarece anexele la proiect conțin informații de specialitate, se recomandă de consultat specialiștii și profesioniștii în domeniu. Menționăm, că informația din Buletinul informativ al Delegației Uniunii Europene în Republica Moldova nu poate fi accesată.</w:t>
            </w:r>
          </w:p>
        </w:tc>
        <w:tc>
          <w:tcPr>
            <w:tcW w:w="4809" w:type="dxa"/>
          </w:tcPr>
          <w:p w14:paraId="521E3378" w14:textId="417862FD" w:rsidR="003D6E44" w:rsidRPr="001F71EB" w:rsidRDefault="003D6E44" w:rsidP="00AB0B66">
            <w:pPr>
              <w:spacing w:beforeLines="20" w:before="48" w:afterLines="20" w:after="48"/>
              <w:ind w:left="57" w:right="57"/>
              <w:jc w:val="both"/>
              <w:rPr>
                <w:rFonts w:ascii="Times New Roman" w:eastAsia="Aptos" w:hAnsi="Times New Roman" w:cs="Times New Roman"/>
                <w:b/>
                <w:bCs/>
                <w:sz w:val="20"/>
                <w:szCs w:val="20"/>
              </w:rPr>
            </w:pPr>
            <w:r w:rsidRPr="001F71EB">
              <w:rPr>
                <w:rFonts w:ascii="Times New Roman" w:eastAsia="Aptos" w:hAnsi="Times New Roman" w:cs="Times New Roman"/>
                <w:b/>
                <w:bCs/>
                <w:sz w:val="20"/>
                <w:szCs w:val="20"/>
              </w:rPr>
              <w:t>Se acceptă.</w:t>
            </w:r>
            <w:r w:rsidR="003456F3" w:rsidRPr="001F71EB">
              <w:rPr>
                <w:rFonts w:ascii="Times New Roman" w:eastAsia="Aptos" w:hAnsi="Times New Roman" w:cs="Times New Roman"/>
                <w:b/>
                <w:bCs/>
                <w:sz w:val="20"/>
                <w:szCs w:val="20"/>
              </w:rPr>
              <w:t xml:space="preserve"> </w:t>
            </w:r>
            <w:r w:rsidR="003456F3" w:rsidRPr="001F71EB">
              <w:rPr>
                <w:rFonts w:ascii="Times New Roman" w:eastAsia="Aptos" w:hAnsi="Times New Roman" w:cs="Times New Roman"/>
                <w:sz w:val="20"/>
                <w:szCs w:val="20"/>
              </w:rPr>
              <w:t>Nota de fundamentare a fost ajustată.</w:t>
            </w:r>
          </w:p>
          <w:p w14:paraId="48C77675" w14:textId="4E77E56F" w:rsidR="00B63D5F" w:rsidRPr="001F71EB" w:rsidRDefault="003D6E44"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eastAsia="Aptos" w:hAnsi="Times New Roman" w:cs="Times New Roman"/>
                <w:sz w:val="20"/>
                <w:szCs w:val="20"/>
              </w:rPr>
              <w:t xml:space="preserve">Menționăm că, Ministerul Mediului a transmis proiectul de Regulament </w:t>
            </w:r>
            <w:r w:rsidRPr="001F71EB">
              <w:rPr>
                <w:rFonts w:ascii="Times New Roman" w:eastAsia="Aptos" w:hAnsi="Times New Roman" w:cs="Times New Roman"/>
                <w:sz w:val="20"/>
                <w:szCs w:val="20"/>
                <w:shd w:val="clear" w:color="auto" w:fill="FFFFFF"/>
                <w:lang w:eastAsia="ru-RU"/>
              </w:rPr>
              <w:t xml:space="preserve">Grupului de lucru pentru elaborarea documentelor de politici și a cadrului normativ în domeniul gestionării durabile a substanțelor chimice, instituit prin </w:t>
            </w:r>
            <w:r w:rsidRPr="001F71EB">
              <w:rPr>
                <w:rFonts w:ascii="Times New Roman" w:eastAsia="Aptos" w:hAnsi="Times New Roman" w:cs="Times New Roman"/>
                <w:color w:val="000000"/>
                <w:sz w:val="20"/>
                <w:szCs w:val="20"/>
                <w:shd w:val="clear" w:color="auto" w:fill="FFFFFF"/>
                <w:lang w:eastAsia="ru-RU"/>
              </w:rPr>
              <w:t xml:space="preserve">Ordinul Ministerului Mediului nr. 50 din 29 martie 2024. Totodată, pe data de 20.11.2025 </w:t>
            </w:r>
            <w:r w:rsidR="00DF7A89" w:rsidRPr="001F71EB">
              <w:rPr>
                <w:rFonts w:ascii="Times New Roman" w:eastAsia="Aptos" w:hAnsi="Times New Roman" w:cs="Times New Roman"/>
                <w:color w:val="000000"/>
                <w:sz w:val="20"/>
                <w:szCs w:val="20"/>
                <w:shd w:val="clear" w:color="auto" w:fill="FFFFFF"/>
                <w:lang w:eastAsia="ru-RU"/>
              </w:rPr>
              <w:t>a fost organizat</w:t>
            </w:r>
            <w:r w:rsidRPr="001F71EB">
              <w:rPr>
                <w:rFonts w:ascii="Times New Roman" w:eastAsia="Aptos" w:hAnsi="Times New Roman" w:cs="Times New Roman"/>
                <w:color w:val="000000"/>
                <w:sz w:val="20"/>
                <w:szCs w:val="20"/>
                <w:shd w:val="clear" w:color="auto" w:fill="FFFFFF"/>
                <w:lang w:eastAsia="ru-RU"/>
              </w:rPr>
              <w:t xml:space="preserve">  evenimentul, dedicat consultărilor publice a proiectului cu mediul de afaceri.</w:t>
            </w:r>
            <w:r w:rsidR="00DF7A89" w:rsidRPr="001F71EB">
              <w:rPr>
                <w:rFonts w:ascii="Times New Roman" w:eastAsia="Aptos" w:hAnsi="Times New Roman" w:cs="Times New Roman"/>
                <w:color w:val="000000"/>
                <w:sz w:val="20"/>
                <w:szCs w:val="20"/>
                <w:shd w:val="clear" w:color="auto" w:fill="FFFFFF"/>
                <w:lang w:eastAsia="ru-RU"/>
              </w:rPr>
              <w:t xml:space="preserve"> </w:t>
            </w:r>
            <w:r w:rsidRPr="001F71EB">
              <w:rPr>
                <w:rFonts w:ascii="Times New Roman" w:eastAsia="Aptos" w:hAnsi="Times New Roman" w:cs="Times New Roman"/>
                <w:sz w:val="20"/>
                <w:szCs w:val="20"/>
              </w:rPr>
              <w:t>Link-urile la Buletinul informativ al Delegației Uniunii Europene în Republica Moldova au fost ajustate.</w:t>
            </w:r>
          </w:p>
        </w:tc>
      </w:tr>
      <w:tr w:rsidR="00FA5653" w:rsidRPr="005F27A5" w14:paraId="31089B31" w14:textId="77777777" w:rsidTr="00A245B4">
        <w:trPr>
          <w:trHeight w:val="1251"/>
        </w:trPr>
        <w:tc>
          <w:tcPr>
            <w:tcW w:w="2787" w:type="dxa"/>
            <w:vMerge w:val="restart"/>
          </w:tcPr>
          <w:p w14:paraId="65C6D48A" w14:textId="77777777" w:rsidR="00FA5653" w:rsidRPr="005F27A5" w:rsidRDefault="00FA5653" w:rsidP="00AB0B66">
            <w:pPr>
              <w:spacing w:beforeLines="20" w:before="48" w:afterLines="20" w:after="48"/>
              <w:ind w:left="57" w:right="57"/>
              <w:contextualSpacing/>
              <w:jc w:val="center"/>
              <w:rPr>
                <w:rFonts w:ascii="Times New Roman" w:hAnsi="Times New Roman" w:cs="Times New Roman"/>
                <w:b/>
                <w:bCs/>
                <w:sz w:val="20"/>
                <w:szCs w:val="20"/>
              </w:rPr>
            </w:pPr>
            <w:r w:rsidRPr="005F27A5">
              <w:rPr>
                <w:rFonts w:ascii="Times New Roman" w:hAnsi="Times New Roman" w:cs="Times New Roman"/>
                <w:b/>
                <w:bCs/>
                <w:sz w:val="20"/>
                <w:szCs w:val="20"/>
              </w:rPr>
              <w:t>Agenția de Mediu</w:t>
            </w:r>
          </w:p>
          <w:p w14:paraId="14735D0D" w14:textId="768843B1" w:rsidR="00FA5653" w:rsidRPr="005F27A5" w:rsidRDefault="00FA5653"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sz w:val="20"/>
                <w:szCs w:val="20"/>
              </w:rPr>
              <w:t>Aviz nr. 08/2176/2025 din 12.12.2025</w:t>
            </w:r>
          </w:p>
        </w:tc>
        <w:tc>
          <w:tcPr>
            <w:tcW w:w="737" w:type="dxa"/>
            <w:vMerge w:val="restart"/>
          </w:tcPr>
          <w:p w14:paraId="28C57F4F" w14:textId="77777777" w:rsidR="00FA5653" w:rsidRPr="005F27A5" w:rsidRDefault="00FA5653"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34BB8A0F" w14:textId="77777777" w:rsidR="001A2560" w:rsidRPr="005F27A5" w:rsidRDefault="00FA5653"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1. La Capitolul I, completarea Pct. 1 cu subpct. 1.3 după cum urmează:</w:t>
            </w:r>
          </w:p>
          <w:p w14:paraId="3BB1CD65" w14:textId="54022315" w:rsidR="00FA5653" w:rsidRPr="005F27A5" w:rsidRDefault="00FA5653"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sz w:val="20"/>
                <w:szCs w:val="20"/>
              </w:rPr>
              <w:t xml:space="preserve">1.3 aplicarea tuturor nanoformelor unei substanțe, și clasificarea separată a fiecărei nanoforme atunci când proprietățile lor fizico-chimice, toxicologice sau ecotoxicologice diferă semnificativ de cele ale formei de bază. </w:t>
            </w:r>
          </w:p>
        </w:tc>
        <w:tc>
          <w:tcPr>
            <w:tcW w:w="4809" w:type="dxa"/>
          </w:tcPr>
          <w:p w14:paraId="5843F33E" w14:textId="77777777" w:rsidR="00FA5653" w:rsidRPr="001F71EB" w:rsidRDefault="004740D6" w:rsidP="00AB0B66">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t>Nu se acceptă.</w:t>
            </w:r>
          </w:p>
          <w:p w14:paraId="2F217169" w14:textId="256CD407" w:rsidR="00EF3958" w:rsidRPr="001F71EB" w:rsidRDefault="00EF3958" w:rsidP="009F3AD8">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t xml:space="preserve">Propunerea de </w:t>
            </w:r>
            <w:r w:rsidR="009F3AD8" w:rsidRPr="001F71EB">
              <w:rPr>
                <w:rFonts w:ascii="Times New Roman" w:hAnsi="Times New Roman" w:cs="Times New Roman"/>
                <w:bCs/>
                <w:sz w:val="20"/>
                <w:szCs w:val="20"/>
              </w:rPr>
              <w:t>completare pct. 1 nu este fundamentata juridic. Excede prevederile Regulamentului (CE) nr. 1272/2008.</w:t>
            </w:r>
          </w:p>
        </w:tc>
      </w:tr>
      <w:tr w:rsidR="00FA5653" w:rsidRPr="005F27A5" w14:paraId="5D907596" w14:textId="77777777" w:rsidTr="00C13CB0">
        <w:trPr>
          <w:trHeight w:val="1698"/>
        </w:trPr>
        <w:tc>
          <w:tcPr>
            <w:tcW w:w="2787" w:type="dxa"/>
            <w:vMerge/>
          </w:tcPr>
          <w:p w14:paraId="450814DA" w14:textId="77777777" w:rsidR="00FA5653" w:rsidRPr="005F27A5" w:rsidRDefault="00FA5653" w:rsidP="00AB0B66">
            <w:pPr>
              <w:spacing w:beforeLines="20" w:before="48" w:afterLines="20" w:after="48"/>
              <w:ind w:left="57" w:right="57"/>
              <w:contextualSpacing/>
              <w:jc w:val="center"/>
              <w:rPr>
                <w:rFonts w:ascii="Times New Roman" w:hAnsi="Times New Roman" w:cs="Times New Roman"/>
                <w:b/>
                <w:bCs/>
                <w:sz w:val="20"/>
                <w:szCs w:val="20"/>
              </w:rPr>
            </w:pPr>
          </w:p>
        </w:tc>
        <w:tc>
          <w:tcPr>
            <w:tcW w:w="737" w:type="dxa"/>
            <w:vMerge/>
          </w:tcPr>
          <w:p w14:paraId="6214B913" w14:textId="77777777" w:rsidR="00FA5653" w:rsidRPr="005F27A5" w:rsidRDefault="00FA5653"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500CEB7D" w14:textId="7108BB56" w:rsidR="00FA5653" w:rsidRPr="005F27A5" w:rsidRDefault="00CB77BA"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2. La Capitolul II, Secțiunea 1, Subsecțiunea 1, completarea Pct. 20 cu subpct. 20.6 după cum urmează: 20.6 date privind substanțe de compoziție necunoscută, variabilă, produse de reacții complexe sau materiale biologice (UVCB), clasificarea cărora se efectuează conform metodologiei stabilite în anexele prezentului regulament ținând cont de variabilitatea compoziției și de efectele cumulative ale constituentelor necunoscute sau parțial caracterizate.</w:t>
            </w:r>
          </w:p>
        </w:tc>
        <w:tc>
          <w:tcPr>
            <w:tcW w:w="4809" w:type="dxa"/>
          </w:tcPr>
          <w:p w14:paraId="752AAA6B" w14:textId="77777777" w:rsidR="00FA5653" w:rsidRPr="001F71EB" w:rsidRDefault="004740D6" w:rsidP="00AB0B66">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t>Nu se acceptă.</w:t>
            </w:r>
          </w:p>
          <w:p w14:paraId="1AB2EF3B" w14:textId="53A9AD8F" w:rsidR="00221B02" w:rsidRPr="001F71EB" w:rsidRDefault="000C0776" w:rsidP="00FC249F">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t>Propunerea de completare nu este argumentată. Mai mult, pct. 20 prevede că producătorii, importatorii și utilizatorii din aval trebuie să identifice informațiile necesare pentru a stabili dacă substanța prezintă un pericol fizic, pentru sănătate sau pentru mediu, în vederea clasificării acesteia în conformitate cu anexa nr. 1.</w:t>
            </w:r>
          </w:p>
        </w:tc>
      </w:tr>
      <w:tr w:rsidR="00FA5653" w:rsidRPr="005F27A5" w14:paraId="5C929825" w14:textId="77777777" w:rsidTr="00FA5653">
        <w:trPr>
          <w:trHeight w:val="2497"/>
        </w:trPr>
        <w:tc>
          <w:tcPr>
            <w:tcW w:w="2787" w:type="dxa"/>
            <w:vMerge/>
          </w:tcPr>
          <w:p w14:paraId="09FBDC74" w14:textId="77777777" w:rsidR="00FA5653" w:rsidRPr="005F27A5" w:rsidRDefault="00FA5653" w:rsidP="00AB0B66">
            <w:pPr>
              <w:spacing w:beforeLines="20" w:before="48" w:afterLines="20" w:after="48"/>
              <w:ind w:left="57" w:right="57"/>
              <w:contextualSpacing/>
              <w:jc w:val="center"/>
              <w:rPr>
                <w:rFonts w:ascii="Times New Roman" w:hAnsi="Times New Roman" w:cs="Times New Roman"/>
                <w:b/>
                <w:bCs/>
                <w:sz w:val="20"/>
                <w:szCs w:val="20"/>
              </w:rPr>
            </w:pPr>
          </w:p>
        </w:tc>
        <w:tc>
          <w:tcPr>
            <w:tcW w:w="737" w:type="dxa"/>
            <w:vMerge/>
          </w:tcPr>
          <w:p w14:paraId="1E450344" w14:textId="77777777" w:rsidR="00FA5653" w:rsidRPr="005F27A5" w:rsidRDefault="00FA5653"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0ECF4BEF" w14:textId="77777777" w:rsidR="00E461FD" w:rsidRPr="005F27A5" w:rsidRDefault="00E461FD"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3. La Subsecțiunea a 4-a, completarea Pct. 61 cu subpct. 61.3, 61.4 și 61.5 după cum urmează:</w:t>
            </w:r>
          </w:p>
          <w:p w14:paraId="0565F527" w14:textId="77777777" w:rsidR="00E461FD" w:rsidRPr="005F27A5" w:rsidRDefault="00E461FD"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61.3 o substanță este considerată persistentă, mobilă și toxică (PMT) atunci când îndeplinește concomitent criteriile de persistență, mobilitate și toxicitate, conform reglementărilor în vigoare;</w:t>
            </w:r>
          </w:p>
          <w:p w14:paraId="5511FD71" w14:textId="77777777" w:rsidR="00E461FD" w:rsidRPr="005F27A5" w:rsidRDefault="00E461FD"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61.4 furnizorii se obligă să evalueze caracterul PMT al substanțelor și amestecurilor pe baza datelor experimentale sau modelelor acceptate;</w:t>
            </w:r>
          </w:p>
          <w:p w14:paraId="589B1939" w14:textId="00443E2D" w:rsidR="00FA5653" w:rsidRPr="005F27A5" w:rsidRDefault="00E461FD"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61.5 substanțele clasificate ca PMT se notifică în termen de 6 luni de la identificarea în Registrul european de clasificare.</w:t>
            </w:r>
          </w:p>
        </w:tc>
        <w:tc>
          <w:tcPr>
            <w:tcW w:w="4809" w:type="dxa"/>
          </w:tcPr>
          <w:p w14:paraId="0255BFAA" w14:textId="03757696" w:rsidR="007E543C" w:rsidRPr="001F71EB" w:rsidRDefault="004740D6" w:rsidP="000A0818">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t>Nu</w:t>
            </w:r>
            <w:r w:rsidR="000356EC" w:rsidRPr="001F71EB">
              <w:rPr>
                <w:rFonts w:ascii="Times New Roman" w:hAnsi="Times New Roman" w:cs="Times New Roman"/>
                <w:b/>
                <w:sz w:val="20"/>
                <w:szCs w:val="20"/>
              </w:rPr>
              <w:t xml:space="preserve"> </w:t>
            </w:r>
            <w:r w:rsidRPr="001F71EB">
              <w:rPr>
                <w:rFonts w:ascii="Times New Roman" w:hAnsi="Times New Roman" w:cs="Times New Roman"/>
                <w:b/>
                <w:sz w:val="20"/>
                <w:szCs w:val="20"/>
              </w:rPr>
              <w:t>se acceptă.</w:t>
            </w:r>
          </w:p>
          <w:p w14:paraId="51239186" w14:textId="66E5743E" w:rsidR="007E543C" w:rsidRPr="001F71EB" w:rsidRDefault="007E543C" w:rsidP="000E5DBC">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t>Propunerea de completare nu este argumentată și este irelevantă. Pct</w:t>
            </w:r>
            <w:r w:rsidR="00CE59AD" w:rsidRPr="001F71EB">
              <w:rPr>
                <w:rFonts w:ascii="Times New Roman" w:hAnsi="Times New Roman" w:cs="Times New Roman"/>
                <w:bCs/>
                <w:sz w:val="20"/>
                <w:szCs w:val="20"/>
              </w:rPr>
              <w:t>.</w:t>
            </w:r>
            <w:r w:rsidRPr="001F71EB">
              <w:rPr>
                <w:rFonts w:ascii="Times New Roman" w:hAnsi="Times New Roman" w:cs="Times New Roman"/>
                <w:bCs/>
                <w:sz w:val="20"/>
                <w:szCs w:val="20"/>
              </w:rPr>
              <w:t xml:space="preserve"> 61 stabilește că urmare efectuării evaluării substanței sau amestecului prin prizma clasificarii acesteia producătorii, importatorii și utilizatorii urmează să stabileasca </w:t>
            </w:r>
            <w:r w:rsidR="00D040D0" w:rsidRPr="001F71EB">
              <w:rPr>
                <w:rFonts w:ascii="Times New Roman" w:hAnsi="Times New Roman" w:cs="Times New Roman"/>
                <w:bCs/>
                <w:sz w:val="20"/>
                <w:szCs w:val="20"/>
              </w:rPr>
              <w:t>categoria de pericol</w:t>
            </w:r>
            <w:r w:rsidR="00262056" w:rsidRPr="001F71EB">
              <w:rPr>
                <w:rFonts w:ascii="Times New Roman" w:hAnsi="Times New Roman" w:cs="Times New Roman"/>
                <w:bCs/>
                <w:sz w:val="20"/>
                <w:szCs w:val="20"/>
              </w:rPr>
              <w:t xml:space="preserve"> pentru fiecare </w:t>
            </w:r>
            <w:r w:rsidRPr="001F71EB">
              <w:rPr>
                <w:rFonts w:ascii="Times New Roman" w:hAnsi="Times New Roman" w:cs="Times New Roman"/>
                <w:bCs/>
                <w:sz w:val="20"/>
                <w:szCs w:val="20"/>
              </w:rPr>
              <w:t>clasa de pericol și fraze de peric</w:t>
            </w:r>
            <w:r w:rsidR="00262056" w:rsidRPr="001F71EB">
              <w:rPr>
                <w:rFonts w:ascii="Times New Roman" w:hAnsi="Times New Roman" w:cs="Times New Roman"/>
                <w:bCs/>
                <w:sz w:val="20"/>
                <w:szCs w:val="20"/>
              </w:rPr>
              <w:t>ol</w:t>
            </w:r>
            <w:r w:rsidRPr="001F71EB">
              <w:rPr>
                <w:rFonts w:ascii="Times New Roman" w:hAnsi="Times New Roman" w:cs="Times New Roman"/>
                <w:bCs/>
                <w:sz w:val="20"/>
                <w:szCs w:val="20"/>
              </w:rPr>
              <w:t xml:space="preserve"> corespunz</w:t>
            </w:r>
            <w:r w:rsidR="000A0818" w:rsidRPr="001F71EB">
              <w:rPr>
                <w:rFonts w:ascii="Times New Roman" w:hAnsi="Times New Roman" w:cs="Times New Roman"/>
                <w:bCs/>
                <w:sz w:val="20"/>
                <w:szCs w:val="20"/>
              </w:rPr>
              <w:t>ătoare</w:t>
            </w:r>
            <w:r w:rsidRPr="001F71EB">
              <w:rPr>
                <w:rFonts w:ascii="Times New Roman" w:hAnsi="Times New Roman" w:cs="Times New Roman"/>
                <w:bCs/>
                <w:sz w:val="20"/>
                <w:szCs w:val="20"/>
              </w:rPr>
              <w:t xml:space="preserve"> categoriei de pericol</w:t>
            </w:r>
            <w:r w:rsidR="00262056" w:rsidRPr="001F71EB">
              <w:rPr>
                <w:rFonts w:ascii="Times New Roman" w:hAnsi="Times New Roman" w:cs="Times New Roman"/>
                <w:bCs/>
                <w:sz w:val="20"/>
                <w:szCs w:val="20"/>
              </w:rPr>
              <w:t xml:space="preserve"> (acestea sunt componetentele clasific</w:t>
            </w:r>
            <w:r w:rsidR="00CE59AD" w:rsidRPr="001F71EB">
              <w:rPr>
                <w:rFonts w:ascii="Times New Roman" w:hAnsi="Times New Roman" w:cs="Times New Roman"/>
                <w:bCs/>
                <w:sz w:val="20"/>
                <w:szCs w:val="20"/>
              </w:rPr>
              <w:t>ării</w:t>
            </w:r>
            <w:r w:rsidR="00262056" w:rsidRPr="001F71EB">
              <w:rPr>
                <w:rFonts w:ascii="Times New Roman" w:hAnsi="Times New Roman" w:cs="Times New Roman"/>
                <w:bCs/>
                <w:sz w:val="20"/>
                <w:szCs w:val="20"/>
              </w:rPr>
              <w:t>)</w:t>
            </w:r>
            <w:r w:rsidR="000A0818" w:rsidRPr="001F71EB">
              <w:rPr>
                <w:rFonts w:ascii="Times New Roman" w:hAnsi="Times New Roman" w:cs="Times New Roman"/>
                <w:bCs/>
                <w:sz w:val="20"/>
                <w:szCs w:val="20"/>
              </w:rPr>
              <w:t>.</w:t>
            </w:r>
          </w:p>
        </w:tc>
      </w:tr>
      <w:tr w:rsidR="00FA5653" w:rsidRPr="005F27A5" w14:paraId="7AB7E3D6" w14:textId="77777777" w:rsidTr="00E3648F">
        <w:trPr>
          <w:trHeight w:val="322"/>
        </w:trPr>
        <w:tc>
          <w:tcPr>
            <w:tcW w:w="2787" w:type="dxa"/>
            <w:vMerge/>
          </w:tcPr>
          <w:p w14:paraId="7EE3B4CE" w14:textId="77777777" w:rsidR="00FA5653" w:rsidRPr="005F27A5" w:rsidRDefault="00FA5653" w:rsidP="00AB0B66">
            <w:pPr>
              <w:spacing w:beforeLines="20" w:before="48" w:afterLines="20" w:after="48"/>
              <w:ind w:left="57" w:right="57"/>
              <w:contextualSpacing/>
              <w:jc w:val="center"/>
              <w:rPr>
                <w:rFonts w:ascii="Times New Roman" w:hAnsi="Times New Roman" w:cs="Times New Roman"/>
                <w:b/>
                <w:bCs/>
                <w:sz w:val="20"/>
                <w:szCs w:val="20"/>
              </w:rPr>
            </w:pPr>
          </w:p>
        </w:tc>
        <w:tc>
          <w:tcPr>
            <w:tcW w:w="737" w:type="dxa"/>
            <w:vMerge/>
          </w:tcPr>
          <w:p w14:paraId="009C3C39" w14:textId="77777777" w:rsidR="00FA5653" w:rsidRPr="005F27A5" w:rsidRDefault="00FA5653"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227F5F79" w14:textId="77777777" w:rsidR="00F818D0" w:rsidRPr="005F27A5" w:rsidRDefault="00F818D0"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4. La Secțiunea 1 ”Conținutul etichetei ”, Subsecțiunea 1 ”Reguli generale”, completarea Pct. 71 cu subpct. 71.9; 71.9.1; 71.9.2; 71.9.3 și 71.10 după cum urmează:</w:t>
            </w:r>
          </w:p>
          <w:p w14:paraId="226C1D51" w14:textId="77777777" w:rsidR="00E461FD" w:rsidRPr="005F27A5" w:rsidRDefault="00F818D0"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71.9 Eticheta va include un cod digital QR prin intermediul căruia se va accesa direct:</w:t>
            </w:r>
          </w:p>
          <w:p w14:paraId="1A9E6432" w14:textId="77777777" w:rsidR="00E461FD" w:rsidRPr="005F27A5" w:rsidRDefault="00F818D0"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71.9.1 fișa cu date de securitate actualizată; 71.9.2 măsurile de prim ajutor;</w:t>
            </w:r>
          </w:p>
          <w:p w14:paraId="662EE146" w14:textId="77777777" w:rsidR="00E461FD" w:rsidRPr="005F27A5" w:rsidRDefault="00F818D0"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71.9.3 date privind manipularea și depozitarea;</w:t>
            </w:r>
          </w:p>
          <w:p w14:paraId="04BF1414" w14:textId="620EA077" w:rsidR="00FA5653" w:rsidRPr="005F27A5" w:rsidRDefault="00F818D0"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71.10 Informațiile accesate digital se actualizează simultan cu versiunea fizică a etichetei.</w:t>
            </w:r>
          </w:p>
        </w:tc>
        <w:tc>
          <w:tcPr>
            <w:tcW w:w="4809" w:type="dxa"/>
          </w:tcPr>
          <w:p w14:paraId="4B95B6A5" w14:textId="31616EC7" w:rsidR="00783A7B" w:rsidRPr="001F71EB" w:rsidRDefault="00783A7B" w:rsidP="00AB0B66">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t>Se ia act.</w:t>
            </w:r>
          </w:p>
          <w:p w14:paraId="3171EDAD" w14:textId="0F51AE3B" w:rsidR="004740D6" w:rsidRPr="001F71EB" w:rsidRDefault="00783A7B"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t>Prevederile privind etichetarea digitală sunt prevăzute în Secțiunea 3, subsecțiunea 1.</w:t>
            </w:r>
          </w:p>
        </w:tc>
      </w:tr>
      <w:tr w:rsidR="00FA5653" w:rsidRPr="005F27A5" w14:paraId="37CED1D4" w14:textId="77777777" w:rsidTr="0021118F">
        <w:trPr>
          <w:trHeight w:val="395"/>
        </w:trPr>
        <w:tc>
          <w:tcPr>
            <w:tcW w:w="2787" w:type="dxa"/>
            <w:vMerge/>
          </w:tcPr>
          <w:p w14:paraId="7BAC8F6C" w14:textId="77777777" w:rsidR="00FA5653" w:rsidRPr="005F27A5" w:rsidRDefault="00FA5653" w:rsidP="00AB0B66">
            <w:pPr>
              <w:spacing w:beforeLines="20" w:before="48" w:afterLines="20" w:after="48"/>
              <w:ind w:left="57" w:right="57"/>
              <w:contextualSpacing/>
              <w:jc w:val="center"/>
              <w:rPr>
                <w:rFonts w:ascii="Times New Roman" w:hAnsi="Times New Roman" w:cs="Times New Roman"/>
                <w:b/>
                <w:bCs/>
                <w:sz w:val="20"/>
                <w:szCs w:val="20"/>
              </w:rPr>
            </w:pPr>
          </w:p>
        </w:tc>
        <w:tc>
          <w:tcPr>
            <w:tcW w:w="737" w:type="dxa"/>
            <w:vMerge/>
          </w:tcPr>
          <w:p w14:paraId="26072270" w14:textId="77777777" w:rsidR="00FA5653" w:rsidRPr="005F27A5" w:rsidRDefault="00FA5653"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0C23783A" w14:textId="77777777" w:rsidR="00E461FD" w:rsidRPr="005F27A5" w:rsidRDefault="00D47630"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5. La Secțiunea a 2-a ”Controlul respectării legislaţiei și raportarea”, completarea secțiunii menționate supra cu Pct. 162 după cum urmează:</w:t>
            </w:r>
          </w:p>
          <w:p w14:paraId="7AC0F46E" w14:textId="24B9EF71" w:rsidR="00FA5653" w:rsidRPr="005F27A5" w:rsidRDefault="00D47630"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162 Agenția Națională pentru Sănătate Publică stabilește un Sistem de Avertizare Timpurie (SAT) care colectează, analizează și semnalează automat incidentele legate de substanțe clasificate conform prezentului regulament. Urmare celor expuse, Agenția de Mediu consideră necesar examinarea suplimentară a propunerilor sus menționate.</w:t>
            </w:r>
          </w:p>
        </w:tc>
        <w:tc>
          <w:tcPr>
            <w:tcW w:w="4809" w:type="dxa"/>
          </w:tcPr>
          <w:p w14:paraId="1DDB8428" w14:textId="77777777" w:rsidR="008C05CC" w:rsidRPr="001F71EB" w:rsidRDefault="008C05CC" w:rsidP="00AB0B66">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t>Nu se acceptă.</w:t>
            </w:r>
          </w:p>
          <w:p w14:paraId="576E26AE" w14:textId="7F108091" w:rsidR="00FA5653" w:rsidRPr="001F71EB" w:rsidRDefault="008C05CC"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t xml:space="preserve">Sistemul de Avertizare Timpurie (SAT) nu rezultă din </w:t>
            </w:r>
            <w:r w:rsidR="00B25D05" w:rsidRPr="001F71EB">
              <w:rPr>
                <w:rFonts w:ascii="Times New Roman" w:hAnsi="Times New Roman" w:cs="Times New Roman"/>
                <w:bCs/>
                <w:sz w:val="20"/>
                <w:szCs w:val="20"/>
              </w:rPr>
              <w:t>R</w:t>
            </w:r>
            <w:r w:rsidRPr="001F71EB">
              <w:rPr>
                <w:rFonts w:ascii="Times New Roman" w:hAnsi="Times New Roman" w:cs="Times New Roman"/>
                <w:bCs/>
                <w:sz w:val="20"/>
                <w:szCs w:val="20"/>
              </w:rPr>
              <w:t>egulamentul</w:t>
            </w:r>
            <w:r w:rsidR="00B25D05" w:rsidRPr="001F71EB">
              <w:rPr>
                <w:rFonts w:ascii="Times New Roman" w:hAnsi="Times New Roman" w:cs="Times New Roman"/>
                <w:bCs/>
                <w:sz w:val="20"/>
                <w:szCs w:val="20"/>
              </w:rPr>
              <w:t xml:space="preserve"> (CE) nr. 1272/2008</w:t>
            </w:r>
            <w:r w:rsidRPr="001F71EB">
              <w:rPr>
                <w:rFonts w:ascii="Times New Roman" w:hAnsi="Times New Roman" w:cs="Times New Roman"/>
                <w:bCs/>
                <w:sz w:val="20"/>
                <w:szCs w:val="20"/>
              </w:rPr>
              <w:t xml:space="preserve"> privind clasificarea și etichetarea substanțelor chimice (CLP). Prin urmare, propunerea depășește obiectul proiectului de hotărâre, mai mult ca atât lipsește temeiul juridic clar de unde derivă această sugestie.</w:t>
            </w:r>
          </w:p>
        </w:tc>
      </w:tr>
      <w:tr w:rsidR="005F2B80" w:rsidRPr="005F27A5" w14:paraId="5C64A6E4" w14:textId="77777777" w:rsidTr="00E3648F">
        <w:trPr>
          <w:trHeight w:val="1111"/>
        </w:trPr>
        <w:tc>
          <w:tcPr>
            <w:tcW w:w="2787" w:type="dxa"/>
            <w:vMerge w:val="restart"/>
          </w:tcPr>
          <w:p w14:paraId="053EFE4B" w14:textId="77777777" w:rsidR="005F2B80" w:rsidRPr="005F27A5" w:rsidRDefault="005F2B80" w:rsidP="00AB0B66">
            <w:pPr>
              <w:spacing w:beforeLines="20" w:before="48" w:afterLines="20" w:after="48"/>
              <w:ind w:left="57" w:right="57"/>
              <w:contextualSpacing/>
              <w:jc w:val="center"/>
              <w:rPr>
                <w:rFonts w:ascii="Times New Roman" w:hAnsi="Times New Roman" w:cs="Times New Roman"/>
                <w:b/>
                <w:bCs/>
                <w:sz w:val="20"/>
                <w:szCs w:val="20"/>
              </w:rPr>
            </w:pPr>
            <w:r w:rsidRPr="005F27A5">
              <w:rPr>
                <w:rFonts w:ascii="Times New Roman" w:hAnsi="Times New Roman" w:cs="Times New Roman"/>
                <w:b/>
                <w:bCs/>
                <w:sz w:val="20"/>
                <w:szCs w:val="20"/>
              </w:rPr>
              <w:t>Inspectoratul pentru Protecția Mediului</w:t>
            </w:r>
          </w:p>
          <w:p w14:paraId="335B7C0C" w14:textId="49D06FFF" w:rsidR="005F2B80" w:rsidRPr="005F27A5" w:rsidRDefault="005F2B80"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sz w:val="20"/>
                <w:szCs w:val="20"/>
              </w:rPr>
              <w:t>Aviz nr. 1979 din 11.12.2025</w:t>
            </w:r>
          </w:p>
        </w:tc>
        <w:tc>
          <w:tcPr>
            <w:tcW w:w="737" w:type="dxa"/>
            <w:vMerge w:val="restart"/>
          </w:tcPr>
          <w:p w14:paraId="57B297AC" w14:textId="77777777" w:rsidR="005F2B80" w:rsidRPr="005F27A5" w:rsidRDefault="005F2B80"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15BC3E01" w14:textId="77777777" w:rsidR="001074C0" w:rsidRPr="005F27A5" w:rsidRDefault="005F2B80"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l. La punctul 86 a</w:t>
            </w:r>
            <w:r w:rsidR="00A010E9" w:rsidRPr="005F27A5">
              <w:rPr>
                <w:rFonts w:ascii="Times New Roman" w:hAnsi="Times New Roman" w:cs="Times New Roman"/>
                <w:sz w:val="20"/>
                <w:szCs w:val="20"/>
              </w:rPr>
              <w:t>l</w:t>
            </w:r>
            <w:r w:rsidRPr="005F27A5">
              <w:rPr>
                <w:rFonts w:ascii="Times New Roman" w:hAnsi="Times New Roman" w:cs="Times New Roman"/>
                <w:sz w:val="20"/>
                <w:szCs w:val="20"/>
              </w:rPr>
              <w:t xml:space="preserve"> proiectului men</w:t>
            </w:r>
            <w:r w:rsidR="001074C0" w:rsidRPr="005F27A5">
              <w:rPr>
                <w:rFonts w:ascii="Times New Roman" w:hAnsi="Times New Roman" w:cs="Times New Roman"/>
                <w:sz w:val="20"/>
                <w:szCs w:val="20"/>
              </w:rPr>
              <w:t>ționăm</w:t>
            </w:r>
            <w:r w:rsidRPr="005F27A5">
              <w:rPr>
                <w:rFonts w:ascii="Times New Roman" w:hAnsi="Times New Roman" w:cs="Times New Roman"/>
                <w:sz w:val="20"/>
                <w:szCs w:val="20"/>
              </w:rPr>
              <w:t xml:space="preserve"> urm</w:t>
            </w:r>
            <w:r w:rsidR="001074C0" w:rsidRPr="005F27A5">
              <w:rPr>
                <w:rFonts w:ascii="Times New Roman" w:hAnsi="Times New Roman" w:cs="Times New Roman"/>
                <w:sz w:val="20"/>
                <w:szCs w:val="20"/>
              </w:rPr>
              <w:t>ătoarel</w:t>
            </w:r>
            <w:r w:rsidRPr="005F27A5">
              <w:rPr>
                <w:rFonts w:ascii="Times New Roman" w:hAnsi="Times New Roman" w:cs="Times New Roman"/>
                <w:sz w:val="20"/>
                <w:szCs w:val="20"/>
              </w:rPr>
              <w:t>e:</w:t>
            </w:r>
          </w:p>
          <w:p w14:paraId="79718DFA" w14:textId="4A1393A9" w:rsidR="005F2B80" w:rsidRPr="005F27A5" w:rsidRDefault="005F2B80"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sz w:val="20"/>
                <w:szCs w:val="20"/>
              </w:rPr>
              <w:t>Inspectoratul pentru Protec</w:t>
            </w:r>
            <w:r w:rsidR="007A1933" w:rsidRPr="005F27A5">
              <w:rPr>
                <w:rFonts w:ascii="Times New Roman" w:hAnsi="Times New Roman" w:cs="Times New Roman"/>
                <w:sz w:val="20"/>
                <w:szCs w:val="20"/>
              </w:rPr>
              <w:t>ț</w:t>
            </w:r>
            <w:r w:rsidRPr="005F27A5">
              <w:rPr>
                <w:rFonts w:ascii="Times New Roman" w:hAnsi="Times New Roman" w:cs="Times New Roman"/>
                <w:sz w:val="20"/>
                <w:szCs w:val="20"/>
              </w:rPr>
              <w:t>ia Mediului (IPM) consider</w:t>
            </w:r>
            <w:r w:rsidR="007A1933" w:rsidRPr="005F27A5">
              <w:rPr>
                <w:rFonts w:ascii="Times New Roman" w:hAnsi="Times New Roman" w:cs="Times New Roman"/>
                <w:sz w:val="20"/>
                <w:szCs w:val="20"/>
              </w:rPr>
              <w:t>ă</w:t>
            </w:r>
            <w:r w:rsidRPr="005F27A5">
              <w:rPr>
                <w:rFonts w:ascii="Times New Roman" w:hAnsi="Times New Roman" w:cs="Times New Roman"/>
                <w:sz w:val="20"/>
                <w:szCs w:val="20"/>
              </w:rPr>
              <w:t xml:space="preserve"> neces</w:t>
            </w:r>
            <w:r w:rsidR="00743AC6" w:rsidRPr="005F27A5">
              <w:rPr>
                <w:rFonts w:ascii="Times New Roman" w:hAnsi="Times New Roman" w:cs="Times New Roman"/>
                <w:sz w:val="20"/>
                <w:szCs w:val="20"/>
              </w:rPr>
              <w:t>ar</w:t>
            </w:r>
            <w:r w:rsidRPr="005F27A5">
              <w:rPr>
                <w:rFonts w:ascii="Times New Roman" w:hAnsi="Times New Roman" w:cs="Times New Roman"/>
                <w:sz w:val="20"/>
                <w:szCs w:val="20"/>
              </w:rPr>
              <w:t xml:space="preserve"> ca proiectul Regulamentului s</w:t>
            </w:r>
            <w:r w:rsidR="00743AC6" w:rsidRPr="005F27A5">
              <w:rPr>
                <w:rFonts w:ascii="Times New Roman" w:hAnsi="Times New Roman" w:cs="Times New Roman"/>
                <w:sz w:val="20"/>
                <w:szCs w:val="20"/>
              </w:rPr>
              <w:t xml:space="preserve">ă prevadă </w:t>
            </w:r>
            <w:r w:rsidRPr="005F27A5">
              <w:rPr>
                <w:rFonts w:ascii="Times New Roman" w:hAnsi="Times New Roman" w:cs="Times New Roman"/>
                <w:sz w:val="20"/>
                <w:szCs w:val="20"/>
              </w:rPr>
              <w:t>con</w:t>
            </w:r>
            <w:r w:rsidR="00743AC6" w:rsidRPr="005F27A5">
              <w:rPr>
                <w:rFonts w:ascii="Times New Roman" w:hAnsi="Times New Roman" w:cs="Times New Roman"/>
                <w:sz w:val="20"/>
                <w:szCs w:val="20"/>
              </w:rPr>
              <w:t>ț</w:t>
            </w:r>
            <w:r w:rsidRPr="005F27A5">
              <w:rPr>
                <w:rFonts w:ascii="Times New Roman" w:hAnsi="Times New Roman" w:cs="Times New Roman"/>
                <w:sz w:val="20"/>
                <w:szCs w:val="20"/>
              </w:rPr>
              <w:t xml:space="preserve">inutul avizului solicitat de la IPM </w:t>
            </w:r>
            <w:r w:rsidR="007964B5" w:rsidRPr="005F27A5">
              <w:rPr>
                <w:rFonts w:ascii="Times New Roman" w:hAnsi="Times New Roman" w:cs="Times New Roman"/>
                <w:sz w:val="20"/>
                <w:szCs w:val="20"/>
              </w:rPr>
              <w:t>ș</w:t>
            </w:r>
            <w:r w:rsidRPr="005F27A5">
              <w:rPr>
                <w:rFonts w:ascii="Times New Roman" w:hAnsi="Times New Roman" w:cs="Times New Roman"/>
                <w:sz w:val="20"/>
                <w:szCs w:val="20"/>
              </w:rPr>
              <w:t>i ANSP, fie prin introducerea unei Anexe sau completarea cu con</w:t>
            </w:r>
            <w:r w:rsidR="007964B5" w:rsidRPr="005F27A5">
              <w:rPr>
                <w:rFonts w:ascii="Times New Roman" w:hAnsi="Times New Roman" w:cs="Times New Roman"/>
                <w:sz w:val="20"/>
                <w:szCs w:val="20"/>
              </w:rPr>
              <w:t>ț</w:t>
            </w:r>
            <w:r w:rsidRPr="005F27A5">
              <w:rPr>
                <w:rFonts w:ascii="Times New Roman" w:hAnsi="Times New Roman" w:cs="Times New Roman"/>
                <w:sz w:val="20"/>
                <w:szCs w:val="20"/>
              </w:rPr>
              <w:t>inut obligatoriu al aviz</w:t>
            </w:r>
            <w:r w:rsidR="008D2367" w:rsidRPr="005F27A5">
              <w:rPr>
                <w:rFonts w:ascii="Times New Roman" w:hAnsi="Times New Roman" w:cs="Times New Roman"/>
                <w:sz w:val="20"/>
                <w:szCs w:val="20"/>
              </w:rPr>
              <w:t>ului</w:t>
            </w:r>
            <w:r w:rsidRPr="005F27A5">
              <w:rPr>
                <w:rFonts w:ascii="Times New Roman" w:hAnsi="Times New Roman" w:cs="Times New Roman"/>
                <w:sz w:val="20"/>
                <w:szCs w:val="20"/>
              </w:rPr>
              <w:t xml:space="preserve"> solicitat la pct. 86. </w:t>
            </w:r>
          </w:p>
        </w:tc>
        <w:tc>
          <w:tcPr>
            <w:tcW w:w="4809" w:type="dxa"/>
          </w:tcPr>
          <w:p w14:paraId="1460B0A0" w14:textId="6F5DE5E6" w:rsidR="00523329" w:rsidRPr="001F71EB" w:rsidRDefault="00523329"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t>În urma avizului GL (CS), capitolul aferent procedurii de acordare a denumirii alternative pentru substanța chimică a fost revizuit substanțial. În consecință, propunerea formulată anterior nu mai este aplicabilă.</w:t>
            </w:r>
          </w:p>
        </w:tc>
      </w:tr>
      <w:tr w:rsidR="002E044B" w:rsidRPr="005F27A5" w14:paraId="37C55FB2" w14:textId="77777777" w:rsidTr="005A6738">
        <w:trPr>
          <w:trHeight w:val="3589"/>
        </w:trPr>
        <w:tc>
          <w:tcPr>
            <w:tcW w:w="2787" w:type="dxa"/>
            <w:vMerge/>
          </w:tcPr>
          <w:p w14:paraId="466F3271" w14:textId="77777777" w:rsidR="002E044B" w:rsidRPr="005F27A5" w:rsidRDefault="002E044B" w:rsidP="00AB0B66">
            <w:pPr>
              <w:spacing w:beforeLines="20" w:before="48" w:afterLines="20" w:after="48"/>
              <w:ind w:left="57" w:right="57"/>
              <w:contextualSpacing/>
              <w:jc w:val="center"/>
              <w:rPr>
                <w:rFonts w:ascii="Times New Roman" w:hAnsi="Times New Roman" w:cs="Times New Roman"/>
                <w:b/>
                <w:bCs/>
                <w:sz w:val="20"/>
                <w:szCs w:val="20"/>
              </w:rPr>
            </w:pPr>
          </w:p>
        </w:tc>
        <w:tc>
          <w:tcPr>
            <w:tcW w:w="737" w:type="dxa"/>
            <w:vMerge/>
          </w:tcPr>
          <w:p w14:paraId="32EEE926" w14:textId="77777777" w:rsidR="002E044B" w:rsidRPr="005F27A5" w:rsidRDefault="002E044B"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58991298" w14:textId="77777777" w:rsidR="002E044B" w:rsidRPr="005F27A5" w:rsidRDefault="002E044B"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 xml:space="preserve">2. Conținutul pct. 158 va fi înlocuit cu următoarea sintagmă: ,,Controlul de stat asupra respectării prevederilor prezentului Regulament privind clasificarea, etichetarea și ambalarea substanlelor și a amestecurilor chimice, se planifică, se efectuează și se inregistrează de către Inspectoratul pentru Protecția Mediului în conformitate cu prevederile Legii nr. 131/2012 privind controlul de stat și cu Metodologia privind controlul de stat asupra activitățiii de </w:t>
            </w:r>
            <w:r w:rsidRPr="00807951">
              <w:rPr>
                <w:rFonts w:ascii="Times New Roman" w:hAnsi="Times New Roman" w:cs="Times New Roman"/>
                <w:sz w:val="20"/>
                <w:szCs w:val="20"/>
              </w:rPr>
              <w:t>intreprinzător în baza analizei riscurilor aferent domeniilor de competență ale Inspectoratului pentru Protecția</w:t>
            </w:r>
            <w:r w:rsidRPr="005F27A5">
              <w:rPr>
                <w:rFonts w:ascii="Times New Roman" w:hAnsi="Times New Roman" w:cs="Times New Roman"/>
                <w:sz w:val="20"/>
                <w:szCs w:val="20"/>
              </w:rPr>
              <w:t xml:space="preserve"> Mediului, aprobată prin Hotărârea Guvernului nr. 963/2018, precum și în conformitate cu prevederile Legii nr. 1515/1993 privind protecția mediului înconjurător și Legii nr. 277/2018 privind substanțele chimice";</w:t>
            </w:r>
          </w:p>
          <w:p w14:paraId="12733751" w14:textId="036B4091" w:rsidR="002E044B" w:rsidRPr="005F27A5" w:rsidRDefault="002E044B"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3. De exclus conținutul punctului 160, astfel încât competențele IPM sunt expres prevăzute de HG 548/2018 cu privire la organizarea și funcționarea IPM.</w:t>
            </w:r>
          </w:p>
        </w:tc>
        <w:tc>
          <w:tcPr>
            <w:tcW w:w="4809" w:type="dxa"/>
          </w:tcPr>
          <w:p w14:paraId="5C9DED59" w14:textId="77777777" w:rsidR="002E044B" w:rsidRPr="001F71EB" w:rsidRDefault="002E044B" w:rsidP="00AB0B66">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t>Nu se acceptă.</w:t>
            </w:r>
          </w:p>
          <w:p w14:paraId="691DD01A" w14:textId="3F35871B" w:rsidR="002E044B" w:rsidRPr="001F71EB" w:rsidRDefault="002E044B" w:rsidP="002E044B">
            <w:pPr>
              <w:spacing w:beforeLines="20" w:before="48" w:afterLines="20" w:after="48"/>
              <w:ind w:left="57" w:right="57"/>
              <w:jc w:val="both"/>
              <w:rPr>
                <w:rFonts w:ascii="Times New Roman" w:hAnsi="Times New Roman" w:cs="Times New Roman"/>
                <w:sz w:val="20"/>
                <w:szCs w:val="20"/>
              </w:rPr>
            </w:pPr>
            <w:r w:rsidRPr="001F71EB">
              <w:rPr>
                <w:rFonts w:ascii="Times New Roman" w:hAnsi="Times New Roman" w:cs="Times New Roman"/>
                <w:bCs/>
                <w:sz w:val="20"/>
                <w:szCs w:val="20"/>
              </w:rPr>
              <w:t xml:space="preserve">Prevederea a fost ajustată în conformitate cu prevederile Legii nr. 162/2023 </w:t>
            </w:r>
            <w:r w:rsidRPr="001F71EB">
              <w:rPr>
                <w:rFonts w:ascii="Times New Roman" w:hAnsi="Times New Roman" w:cs="Times New Roman"/>
                <w:sz w:val="20"/>
                <w:szCs w:val="20"/>
              </w:rPr>
              <w:t xml:space="preserve">privind supravegherea pieței și conformitatea produselor. Acesta este actul normativ de bază care stabilește atribuțiile IPM de a supraveghea piața în ceea ce privește clasificarea, etichetarea și ambalarea substanțelor </w:t>
            </w:r>
            <w:r w:rsidR="00634024" w:rsidRPr="001F71EB">
              <w:rPr>
                <w:rFonts w:ascii="Times New Roman" w:hAnsi="Times New Roman" w:cs="Times New Roman"/>
                <w:sz w:val="20"/>
                <w:szCs w:val="20"/>
              </w:rPr>
              <w:t>și amestecurilor</w:t>
            </w:r>
            <w:r w:rsidR="00653EA0" w:rsidRPr="001F71EB">
              <w:rPr>
                <w:rFonts w:ascii="Times New Roman" w:hAnsi="Times New Roman" w:cs="Times New Roman"/>
                <w:sz w:val="20"/>
                <w:szCs w:val="20"/>
              </w:rPr>
              <w:t>.</w:t>
            </w:r>
          </w:p>
        </w:tc>
      </w:tr>
      <w:tr w:rsidR="00F57B8A" w:rsidRPr="005F27A5" w14:paraId="2E706C0F" w14:textId="77777777" w:rsidTr="0070180D">
        <w:trPr>
          <w:trHeight w:val="3853"/>
        </w:trPr>
        <w:tc>
          <w:tcPr>
            <w:tcW w:w="2787" w:type="dxa"/>
            <w:vMerge w:val="restart"/>
          </w:tcPr>
          <w:p w14:paraId="2456E061" w14:textId="77777777" w:rsidR="00F57B8A" w:rsidRPr="005F27A5" w:rsidRDefault="00F57B8A"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b/>
                <w:bCs/>
                <w:color w:val="0D0D0D" w:themeColor="text1" w:themeTint="F2"/>
                <w:sz w:val="20"/>
                <w:szCs w:val="20"/>
              </w:rPr>
              <w:t>Agenția Națională de Reglementare a Activităților Nucleare și Radiologice</w:t>
            </w:r>
          </w:p>
          <w:p w14:paraId="462C8638" w14:textId="1C6FCC13" w:rsidR="00F57B8A" w:rsidRPr="005F27A5" w:rsidRDefault="00F57B8A" w:rsidP="00AB0B66">
            <w:pPr>
              <w:spacing w:beforeLines="20" w:before="48" w:afterLines="20" w:after="48"/>
              <w:ind w:left="57" w:right="57"/>
              <w:contextualSpacing/>
              <w:jc w:val="center"/>
              <w:rPr>
                <w:rFonts w:ascii="Times New Roman" w:hAnsi="Times New Roman" w:cs="Times New Roman"/>
                <w:color w:val="0D0D0D" w:themeColor="text1" w:themeTint="F2"/>
                <w:sz w:val="20"/>
                <w:szCs w:val="20"/>
              </w:rPr>
            </w:pPr>
            <w:r w:rsidRPr="005F27A5">
              <w:rPr>
                <w:rFonts w:ascii="Times New Roman" w:hAnsi="Times New Roman" w:cs="Times New Roman"/>
                <w:color w:val="0D0D0D" w:themeColor="text1" w:themeTint="F2"/>
                <w:sz w:val="20"/>
                <w:szCs w:val="20"/>
              </w:rPr>
              <w:t>Nr. 01-04/795 din 16.12.2025</w:t>
            </w:r>
          </w:p>
          <w:p w14:paraId="2284FA37" w14:textId="6E59D2CF" w:rsidR="00F57B8A" w:rsidRPr="005F27A5" w:rsidRDefault="00F57B8A"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val="restart"/>
          </w:tcPr>
          <w:p w14:paraId="627FDDC1" w14:textId="77777777" w:rsidR="00F57B8A" w:rsidRPr="005F27A5" w:rsidRDefault="00F57B8A"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6A297357" w14:textId="77777777" w:rsidR="007B6B8E" w:rsidRDefault="00F57B8A"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1. În general:</w:t>
            </w:r>
          </w:p>
          <w:p w14:paraId="3B612039" w14:textId="70904810" w:rsidR="00F57B8A" w:rsidRDefault="00F57B8A"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Pe întreg cuprinsul proiectului de hotărâre examinat, precum și documentelor însoțite, sunt utilizate diferitele denumiri ale Regulamentului, de exemplu: Regulamentul privind clasificarea, etichetarea și ambalarea substanțelor și amestecurilor chimice; Regulamentul privind clasificarea, etichetarea și ambalarea substanțelor și amestecurilor; Regulamentul privind clasificarea, etichetarea și ambalarea substanțelor și a amestecurilor etc.</w:t>
            </w:r>
          </w:p>
          <w:p w14:paraId="5E6B23C8" w14:textId="2E8B10E2" w:rsidR="00F57B8A" w:rsidRPr="008502FB" w:rsidRDefault="00F57B8A"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În acest context recomandăm aducerea denumirilor sus-menționate în concordanță cu denumirea utilizată în cuprinsul Legii nr. 277/2018 privind substanțele chimice (în continuare – Legea nr. 277/2018) și anume: ,,Regulamentul privind clasificarea, etichetarea și ambalarea substanțelor și amestecurilor”.</w:t>
            </w:r>
          </w:p>
        </w:tc>
        <w:tc>
          <w:tcPr>
            <w:tcW w:w="4809" w:type="dxa"/>
          </w:tcPr>
          <w:p w14:paraId="4F48945C" w14:textId="37A262FE" w:rsidR="00F57B8A" w:rsidRPr="001F71EB" w:rsidRDefault="007122B9"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
                <w:sz w:val="20"/>
                <w:szCs w:val="20"/>
              </w:rPr>
              <w:t>Se accept</w:t>
            </w:r>
            <w:r w:rsidR="008B0E15" w:rsidRPr="001F71EB">
              <w:rPr>
                <w:rFonts w:ascii="Times New Roman" w:hAnsi="Times New Roman" w:cs="Times New Roman"/>
                <w:b/>
                <w:sz w:val="20"/>
                <w:szCs w:val="20"/>
              </w:rPr>
              <w:t>ă.</w:t>
            </w:r>
            <w:r w:rsidR="008B0E15" w:rsidRPr="001F71EB">
              <w:rPr>
                <w:rFonts w:ascii="Times New Roman" w:hAnsi="Times New Roman" w:cs="Times New Roman"/>
                <w:bCs/>
                <w:sz w:val="20"/>
                <w:szCs w:val="20"/>
              </w:rPr>
              <w:t xml:space="preserve"> Proiectul a fost ajustat.</w:t>
            </w:r>
          </w:p>
        </w:tc>
      </w:tr>
      <w:tr w:rsidR="00F57B8A" w:rsidRPr="005F27A5" w14:paraId="54B813B3" w14:textId="77777777" w:rsidTr="0070180D">
        <w:trPr>
          <w:trHeight w:val="5879"/>
        </w:trPr>
        <w:tc>
          <w:tcPr>
            <w:tcW w:w="2787" w:type="dxa"/>
            <w:vMerge/>
          </w:tcPr>
          <w:p w14:paraId="5FA66EC2" w14:textId="77777777" w:rsidR="00F57B8A" w:rsidRPr="005F27A5" w:rsidRDefault="00F57B8A"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0EF3F5BA" w14:textId="77777777" w:rsidR="00F57B8A" w:rsidRPr="005F27A5" w:rsidRDefault="00F57B8A"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5491B86C" w14:textId="77777777" w:rsidR="00F57B8A" w:rsidRPr="0070180D" w:rsidRDefault="00F57B8A" w:rsidP="00AB0B66">
            <w:pPr>
              <w:spacing w:beforeLines="20" w:before="48" w:afterLines="20" w:after="48"/>
              <w:ind w:left="57" w:right="57"/>
              <w:jc w:val="both"/>
              <w:rPr>
                <w:rFonts w:ascii="Times New Roman" w:hAnsi="Times New Roman" w:cs="Times New Roman"/>
                <w:sz w:val="20"/>
                <w:szCs w:val="20"/>
              </w:rPr>
            </w:pPr>
            <w:r w:rsidRPr="0070180D">
              <w:rPr>
                <w:rFonts w:ascii="Times New Roman" w:hAnsi="Times New Roman" w:cs="Times New Roman"/>
                <w:sz w:val="20"/>
                <w:szCs w:val="20"/>
              </w:rPr>
              <w:t>2. La proiectul Regulamentului examinat:</w:t>
            </w:r>
          </w:p>
          <w:p w14:paraId="755CF573" w14:textId="77777777" w:rsidR="00F57B8A" w:rsidRPr="0070180D" w:rsidRDefault="00F57B8A" w:rsidP="00AB0B66">
            <w:pPr>
              <w:spacing w:beforeLines="20" w:before="48" w:afterLines="20" w:after="48"/>
              <w:ind w:left="57" w:right="57"/>
              <w:jc w:val="both"/>
              <w:rPr>
                <w:rFonts w:ascii="Times New Roman" w:hAnsi="Times New Roman" w:cs="Times New Roman"/>
                <w:sz w:val="20"/>
                <w:szCs w:val="20"/>
              </w:rPr>
            </w:pPr>
            <w:r w:rsidRPr="0070180D">
              <w:rPr>
                <w:rFonts w:ascii="Times New Roman" w:hAnsi="Times New Roman" w:cs="Times New Roman"/>
                <w:sz w:val="20"/>
                <w:szCs w:val="20"/>
              </w:rPr>
              <w:t>2.1. La punctul 1 subpunctul 1.5, punctul 145 și alte relevante care se referă la organismele responsabile pentru primirea informațiilor armonizate referitoare la răspunsul în situații de urgență privind sănătatea, considerăm necesar să menționăm că, Regulamentul (CE) nr. 1272/2008 privind clasificarea, etichetarea și ambalarea substanțelor și a amestecurilor (în continuare – Regulamentul (CE) nr. 1272/2008) nu dictează care instituții trebuie desemnate în calitate responsabili pentru primirea informațiilor armonizate, delegând, totodată, un șir de atribuții, în acest sens, Comisiei Europene și Agenției Europene pentru produsele chimice (ECHA). Mai mult decât atât, articolul 45 din Regulamentul (CE) nr. 1272/2008 sus menționat stipulează: „Statele membre desemnează unul sau mai multe organisme responsabile cu primirea informațiilor armonizate relevante referitoare la răspunsul în situații de urgență privind sănătatea și la măsurile preventive, în conformitate cu anexa VIII”.</w:t>
            </w:r>
          </w:p>
          <w:p w14:paraId="40268D9A" w14:textId="0A414467" w:rsidR="00F57B8A" w:rsidRPr="005F27A5" w:rsidRDefault="00F57B8A" w:rsidP="00AB0B66">
            <w:pPr>
              <w:spacing w:beforeLines="20" w:before="48" w:afterLines="20" w:after="48"/>
              <w:ind w:left="57" w:right="57"/>
              <w:jc w:val="both"/>
              <w:rPr>
                <w:rFonts w:ascii="Times New Roman" w:hAnsi="Times New Roman" w:cs="Times New Roman"/>
                <w:sz w:val="20"/>
                <w:szCs w:val="20"/>
              </w:rPr>
            </w:pPr>
            <w:r w:rsidRPr="00D935FE">
              <w:rPr>
                <w:rFonts w:ascii="Times New Roman" w:hAnsi="Times New Roman" w:cs="Times New Roman"/>
                <w:sz w:val="20"/>
                <w:szCs w:val="20"/>
              </w:rPr>
              <w:t>Astfel, în contextul celor expuse, și ținând cont de prevederile articolului 11 subpunctul 4) din Legea nr. 10/2009 privind supravegherea de stat a sănătății publice, considerăm că, responsabilitățile de primire a informațiilor armonizate relevante referitoare la răspunsul în situații de urgență privind sănătatea și la măsurile preventive pot fi atribuite 3 instituții: Agenția de Mediu, Agenția Națională pentru Sănătate Publică și Inspectoratul General pentru Situații de Urgență.</w:t>
            </w:r>
          </w:p>
        </w:tc>
        <w:tc>
          <w:tcPr>
            <w:tcW w:w="4809" w:type="dxa"/>
          </w:tcPr>
          <w:p w14:paraId="17D2A5E2" w14:textId="43E06D06" w:rsidR="006903D5" w:rsidRPr="001F71EB" w:rsidRDefault="006903D5" w:rsidP="00AB0B66">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t>Nu se acceptă.</w:t>
            </w:r>
          </w:p>
          <w:p w14:paraId="3DF2362F" w14:textId="6A20E1CE" w:rsidR="00B25ED8" w:rsidRPr="001F71EB" w:rsidRDefault="00B25ED8"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t>Norma europeană prevede</w:t>
            </w:r>
            <w:r w:rsidR="00245074" w:rsidRPr="001F71EB">
              <w:rPr>
                <w:rFonts w:ascii="Times New Roman" w:hAnsi="Times New Roman" w:cs="Times New Roman"/>
                <w:bCs/>
                <w:sz w:val="20"/>
                <w:szCs w:val="20"/>
              </w:rPr>
              <w:t xml:space="preserve"> </w:t>
            </w:r>
            <w:r w:rsidRPr="001F71EB">
              <w:rPr>
                <w:rFonts w:ascii="Times New Roman" w:hAnsi="Times New Roman" w:cs="Times New Roman"/>
                <w:bCs/>
                <w:sz w:val="20"/>
                <w:szCs w:val="20"/>
              </w:rPr>
              <w:t xml:space="preserve">că </w:t>
            </w:r>
            <w:r w:rsidR="00245074" w:rsidRPr="001F71EB">
              <w:rPr>
                <w:rFonts w:ascii="Times New Roman" w:hAnsi="Times New Roman" w:cs="Times New Roman"/>
                <w:bCs/>
                <w:sz w:val="20"/>
                <w:szCs w:val="20"/>
              </w:rPr>
              <w:t>„</w:t>
            </w:r>
            <w:r w:rsidR="00245074" w:rsidRPr="001F71EB">
              <w:rPr>
                <w:rFonts w:ascii="Times New Roman" w:hAnsi="Times New Roman" w:cs="Times New Roman"/>
                <w:i/>
                <w:iCs/>
                <w:sz w:val="20"/>
                <w:szCs w:val="20"/>
              </w:rPr>
              <w:t>Statele membre desemnează unul sau mai multe organisme responsabile cu primirea informațiilor armonizate relevante referitoare la răspunsul în situații de urgență privind sănătatea și la măsurile preventive, în conformitate cu anexa VIII</w:t>
            </w:r>
            <w:r w:rsidR="00245074" w:rsidRPr="001F71EB">
              <w:rPr>
                <w:rFonts w:ascii="Times New Roman" w:hAnsi="Times New Roman" w:cs="Times New Roman"/>
                <w:bCs/>
                <w:sz w:val="20"/>
                <w:szCs w:val="20"/>
              </w:rPr>
              <w:t>”,</w:t>
            </w:r>
            <w:r w:rsidR="0027712E" w:rsidRPr="001F71EB">
              <w:rPr>
                <w:rFonts w:ascii="Times New Roman" w:hAnsi="Times New Roman" w:cs="Times New Roman"/>
                <w:bCs/>
                <w:sz w:val="20"/>
                <w:szCs w:val="20"/>
              </w:rPr>
              <w:t xml:space="preserve"> </w:t>
            </w:r>
            <w:r w:rsidRPr="001F71EB">
              <w:rPr>
                <w:rFonts w:ascii="Times New Roman" w:hAnsi="Times New Roman" w:cs="Times New Roman"/>
                <w:bCs/>
                <w:sz w:val="20"/>
                <w:szCs w:val="20"/>
              </w:rPr>
              <w:t xml:space="preserve">iar desemnarea instituțiilor </w:t>
            </w:r>
            <w:r w:rsidR="00EF0C69" w:rsidRPr="001F71EB">
              <w:rPr>
                <w:rFonts w:ascii="Times New Roman" w:hAnsi="Times New Roman" w:cs="Times New Roman"/>
                <w:bCs/>
                <w:sz w:val="20"/>
                <w:szCs w:val="20"/>
              </w:rPr>
              <w:t>responsabile și cantitatea acestora</w:t>
            </w:r>
            <w:r w:rsidRPr="001F71EB">
              <w:rPr>
                <w:rFonts w:ascii="Times New Roman" w:hAnsi="Times New Roman" w:cs="Times New Roman"/>
                <w:bCs/>
                <w:sz w:val="20"/>
                <w:szCs w:val="20"/>
              </w:rPr>
              <w:t xml:space="preserve"> reprezintă un drept suveran al Republicii Moldova.</w:t>
            </w:r>
          </w:p>
          <w:p w14:paraId="1CCBFADA" w14:textId="1657A93E" w:rsidR="00773AFF" w:rsidRPr="001F71EB" w:rsidRDefault="00B25ED8" w:rsidP="00AB0B66">
            <w:pPr>
              <w:spacing w:beforeLines="20" w:before="48" w:afterLines="20" w:after="48"/>
              <w:ind w:left="57" w:right="57"/>
              <w:jc w:val="both"/>
              <w:rPr>
                <w:rFonts w:ascii="Times New Roman" w:hAnsi="Times New Roman" w:cs="Times New Roman"/>
                <w:bCs/>
                <w:sz w:val="20"/>
                <w:szCs w:val="20"/>
                <w:lang w:val="pt-BR"/>
              </w:rPr>
            </w:pPr>
            <w:r w:rsidRPr="001F71EB">
              <w:rPr>
                <w:rFonts w:ascii="Times New Roman" w:hAnsi="Times New Roman" w:cs="Times New Roman"/>
                <w:bCs/>
                <w:sz w:val="20"/>
                <w:szCs w:val="20"/>
              </w:rPr>
              <w:t xml:space="preserve">Totodată, la elaborarea proiectului de Regulament au fost analizate practicile din statele membre ale Uniunii Europene și Spațiul Economic European (SEE). </w:t>
            </w:r>
            <w:r w:rsidRPr="001F71EB">
              <w:rPr>
                <w:rFonts w:ascii="Times New Roman" w:hAnsi="Times New Roman" w:cs="Times New Roman"/>
                <w:bCs/>
                <w:sz w:val="20"/>
                <w:szCs w:val="20"/>
                <w:lang w:val="pt-BR"/>
              </w:rPr>
              <w:t xml:space="preserve">În acest context, doar cinci state (Austria, Finlanda, Grecia, Norvegia și Slovenia) au desemnat câte două organisme </w:t>
            </w:r>
            <w:r w:rsidR="0027712E" w:rsidRPr="001F71EB">
              <w:rPr>
                <w:rFonts w:ascii="Times New Roman" w:hAnsi="Times New Roman" w:cs="Times New Roman"/>
                <w:bCs/>
                <w:sz w:val="20"/>
                <w:szCs w:val="20"/>
                <w:lang w:val="pt-BR"/>
              </w:rPr>
              <w:t>responsabile</w:t>
            </w:r>
            <w:r w:rsidR="00A04B60" w:rsidRPr="001F71EB">
              <w:rPr>
                <w:rFonts w:ascii="Times New Roman" w:hAnsi="Times New Roman" w:cs="Times New Roman"/>
                <w:bCs/>
                <w:sz w:val="20"/>
                <w:szCs w:val="20"/>
                <w:lang w:val="pt-BR"/>
              </w:rPr>
              <w:t>,</w:t>
            </w:r>
            <w:r w:rsidR="009C51CE" w:rsidRPr="001F71EB">
              <w:rPr>
                <w:rFonts w:ascii="Times New Roman" w:hAnsi="Times New Roman" w:cs="Times New Roman"/>
                <w:bCs/>
                <w:sz w:val="20"/>
                <w:szCs w:val="20"/>
                <w:lang w:val="pt-BR"/>
              </w:rPr>
              <w:t xml:space="preserve"> </w:t>
            </w:r>
            <w:r w:rsidR="00A04B60" w:rsidRPr="001F71EB">
              <w:rPr>
                <w:rFonts w:ascii="Times New Roman" w:hAnsi="Times New Roman" w:cs="Times New Roman"/>
                <w:bCs/>
                <w:sz w:val="20"/>
                <w:szCs w:val="20"/>
                <w:lang w:val="pt-BR"/>
              </w:rPr>
              <w:t>(</w:t>
            </w:r>
            <w:hyperlink r:id="rId8" w:history="1">
              <w:r w:rsidR="00A04B60" w:rsidRPr="001F71EB">
                <w:rPr>
                  <w:rStyle w:val="a8"/>
                  <w:rFonts w:ascii="Times New Roman" w:hAnsi="Times New Roman" w:cs="Times New Roman"/>
                  <w:bCs/>
                  <w:color w:val="0000FF"/>
                  <w:sz w:val="20"/>
                  <w:szCs w:val="20"/>
                  <w:lang w:val="pt-BR"/>
                </w:rPr>
                <w:t>https://poisoncentres.echa.europa.eu/appointed-bodies</w:t>
              </w:r>
            </w:hyperlink>
            <w:r w:rsidR="00A04B60" w:rsidRPr="001F71EB">
              <w:rPr>
                <w:rFonts w:ascii="Times New Roman" w:hAnsi="Times New Roman" w:cs="Times New Roman"/>
                <w:bCs/>
                <w:sz w:val="20"/>
                <w:szCs w:val="20"/>
                <w:lang w:val="pt-BR"/>
              </w:rPr>
              <w:t>)</w:t>
            </w:r>
          </w:p>
          <w:p w14:paraId="22132D28" w14:textId="0490F36B" w:rsidR="00DE369D" w:rsidRPr="001F71EB" w:rsidRDefault="00A32815"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lang w:val="pt-BR"/>
              </w:rPr>
              <w:t>A</w:t>
            </w:r>
            <w:r w:rsidR="00540D9C" w:rsidRPr="001F71EB">
              <w:rPr>
                <w:rFonts w:ascii="Times New Roman" w:hAnsi="Times New Roman" w:cs="Times New Roman"/>
                <w:bCs/>
                <w:sz w:val="20"/>
                <w:szCs w:val="20"/>
              </w:rPr>
              <w:t>utorul avizului nu a argumentat suficient necesitatea desemnării a trei autorități responsabile</w:t>
            </w:r>
            <w:r w:rsidR="000D52DA" w:rsidRPr="001F71EB">
              <w:rPr>
                <w:rFonts w:ascii="Times New Roman" w:hAnsi="Times New Roman" w:cs="Times New Roman"/>
                <w:bCs/>
                <w:sz w:val="20"/>
                <w:szCs w:val="20"/>
              </w:rPr>
              <w:t xml:space="preserve"> </w:t>
            </w:r>
            <w:r w:rsidR="003967F3" w:rsidRPr="001F71EB">
              <w:rPr>
                <w:rFonts w:ascii="Times New Roman" w:hAnsi="Times New Roman" w:cs="Times New Roman"/>
                <w:bCs/>
                <w:sz w:val="20"/>
                <w:szCs w:val="20"/>
              </w:rPr>
              <w:t>prin prisma competenț</w:t>
            </w:r>
            <w:r w:rsidR="0035191E" w:rsidRPr="001F71EB">
              <w:rPr>
                <w:rFonts w:ascii="Times New Roman" w:hAnsi="Times New Roman" w:cs="Times New Roman"/>
                <w:bCs/>
                <w:sz w:val="20"/>
                <w:szCs w:val="20"/>
              </w:rPr>
              <w:t xml:space="preserve">elor acestora </w:t>
            </w:r>
            <w:r w:rsidR="001971A2" w:rsidRPr="001F71EB">
              <w:rPr>
                <w:rFonts w:ascii="Times New Roman" w:hAnsi="Times New Roman" w:cs="Times New Roman"/>
                <w:bCs/>
                <w:sz w:val="20"/>
                <w:szCs w:val="20"/>
              </w:rPr>
              <w:t xml:space="preserve">și </w:t>
            </w:r>
            <w:r w:rsidR="0035191E" w:rsidRPr="001F71EB">
              <w:rPr>
                <w:rFonts w:ascii="Times New Roman" w:hAnsi="Times New Roman" w:cs="Times New Roman"/>
                <w:bCs/>
                <w:sz w:val="20"/>
                <w:szCs w:val="20"/>
              </w:rPr>
              <w:t>sub aspectu</w:t>
            </w:r>
            <w:r w:rsidR="001A4A7C" w:rsidRPr="001F71EB">
              <w:rPr>
                <w:rFonts w:ascii="Times New Roman" w:hAnsi="Times New Roman" w:cs="Times New Roman"/>
                <w:bCs/>
                <w:sz w:val="20"/>
                <w:szCs w:val="20"/>
              </w:rPr>
              <w:t>l primirei informației</w:t>
            </w:r>
            <w:r w:rsidR="000D52DA" w:rsidRPr="001F71EB">
              <w:rPr>
                <w:rFonts w:ascii="Times New Roman" w:hAnsi="Times New Roman" w:cs="Times New Roman"/>
                <w:bCs/>
                <w:sz w:val="20"/>
                <w:szCs w:val="20"/>
              </w:rPr>
              <w:t xml:space="preserve"> </w:t>
            </w:r>
            <w:r w:rsidR="001A4A7C" w:rsidRPr="001F71EB">
              <w:rPr>
                <w:rFonts w:ascii="Times New Roman" w:hAnsi="Times New Roman" w:cs="Times New Roman"/>
                <w:bCs/>
                <w:sz w:val="20"/>
                <w:szCs w:val="20"/>
              </w:rPr>
              <w:t>referitoare la răspunsul în situaţii de urgenţă privind sănătatea</w:t>
            </w:r>
            <w:r w:rsidR="00540D9C" w:rsidRPr="001F71EB">
              <w:rPr>
                <w:rFonts w:ascii="Times New Roman" w:hAnsi="Times New Roman" w:cs="Times New Roman"/>
                <w:bCs/>
                <w:sz w:val="20"/>
                <w:szCs w:val="20"/>
              </w:rPr>
              <w:t>, în locul desemnării unei singure autorități, fapt ce ar putea contribui la o reglementare deficitară.</w:t>
            </w:r>
          </w:p>
        </w:tc>
      </w:tr>
      <w:tr w:rsidR="00F57B8A" w:rsidRPr="005F27A5" w14:paraId="1A87F7A5" w14:textId="77777777" w:rsidTr="00F57B8A">
        <w:trPr>
          <w:trHeight w:val="950"/>
        </w:trPr>
        <w:tc>
          <w:tcPr>
            <w:tcW w:w="2787" w:type="dxa"/>
            <w:vMerge/>
          </w:tcPr>
          <w:p w14:paraId="463BAAC2" w14:textId="77777777" w:rsidR="00F57B8A" w:rsidRPr="005F27A5" w:rsidRDefault="00F57B8A"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7A12B8E1" w14:textId="77777777" w:rsidR="00F57B8A" w:rsidRPr="005F27A5" w:rsidRDefault="00F57B8A"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5A92F285" w14:textId="77777777" w:rsidR="00F57B8A" w:rsidRDefault="00F57B8A"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3. La anexa nr. 1:</w:t>
            </w:r>
          </w:p>
          <w:p w14:paraId="526EAF02" w14:textId="77777777" w:rsidR="00F57B8A" w:rsidRDefault="00F57B8A"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3.1. Textul ,,Anexa nr. 1 La Regulamentului privind clasificarea, etichetarea și ambalarea substanțelor și amestecurilor chimice” se substituie cu textul ,,Anexa nr. 1 La Regulamentul privind clasificarea, etichetarea și ambalarea substanțelor și amestecurilor”.</w:t>
            </w:r>
          </w:p>
          <w:p w14:paraId="3B4B78DD" w14:textId="6ADCDA18" w:rsidR="00F57B8A" w:rsidRPr="005F27A5" w:rsidRDefault="00F57B8A" w:rsidP="00AB0B66">
            <w:pPr>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Obiecția este valabilă și pentru anexele nr. 2, 3, 4, 5-8.</w:t>
            </w:r>
          </w:p>
        </w:tc>
        <w:tc>
          <w:tcPr>
            <w:tcW w:w="4809" w:type="dxa"/>
          </w:tcPr>
          <w:p w14:paraId="59688A21" w14:textId="4AE9F5BD" w:rsidR="00F57B8A" w:rsidRPr="001F71EB" w:rsidRDefault="00474288"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
                <w:sz w:val="20"/>
                <w:szCs w:val="20"/>
              </w:rPr>
              <w:t>Se acceptă.</w:t>
            </w:r>
            <w:r w:rsidRPr="001F71EB">
              <w:rPr>
                <w:rFonts w:ascii="Times New Roman" w:hAnsi="Times New Roman" w:cs="Times New Roman"/>
                <w:bCs/>
                <w:sz w:val="20"/>
                <w:szCs w:val="20"/>
              </w:rPr>
              <w:t xml:space="preserve"> Proiectul</w:t>
            </w:r>
            <w:r w:rsidR="0058644E" w:rsidRPr="001F71EB">
              <w:rPr>
                <w:rFonts w:ascii="Times New Roman" w:hAnsi="Times New Roman" w:cs="Times New Roman"/>
                <w:bCs/>
                <w:sz w:val="20"/>
                <w:szCs w:val="20"/>
              </w:rPr>
              <w:t xml:space="preserve"> </w:t>
            </w:r>
            <w:r w:rsidRPr="001F71EB">
              <w:rPr>
                <w:rFonts w:ascii="Times New Roman" w:hAnsi="Times New Roman" w:cs="Times New Roman"/>
                <w:bCs/>
                <w:sz w:val="20"/>
                <w:szCs w:val="20"/>
              </w:rPr>
              <w:t>a fost ajustat.</w:t>
            </w:r>
          </w:p>
        </w:tc>
      </w:tr>
      <w:tr w:rsidR="00F57B8A" w:rsidRPr="005F27A5" w14:paraId="5505ABA3" w14:textId="77777777" w:rsidTr="00F57B8A">
        <w:trPr>
          <w:trHeight w:val="949"/>
        </w:trPr>
        <w:tc>
          <w:tcPr>
            <w:tcW w:w="2787" w:type="dxa"/>
            <w:vMerge/>
          </w:tcPr>
          <w:p w14:paraId="41611078" w14:textId="77777777" w:rsidR="00F57B8A" w:rsidRPr="005F27A5" w:rsidRDefault="00F57B8A"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43C1B013" w14:textId="77777777" w:rsidR="00F57B8A" w:rsidRPr="005F27A5" w:rsidRDefault="00F57B8A"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19A37077" w14:textId="77777777" w:rsidR="00F57B8A" w:rsidRPr="00105449" w:rsidRDefault="00F57B8A" w:rsidP="00AB0B66">
            <w:pPr>
              <w:spacing w:beforeLines="20" w:before="48" w:afterLines="20" w:after="48"/>
              <w:ind w:left="57" w:right="57"/>
              <w:jc w:val="both"/>
              <w:rPr>
                <w:rFonts w:ascii="Times New Roman" w:hAnsi="Times New Roman" w:cs="Times New Roman"/>
                <w:sz w:val="20"/>
                <w:szCs w:val="20"/>
              </w:rPr>
            </w:pPr>
            <w:r w:rsidRPr="00105449">
              <w:rPr>
                <w:rFonts w:ascii="Times New Roman" w:hAnsi="Times New Roman" w:cs="Times New Roman"/>
                <w:sz w:val="20"/>
                <w:szCs w:val="20"/>
              </w:rPr>
              <w:t>3.2. la Partea 1 subpct. 1.5.2.1.1., textul ,,Derogările pentru etichetarea ambalajelor mici pentru aerosoli ca inflamabili, prevăzute în Decizia Guvernului Nr. 1078/2024, se aplică numai pentru dispozitive de pulverizare a aerosolilor” trebuie revizuit și concretizat, reieșind din următoarele considerente:</w:t>
            </w:r>
          </w:p>
          <w:p w14:paraId="2E1E3E54" w14:textId="77777777" w:rsidR="00F57B8A" w:rsidRPr="00105449" w:rsidRDefault="00F57B8A" w:rsidP="00AB0B66">
            <w:pPr>
              <w:spacing w:beforeLines="20" w:before="48" w:afterLines="20" w:after="48"/>
              <w:ind w:left="57" w:right="57"/>
              <w:jc w:val="both"/>
              <w:rPr>
                <w:rFonts w:ascii="Times New Roman" w:hAnsi="Times New Roman" w:cs="Times New Roman"/>
                <w:sz w:val="20"/>
                <w:szCs w:val="20"/>
              </w:rPr>
            </w:pPr>
            <w:r w:rsidRPr="00105449">
              <w:rPr>
                <w:rFonts w:ascii="Times New Roman" w:hAnsi="Times New Roman" w:cs="Times New Roman"/>
                <w:sz w:val="20"/>
                <w:szCs w:val="20"/>
              </w:rPr>
              <w:lastRenderedPageBreak/>
              <w:t>3.2.1. ținând cont de faptul că, actul normativ ,,Decizia Guvernului Nr. 1078/2024” sus-menționat nu se regăsește în Registrul de Stat al actelor juridice www.legis.md . Astfel, în textul trebuie verificate și indicate expres: actul juridic, numărul și data de aprobare a acestuia, precum și denumirea acestuia;</w:t>
            </w:r>
          </w:p>
          <w:p w14:paraId="5949DFBA" w14:textId="77777777" w:rsidR="00F57B8A" w:rsidRPr="00105449" w:rsidRDefault="00F57B8A" w:rsidP="00AB0B66">
            <w:pPr>
              <w:spacing w:beforeLines="20" w:before="48" w:afterLines="20" w:after="48"/>
              <w:ind w:left="57" w:right="57"/>
              <w:jc w:val="both"/>
              <w:rPr>
                <w:rFonts w:ascii="Times New Roman" w:hAnsi="Times New Roman" w:cs="Times New Roman"/>
                <w:sz w:val="20"/>
                <w:szCs w:val="20"/>
              </w:rPr>
            </w:pPr>
            <w:r w:rsidRPr="00105449">
              <w:rPr>
                <w:rFonts w:ascii="Times New Roman" w:hAnsi="Times New Roman" w:cs="Times New Roman"/>
                <w:sz w:val="20"/>
                <w:szCs w:val="20"/>
              </w:rPr>
              <w:t>3.2.2. mai mult decât atât, este de menționat că, textul menționat mai sus, în subpunctul 3.2., ,,se aplică numai pentru dispozitive de pulverizare a aerosolilor”, în originalul Regulamentului (CE) nr. 1272/2008 (în limba engleză), cu referire la Directiva nr. 75/324/EEC, este expus în următoarea redacție: ,,shall apply to aerosol dispensers”.</w:t>
            </w:r>
          </w:p>
          <w:p w14:paraId="7099B9AC" w14:textId="77777777" w:rsidR="00D251D9" w:rsidRPr="00105449" w:rsidRDefault="00D251D9" w:rsidP="00AB0B66">
            <w:pPr>
              <w:spacing w:beforeLines="20" w:before="48" w:afterLines="20" w:after="48"/>
              <w:ind w:left="57" w:right="57"/>
              <w:jc w:val="both"/>
              <w:rPr>
                <w:rFonts w:ascii="Times New Roman" w:hAnsi="Times New Roman" w:cs="Times New Roman"/>
                <w:sz w:val="20"/>
                <w:szCs w:val="20"/>
              </w:rPr>
            </w:pPr>
            <w:r w:rsidRPr="00105449">
              <w:rPr>
                <w:rFonts w:ascii="Times New Roman" w:hAnsi="Times New Roman" w:cs="Times New Roman"/>
                <w:sz w:val="20"/>
                <w:szCs w:val="20"/>
              </w:rPr>
              <w:t>3.2.3. În acest context, considerăm necesar să menționăm că, un șir de acte europene (originale) care reglementează substanțe, amestecuri sau articole, inclusiv și Directiva nr. 75/324/EEC, Regulamentul (CE) nr. 1907/2006 (REACH), Regulamentul (CE) nr. 1272/2008, utilizează terminologia unică ,,aerosol dispensers”.</w:t>
            </w:r>
          </w:p>
          <w:p w14:paraId="5474E55B" w14:textId="77777777" w:rsidR="00D251D9" w:rsidRPr="00105449" w:rsidRDefault="00D251D9" w:rsidP="00AB0B66">
            <w:pPr>
              <w:spacing w:beforeLines="20" w:before="48" w:afterLines="20" w:after="48"/>
              <w:ind w:left="57" w:right="57"/>
              <w:jc w:val="both"/>
              <w:rPr>
                <w:rFonts w:ascii="Times New Roman" w:hAnsi="Times New Roman" w:cs="Times New Roman"/>
                <w:sz w:val="20"/>
                <w:szCs w:val="20"/>
              </w:rPr>
            </w:pPr>
            <w:r w:rsidRPr="00105449">
              <w:rPr>
                <w:rFonts w:ascii="Times New Roman" w:hAnsi="Times New Roman" w:cs="Times New Roman"/>
                <w:sz w:val="20"/>
                <w:szCs w:val="20"/>
              </w:rPr>
              <w:t>Totodată, actele normative aprobate în Republica Moldova sau proiectele de acte normative, care actualmente sunt la etapa de promovare, în limba de stat utilizează terminologiile diferite, ceea ce provoacă discordanța și neclaritatea în terminologia juridică. De exemplu:</w:t>
            </w:r>
          </w:p>
          <w:p w14:paraId="238FC73A" w14:textId="77777777" w:rsidR="00D251D9" w:rsidRPr="00105449" w:rsidRDefault="00D251D9" w:rsidP="00AB0B66">
            <w:pPr>
              <w:spacing w:beforeLines="20" w:before="48" w:afterLines="20" w:after="48"/>
              <w:ind w:left="57" w:right="57"/>
              <w:jc w:val="both"/>
              <w:rPr>
                <w:rFonts w:ascii="Times New Roman" w:hAnsi="Times New Roman" w:cs="Times New Roman"/>
                <w:sz w:val="20"/>
                <w:szCs w:val="20"/>
              </w:rPr>
            </w:pPr>
            <w:r w:rsidRPr="00105449">
              <w:rPr>
                <w:rFonts w:ascii="Times New Roman" w:hAnsi="Times New Roman" w:cs="Times New Roman"/>
                <w:sz w:val="20"/>
                <w:szCs w:val="20"/>
              </w:rPr>
              <w:t>a) Directiva nr. 75/324/EEC, care în limba originalului se numește ,,Council Directive of 20 May 1975 on the approximation of the laws of the Member States relating to aerosol dispensers (75/324/EEC)”, în Hotărârea Guvernului nr. 299/2025 se numește ,,Directiva 75/324/CEE a Consiliului din 20 mai 1975 privind apropierea legislațiilor statelor membre referitoare la generatoarele de aerosoli”. Astfel, terminologia unică ,,aerosol dispensers” al originalului actului este tradusă ca ,,generatoarele de aerosoli”;</w:t>
            </w:r>
          </w:p>
          <w:p w14:paraId="5DDAB683" w14:textId="77777777" w:rsidR="00D251D9" w:rsidRPr="00105449" w:rsidRDefault="00D251D9" w:rsidP="00AB0B66">
            <w:pPr>
              <w:spacing w:beforeLines="20" w:before="48" w:afterLines="20" w:after="48"/>
              <w:ind w:left="57" w:right="57"/>
              <w:jc w:val="both"/>
              <w:rPr>
                <w:rFonts w:ascii="Times New Roman" w:hAnsi="Times New Roman" w:cs="Times New Roman"/>
                <w:sz w:val="20"/>
                <w:szCs w:val="20"/>
              </w:rPr>
            </w:pPr>
            <w:r w:rsidRPr="00105449">
              <w:rPr>
                <w:rFonts w:ascii="Times New Roman" w:hAnsi="Times New Roman" w:cs="Times New Roman"/>
                <w:sz w:val="20"/>
                <w:szCs w:val="20"/>
              </w:rPr>
              <w:t>b) Regulamentul (CE) nr. 1907/2006 al Parlamentului European și al Consiliului din 18 decembrie 2006 privind înregistrarea, evaluarea, autorizarea și restricționarea substanțelor chimice (REACH), care în originalul actului în limba engleză utilizează terminologia unică ,,aerosol dispensers”, în proiectul Hotărârii Guvernului pentru aprobarea Listei substanțelor și amestecurilor chimice interzise și restricționate, în paricular în poziția 2 a Tabelului din Anexa la proiectul de hotărâre se utizează terminologia ,,dispersoarele de aerosoli”;</w:t>
            </w:r>
          </w:p>
          <w:p w14:paraId="2A98B381" w14:textId="77777777" w:rsidR="00D251D9" w:rsidRPr="00105449" w:rsidRDefault="00D251D9" w:rsidP="00AB0B66">
            <w:pPr>
              <w:spacing w:beforeLines="20" w:before="48" w:afterLines="20" w:after="48"/>
              <w:ind w:left="57" w:right="57"/>
              <w:jc w:val="both"/>
              <w:rPr>
                <w:rFonts w:ascii="Times New Roman" w:hAnsi="Times New Roman" w:cs="Times New Roman"/>
                <w:sz w:val="20"/>
                <w:szCs w:val="20"/>
              </w:rPr>
            </w:pPr>
            <w:r w:rsidRPr="00105449">
              <w:rPr>
                <w:rFonts w:ascii="Times New Roman" w:hAnsi="Times New Roman" w:cs="Times New Roman"/>
                <w:sz w:val="20"/>
                <w:szCs w:val="20"/>
              </w:rPr>
              <w:lastRenderedPageBreak/>
              <w:t>c) Regulamentul (CE) nr. 1272/2008 (CLP), care în originalul actului în limba engleză utilizează terminologia unică ,,aerosol dispensers”, în proiectul Hotărârii Guvernului cu privire la aprobarea Regulamentului privind clasificarea, etichetarea și ambalarea substanțelor și amestecurilor chimice, în particular în Anexa nr. 1 Partea 1 subpunctul 1.5.2.1.1. se utizează terminologia ,,dispozitive de pulverizare a aerosolilor”</w:t>
            </w:r>
          </w:p>
          <w:p w14:paraId="3F2B35A1" w14:textId="77777777" w:rsidR="00D251D9" w:rsidRPr="00105449" w:rsidRDefault="00D251D9" w:rsidP="00AB0B66">
            <w:pPr>
              <w:spacing w:beforeLines="20" w:before="48" w:afterLines="20" w:after="48"/>
              <w:ind w:left="57" w:right="57"/>
              <w:jc w:val="both"/>
              <w:rPr>
                <w:rFonts w:ascii="Times New Roman" w:hAnsi="Times New Roman" w:cs="Times New Roman"/>
                <w:sz w:val="20"/>
                <w:szCs w:val="20"/>
              </w:rPr>
            </w:pPr>
            <w:r w:rsidRPr="00105449">
              <w:rPr>
                <w:rFonts w:ascii="Times New Roman" w:hAnsi="Times New Roman" w:cs="Times New Roman"/>
                <w:sz w:val="20"/>
                <w:szCs w:val="20"/>
              </w:rPr>
              <w:t>Obiecția expusă mai sus, în litera c) din subpunctul 3.2.3., este valabilă și pentru terminologia expusă în Partea 2 subpunctul 2.3.1. ,,Definiţii” din Anexa nr. 1, în care se utizează terminologia ,,pulverizatori de aerosoli”.</w:t>
            </w:r>
          </w:p>
          <w:p w14:paraId="788C92A1" w14:textId="495B61DB" w:rsidR="005F1CE8" w:rsidRPr="005F27A5" w:rsidRDefault="00D251D9" w:rsidP="00AB0B66">
            <w:pPr>
              <w:spacing w:beforeLines="20" w:before="48" w:afterLines="20" w:after="48"/>
              <w:ind w:left="57" w:right="57"/>
              <w:jc w:val="both"/>
              <w:rPr>
                <w:rFonts w:ascii="Times New Roman" w:hAnsi="Times New Roman" w:cs="Times New Roman"/>
                <w:sz w:val="20"/>
                <w:szCs w:val="20"/>
              </w:rPr>
            </w:pPr>
            <w:r w:rsidRPr="00105449">
              <w:rPr>
                <w:rFonts w:ascii="Times New Roman" w:hAnsi="Times New Roman" w:cs="Times New Roman"/>
                <w:sz w:val="20"/>
                <w:szCs w:val="20"/>
              </w:rPr>
              <w:t>Astfel, considerăm că, terminologiile sus-menționate utilizate în actele normative aprobate și în proiectele de acte normative trebuie concretizate și aduse în concordanță dinre ele, având la baza terminologia originală ,,aerosol dispensers”.</w:t>
            </w:r>
          </w:p>
        </w:tc>
        <w:tc>
          <w:tcPr>
            <w:tcW w:w="4809" w:type="dxa"/>
          </w:tcPr>
          <w:p w14:paraId="293BF7FA" w14:textId="7F93461D" w:rsidR="00F57B8A" w:rsidRPr="001F71EB" w:rsidRDefault="00FE602D" w:rsidP="00AB0B66">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lastRenderedPageBreak/>
              <w:t>Se acceptă</w:t>
            </w:r>
            <w:r w:rsidR="000E45BD" w:rsidRPr="001F71EB">
              <w:rPr>
                <w:rFonts w:ascii="Times New Roman" w:hAnsi="Times New Roman" w:cs="Times New Roman"/>
                <w:b/>
                <w:sz w:val="20"/>
                <w:szCs w:val="20"/>
              </w:rPr>
              <w:t>.</w:t>
            </w:r>
            <w:r w:rsidR="00E53B64" w:rsidRPr="001F71EB">
              <w:rPr>
                <w:rFonts w:ascii="Times New Roman" w:hAnsi="Times New Roman" w:cs="Times New Roman"/>
                <w:b/>
                <w:sz w:val="20"/>
                <w:szCs w:val="20"/>
              </w:rPr>
              <w:t xml:space="preserve"> </w:t>
            </w:r>
            <w:r w:rsidR="00E53B64" w:rsidRPr="001F71EB">
              <w:rPr>
                <w:rFonts w:ascii="Times New Roman" w:hAnsi="Times New Roman" w:cs="Times New Roman"/>
                <w:bCs/>
                <w:sz w:val="20"/>
                <w:szCs w:val="20"/>
              </w:rPr>
              <w:t>Proiectul a fost ajustat.</w:t>
            </w:r>
          </w:p>
          <w:p w14:paraId="43E22080" w14:textId="2DCB36CF" w:rsidR="006D50E4" w:rsidRPr="001F71EB" w:rsidRDefault="000E45BD" w:rsidP="00AB0B66">
            <w:pPr>
              <w:spacing w:beforeLines="20" w:before="48" w:afterLines="20" w:after="48"/>
              <w:ind w:left="57" w:right="57"/>
              <w:jc w:val="both"/>
              <w:rPr>
                <w:rFonts w:ascii="Times New Roman" w:hAnsi="Times New Roman" w:cs="Times New Roman"/>
                <w:sz w:val="20"/>
                <w:szCs w:val="20"/>
              </w:rPr>
            </w:pPr>
            <w:r w:rsidRPr="001F71EB">
              <w:rPr>
                <w:rFonts w:ascii="Times New Roman" w:hAnsi="Times New Roman" w:cs="Times New Roman"/>
                <w:bCs/>
                <w:sz w:val="20"/>
                <w:szCs w:val="20"/>
              </w:rPr>
              <w:t xml:space="preserve">Proiectul a fost revizuit prin prizma utilizării </w:t>
            </w:r>
            <w:r w:rsidR="003E6497" w:rsidRPr="001F71EB">
              <w:rPr>
                <w:rFonts w:ascii="Times New Roman" w:hAnsi="Times New Roman" w:cs="Times New Roman"/>
                <w:bCs/>
                <w:sz w:val="20"/>
                <w:szCs w:val="20"/>
              </w:rPr>
              <w:t>terminologiei unice</w:t>
            </w:r>
            <w:r w:rsidRPr="001F71EB">
              <w:rPr>
                <w:rFonts w:ascii="Times New Roman" w:hAnsi="Times New Roman" w:cs="Times New Roman"/>
                <w:bCs/>
                <w:sz w:val="20"/>
                <w:szCs w:val="20"/>
              </w:rPr>
              <w:t xml:space="preserve"> „</w:t>
            </w:r>
            <w:r w:rsidR="00303E58" w:rsidRPr="001F71EB">
              <w:rPr>
                <w:rFonts w:ascii="Times New Roman" w:hAnsi="Times New Roman" w:cs="Times New Roman"/>
                <w:bCs/>
                <w:sz w:val="20"/>
                <w:szCs w:val="20"/>
              </w:rPr>
              <w:t>generatoare</w:t>
            </w:r>
            <w:r w:rsidR="00D56FD9" w:rsidRPr="001F71EB">
              <w:rPr>
                <w:rFonts w:ascii="Times New Roman" w:hAnsi="Times New Roman" w:cs="Times New Roman"/>
                <w:bCs/>
                <w:sz w:val="20"/>
                <w:szCs w:val="20"/>
              </w:rPr>
              <w:t xml:space="preserve"> de aerosoli</w:t>
            </w:r>
            <w:r w:rsidRPr="001F71EB">
              <w:rPr>
                <w:rFonts w:ascii="Times New Roman" w:hAnsi="Times New Roman" w:cs="Times New Roman"/>
                <w:bCs/>
                <w:sz w:val="20"/>
                <w:szCs w:val="20"/>
              </w:rPr>
              <w:t>”</w:t>
            </w:r>
            <w:r w:rsidR="006374D0" w:rsidRPr="001F71EB">
              <w:rPr>
                <w:rFonts w:ascii="Times New Roman" w:hAnsi="Times New Roman" w:cs="Times New Roman"/>
                <w:bCs/>
                <w:sz w:val="20"/>
                <w:szCs w:val="20"/>
              </w:rPr>
              <w:t xml:space="preserve"> </w:t>
            </w:r>
            <w:r w:rsidR="003E6497" w:rsidRPr="001F71EB">
              <w:rPr>
                <w:rFonts w:ascii="Times New Roman" w:hAnsi="Times New Roman" w:cs="Times New Roman"/>
                <w:bCs/>
                <w:sz w:val="20"/>
                <w:szCs w:val="20"/>
              </w:rPr>
              <w:t>potrivit</w:t>
            </w:r>
            <w:r w:rsidR="006D50E4" w:rsidRPr="001F71EB">
              <w:rPr>
                <w:rFonts w:ascii="Times New Roman" w:hAnsi="Times New Roman" w:cs="Times New Roman"/>
                <w:bCs/>
                <w:sz w:val="20"/>
                <w:szCs w:val="20"/>
              </w:rPr>
              <w:t xml:space="preserve"> Hotărârii Guvernului nr. 299/2025</w:t>
            </w:r>
            <w:r w:rsidR="00857461" w:rsidRPr="001F71EB">
              <w:rPr>
                <w:rFonts w:ascii="Times New Roman" w:hAnsi="Times New Roman" w:cs="Times New Roman"/>
                <w:bCs/>
                <w:sz w:val="20"/>
                <w:szCs w:val="20"/>
              </w:rPr>
              <w:t>, care tra</w:t>
            </w:r>
            <w:r w:rsidR="00560A02" w:rsidRPr="001F71EB">
              <w:rPr>
                <w:rFonts w:ascii="Times New Roman" w:hAnsi="Times New Roman" w:cs="Times New Roman"/>
                <w:bCs/>
                <w:sz w:val="20"/>
                <w:szCs w:val="20"/>
              </w:rPr>
              <w:t>ns</w:t>
            </w:r>
            <w:r w:rsidR="00857461" w:rsidRPr="001F71EB">
              <w:rPr>
                <w:rFonts w:ascii="Times New Roman" w:hAnsi="Times New Roman" w:cs="Times New Roman"/>
                <w:bCs/>
                <w:sz w:val="20"/>
                <w:szCs w:val="20"/>
              </w:rPr>
              <w:t>pune</w:t>
            </w:r>
            <w:r w:rsidR="00560A02" w:rsidRPr="001F71EB">
              <w:rPr>
                <w:rFonts w:ascii="Times New Roman" w:hAnsi="Times New Roman" w:cs="Times New Roman"/>
                <w:bCs/>
                <w:sz w:val="20"/>
                <w:szCs w:val="20"/>
              </w:rPr>
              <w:t xml:space="preserve"> </w:t>
            </w:r>
            <w:r w:rsidR="006D50E4" w:rsidRPr="001F71EB">
              <w:rPr>
                <w:rFonts w:ascii="Times New Roman" w:hAnsi="Times New Roman" w:cs="Times New Roman"/>
                <w:bCs/>
                <w:sz w:val="20"/>
                <w:szCs w:val="20"/>
              </w:rPr>
              <w:t>Directiv</w:t>
            </w:r>
            <w:r w:rsidR="00560A02" w:rsidRPr="001F71EB">
              <w:rPr>
                <w:rFonts w:ascii="Times New Roman" w:hAnsi="Times New Roman" w:cs="Times New Roman"/>
                <w:bCs/>
                <w:sz w:val="20"/>
                <w:szCs w:val="20"/>
              </w:rPr>
              <w:t>a</w:t>
            </w:r>
            <w:r w:rsidR="006D50E4" w:rsidRPr="001F71EB">
              <w:rPr>
                <w:rFonts w:ascii="Times New Roman" w:hAnsi="Times New Roman" w:cs="Times New Roman"/>
                <w:bCs/>
                <w:sz w:val="20"/>
                <w:szCs w:val="20"/>
              </w:rPr>
              <w:t xml:space="preserve"> </w:t>
            </w:r>
            <w:r w:rsidR="006D50E4" w:rsidRPr="001F71EB">
              <w:rPr>
                <w:rFonts w:ascii="Times New Roman" w:hAnsi="Times New Roman" w:cs="Times New Roman"/>
                <w:sz w:val="20"/>
                <w:szCs w:val="20"/>
              </w:rPr>
              <w:t>nr. 75/324/EEC</w:t>
            </w:r>
            <w:r w:rsidR="000757D7" w:rsidRPr="001F71EB">
              <w:rPr>
                <w:rFonts w:ascii="Times New Roman" w:hAnsi="Times New Roman" w:cs="Times New Roman"/>
                <w:sz w:val="20"/>
                <w:szCs w:val="20"/>
              </w:rPr>
              <w:t xml:space="preserve"> </w:t>
            </w:r>
            <w:r w:rsidR="00ED323D" w:rsidRPr="001F71EB">
              <w:rPr>
                <w:rFonts w:ascii="Times New Roman" w:hAnsi="Times New Roman" w:cs="Times New Roman"/>
                <w:sz w:val="20"/>
                <w:szCs w:val="20"/>
              </w:rPr>
              <w:t>corelat cu</w:t>
            </w:r>
            <w:r w:rsidR="000757D7" w:rsidRPr="001F71EB">
              <w:rPr>
                <w:rFonts w:ascii="Times New Roman" w:hAnsi="Times New Roman" w:cs="Times New Roman"/>
                <w:sz w:val="20"/>
                <w:szCs w:val="20"/>
              </w:rPr>
              <w:t xml:space="preserve"> Regulamentul</w:t>
            </w:r>
            <w:r w:rsidR="00C80DCD" w:rsidRPr="001F71EB">
              <w:rPr>
                <w:rFonts w:ascii="Times New Roman" w:hAnsi="Times New Roman" w:cs="Times New Roman"/>
                <w:sz w:val="20"/>
                <w:szCs w:val="20"/>
              </w:rPr>
              <w:t xml:space="preserve"> (CE)</w:t>
            </w:r>
            <w:r w:rsidR="000757D7" w:rsidRPr="001F71EB">
              <w:rPr>
                <w:rFonts w:ascii="Times New Roman" w:hAnsi="Times New Roman" w:cs="Times New Roman"/>
                <w:sz w:val="20"/>
                <w:szCs w:val="20"/>
              </w:rPr>
              <w:t xml:space="preserve"> nr. 1272/2008.</w:t>
            </w:r>
          </w:p>
        </w:tc>
      </w:tr>
      <w:tr w:rsidR="0052113A" w:rsidRPr="005F27A5" w14:paraId="1E1B22E2" w14:textId="77777777" w:rsidTr="003D6859">
        <w:trPr>
          <w:trHeight w:val="980"/>
        </w:trPr>
        <w:tc>
          <w:tcPr>
            <w:tcW w:w="2787" w:type="dxa"/>
          </w:tcPr>
          <w:p w14:paraId="1CC5DDD6" w14:textId="6199D08C" w:rsidR="0052113A" w:rsidRPr="005F27A5" w:rsidRDefault="0052113A"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b/>
                <w:bCs/>
                <w:color w:val="0D0D0D" w:themeColor="text1" w:themeTint="F2"/>
                <w:sz w:val="20"/>
                <w:szCs w:val="20"/>
              </w:rPr>
              <w:lastRenderedPageBreak/>
              <w:t>Serviciul Hidrometeorologic de Stat</w:t>
            </w:r>
          </w:p>
          <w:p w14:paraId="7E9DF30B" w14:textId="17D7300B" w:rsidR="0052113A" w:rsidRPr="005F27A5" w:rsidRDefault="0052113A" w:rsidP="00AB0B66">
            <w:pPr>
              <w:spacing w:beforeLines="20" w:before="48" w:afterLines="20" w:after="48"/>
              <w:ind w:left="57" w:right="57"/>
              <w:contextualSpacing/>
              <w:jc w:val="center"/>
              <w:rPr>
                <w:rFonts w:ascii="Times New Roman" w:hAnsi="Times New Roman" w:cs="Times New Roman"/>
                <w:color w:val="0D0D0D" w:themeColor="text1" w:themeTint="F2"/>
                <w:sz w:val="20"/>
                <w:szCs w:val="20"/>
              </w:rPr>
            </w:pPr>
            <w:r w:rsidRPr="005F27A5">
              <w:rPr>
                <w:rFonts w:ascii="Times New Roman" w:hAnsi="Times New Roman" w:cs="Times New Roman"/>
                <w:color w:val="0D0D0D" w:themeColor="text1" w:themeTint="F2"/>
                <w:sz w:val="20"/>
                <w:szCs w:val="20"/>
              </w:rPr>
              <w:t>Aviz nr. 02/1174 din 06.11.2025</w:t>
            </w:r>
          </w:p>
        </w:tc>
        <w:tc>
          <w:tcPr>
            <w:tcW w:w="737" w:type="dxa"/>
          </w:tcPr>
          <w:p w14:paraId="0C81EE67" w14:textId="77777777" w:rsidR="0052113A" w:rsidRPr="005F27A5" w:rsidRDefault="0052113A"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6FA38D34" w14:textId="42A671C9" w:rsidR="0052113A" w:rsidRPr="005F27A5" w:rsidRDefault="0052113A" w:rsidP="00AB0B66">
            <w:pPr>
              <w:spacing w:beforeLines="20" w:before="48" w:afterLines="20" w:after="48"/>
              <w:ind w:left="57" w:right="57"/>
              <w:jc w:val="both"/>
              <w:rPr>
                <w:rFonts w:ascii="Times New Roman" w:hAnsi="Times New Roman" w:cs="Times New Roman"/>
                <w:b/>
                <w:bCs/>
                <w:color w:val="000000"/>
                <w:sz w:val="20"/>
                <w:szCs w:val="20"/>
              </w:rPr>
            </w:pPr>
            <w:r w:rsidRPr="005F27A5">
              <w:rPr>
                <w:rFonts w:ascii="Times New Roman" w:hAnsi="Times New Roman" w:cs="Times New Roman"/>
                <w:b/>
                <w:bCs/>
                <w:color w:val="000000"/>
                <w:sz w:val="20"/>
                <w:szCs w:val="20"/>
              </w:rPr>
              <w:t>Lipsa obiecțiilor și propunerilor.</w:t>
            </w:r>
          </w:p>
        </w:tc>
        <w:tc>
          <w:tcPr>
            <w:tcW w:w="4809" w:type="dxa"/>
          </w:tcPr>
          <w:p w14:paraId="706CEF09" w14:textId="77777777" w:rsidR="0052113A" w:rsidRPr="001F71EB" w:rsidRDefault="0052113A" w:rsidP="00AB0B66">
            <w:pPr>
              <w:spacing w:beforeLines="20" w:before="48" w:afterLines="20" w:after="48"/>
              <w:ind w:left="57" w:right="57"/>
              <w:jc w:val="both"/>
              <w:rPr>
                <w:rFonts w:ascii="Times New Roman" w:hAnsi="Times New Roman" w:cs="Times New Roman"/>
                <w:bCs/>
                <w:sz w:val="20"/>
                <w:szCs w:val="20"/>
              </w:rPr>
            </w:pPr>
          </w:p>
        </w:tc>
      </w:tr>
      <w:tr w:rsidR="00B63D5F" w:rsidRPr="005F27A5" w14:paraId="28E94B09" w14:textId="77777777" w:rsidTr="0027421C">
        <w:tc>
          <w:tcPr>
            <w:tcW w:w="2787" w:type="dxa"/>
          </w:tcPr>
          <w:p w14:paraId="2B34FDC7" w14:textId="1F1A506B" w:rsidR="00B63D5F" w:rsidRPr="005F27A5" w:rsidRDefault="00B63D5F"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b/>
                <w:bCs/>
                <w:color w:val="0D0D0D" w:themeColor="text1" w:themeTint="F2"/>
                <w:sz w:val="20"/>
                <w:szCs w:val="20"/>
              </w:rPr>
              <w:t>Instituţia Publică Administraţia Naţională "APELE MOLDOVEI"</w:t>
            </w:r>
          </w:p>
        </w:tc>
        <w:tc>
          <w:tcPr>
            <w:tcW w:w="737" w:type="dxa"/>
          </w:tcPr>
          <w:p w14:paraId="2AF873CA" w14:textId="777777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187EE493" w14:textId="1FD302DC" w:rsidR="00B63D5F" w:rsidRPr="005F27A5" w:rsidRDefault="00B63D5F" w:rsidP="00AB0B66">
            <w:pPr>
              <w:spacing w:beforeLines="20" w:before="48" w:afterLines="20" w:after="48"/>
              <w:ind w:left="57" w:right="57"/>
              <w:jc w:val="both"/>
              <w:rPr>
                <w:rFonts w:ascii="Times New Roman" w:hAnsi="Times New Roman" w:cs="Times New Roman"/>
                <w:b/>
                <w:bCs/>
                <w:color w:val="000000"/>
                <w:sz w:val="20"/>
                <w:szCs w:val="20"/>
              </w:rPr>
            </w:pPr>
            <w:r w:rsidRPr="005F27A5">
              <w:rPr>
                <w:rFonts w:ascii="Times New Roman" w:hAnsi="Times New Roman" w:cs="Times New Roman"/>
                <w:b/>
                <w:bCs/>
                <w:color w:val="000000"/>
                <w:sz w:val="20"/>
                <w:szCs w:val="20"/>
              </w:rPr>
              <w:t>Lipsa avizului.</w:t>
            </w:r>
          </w:p>
        </w:tc>
        <w:tc>
          <w:tcPr>
            <w:tcW w:w="4809" w:type="dxa"/>
          </w:tcPr>
          <w:p w14:paraId="5713AD39" w14:textId="77777777" w:rsidR="00B63D5F" w:rsidRPr="001F71EB" w:rsidRDefault="00B63D5F" w:rsidP="00AB0B66">
            <w:pPr>
              <w:spacing w:beforeLines="20" w:before="48" w:afterLines="20" w:after="48"/>
              <w:ind w:left="57" w:right="57"/>
              <w:jc w:val="both"/>
              <w:rPr>
                <w:rFonts w:ascii="Times New Roman" w:hAnsi="Times New Roman" w:cs="Times New Roman"/>
                <w:bCs/>
                <w:sz w:val="20"/>
                <w:szCs w:val="20"/>
              </w:rPr>
            </w:pPr>
          </w:p>
        </w:tc>
      </w:tr>
      <w:tr w:rsidR="00396AAC" w:rsidRPr="005F27A5" w14:paraId="15A665D4" w14:textId="77777777" w:rsidTr="00406EB2">
        <w:trPr>
          <w:trHeight w:val="700"/>
        </w:trPr>
        <w:tc>
          <w:tcPr>
            <w:tcW w:w="2787" w:type="dxa"/>
            <w:vMerge w:val="restart"/>
          </w:tcPr>
          <w:p w14:paraId="50860AAE" w14:textId="77777777" w:rsidR="00396AAC" w:rsidRDefault="00396AAC"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b/>
                <w:bCs/>
                <w:color w:val="0D0D0D" w:themeColor="text1" w:themeTint="F2"/>
                <w:sz w:val="20"/>
                <w:szCs w:val="20"/>
              </w:rPr>
              <w:t>Elena MOȘANU</w:t>
            </w:r>
            <w:r>
              <w:rPr>
                <w:rFonts w:ascii="Times New Roman" w:hAnsi="Times New Roman" w:cs="Times New Roman"/>
                <w:b/>
                <w:bCs/>
                <w:color w:val="0D0D0D" w:themeColor="text1" w:themeTint="F2"/>
                <w:sz w:val="20"/>
                <w:szCs w:val="20"/>
              </w:rPr>
              <w:t>,</w:t>
            </w:r>
          </w:p>
          <w:p w14:paraId="0189C666" w14:textId="20A40CA6" w:rsidR="00396AAC" w:rsidRPr="009D7CEE" w:rsidRDefault="00396AAC" w:rsidP="00AB0B66">
            <w:pPr>
              <w:spacing w:beforeLines="20" w:before="48" w:afterLines="20" w:after="48"/>
              <w:ind w:left="57" w:right="57"/>
              <w:contextualSpacing/>
              <w:jc w:val="center"/>
              <w:rPr>
                <w:rFonts w:ascii="Times New Roman" w:hAnsi="Times New Roman" w:cs="Times New Roman"/>
                <w:color w:val="0D0D0D" w:themeColor="text1" w:themeTint="F2"/>
                <w:sz w:val="20"/>
                <w:szCs w:val="20"/>
              </w:rPr>
            </w:pPr>
            <w:r w:rsidRPr="009D7CEE">
              <w:rPr>
                <w:rFonts w:ascii="Times New Roman" w:hAnsi="Times New Roman" w:cs="Times New Roman"/>
                <w:color w:val="0D0D0D" w:themeColor="text1" w:themeTint="F2"/>
                <w:sz w:val="20"/>
                <w:szCs w:val="20"/>
              </w:rPr>
              <w:t>Dr. Conf., Cercetător, Șef laborator Ecosisteme naturale și antropizate,</w:t>
            </w:r>
          </w:p>
          <w:p w14:paraId="0659F552" w14:textId="77777777" w:rsidR="00396AAC" w:rsidRDefault="00396AAC" w:rsidP="00AB0B66">
            <w:pPr>
              <w:spacing w:beforeLines="20" w:before="48" w:afterLines="20" w:after="48"/>
              <w:ind w:left="57" w:right="57"/>
              <w:contextualSpacing/>
              <w:jc w:val="center"/>
              <w:rPr>
                <w:rFonts w:ascii="Times New Roman" w:hAnsi="Times New Roman" w:cs="Times New Roman"/>
                <w:color w:val="0D0D0D" w:themeColor="text1" w:themeTint="F2"/>
                <w:sz w:val="20"/>
                <w:szCs w:val="20"/>
              </w:rPr>
            </w:pPr>
            <w:r w:rsidRPr="009D7CEE">
              <w:rPr>
                <w:rFonts w:ascii="Times New Roman" w:hAnsi="Times New Roman" w:cs="Times New Roman"/>
                <w:color w:val="0D0D0D" w:themeColor="text1" w:themeTint="F2"/>
                <w:sz w:val="20"/>
                <w:szCs w:val="20"/>
              </w:rPr>
              <w:t>Institutul de Ecologie și Geografie al USM</w:t>
            </w:r>
          </w:p>
          <w:p w14:paraId="098E0B2E" w14:textId="1A59E95B" w:rsidR="00396AAC" w:rsidRPr="005F27A5" w:rsidRDefault="00396AAC"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9D7CEE">
              <w:rPr>
                <w:rFonts w:ascii="Times New Roman" w:hAnsi="Times New Roman" w:cs="Times New Roman"/>
                <w:color w:val="0D0D0D" w:themeColor="text1" w:themeTint="F2"/>
                <w:sz w:val="20"/>
                <w:szCs w:val="20"/>
              </w:rPr>
              <w:t xml:space="preserve">(Membru GL pentru pentru elaborarea documentelor de politici și a cadrului normativ în domeniul gestionării durabile a substanțelor chimice, Ordinul Ministerului </w:t>
            </w:r>
            <w:r w:rsidRPr="009D7CEE">
              <w:rPr>
                <w:rFonts w:ascii="Times New Roman" w:hAnsi="Times New Roman" w:cs="Times New Roman"/>
                <w:color w:val="0D0D0D" w:themeColor="text1" w:themeTint="F2"/>
                <w:sz w:val="20"/>
                <w:szCs w:val="20"/>
              </w:rPr>
              <w:lastRenderedPageBreak/>
              <w:t>Mediului nr. 50 din 29 martie 2024)</w:t>
            </w:r>
          </w:p>
        </w:tc>
        <w:tc>
          <w:tcPr>
            <w:tcW w:w="737" w:type="dxa"/>
            <w:vMerge w:val="restart"/>
          </w:tcPr>
          <w:p w14:paraId="294F9983" w14:textId="77777777" w:rsidR="00396AAC" w:rsidRPr="005F27A5" w:rsidRDefault="00396AAC"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6DC0FA19" w14:textId="667A1E4A" w:rsidR="00396AAC" w:rsidRPr="00406EB2" w:rsidRDefault="00396AAC"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1. Ca rezultat al analizei prezentului proiect consider ca este necesar de luat în considerație crearea unui laborato</w:t>
            </w:r>
            <w:r w:rsidR="006873E4">
              <w:rPr>
                <w:rFonts w:ascii="Times New Roman" w:hAnsi="Times New Roman" w:cs="Times New Roman"/>
                <w:color w:val="000000"/>
                <w:sz w:val="20"/>
                <w:szCs w:val="20"/>
              </w:rPr>
              <w:t>r</w:t>
            </w:r>
            <w:r w:rsidRPr="005F27A5">
              <w:rPr>
                <w:rFonts w:ascii="Times New Roman" w:hAnsi="Times New Roman" w:cs="Times New Roman"/>
                <w:color w:val="000000"/>
                <w:sz w:val="20"/>
                <w:szCs w:val="20"/>
              </w:rPr>
              <w:t xml:space="preserve"> de testare a substanțelor chimice și a Agenției Substanțelor Chimice.</w:t>
            </w:r>
          </w:p>
        </w:tc>
        <w:tc>
          <w:tcPr>
            <w:tcW w:w="4809" w:type="dxa"/>
          </w:tcPr>
          <w:p w14:paraId="107EE82D" w14:textId="658DD9E5" w:rsidR="00B867B7" w:rsidRPr="001F71EB" w:rsidRDefault="00E02F36" w:rsidP="00AB0B66">
            <w:pPr>
              <w:spacing w:beforeLines="20" w:before="48" w:afterLines="20" w:after="48"/>
              <w:ind w:left="57" w:right="57"/>
              <w:jc w:val="both"/>
              <w:rPr>
                <w:rFonts w:ascii="Times New Roman" w:hAnsi="Times New Roman" w:cs="Times New Roman"/>
                <w:b/>
                <w:sz w:val="20"/>
                <w:szCs w:val="20"/>
                <w:lang w:val="pt-BR"/>
              </w:rPr>
            </w:pPr>
            <w:r w:rsidRPr="001F71EB">
              <w:rPr>
                <w:rFonts w:ascii="Times New Roman" w:hAnsi="Times New Roman" w:cs="Times New Roman"/>
                <w:b/>
                <w:sz w:val="20"/>
                <w:szCs w:val="20"/>
              </w:rPr>
              <w:t>Nu se acceptă.</w:t>
            </w:r>
          </w:p>
          <w:p w14:paraId="1F47842D" w14:textId="1459F0A2" w:rsidR="000F0395" w:rsidRPr="001F71EB" w:rsidRDefault="00970044"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t>Proiectul nu</w:t>
            </w:r>
            <w:r w:rsidR="00D87C4B" w:rsidRPr="001F71EB">
              <w:rPr>
                <w:rFonts w:ascii="Times New Roman" w:hAnsi="Times New Roman" w:cs="Times New Roman"/>
                <w:bCs/>
                <w:sz w:val="20"/>
                <w:szCs w:val="20"/>
              </w:rPr>
              <w:t xml:space="preserve"> ține de crearea laboratorului de testare</w:t>
            </w:r>
            <w:r w:rsidR="000F0395" w:rsidRPr="001F71EB">
              <w:rPr>
                <w:rFonts w:ascii="Times New Roman" w:hAnsi="Times New Roman" w:cs="Times New Roman"/>
                <w:bCs/>
                <w:sz w:val="20"/>
                <w:szCs w:val="20"/>
              </w:rPr>
              <w:t xml:space="preserve"> a substanțelor chimice </w:t>
            </w:r>
            <w:r w:rsidR="00A14B53" w:rsidRPr="001F71EB">
              <w:rPr>
                <w:rFonts w:ascii="Times New Roman" w:hAnsi="Times New Roman" w:cs="Times New Roman"/>
                <w:bCs/>
                <w:sz w:val="20"/>
                <w:szCs w:val="20"/>
              </w:rPr>
              <w:t>și</w:t>
            </w:r>
            <w:r w:rsidR="00B867B7" w:rsidRPr="001F71EB">
              <w:rPr>
                <w:rFonts w:ascii="Times New Roman" w:hAnsi="Times New Roman" w:cs="Times New Roman"/>
                <w:bCs/>
                <w:sz w:val="20"/>
                <w:szCs w:val="20"/>
              </w:rPr>
              <w:t xml:space="preserve"> formarea</w:t>
            </w:r>
            <w:r w:rsidR="00A14B53" w:rsidRPr="001F71EB">
              <w:rPr>
                <w:rFonts w:ascii="Times New Roman" w:hAnsi="Times New Roman" w:cs="Times New Roman"/>
                <w:bCs/>
                <w:sz w:val="20"/>
                <w:szCs w:val="20"/>
              </w:rPr>
              <w:t xml:space="preserve"> Agenției Substanțelor Chimice</w:t>
            </w:r>
            <w:r w:rsidR="000F0395" w:rsidRPr="001F71EB">
              <w:rPr>
                <w:rFonts w:ascii="Times New Roman" w:hAnsi="Times New Roman" w:cs="Times New Roman"/>
                <w:bCs/>
                <w:sz w:val="20"/>
                <w:szCs w:val="20"/>
              </w:rPr>
              <w:t>.</w:t>
            </w:r>
          </w:p>
        </w:tc>
      </w:tr>
      <w:tr w:rsidR="00396AAC" w:rsidRPr="005F27A5" w14:paraId="0F138351" w14:textId="77777777" w:rsidTr="00406EB2">
        <w:trPr>
          <w:trHeight w:val="895"/>
        </w:trPr>
        <w:tc>
          <w:tcPr>
            <w:tcW w:w="2787" w:type="dxa"/>
            <w:vMerge/>
          </w:tcPr>
          <w:p w14:paraId="1A58BD9B" w14:textId="77777777" w:rsidR="00396AAC" w:rsidRPr="005F27A5" w:rsidRDefault="00396AAC"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596E9BE1" w14:textId="77777777" w:rsidR="00396AAC" w:rsidRPr="005F27A5" w:rsidRDefault="00396AAC"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035EE5E7" w14:textId="1E92CC6B" w:rsidR="00396AAC" w:rsidRPr="005F27A5" w:rsidRDefault="00406EB2"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2. Regulamentul nu definește suficient de clar sursele de date științifice acceptate pentru clasificarea substanțelor și amestecurilor chimice (date experimentale, literatură științifică, baze de date internaționale).</w:t>
            </w:r>
          </w:p>
        </w:tc>
        <w:tc>
          <w:tcPr>
            <w:tcW w:w="4809" w:type="dxa"/>
          </w:tcPr>
          <w:p w14:paraId="56FB0611" w14:textId="77777777" w:rsidR="00F63B9A" w:rsidRPr="001F71EB" w:rsidRDefault="00F63B9A" w:rsidP="00AB0B66">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t>Nu se acceptă.</w:t>
            </w:r>
          </w:p>
          <w:p w14:paraId="6AA67641" w14:textId="1394CF76" w:rsidR="00C07F5F" w:rsidRPr="001F71EB" w:rsidRDefault="00F63B9A" w:rsidP="00BE074B">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t xml:space="preserve">Conform </w:t>
            </w:r>
            <w:r w:rsidR="000E6640" w:rsidRPr="001F71EB">
              <w:rPr>
                <w:rFonts w:ascii="Times New Roman" w:hAnsi="Times New Roman" w:cs="Times New Roman"/>
                <w:bCs/>
                <w:sz w:val="20"/>
                <w:szCs w:val="20"/>
              </w:rPr>
              <w:t>Notei de fundamentare a proiectului</w:t>
            </w:r>
            <w:r w:rsidR="002F7B2B" w:rsidRPr="001F71EB">
              <w:rPr>
                <w:rFonts w:ascii="Times New Roman" w:hAnsi="Times New Roman" w:cs="Times New Roman"/>
                <w:bCs/>
                <w:sz w:val="20"/>
                <w:szCs w:val="20"/>
              </w:rPr>
              <w:t xml:space="preserve">, </w:t>
            </w:r>
            <w:r w:rsidR="003834B0" w:rsidRPr="001F71EB">
              <w:rPr>
                <w:rFonts w:ascii="Times New Roman" w:hAnsi="Times New Roman" w:cs="Times New Roman"/>
                <w:bCs/>
                <w:sz w:val="20"/>
                <w:szCs w:val="20"/>
              </w:rPr>
              <w:t>Regulamentul (</w:t>
            </w:r>
            <w:r w:rsidR="00C07F5F" w:rsidRPr="001F71EB">
              <w:rPr>
                <w:rFonts w:ascii="Times New Roman" w:hAnsi="Times New Roman" w:cs="Times New Roman"/>
                <w:bCs/>
                <w:sz w:val="20"/>
                <w:szCs w:val="20"/>
              </w:rPr>
              <w:t>C</w:t>
            </w:r>
            <w:r w:rsidR="003834B0" w:rsidRPr="001F71EB">
              <w:rPr>
                <w:rFonts w:ascii="Times New Roman" w:hAnsi="Times New Roman" w:cs="Times New Roman"/>
                <w:bCs/>
                <w:sz w:val="20"/>
                <w:szCs w:val="20"/>
              </w:rPr>
              <w:t>E) nr. 1272/2008 (obiectul transpunerii)</w:t>
            </w:r>
            <w:r w:rsidR="00BE074B" w:rsidRPr="001F71EB">
              <w:rPr>
                <w:rFonts w:ascii="Times New Roman" w:hAnsi="Times New Roman" w:cs="Times New Roman"/>
                <w:bCs/>
                <w:sz w:val="20"/>
                <w:szCs w:val="20"/>
              </w:rPr>
              <w:t xml:space="preserve"> a preluat </w:t>
            </w:r>
            <w:r w:rsidR="00C07F5F" w:rsidRPr="001F71EB">
              <w:rPr>
                <w:rFonts w:ascii="Times New Roman" w:hAnsi="Times New Roman"/>
                <w:sz w:val="20"/>
                <w:szCs w:val="20"/>
              </w:rPr>
              <w:t>Sistemul Global Armonizat de Clasificare și Etichetare a Produselor Chimice (GHS ONU)</w:t>
            </w:r>
            <w:r w:rsidR="003F061D" w:rsidRPr="001F71EB">
              <w:rPr>
                <w:rFonts w:ascii="Times New Roman" w:hAnsi="Times New Roman"/>
                <w:sz w:val="20"/>
                <w:szCs w:val="20"/>
              </w:rPr>
              <w:t>, aces</w:t>
            </w:r>
            <w:r w:rsidR="00FE0CB8" w:rsidRPr="001F71EB">
              <w:rPr>
                <w:rFonts w:ascii="Times New Roman" w:hAnsi="Times New Roman"/>
                <w:sz w:val="20"/>
                <w:szCs w:val="20"/>
              </w:rPr>
              <w:t>ta</w:t>
            </w:r>
            <w:r w:rsidR="003F061D" w:rsidRPr="001F71EB">
              <w:rPr>
                <w:rFonts w:ascii="Times New Roman" w:hAnsi="Times New Roman"/>
                <w:sz w:val="20"/>
                <w:szCs w:val="20"/>
              </w:rPr>
              <w:t xml:space="preserve"> este elaborat de Organizația Națiunilor Unite</w:t>
            </w:r>
            <w:r w:rsidR="00081143" w:rsidRPr="001F71EB">
              <w:rPr>
                <w:rFonts w:ascii="Times New Roman" w:hAnsi="Times New Roman"/>
                <w:sz w:val="20"/>
                <w:szCs w:val="20"/>
              </w:rPr>
              <w:t>.</w:t>
            </w:r>
          </w:p>
        </w:tc>
      </w:tr>
      <w:tr w:rsidR="00396AAC" w:rsidRPr="005F27A5" w14:paraId="13EC0F05" w14:textId="77777777" w:rsidTr="00396AAC">
        <w:trPr>
          <w:trHeight w:val="1098"/>
        </w:trPr>
        <w:tc>
          <w:tcPr>
            <w:tcW w:w="2787" w:type="dxa"/>
            <w:vMerge/>
          </w:tcPr>
          <w:p w14:paraId="7AA17CE2" w14:textId="77777777" w:rsidR="00396AAC" w:rsidRPr="005F27A5" w:rsidRDefault="00396AAC"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2040EEBA" w14:textId="77777777" w:rsidR="00396AAC" w:rsidRPr="005F27A5" w:rsidRDefault="00396AAC"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76131C86" w14:textId="2D8F20AF" w:rsidR="00396AAC" w:rsidRPr="005F27A5" w:rsidRDefault="00406EB2"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3. Regulamentul nu oferă suficiente clarificări privind metodologia de clasificare a amestecurilor multicomponente și a produselor cu compoziție variabilă, deoarece majoritatea produselor chimice utilizate în practică sunt amestecuri, iar lipsa unor exemple sau formule explicative poate genera interpretări diferite. De aceea consider că este necesar introducerea unor exemple practice de calcul (metoda aditivă, praguri de relevanță, tratamentul impurităților) și elaborarea unor anexe explicative.</w:t>
            </w:r>
          </w:p>
        </w:tc>
        <w:tc>
          <w:tcPr>
            <w:tcW w:w="4809" w:type="dxa"/>
          </w:tcPr>
          <w:p w14:paraId="5D346D11" w14:textId="77777777" w:rsidR="00305D8F" w:rsidRPr="001F71EB" w:rsidRDefault="00642A7B" w:rsidP="00305D8F">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t>Nu se</w:t>
            </w:r>
            <w:r w:rsidR="009B18A6" w:rsidRPr="001F71EB">
              <w:rPr>
                <w:rFonts w:ascii="Times New Roman" w:hAnsi="Times New Roman" w:cs="Times New Roman"/>
                <w:b/>
                <w:sz w:val="20"/>
                <w:szCs w:val="20"/>
              </w:rPr>
              <w:t xml:space="preserve"> </w:t>
            </w:r>
            <w:r w:rsidRPr="001F71EB">
              <w:rPr>
                <w:rFonts w:ascii="Times New Roman" w:hAnsi="Times New Roman" w:cs="Times New Roman"/>
                <w:b/>
                <w:sz w:val="20"/>
                <w:szCs w:val="20"/>
              </w:rPr>
              <w:t>acceptă.</w:t>
            </w:r>
          </w:p>
          <w:p w14:paraId="563A4168" w14:textId="44F7A046" w:rsidR="00EC63DB" w:rsidRPr="001F71EB" w:rsidRDefault="00EC63DB" w:rsidP="00305D8F">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Cs/>
                <w:sz w:val="20"/>
                <w:szCs w:val="20"/>
              </w:rPr>
              <w:t>Proiectul Regulamentului</w:t>
            </w:r>
            <w:r w:rsidR="00021DE9" w:rsidRPr="001F71EB">
              <w:rPr>
                <w:rFonts w:ascii="Times New Roman" w:hAnsi="Times New Roman" w:cs="Times New Roman"/>
                <w:bCs/>
                <w:sz w:val="20"/>
                <w:szCs w:val="20"/>
              </w:rPr>
              <w:t xml:space="preserve">, în special anexa nr. 1 </w:t>
            </w:r>
            <w:r w:rsidRPr="001F71EB">
              <w:rPr>
                <w:rFonts w:ascii="Times New Roman" w:hAnsi="Times New Roman" w:cs="Times New Roman"/>
                <w:bCs/>
                <w:sz w:val="20"/>
                <w:szCs w:val="20"/>
              </w:rPr>
              <w:t>conține prevederi suficiente și clare privind metodologia de clasificare a amestecurilor multicomponente.</w:t>
            </w:r>
          </w:p>
        </w:tc>
      </w:tr>
      <w:tr w:rsidR="00396AAC" w:rsidRPr="005F27A5" w14:paraId="2802C536" w14:textId="77777777" w:rsidTr="00406EB2">
        <w:trPr>
          <w:trHeight w:val="611"/>
        </w:trPr>
        <w:tc>
          <w:tcPr>
            <w:tcW w:w="2787" w:type="dxa"/>
            <w:vMerge/>
          </w:tcPr>
          <w:p w14:paraId="6208FD4B" w14:textId="77777777" w:rsidR="00396AAC" w:rsidRPr="005F27A5" w:rsidRDefault="00396AAC"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0DEA1538" w14:textId="77777777" w:rsidR="00396AAC" w:rsidRPr="005F27A5" w:rsidRDefault="00396AAC"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683CB931" w14:textId="20CFAC98" w:rsidR="00396AAC" w:rsidRPr="005F27A5" w:rsidRDefault="00406EB2"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4. Proiectul nu este însoțit de ghiduri tehnice naționale adaptate la contextul Republicii Moldova (pentru industrie; pentru laboratoare; pentru autoritățile de control). Sau adaptarea ghidurilor UE la necesitățile locale.</w:t>
            </w:r>
          </w:p>
        </w:tc>
        <w:tc>
          <w:tcPr>
            <w:tcW w:w="4809" w:type="dxa"/>
          </w:tcPr>
          <w:p w14:paraId="71C57B07" w14:textId="77777777" w:rsidR="00396AAC" w:rsidRPr="001F71EB" w:rsidRDefault="00D91265" w:rsidP="00AB0B66">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t>Se acceptă parțial.</w:t>
            </w:r>
          </w:p>
          <w:p w14:paraId="7C998150" w14:textId="5B960F12" w:rsidR="00D91265" w:rsidRPr="001F71EB" w:rsidRDefault="00DC1F82"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t xml:space="preserve">Odată cu promovarea proiectului respectiv, Ministerul Mediului va </w:t>
            </w:r>
            <w:r w:rsidR="009E73AF" w:rsidRPr="001F71EB">
              <w:rPr>
                <w:rFonts w:ascii="Times New Roman" w:hAnsi="Times New Roman" w:cs="Times New Roman"/>
                <w:bCs/>
                <w:sz w:val="20"/>
                <w:szCs w:val="20"/>
              </w:rPr>
              <w:t>avea temei legal pentru</w:t>
            </w:r>
            <w:r w:rsidRPr="001F71EB">
              <w:rPr>
                <w:rFonts w:ascii="Times New Roman" w:hAnsi="Times New Roman" w:cs="Times New Roman"/>
                <w:bCs/>
                <w:sz w:val="20"/>
                <w:szCs w:val="20"/>
              </w:rPr>
              <w:t xml:space="preserve"> aproba</w:t>
            </w:r>
            <w:r w:rsidR="009E73AF" w:rsidRPr="001F71EB">
              <w:rPr>
                <w:rFonts w:ascii="Times New Roman" w:hAnsi="Times New Roman" w:cs="Times New Roman"/>
                <w:bCs/>
                <w:sz w:val="20"/>
                <w:szCs w:val="20"/>
              </w:rPr>
              <w:t>rea</w:t>
            </w:r>
            <w:r w:rsidRPr="001F71EB">
              <w:rPr>
                <w:rFonts w:ascii="Times New Roman" w:hAnsi="Times New Roman" w:cs="Times New Roman"/>
                <w:bCs/>
                <w:sz w:val="20"/>
                <w:szCs w:val="20"/>
              </w:rPr>
              <w:t xml:space="preserve"> ghiduri</w:t>
            </w:r>
            <w:r w:rsidR="009E73AF" w:rsidRPr="001F71EB">
              <w:rPr>
                <w:rFonts w:ascii="Times New Roman" w:hAnsi="Times New Roman" w:cs="Times New Roman"/>
                <w:bCs/>
                <w:sz w:val="20"/>
                <w:szCs w:val="20"/>
              </w:rPr>
              <w:t xml:space="preserve">lor </w:t>
            </w:r>
            <w:r w:rsidRPr="001F71EB">
              <w:rPr>
                <w:rFonts w:ascii="Times New Roman" w:hAnsi="Times New Roman" w:cs="Times New Roman"/>
                <w:bCs/>
                <w:sz w:val="20"/>
                <w:szCs w:val="20"/>
              </w:rPr>
              <w:t>tehnice în contextul aplicării Regulamentului.</w:t>
            </w:r>
          </w:p>
        </w:tc>
      </w:tr>
      <w:tr w:rsidR="00396AAC" w:rsidRPr="005F27A5" w14:paraId="338713DC" w14:textId="77777777" w:rsidTr="000A5B02">
        <w:trPr>
          <w:trHeight w:val="647"/>
        </w:trPr>
        <w:tc>
          <w:tcPr>
            <w:tcW w:w="2787" w:type="dxa"/>
            <w:vMerge/>
          </w:tcPr>
          <w:p w14:paraId="0D5478DE" w14:textId="77777777" w:rsidR="00396AAC" w:rsidRPr="005F27A5" w:rsidRDefault="00396AAC"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7CADA4BA" w14:textId="77777777" w:rsidR="00396AAC" w:rsidRPr="005F27A5" w:rsidRDefault="00396AAC"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2C9569BC" w14:textId="57D2454D" w:rsidR="00396AAC" w:rsidRPr="005F27A5" w:rsidRDefault="00406EB2"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5. Lipsa unei perioade de tranziție realiste: Termenele de aplicare sunt insuficiente pentru: reclasificare, retipărire etichete și instruirea personalului.</w:t>
            </w:r>
          </w:p>
        </w:tc>
        <w:tc>
          <w:tcPr>
            <w:tcW w:w="4809" w:type="dxa"/>
          </w:tcPr>
          <w:p w14:paraId="25CF8595" w14:textId="77777777" w:rsidR="00396AAC" w:rsidRPr="001F71EB" w:rsidRDefault="00246ECA" w:rsidP="00AB0B66">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t>Nu se acceptă.</w:t>
            </w:r>
          </w:p>
          <w:p w14:paraId="7B061601" w14:textId="05E1D85A" w:rsidR="00147CA3" w:rsidRPr="001F71EB" w:rsidRDefault="00A67661" w:rsidP="00AB0B66">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Cs/>
                <w:sz w:val="20"/>
                <w:szCs w:val="20"/>
              </w:rPr>
              <w:t>Obiecția formulată are un caracter general și nu este susținută de argumente concrete. Menționăm că, în cadrul consultărilor publice desfășurate la data de 20 noiembrie</w:t>
            </w:r>
            <w:r w:rsidR="00471F96" w:rsidRPr="001F71EB">
              <w:rPr>
                <w:rFonts w:ascii="Times New Roman" w:hAnsi="Times New Roman" w:cs="Times New Roman"/>
                <w:bCs/>
                <w:sz w:val="20"/>
                <w:szCs w:val="20"/>
              </w:rPr>
              <w:t xml:space="preserve"> 2025</w:t>
            </w:r>
            <w:r w:rsidRPr="001F71EB">
              <w:rPr>
                <w:rFonts w:ascii="Times New Roman" w:hAnsi="Times New Roman" w:cs="Times New Roman"/>
                <w:bCs/>
                <w:sz w:val="20"/>
                <w:szCs w:val="20"/>
              </w:rPr>
              <w:t>, proiectul de Regulament a fost supus consultării inclusiv cu agenții economici, care au fost informați în mod corespunzător cu privire la perioadele de conformare prevăzute în proiect, inclusiv prin transmiterea linkului c</w:t>
            </w:r>
            <w:r w:rsidR="00471F96" w:rsidRPr="001F71EB">
              <w:rPr>
                <w:rFonts w:ascii="Times New Roman" w:hAnsi="Times New Roman" w:cs="Times New Roman"/>
                <w:bCs/>
                <w:sz w:val="20"/>
                <w:szCs w:val="20"/>
              </w:rPr>
              <w:t>u</w:t>
            </w:r>
            <w:r w:rsidRPr="001F71EB">
              <w:rPr>
                <w:rFonts w:ascii="Times New Roman" w:hAnsi="Times New Roman" w:cs="Times New Roman"/>
                <w:bCs/>
                <w:sz w:val="20"/>
                <w:szCs w:val="20"/>
              </w:rPr>
              <w:t xml:space="preserve"> setul complet de acte, publicat pe platforma</w:t>
            </w:r>
            <w:r w:rsidR="0069460C" w:rsidRPr="001F71EB">
              <w:rPr>
                <w:rFonts w:ascii="Times New Roman" w:hAnsi="Times New Roman" w:cs="Times New Roman"/>
                <w:bCs/>
                <w:sz w:val="20"/>
                <w:szCs w:val="20"/>
              </w:rPr>
              <w:t xml:space="preserve"> </w:t>
            </w:r>
            <w:hyperlink r:id="rId9" w:history="1">
              <w:r w:rsidR="0069460C" w:rsidRPr="001F71EB">
                <w:rPr>
                  <w:rStyle w:val="a8"/>
                  <w:rFonts w:ascii="Times New Roman" w:hAnsi="Times New Roman" w:cs="Times New Roman"/>
                  <w:bCs/>
                  <w:color w:val="0000FF"/>
                  <w:sz w:val="20"/>
                  <w:szCs w:val="20"/>
                </w:rPr>
                <w:t>https://particip.gov.md/ro</w:t>
              </w:r>
            </w:hyperlink>
            <w:r w:rsidR="0069460C" w:rsidRPr="001F71EB">
              <w:rPr>
                <w:rFonts w:ascii="Times New Roman" w:hAnsi="Times New Roman" w:cs="Times New Roman"/>
                <w:bCs/>
                <w:sz w:val="20"/>
                <w:szCs w:val="20"/>
              </w:rPr>
              <w:t xml:space="preserve"> </w:t>
            </w:r>
          </w:p>
        </w:tc>
      </w:tr>
      <w:tr w:rsidR="00396AAC" w:rsidRPr="005F27A5" w14:paraId="6ACD031B" w14:textId="77777777" w:rsidTr="000A5B02">
        <w:trPr>
          <w:trHeight w:val="972"/>
        </w:trPr>
        <w:tc>
          <w:tcPr>
            <w:tcW w:w="2787" w:type="dxa"/>
            <w:vMerge/>
          </w:tcPr>
          <w:p w14:paraId="60119D30" w14:textId="77777777" w:rsidR="00396AAC" w:rsidRPr="005F27A5" w:rsidRDefault="00396AAC"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1EC8121B" w14:textId="77777777" w:rsidR="00396AAC" w:rsidRPr="005F27A5" w:rsidRDefault="00396AAC"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7C6B5D36" w14:textId="547A3912" w:rsidR="00396AAC" w:rsidRPr="005F27A5" w:rsidRDefault="00406EB2"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6. Definiții neclare: Anumite definiții (substanță, amestec, impuritate, aditiv) pot fi interpretate diferit. Este necesar de introdus un vocabular tehnic detaliat, definițiile fiind corelate cu IUPAC și CLP UE.</w:t>
            </w:r>
          </w:p>
        </w:tc>
        <w:tc>
          <w:tcPr>
            <w:tcW w:w="4809" w:type="dxa"/>
          </w:tcPr>
          <w:p w14:paraId="1F561172" w14:textId="77777777" w:rsidR="00396AAC" w:rsidRPr="001F71EB" w:rsidRDefault="00C33E32" w:rsidP="00AB0B66">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t>Nu se acceptă.</w:t>
            </w:r>
          </w:p>
          <w:p w14:paraId="3DE3E4CB" w14:textId="2D433455" w:rsidR="00042FD0" w:rsidRPr="001F71EB" w:rsidRDefault="005E36AC"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t>Obiecția este de ordin general și nu explică în mod clar problemele de interpretare ale unor definiții. Mai mult, unele dintre aceste definiții se regăsesc deja în Legea nr. 277/2018 privind substanțele chimice.</w:t>
            </w:r>
          </w:p>
        </w:tc>
      </w:tr>
      <w:tr w:rsidR="00396AAC" w:rsidRPr="005F27A5" w14:paraId="04BD0559" w14:textId="77777777" w:rsidTr="00406EB2">
        <w:trPr>
          <w:trHeight w:val="889"/>
        </w:trPr>
        <w:tc>
          <w:tcPr>
            <w:tcW w:w="2787" w:type="dxa"/>
            <w:vMerge/>
          </w:tcPr>
          <w:p w14:paraId="55FD07F6" w14:textId="77777777" w:rsidR="00396AAC" w:rsidRPr="005F27A5" w:rsidRDefault="00396AAC"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67274A99" w14:textId="77777777" w:rsidR="00396AAC" w:rsidRPr="005F27A5" w:rsidRDefault="00396AAC"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6965AE70" w14:textId="6CA42C77" w:rsidR="00396AAC" w:rsidRPr="005F27A5" w:rsidRDefault="00406EB2"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7. Introducerea unui alineat care să prevadă instruirea periodică obligatorie a persoanelor fizice, juridice, care comercializează, distribuie și/sau transferă substanțe chimice periculoase, în concordanță cu normele de sănătate și securitate în muncă.</w:t>
            </w:r>
          </w:p>
        </w:tc>
        <w:tc>
          <w:tcPr>
            <w:tcW w:w="4809" w:type="dxa"/>
          </w:tcPr>
          <w:p w14:paraId="4CDA2B08" w14:textId="77777777" w:rsidR="00396AAC" w:rsidRPr="001F71EB" w:rsidRDefault="00246ECA" w:rsidP="00AB0B66">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t>Nu se acceptă.</w:t>
            </w:r>
          </w:p>
          <w:p w14:paraId="7CE1FD3D" w14:textId="5AE0095F" w:rsidR="00184B74" w:rsidRPr="001F71EB" w:rsidRDefault="00706B74"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t>A</w:t>
            </w:r>
            <w:r w:rsidR="00184B74" w:rsidRPr="001F71EB">
              <w:rPr>
                <w:rFonts w:ascii="Times New Roman" w:hAnsi="Times New Roman" w:cs="Times New Roman"/>
                <w:bCs/>
                <w:sz w:val="20"/>
                <w:szCs w:val="20"/>
              </w:rPr>
              <w:t>rt. 16 d</w:t>
            </w:r>
            <w:r w:rsidR="00CC65BC" w:rsidRPr="001F71EB">
              <w:rPr>
                <w:rFonts w:ascii="Times New Roman" w:hAnsi="Times New Roman" w:cs="Times New Roman"/>
                <w:bCs/>
                <w:sz w:val="20"/>
                <w:szCs w:val="20"/>
              </w:rPr>
              <w:t>in</w:t>
            </w:r>
            <w:r w:rsidR="00184B74" w:rsidRPr="001F71EB">
              <w:rPr>
                <w:rFonts w:ascii="Times New Roman" w:hAnsi="Times New Roman" w:cs="Times New Roman"/>
                <w:bCs/>
                <w:sz w:val="20"/>
                <w:szCs w:val="20"/>
              </w:rPr>
              <w:t xml:space="preserve"> Legea nr. 277/2018 privind sub</w:t>
            </w:r>
            <w:r w:rsidR="00CC65BC" w:rsidRPr="001F71EB">
              <w:rPr>
                <w:rFonts w:ascii="Times New Roman" w:hAnsi="Times New Roman" w:cs="Times New Roman"/>
                <w:bCs/>
                <w:sz w:val="20"/>
                <w:szCs w:val="20"/>
              </w:rPr>
              <w:t>stanțele chimice</w:t>
            </w:r>
            <w:r w:rsidR="008407EE" w:rsidRPr="001F71EB">
              <w:rPr>
                <w:rFonts w:ascii="Times New Roman" w:hAnsi="Times New Roman" w:cs="Times New Roman"/>
                <w:bCs/>
                <w:sz w:val="20"/>
                <w:szCs w:val="20"/>
              </w:rPr>
              <w:t xml:space="preserve"> prevede astfel de prevederi.</w:t>
            </w:r>
          </w:p>
        </w:tc>
      </w:tr>
      <w:tr w:rsidR="00B63D5F" w:rsidRPr="005F27A5" w14:paraId="0982D98F" w14:textId="77777777" w:rsidTr="00203496">
        <w:trPr>
          <w:trHeight w:val="158"/>
        </w:trPr>
        <w:tc>
          <w:tcPr>
            <w:tcW w:w="14056" w:type="dxa"/>
            <w:gridSpan w:val="4"/>
          </w:tcPr>
          <w:p w14:paraId="5D971EBB" w14:textId="0E9C678B" w:rsidR="00B63D5F" w:rsidRPr="001F71EB" w:rsidRDefault="00B63D5F" w:rsidP="00AB0B66">
            <w:pPr>
              <w:spacing w:beforeLines="20" w:before="48" w:afterLines="20" w:after="48"/>
              <w:ind w:left="57" w:right="57"/>
              <w:jc w:val="center"/>
              <w:rPr>
                <w:rFonts w:ascii="Times New Roman" w:hAnsi="Times New Roman" w:cs="Times New Roman"/>
                <w:bCs/>
                <w:sz w:val="20"/>
                <w:szCs w:val="20"/>
              </w:rPr>
            </w:pPr>
            <w:r w:rsidRPr="001F71EB">
              <w:rPr>
                <w:rFonts w:ascii="Times New Roman" w:hAnsi="Times New Roman" w:cs="Times New Roman"/>
                <w:b/>
                <w:bCs/>
                <w:color w:val="000000"/>
                <w:sz w:val="20"/>
                <w:szCs w:val="20"/>
              </w:rPr>
              <w:t>Expertizare</w:t>
            </w:r>
          </w:p>
        </w:tc>
      </w:tr>
      <w:tr w:rsidR="00D502F8" w:rsidRPr="005F27A5" w14:paraId="5D4CCCC1" w14:textId="77777777" w:rsidTr="00C640D2">
        <w:trPr>
          <w:trHeight w:val="209"/>
        </w:trPr>
        <w:tc>
          <w:tcPr>
            <w:tcW w:w="2787" w:type="dxa"/>
            <w:vMerge w:val="restart"/>
          </w:tcPr>
          <w:p w14:paraId="0C7067D3" w14:textId="77777777" w:rsidR="00D502F8" w:rsidRPr="005F27A5" w:rsidRDefault="00D502F8"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b/>
                <w:bCs/>
                <w:color w:val="0D0D0D" w:themeColor="text1" w:themeTint="F2"/>
                <w:sz w:val="20"/>
                <w:szCs w:val="20"/>
              </w:rPr>
              <w:t>Centrul de Armonizare a Legislației</w:t>
            </w:r>
          </w:p>
          <w:p w14:paraId="23BA1280" w14:textId="6B0D7F57" w:rsidR="00D502F8" w:rsidRPr="005F27A5" w:rsidRDefault="00D502F8"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color w:val="0D0D0D" w:themeColor="text1" w:themeTint="F2"/>
                <w:sz w:val="20"/>
                <w:szCs w:val="20"/>
              </w:rPr>
              <w:lastRenderedPageBreak/>
              <w:t>Aviz nr. 31/02-126-12230 din 02.12.2025</w:t>
            </w:r>
          </w:p>
        </w:tc>
        <w:tc>
          <w:tcPr>
            <w:tcW w:w="737" w:type="dxa"/>
            <w:vMerge w:val="restart"/>
          </w:tcPr>
          <w:p w14:paraId="34646DED" w14:textId="77777777" w:rsidR="00D502F8" w:rsidRPr="005F27A5" w:rsidRDefault="00D502F8"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0BD9E422" w14:textId="10FA1C61" w:rsidR="00D502F8" w:rsidRPr="005F27A5" w:rsidRDefault="00D502F8"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color w:val="000000"/>
                <w:sz w:val="20"/>
                <w:szCs w:val="20"/>
              </w:rPr>
              <w:t xml:space="preserve">Se impune reexaminarea în vederea transpunerii de legislația națională de sancționare contravențională sau penală a art. 47 din Regulament, care stabilește obligația statului de institui la nivelul </w:t>
            </w:r>
            <w:r w:rsidRPr="005F27A5">
              <w:rPr>
                <w:rFonts w:ascii="Times New Roman" w:hAnsi="Times New Roman" w:cs="Times New Roman"/>
                <w:color w:val="000000"/>
                <w:sz w:val="20"/>
                <w:szCs w:val="20"/>
              </w:rPr>
              <w:lastRenderedPageBreak/>
              <w:t>legislației naționale sancțiuni ”eficace, proporționale și disuasive”. În cazul în care legislația națională conține deja sancțiuni speciale, în Tabelul de concordanță vor fi reflectate prevederile respective din Codul Contravențional și/sau Codul Penal.</w:t>
            </w:r>
          </w:p>
        </w:tc>
        <w:tc>
          <w:tcPr>
            <w:tcW w:w="4809" w:type="dxa"/>
          </w:tcPr>
          <w:p w14:paraId="5509D084" w14:textId="0292E444" w:rsidR="0020536A" w:rsidRPr="001F71EB" w:rsidRDefault="00F820A1" w:rsidP="00AB0B66">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lastRenderedPageBreak/>
              <w:t>Nu se acceptă.</w:t>
            </w:r>
          </w:p>
          <w:p w14:paraId="4111A752" w14:textId="7950E1D0" w:rsidR="00F820A1" w:rsidRPr="001F71EB" w:rsidRDefault="0064507A" w:rsidP="0099639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t>Legea nr. 277/2018</w:t>
            </w:r>
            <w:r w:rsidR="00D12333" w:rsidRPr="001F71EB">
              <w:rPr>
                <w:rFonts w:ascii="Times New Roman" w:hAnsi="Times New Roman" w:cs="Times New Roman"/>
                <w:bCs/>
                <w:sz w:val="20"/>
                <w:szCs w:val="20"/>
              </w:rPr>
              <w:t xml:space="preserve"> </w:t>
            </w:r>
            <w:r w:rsidRPr="001F71EB">
              <w:rPr>
                <w:rFonts w:ascii="Times New Roman" w:hAnsi="Times New Roman" w:cs="Times New Roman"/>
                <w:bCs/>
                <w:sz w:val="20"/>
                <w:szCs w:val="20"/>
              </w:rPr>
              <w:t>privind substanțele chimice</w:t>
            </w:r>
            <w:r w:rsidR="00D12333" w:rsidRPr="001F71EB">
              <w:rPr>
                <w:rFonts w:ascii="Times New Roman" w:hAnsi="Times New Roman" w:cs="Times New Roman"/>
                <w:bCs/>
                <w:sz w:val="20"/>
                <w:szCs w:val="20"/>
              </w:rPr>
              <w:t>, prin art. 43</w:t>
            </w:r>
            <w:r w:rsidR="00C02FF9" w:rsidRPr="001F71EB">
              <w:rPr>
                <w:rFonts w:ascii="Times New Roman" w:hAnsi="Times New Roman" w:cs="Times New Roman"/>
                <w:bCs/>
                <w:sz w:val="20"/>
                <w:szCs w:val="20"/>
              </w:rPr>
              <w:t xml:space="preserve"> și art. 44</w:t>
            </w:r>
            <w:r w:rsidR="00D12333" w:rsidRPr="001F71EB">
              <w:rPr>
                <w:rFonts w:ascii="Times New Roman" w:hAnsi="Times New Roman" w:cs="Times New Roman"/>
                <w:bCs/>
                <w:sz w:val="20"/>
                <w:szCs w:val="20"/>
              </w:rPr>
              <w:t>, prevede norm</w:t>
            </w:r>
            <w:r w:rsidR="007B1269" w:rsidRPr="001F71EB">
              <w:rPr>
                <w:rFonts w:ascii="Times New Roman" w:hAnsi="Times New Roman" w:cs="Times New Roman"/>
                <w:bCs/>
                <w:sz w:val="20"/>
                <w:szCs w:val="20"/>
              </w:rPr>
              <w:t xml:space="preserve">ă cu privire la </w:t>
            </w:r>
            <w:r w:rsidR="00FE573C" w:rsidRPr="001F71EB">
              <w:rPr>
                <w:rFonts w:ascii="Times New Roman" w:hAnsi="Times New Roman" w:cs="Times New Roman"/>
                <w:bCs/>
                <w:sz w:val="20"/>
                <w:szCs w:val="20"/>
              </w:rPr>
              <w:t>r</w:t>
            </w:r>
            <w:r w:rsidR="007B1269" w:rsidRPr="001F71EB">
              <w:rPr>
                <w:rFonts w:ascii="Times New Roman" w:hAnsi="Times New Roman" w:cs="Times New Roman"/>
                <w:bCs/>
                <w:sz w:val="20"/>
                <w:szCs w:val="20"/>
              </w:rPr>
              <w:t xml:space="preserve">ăspunderea </w:t>
            </w:r>
            <w:r w:rsidR="007B1269" w:rsidRPr="001F71EB">
              <w:rPr>
                <w:rFonts w:ascii="Times New Roman" w:hAnsi="Times New Roman" w:cs="Times New Roman"/>
                <w:bCs/>
                <w:sz w:val="20"/>
                <w:szCs w:val="20"/>
              </w:rPr>
              <w:lastRenderedPageBreak/>
              <w:t>pentru încălcarea legislației privind substanțele chimice</w:t>
            </w:r>
            <w:r w:rsidR="009B470F" w:rsidRPr="001F71EB">
              <w:rPr>
                <w:rFonts w:ascii="Times New Roman" w:hAnsi="Times New Roman" w:cs="Times New Roman"/>
                <w:bCs/>
                <w:sz w:val="20"/>
                <w:szCs w:val="20"/>
              </w:rPr>
              <w:t xml:space="preserve">. </w:t>
            </w:r>
            <w:r w:rsidR="00F80A90" w:rsidRPr="001F71EB">
              <w:rPr>
                <w:rFonts w:ascii="Times New Roman" w:hAnsi="Times New Roman" w:cs="Times New Roman"/>
                <w:bCs/>
                <w:sz w:val="20"/>
                <w:szCs w:val="20"/>
              </w:rPr>
              <w:t xml:space="preserve">Odată cu aprobarea </w:t>
            </w:r>
            <w:r w:rsidR="00FA31FF" w:rsidRPr="001F71EB">
              <w:rPr>
                <w:rFonts w:ascii="Times New Roman" w:hAnsi="Times New Roman" w:cs="Times New Roman"/>
                <w:bCs/>
                <w:sz w:val="20"/>
                <w:szCs w:val="20"/>
              </w:rPr>
              <w:t>proiectului de Regulaemnt</w:t>
            </w:r>
            <w:r w:rsidR="00257A76" w:rsidRPr="001F71EB">
              <w:rPr>
                <w:rFonts w:ascii="Times New Roman" w:hAnsi="Times New Roman" w:cs="Times New Roman"/>
                <w:bCs/>
                <w:sz w:val="20"/>
                <w:szCs w:val="20"/>
              </w:rPr>
              <w:t xml:space="preserve"> și intrare</w:t>
            </w:r>
            <w:r w:rsidR="00AD24E3" w:rsidRPr="001F71EB">
              <w:rPr>
                <w:rFonts w:ascii="Times New Roman" w:hAnsi="Times New Roman" w:cs="Times New Roman"/>
                <w:bCs/>
                <w:sz w:val="20"/>
                <w:szCs w:val="20"/>
              </w:rPr>
              <w:t>a</w:t>
            </w:r>
            <w:r w:rsidR="00257A76" w:rsidRPr="001F71EB">
              <w:rPr>
                <w:rFonts w:ascii="Times New Roman" w:hAnsi="Times New Roman" w:cs="Times New Roman"/>
                <w:bCs/>
                <w:sz w:val="20"/>
                <w:szCs w:val="20"/>
              </w:rPr>
              <w:t xml:space="preserve"> acestuia </w:t>
            </w:r>
            <w:r w:rsidR="00AD24E3" w:rsidRPr="001F71EB">
              <w:rPr>
                <w:rFonts w:ascii="Times New Roman" w:hAnsi="Times New Roman" w:cs="Times New Roman"/>
                <w:bCs/>
                <w:sz w:val="20"/>
                <w:szCs w:val="20"/>
              </w:rPr>
              <w:t>î</w:t>
            </w:r>
            <w:r w:rsidR="00257A76" w:rsidRPr="001F71EB">
              <w:rPr>
                <w:rFonts w:ascii="Times New Roman" w:hAnsi="Times New Roman" w:cs="Times New Roman"/>
                <w:bCs/>
                <w:sz w:val="20"/>
                <w:szCs w:val="20"/>
              </w:rPr>
              <w:t>n vigoare</w:t>
            </w:r>
            <w:r w:rsidR="00FA68DA" w:rsidRPr="001F71EB">
              <w:rPr>
                <w:rFonts w:ascii="Times New Roman" w:hAnsi="Times New Roman" w:cs="Times New Roman"/>
                <w:bCs/>
                <w:sz w:val="20"/>
                <w:szCs w:val="20"/>
              </w:rPr>
              <w:t>, vor fi p</w:t>
            </w:r>
            <w:r w:rsidR="00F41C1B" w:rsidRPr="001F71EB">
              <w:rPr>
                <w:rFonts w:ascii="Times New Roman" w:hAnsi="Times New Roman" w:cs="Times New Roman"/>
                <w:bCs/>
                <w:sz w:val="20"/>
                <w:szCs w:val="20"/>
              </w:rPr>
              <w:t>rezentate Ministerului Justiției propuneri de sancțiuni</w:t>
            </w:r>
            <w:r w:rsidR="00AF65B5" w:rsidRPr="001F71EB">
              <w:rPr>
                <w:rFonts w:ascii="Times New Roman" w:hAnsi="Times New Roman" w:cs="Times New Roman"/>
                <w:bCs/>
                <w:sz w:val="20"/>
                <w:szCs w:val="20"/>
              </w:rPr>
              <w:t xml:space="preserve"> contravenționale și/sau penale în domeniul repectări</w:t>
            </w:r>
            <w:r w:rsidR="00551963" w:rsidRPr="001F71EB">
              <w:rPr>
                <w:rFonts w:ascii="Times New Roman" w:hAnsi="Times New Roman" w:cs="Times New Roman"/>
                <w:bCs/>
                <w:sz w:val="20"/>
                <w:szCs w:val="20"/>
              </w:rPr>
              <w:t>i</w:t>
            </w:r>
            <w:r w:rsidR="00AF65B5" w:rsidRPr="001F71EB">
              <w:rPr>
                <w:rFonts w:ascii="Times New Roman" w:hAnsi="Times New Roman" w:cs="Times New Roman"/>
                <w:bCs/>
                <w:sz w:val="20"/>
                <w:szCs w:val="20"/>
              </w:rPr>
              <w:t xml:space="preserve"> cerin</w:t>
            </w:r>
            <w:r w:rsidR="00551963" w:rsidRPr="001F71EB">
              <w:rPr>
                <w:rFonts w:ascii="Times New Roman" w:hAnsi="Times New Roman" w:cs="Times New Roman"/>
                <w:bCs/>
                <w:sz w:val="20"/>
                <w:szCs w:val="20"/>
              </w:rPr>
              <w:t>ț</w:t>
            </w:r>
            <w:r w:rsidR="00AF65B5" w:rsidRPr="001F71EB">
              <w:rPr>
                <w:rFonts w:ascii="Times New Roman" w:hAnsi="Times New Roman" w:cs="Times New Roman"/>
                <w:bCs/>
                <w:sz w:val="20"/>
                <w:szCs w:val="20"/>
              </w:rPr>
              <w:t>elor de clasificare, etichetare</w:t>
            </w:r>
            <w:r w:rsidR="00C640D2" w:rsidRPr="001F71EB">
              <w:rPr>
                <w:rFonts w:ascii="Times New Roman" w:hAnsi="Times New Roman" w:cs="Times New Roman"/>
                <w:bCs/>
                <w:sz w:val="20"/>
                <w:szCs w:val="20"/>
              </w:rPr>
              <w:t xml:space="preserve"> și ambalare substantelor și amestecurilor.</w:t>
            </w:r>
          </w:p>
        </w:tc>
      </w:tr>
      <w:tr w:rsidR="00D502F8" w:rsidRPr="005F27A5" w14:paraId="411EE62A" w14:textId="77777777" w:rsidTr="004B22E0">
        <w:trPr>
          <w:trHeight w:val="379"/>
        </w:trPr>
        <w:tc>
          <w:tcPr>
            <w:tcW w:w="2787" w:type="dxa"/>
            <w:vMerge/>
          </w:tcPr>
          <w:p w14:paraId="7D0F86EB" w14:textId="77777777" w:rsidR="00D502F8" w:rsidRPr="005F27A5" w:rsidRDefault="00D502F8"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57B7E80B" w14:textId="77777777" w:rsidR="00D502F8" w:rsidRPr="005F27A5" w:rsidRDefault="00D502F8"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454DE5CE" w14:textId="078C3FCA" w:rsidR="00D502F8" w:rsidRPr="005F27A5" w:rsidRDefault="00D502F8"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sz w:val="20"/>
                <w:szCs w:val="20"/>
              </w:rPr>
              <w:t>Din pct. 1.2.3 al Anexei nr. 6 la proiectul național se va exclude referința directă la Directiva 67/548/CEE, ori trimiterile la acte UE nu sunt admise în textul actelor normative naționale, iar însăși Directiva 67/548 a fost abrogată prin Regulamentul UE supus transpunerii.</w:t>
            </w:r>
          </w:p>
        </w:tc>
        <w:tc>
          <w:tcPr>
            <w:tcW w:w="4809" w:type="dxa"/>
          </w:tcPr>
          <w:p w14:paraId="5875FAAF" w14:textId="1A50713A" w:rsidR="00D502F8" w:rsidRPr="001F71EB" w:rsidRDefault="001721A1"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
                <w:sz w:val="20"/>
                <w:szCs w:val="20"/>
              </w:rPr>
              <w:t>S</w:t>
            </w:r>
            <w:r w:rsidR="00292131" w:rsidRPr="001F71EB">
              <w:rPr>
                <w:rFonts w:ascii="Times New Roman" w:hAnsi="Times New Roman" w:cs="Times New Roman"/>
                <w:b/>
                <w:sz w:val="20"/>
                <w:szCs w:val="20"/>
              </w:rPr>
              <w:t>e acceptă.</w:t>
            </w:r>
            <w:r w:rsidR="00292131" w:rsidRPr="001F71EB">
              <w:rPr>
                <w:rFonts w:ascii="Times New Roman" w:hAnsi="Times New Roman" w:cs="Times New Roman"/>
                <w:bCs/>
                <w:sz w:val="20"/>
                <w:szCs w:val="20"/>
              </w:rPr>
              <w:t xml:space="preserve"> Proiectul a fost ajustat.</w:t>
            </w:r>
          </w:p>
        </w:tc>
      </w:tr>
      <w:tr w:rsidR="00D502F8" w:rsidRPr="005F27A5" w14:paraId="037ACD48" w14:textId="77777777" w:rsidTr="004B22E0">
        <w:trPr>
          <w:trHeight w:val="379"/>
        </w:trPr>
        <w:tc>
          <w:tcPr>
            <w:tcW w:w="2787" w:type="dxa"/>
            <w:vMerge/>
          </w:tcPr>
          <w:p w14:paraId="5970A3E3" w14:textId="77777777" w:rsidR="00D502F8" w:rsidRPr="005F27A5" w:rsidRDefault="00D502F8"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514C1202" w14:textId="77777777" w:rsidR="00D502F8" w:rsidRPr="005F27A5" w:rsidRDefault="00D502F8"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6E5BA8B2" w14:textId="5FC8F67E" w:rsidR="00D502F8" w:rsidRPr="005F27A5" w:rsidRDefault="00D502F8"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sz w:val="20"/>
                <w:szCs w:val="20"/>
              </w:rPr>
              <w:t>De asemenea, se impune substituirea atât în Legea nr. 277/2018, cât și în prezentul proiect a noțiunii de ”plasare pe piață” cu noțiunea de ”introducere pe piață” în acord cu terminologia Regulamentului UE.</w:t>
            </w:r>
          </w:p>
        </w:tc>
        <w:tc>
          <w:tcPr>
            <w:tcW w:w="4809" w:type="dxa"/>
          </w:tcPr>
          <w:p w14:paraId="16373DF2" w14:textId="77777777" w:rsidR="00F96C97" w:rsidRPr="001F71EB" w:rsidRDefault="00F96C97" w:rsidP="00AB0B66">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t>Nu se acceptă.</w:t>
            </w:r>
          </w:p>
          <w:p w14:paraId="4D63A9ED" w14:textId="7791A9CC" w:rsidR="00BF6736" w:rsidRPr="001F71EB" w:rsidRDefault="00730785"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t xml:space="preserve">Temeiul legal de </w:t>
            </w:r>
            <w:r w:rsidR="00BA2772" w:rsidRPr="001F71EB">
              <w:rPr>
                <w:rFonts w:ascii="Times New Roman" w:hAnsi="Times New Roman" w:cs="Times New Roman"/>
                <w:bCs/>
                <w:sz w:val="20"/>
                <w:szCs w:val="20"/>
              </w:rPr>
              <w:t>e</w:t>
            </w:r>
            <w:r w:rsidRPr="001F71EB">
              <w:rPr>
                <w:rFonts w:ascii="Times New Roman" w:hAnsi="Times New Roman" w:cs="Times New Roman"/>
                <w:bCs/>
                <w:sz w:val="20"/>
                <w:szCs w:val="20"/>
              </w:rPr>
              <w:t>laborare</w:t>
            </w:r>
            <w:r w:rsidR="00BA2772" w:rsidRPr="001F71EB">
              <w:rPr>
                <w:rFonts w:ascii="Times New Roman" w:hAnsi="Times New Roman" w:cs="Times New Roman"/>
                <w:bCs/>
                <w:sz w:val="20"/>
                <w:szCs w:val="20"/>
              </w:rPr>
              <w:t xml:space="preserve"> a proiectului </w:t>
            </w:r>
            <w:r w:rsidR="00DF0780" w:rsidRPr="001F71EB">
              <w:rPr>
                <w:rFonts w:ascii="Times New Roman" w:hAnsi="Times New Roman" w:cs="Times New Roman"/>
                <w:bCs/>
                <w:sz w:val="20"/>
                <w:szCs w:val="20"/>
              </w:rPr>
              <w:t xml:space="preserve">Regulamentului </w:t>
            </w:r>
            <w:r w:rsidRPr="001F71EB">
              <w:rPr>
                <w:rFonts w:ascii="Times New Roman" w:hAnsi="Times New Roman" w:cs="Times New Roman"/>
                <w:bCs/>
                <w:sz w:val="20"/>
                <w:szCs w:val="20"/>
              </w:rPr>
              <w:t>este Legea nr. 277/2018 privind substanțelr chimice</w:t>
            </w:r>
            <w:r w:rsidR="00EB5BC0" w:rsidRPr="001F71EB">
              <w:rPr>
                <w:rFonts w:ascii="Times New Roman" w:hAnsi="Times New Roman" w:cs="Times New Roman"/>
                <w:bCs/>
                <w:sz w:val="20"/>
                <w:szCs w:val="20"/>
              </w:rPr>
              <w:t>.</w:t>
            </w:r>
            <w:r w:rsidR="00CD6DCC" w:rsidRPr="001F71EB">
              <w:rPr>
                <w:rFonts w:ascii="Times New Roman" w:hAnsi="Times New Roman" w:cs="Times New Roman"/>
                <w:bCs/>
                <w:sz w:val="20"/>
                <w:szCs w:val="20"/>
              </w:rPr>
              <w:t xml:space="preserve"> </w:t>
            </w:r>
            <w:r w:rsidR="00BF6736" w:rsidRPr="001F71EB">
              <w:rPr>
                <w:rFonts w:ascii="Times New Roman" w:hAnsi="Times New Roman" w:cs="Times New Roman"/>
                <w:bCs/>
                <w:sz w:val="20"/>
                <w:szCs w:val="20"/>
              </w:rPr>
              <w:t>În acest context, noțiunea de «plasare pe piață» este utilizată în mod consecvent pe întregul cuprins al proiectului de Regulament, în conformitate cu prevederile legii-cadru.</w:t>
            </w:r>
          </w:p>
        </w:tc>
      </w:tr>
      <w:tr w:rsidR="00D502F8" w:rsidRPr="005F27A5" w14:paraId="336ABE49" w14:textId="77777777" w:rsidTr="004B22E0">
        <w:trPr>
          <w:trHeight w:val="379"/>
        </w:trPr>
        <w:tc>
          <w:tcPr>
            <w:tcW w:w="2787" w:type="dxa"/>
            <w:vMerge/>
          </w:tcPr>
          <w:p w14:paraId="1921F104" w14:textId="77777777" w:rsidR="00D502F8" w:rsidRPr="005F27A5" w:rsidRDefault="00D502F8"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4627E039" w14:textId="77777777" w:rsidR="00D502F8" w:rsidRPr="005F27A5" w:rsidRDefault="00D502F8"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02D1C646" w14:textId="1BD3E754" w:rsidR="00D502F8" w:rsidRPr="005F27A5" w:rsidRDefault="00D502F8" w:rsidP="00AB0B66">
            <w:pPr>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sz w:val="20"/>
                <w:szCs w:val="20"/>
              </w:rPr>
              <w:t>Proiectul național nu a asigurat transpunerea unor norme obligatorii ale actului UE, care în contextul actual nu necesită transpunere/implementare și vor deveni direct aplicabile din data aderării la UE, după cum urmează: art. 1 (1) lit. c) și e); art. 2, pct. 23 și 29; art. 4 (2) (b); art. 24 (8) și (9); art. 37, art. 38; art. 39; art. 40; art. 41; art. 51 și 52. Respectiv, Tabelul de concordanță va califica aceste prevederi ca ”Prevederi UE netranspuse”, cu mențiunea de aplicare directă la data aderării, fără necesitatea transpunerii de legislația națională până la aderare.</w:t>
            </w:r>
          </w:p>
        </w:tc>
        <w:tc>
          <w:tcPr>
            <w:tcW w:w="4809" w:type="dxa"/>
          </w:tcPr>
          <w:p w14:paraId="0F42FB4B" w14:textId="77777777" w:rsidR="00A15CD0" w:rsidRPr="001F71EB" w:rsidRDefault="00A15CD0" w:rsidP="00D93384">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t>Nu se acce</w:t>
            </w:r>
            <w:r w:rsidR="00ED3C45" w:rsidRPr="001F71EB">
              <w:rPr>
                <w:rFonts w:ascii="Times New Roman" w:hAnsi="Times New Roman" w:cs="Times New Roman"/>
                <w:b/>
                <w:sz w:val="20"/>
                <w:szCs w:val="20"/>
              </w:rPr>
              <w:t>ptă.</w:t>
            </w:r>
          </w:p>
          <w:p w14:paraId="44B01D8F" w14:textId="0FEA1F18" w:rsidR="00ED3C45" w:rsidRPr="001F71EB" w:rsidRDefault="00ED3C45" w:rsidP="00D93384">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t>Conform def</w:t>
            </w:r>
            <w:r w:rsidR="00EA3447" w:rsidRPr="001F71EB">
              <w:rPr>
                <w:rFonts w:ascii="Times New Roman" w:hAnsi="Times New Roman" w:cs="Times New Roman"/>
                <w:bCs/>
                <w:sz w:val="20"/>
                <w:szCs w:val="20"/>
              </w:rPr>
              <w:t>iniției din HG nr. 1171/2018</w:t>
            </w:r>
            <w:r w:rsidR="00613819" w:rsidRPr="001F71EB">
              <w:rPr>
                <w:rFonts w:ascii="Times New Roman" w:hAnsi="Times New Roman" w:cs="Times New Roman"/>
                <w:bCs/>
                <w:sz w:val="20"/>
                <w:szCs w:val="20"/>
              </w:rPr>
              <w:t>: „</w:t>
            </w:r>
            <w:r w:rsidR="00323415" w:rsidRPr="001F71EB">
              <w:rPr>
                <w:rFonts w:ascii="Times New Roman" w:hAnsi="Times New Roman" w:cs="Times New Roman"/>
                <w:bCs/>
                <w:i/>
                <w:iCs/>
                <w:sz w:val="20"/>
                <w:szCs w:val="20"/>
              </w:rPr>
              <w:t>5) prevederi UE netranspuse – prevederi fundamentale și obligatorii ale actului juridic european care nu sunt transpuse de proiectul de act normativ, dar urmează a fi transpuse obligatoriu printr-un alt proiect de act normativ național și/sau sunt transpuse deja de alte acte normative naționale. În cazul în care anumite prevederi ale actului UE sunt transpuse în alte acte normative naționale, se menționează expres actul normativ în cauză, se indică elementele structurale ale acestuia și se transcrie textul acestora;</w:t>
            </w:r>
            <w:r w:rsidR="00613819" w:rsidRPr="001F71EB">
              <w:rPr>
                <w:rFonts w:ascii="Times New Roman" w:hAnsi="Times New Roman" w:cs="Times New Roman"/>
                <w:bCs/>
                <w:sz w:val="20"/>
                <w:szCs w:val="20"/>
              </w:rPr>
              <w:t>”</w:t>
            </w:r>
            <w:r w:rsidR="0041068B" w:rsidRPr="001F71EB">
              <w:rPr>
                <w:rFonts w:ascii="Times New Roman" w:hAnsi="Times New Roman" w:cs="Times New Roman"/>
                <w:bCs/>
                <w:sz w:val="20"/>
                <w:szCs w:val="20"/>
              </w:rPr>
              <w:t xml:space="preserve">, </w:t>
            </w:r>
            <w:r w:rsidR="004713B8" w:rsidRPr="001F71EB">
              <w:rPr>
                <w:rFonts w:ascii="Times New Roman" w:hAnsi="Times New Roman" w:cs="Times New Roman"/>
                <w:bCs/>
                <w:sz w:val="20"/>
                <w:szCs w:val="20"/>
              </w:rPr>
              <w:t>având în vedere</w:t>
            </w:r>
            <w:r w:rsidR="00002192" w:rsidRPr="001F71EB">
              <w:rPr>
                <w:rFonts w:ascii="Times New Roman" w:hAnsi="Times New Roman" w:cs="Times New Roman"/>
                <w:bCs/>
                <w:sz w:val="20"/>
                <w:szCs w:val="20"/>
              </w:rPr>
              <w:t xml:space="preserve"> că</w:t>
            </w:r>
            <w:r w:rsidR="00E4071D" w:rsidRPr="001F71EB">
              <w:rPr>
                <w:rFonts w:ascii="Times New Roman" w:hAnsi="Times New Roman" w:cs="Times New Roman"/>
                <w:bCs/>
                <w:sz w:val="20"/>
                <w:szCs w:val="20"/>
              </w:rPr>
              <w:t xml:space="preserve"> prevederi</w:t>
            </w:r>
            <w:r w:rsidR="00103D51" w:rsidRPr="001F71EB">
              <w:rPr>
                <w:rFonts w:ascii="Times New Roman" w:hAnsi="Times New Roman" w:cs="Times New Roman"/>
                <w:bCs/>
                <w:sz w:val="20"/>
                <w:szCs w:val="20"/>
              </w:rPr>
              <w:t>le</w:t>
            </w:r>
            <w:r w:rsidR="00536126" w:rsidRPr="001F71EB">
              <w:rPr>
                <w:rFonts w:ascii="Times New Roman" w:hAnsi="Times New Roman" w:cs="Times New Roman"/>
                <w:bCs/>
                <w:sz w:val="20"/>
                <w:szCs w:val="20"/>
              </w:rPr>
              <w:t xml:space="preserve"> respective </w:t>
            </w:r>
            <w:r w:rsidR="00D26D09" w:rsidRPr="001F71EB">
              <w:rPr>
                <w:rFonts w:ascii="Times New Roman" w:hAnsi="Times New Roman" w:cs="Times New Roman"/>
                <w:bCs/>
                <w:sz w:val="20"/>
                <w:szCs w:val="20"/>
              </w:rPr>
              <w:t xml:space="preserve">nu pot </w:t>
            </w:r>
            <w:r w:rsidR="00536126" w:rsidRPr="001F71EB">
              <w:rPr>
                <w:rFonts w:ascii="Times New Roman" w:hAnsi="Times New Roman" w:cs="Times New Roman"/>
                <w:bCs/>
                <w:sz w:val="20"/>
                <w:szCs w:val="20"/>
              </w:rPr>
              <w:t>transpise</w:t>
            </w:r>
            <w:r w:rsidR="00D26D09" w:rsidRPr="001F71EB">
              <w:rPr>
                <w:rFonts w:ascii="Times New Roman" w:hAnsi="Times New Roman" w:cs="Times New Roman"/>
                <w:bCs/>
                <w:sz w:val="20"/>
                <w:szCs w:val="20"/>
              </w:rPr>
              <w:t xml:space="preserve"> p</w:t>
            </w:r>
            <w:r w:rsidR="00536126" w:rsidRPr="001F71EB">
              <w:rPr>
                <w:rFonts w:ascii="Times New Roman" w:hAnsi="Times New Roman" w:cs="Times New Roman"/>
                <w:bCs/>
                <w:sz w:val="20"/>
                <w:szCs w:val="20"/>
              </w:rPr>
              <w:t>ână</w:t>
            </w:r>
            <w:r w:rsidR="00D26D09" w:rsidRPr="001F71EB">
              <w:rPr>
                <w:rFonts w:ascii="Times New Roman" w:hAnsi="Times New Roman" w:cs="Times New Roman"/>
                <w:bCs/>
                <w:sz w:val="20"/>
                <w:szCs w:val="20"/>
              </w:rPr>
              <w:t xml:space="preserve"> la aderare</w:t>
            </w:r>
            <w:r w:rsidR="00D93384" w:rsidRPr="001F71EB">
              <w:rPr>
                <w:rFonts w:ascii="Times New Roman" w:hAnsi="Times New Roman" w:cs="Times New Roman"/>
                <w:bCs/>
                <w:sz w:val="20"/>
                <w:szCs w:val="20"/>
              </w:rPr>
              <w:t>a</w:t>
            </w:r>
            <w:r w:rsidR="00D26D09" w:rsidRPr="001F71EB">
              <w:rPr>
                <w:rFonts w:ascii="Times New Roman" w:hAnsi="Times New Roman" w:cs="Times New Roman"/>
                <w:bCs/>
                <w:sz w:val="20"/>
                <w:szCs w:val="20"/>
              </w:rPr>
              <w:t xml:space="preserve"> cu </w:t>
            </w:r>
            <w:r w:rsidR="00D93384" w:rsidRPr="001F71EB">
              <w:rPr>
                <w:rFonts w:ascii="Times New Roman" w:hAnsi="Times New Roman" w:cs="Times New Roman"/>
                <w:bCs/>
                <w:sz w:val="20"/>
                <w:szCs w:val="20"/>
              </w:rPr>
              <w:t>U</w:t>
            </w:r>
            <w:r w:rsidR="00D26D09" w:rsidRPr="001F71EB">
              <w:rPr>
                <w:rFonts w:ascii="Times New Roman" w:hAnsi="Times New Roman" w:cs="Times New Roman"/>
                <w:bCs/>
                <w:sz w:val="20"/>
                <w:szCs w:val="20"/>
              </w:rPr>
              <w:t xml:space="preserve">niunea </w:t>
            </w:r>
            <w:r w:rsidR="00D93384" w:rsidRPr="001F71EB">
              <w:rPr>
                <w:rFonts w:ascii="Times New Roman" w:hAnsi="Times New Roman" w:cs="Times New Roman"/>
                <w:bCs/>
                <w:sz w:val="20"/>
                <w:szCs w:val="20"/>
              </w:rPr>
              <w:t>E</w:t>
            </w:r>
            <w:r w:rsidR="00D26D09" w:rsidRPr="001F71EB">
              <w:rPr>
                <w:rFonts w:ascii="Times New Roman" w:hAnsi="Times New Roman" w:cs="Times New Roman"/>
                <w:bCs/>
                <w:sz w:val="20"/>
                <w:szCs w:val="20"/>
              </w:rPr>
              <w:t>uropean</w:t>
            </w:r>
            <w:r w:rsidR="00D93384" w:rsidRPr="001F71EB">
              <w:rPr>
                <w:rFonts w:ascii="Times New Roman" w:hAnsi="Times New Roman" w:cs="Times New Roman"/>
                <w:bCs/>
                <w:sz w:val="20"/>
                <w:szCs w:val="20"/>
              </w:rPr>
              <w:t>ă</w:t>
            </w:r>
            <w:r w:rsidR="00D26D09" w:rsidRPr="001F71EB">
              <w:rPr>
                <w:rFonts w:ascii="Times New Roman" w:hAnsi="Times New Roman" w:cs="Times New Roman"/>
                <w:bCs/>
                <w:sz w:val="20"/>
                <w:szCs w:val="20"/>
              </w:rPr>
              <w:t xml:space="preserve">, acestea </w:t>
            </w:r>
            <w:r w:rsidR="00103D51" w:rsidRPr="001F71EB">
              <w:rPr>
                <w:rFonts w:ascii="Times New Roman" w:hAnsi="Times New Roman" w:cs="Times New Roman"/>
                <w:bCs/>
                <w:sz w:val="20"/>
                <w:szCs w:val="20"/>
              </w:rPr>
              <w:t>se califică ca  „</w:t>
            </w:r>
            <w:r w:rsidR="00103D51" w:rsidRPr="001F71EB">
              <w:rPr>
                <w:rFonts w:ascii="Times New Roman" w:hAnsi="Times New Roman" w:cs="Times New Roman"/>
                <w:bCs/>
                <w:i/>
                <w:iCs/>
                <w:sz w:val="20"/>
                <w:szCs w:val="20"/>
              </w:rPr>
              <w:t>prevederi UE neaplicabile”.</w:t>
            </w:r>
          </w:p>
        </w:tc>
      </w:tr>
      <w:tr w:rsidR="00D502F8" w:rsidRPr="005F27A5" w14:paraId="34175068" w14:textId="77777777" w:rsidTr="00F44A8F">
        <w:trPr>
          <w:trHeight w:val="91"/>
        </w:trPr>
        <w:tc>
          <w:tcPr>
            <w:tcW w:w="2787" w:type="dxa"/>
            <w:vMerge/>
          </w:tcPr>
          <w:p w14:paraId="2112BE01" w14:textId="77777777" w:rsidR="00D502F8" w:rsidRPr="005F27A5" w:rsidRDefault="00D502F8"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670FEAC7" w14:textId="77777777" w:rsidR="00D502F8" w:rsidRPr="005F27A5" w:rsidRDefault="00D502F8"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68AEB9E5" w14:textId="62BA5448" w:rsidR="00D502F8" w:rsidRPr="005F27A5" w:rsidRDefault="00D502F8" w:rsidP="00AB0B66">
            <w:pPr>
              <w:tabs>
                <w:tab w:val="left" w:pos="1076"/>
              </w:tabs>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sz w:val="20"/>
                <w:szCs w:val="20"/>
              </w:rPr>
              <w:t xml:space="preserve">Proiectul național nu a asigurat transpunerea unor nome UE, care se referă la atribuțiile Comisiei Europene, Agenției Europene pentru Produse Chimice, dispoziții finale și tranzitorii, modificări ale altor </w:t>
            </w:r>
            <w:r w:rsidRPr="005F27A5">
              <w:rPr>
                <w:rFonts w:ascii="Times New Roman" w:hAnsi="Times New Roman" w:cs="Times New Roman"/>
                <w:sz w:val="20"/>
                <w:szCs w:val="20"/>
              </w:rPr>
              <w:lastRenderedPageBreak/>
              <w:t>acte UE, tabel de corespondență și care, potrivit mecanismului de armonizare, nu necesită transpunere, după cum urmează: art. 5 (8); art. 10 (9); art. 29 (5); art. 34; art. 42; art. 50; art. 53 – 62 și Anexa VII.</w:t>
            </w:r>
          </w:p>
        </w:tc>
        <w:tc>
          <w:tcPr>
            <w:tcW w:w="4809" w:type="dxa"/>
          </w:tcPr>
          <w:p w14:paraId="121E6BB9" w14:textId="25B685D5" w:rsidR="00D502F8" w:rsidRPr="001F71EB" w:rsidRDefault="00BA1406" w:rsidP="00AB0B66">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lastRenderedPageBreak/>
              <w:t>Se ia act.</w:t>
            </w:r>
          </w:p>
        </w:tc>
      </w:tr>
      <w:tr w:rsidR="00D502F8" w:rsidRPr="005F27A5" w14:paraId="7B53EB72" w14:textId="77777777" w:rsidTr="00F44A8F">
        <w:trPr>
          <w:trHeight w:val="88"/>
        </w:trPr>
        <w:tc>
          <w:tcPr>
            <w:tcW w:w="2787" w:type="dxa"/>
            <w:vMerge/>
          </w:tcPr>
          <w:p w14:paraId="089137E1" w14:textId="77777777" w:rsidR="00D502F8" w:rsidRPr="005F27A5" w:rsidRDefault="00D502F8"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46197B32" w14:textId="77777777" w:rsidR="00D502F8" w:rsidRPr="005F27A5" w:rsidRDefault="00D502F8"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1B47AC05" w14:textId="279EF271" w:rsidR="00D502F8" w:rsidRPr="005F27A5" w:rsidRDefault="00D502F8" w:rsidP="00AB0B66">
            <w:pPr>
              <w:pStyle w:val="a4"/>
              <w:numPr>
                <w:ilvl w:val="0"/>
                <w:numId w:val="3"/>
              </w:numPr>
              <w:tabs>
                <w:tab w:val="left" w:pos="1076"/>
              </w:tabs>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 xml:space="preserve">Obiecții privind clauza de armonizare </w:t>
            </w:r>
          </w:p>
          <w:p w14:paraId="1D88EFD0" w14:textId="77777777" w:rsidR="00D502F8" w:rsidRPr="005F27A5" w:rsidRDefault="00D502F8" w:rsidP="00AB0B66">
            <w:pPr>
              <w:tabs>
                <w:tab w:val="left" w:pos="1076"/>
              </w:tabs>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 xml:space="preserve">Clauza de armonizare se va exclude din textul proiectului Regulamentului și se va include în textul proiectului HG, după clauza de adoptare, în următoarea redacție: </w:t>
            </w:r>
          </w:p>
          <w:p w14:paraId="5A97F971" w14:textId="594DECF9" w:rsidR="00D502F8" w:rsidRPr="005F27A5" w:rsidRDefault="00D502F8" w:rsidP="00AB0B66">
            <w:pPr>
              <w:tabs>
                <w:tab w:val="left" w:pos="1076"/>
              </w:tabs>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sz w:val="20"/>
                <w:szCs w:val="20"/>
              </w:rPr>
              <w:t>„Prezenta Hotărâre transpune parțial Regulamentul (CE) nr. 1272/2008 al Parlamentului European și al Consiliului din 16 decembrie 2008 privind clasificarea, etichetarea și ambalarea substanțelor și a amestecurilor, de modificare și de abrogare a Directivelor 67/548/CEE și 1999/45/CE, precum și de modificare a Regulamentului (CE) nr. 1907/2006, CELEX: 32008R1272, publicat în Jurnalul Oficial seria L 353 din 31 decembrie 2008, așa cum a fost modificat ultima dată prin Regulamentul (UE) 2024/2865 al Parlamentului European și al Consiliului din 23 octombrie 2024”</w:t>
            </w:r>
          </w:p>
        </w:tc>
        <w:tc>
          <w:tcPr>
            <w:tcW w:w="4809" w:type="dxa"/>
          </w:tcPr>
          <w:p w14:paraId="11BD137E" w14:textId="173B1105" w:rsidR="00E06442" w:rsidRPr="001F71EB" w:rsidRDefault="005C36D7" w:rsidP="00E06442">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t>Se acceptă parțial</w:t>
            </w:r>
            <w:r w:rsidR="00A51A84" w:rsidRPr="001F71EB">
              <w:rPr>
                <w:rFonts w:ascii="Times New Roman" w:hAnsi="Times New Roman" w:cs="Times New Roman"/>
                <w:b/>
                <w:sz w:val="20"/>
                <w:szCs w:val="20"/>
              </w:rPr>
              <w:t>.</w:t>
            </w:r>
          </w:p>
          <w:p w14:paraId="13493A72" w14:textId="5D7EE43F" w:rsidR="00E06442" w:rsidRPr="001F71EB" w:rsidRDefault="00C11E27" w:rsidP="008E1C5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t xml:space="preserve">În </w:t>
            </w:r>
            <w:r w:rsidR="00A24B2D" w:rsidRPr="001F71EB">
              <w:rPr>
                <w:rFonts w:ascii="Times New Roman" w:hAnsi="Times New Roman" w:cs="Times New Roman"/>
                <w:bCs/>
                <w:sz w:val="20"/>
                <w:szCs w:val="20"/>
              </w:rPr>
              <w:t>proiectul</w:t>
            </w:r>
            <w:r w:rsidR="00C133A8" w:rsidRPr="001F71EB">
              <w:rPr>
                <w:rFonts w:ascii="Times New Roman" w:hAnsi="Times New Roman" w:cs="Times New Roman"/>
                <w:bCs/>
                <w:sz w:val="20"/>
                <w:szCs w:val="20"/>
              </w:rPr>
              <w:t xml:space="preserve"> este indicat că acesta </w:t>
            </w:r>
            <w:r w:rsidR="008E1C56" w:rsidRPr="001F71EB">
              <w:rPr>
                <w:rFonts w:ascii="Times New Roman" w:hAnsi="Times New Roman" w:cs="Times New Roman"/>
                <w:bCs/>
                <w:sz w:val="20"/>
                <w:szCs w:val="20"/>
              </w:rPr>
              <w:t>tot</w:t>
            </w:r>
            <w:r w:rsidR="00D53B84" w:rsidRPr="001F71EB">
              <w:rPr>
                <w:rFonts w:ascii="Times New Roman" w:hAnsi="Times New Roman" w:cs="Times New Roman"/>
                <w:bCs/>
                <w:sz w:val="20"/>
                <w:szCs w:val="20"/>
              </w:rPr>
              <w:t xml:space="preserve">odată </w:t>
            </w:r>
            <w:r w:rsidR="00C133A8" w:rsidRPr="001F71EB">
              <w:rPr>
                <w:rFonts w:ascii="Times New Roman" w:hAnsi="Times New Roman" w:cs="Times New Roman"/>
                <w:bCs/>
                <w:sz w:val="20"/>
                <w:szCs w:val="20"/>
              </w:rPr>
              <w:t xml:space="preserve">transpune prevederile </w:t>
            </w:r>
            <w:r w:rsidR="008E1C56" w:rsidRPr="001F71EB">
              <w:rPr>
                <w:rFonts w:ascii="Times New Roman" w:hAnsi="Times New Roman" w:cs="Times New Roman"/>
                <w:bCs/>
                <w:sz w:val="20"/>
                <w:szCs w:val="20"/>
              </w:rPr>
              <w:t>REGULAMENTUL</w:t>
            </w:r>
            <w:r w:rsidR="000250FE" w:rsidRPr="001F71EB">
              <w:rPr>
                <w:rFonts w:ascii="Times New Roman" w:hAnsi="Times New Roman" w:cs="Times New Roman"/>
                <w:bCs/>
                <w:sz w:val="20"/>
                <w:szCs w:val="20"/>
              </w:rPr>
              <w:t>UI</w:t>
            </w:r>
            <w:r w:rsidR="008E1C56" w:rsidRPr="001F71EB">
              <w:rPr>
                <w:rFonts w:ascii="Times New Roman" w:hAnsi="Times New Roman" w:cs="Times New Roman"/>
                <w:bCs/>
                <w:sz w:val="20"/>
                <w:szCs w:val="20"/>
              </w:rPr>
              <w:t xml:space="preserve"> DELEGAT (UE) 2025/1222 AL COMISIEI din 2 aprilie 2025 de modificare a Regulamentului (CE) nr. 1272/2008 al Parlamentului European și al Consiliului în ceea ce privește clasificarea și etichetarea armonizată a anumitor substanțe (Text cu relevanță pentru SEE), Nr. CELEX: 32025R1222</w:t>
            </w:r>
            <w:r w:rsidR="00B43B90" w:rsidRPr="001F71EB">
              <w:rPr>
                <w:rFonts w:ascii="Times New Roman" w:hAnsi="Times New Roman" w:cs="Times New Roman"/>
                <w:bCs/>
                <w:sz w:val="20"/>
                <w:szCs w:val="20"/>
              </w:rPr>
              <w:t>.</w:t>
            </w:r>
          </w:p>
        </w:tc>
      </w:tr>
      <w:tr w:rsidR="00D502F8" w:rsidRPr="005F27A5" w14:paraId="4D491C9C" w14:textId="77777777" w:rsidTr="00F44A8F">
        <w:trPr>
          <w:trHeight w:val="88"/>
        </w:trPr>
        <w:tc>
          <w:tcPr>
            <w:tcW w:w="2787" w:type="dxa"/>
            <w:vMerge/>
          </w:tcPr>
          <w:p w14:paraId="5D7C71EB" w14:textId="77777777" w:rsidR="00D502F8" w:rsidRPr="005F27A5" w:rsidRDefault="00D502F8"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0A2B27CE" w14:textId="77777777" w:rsidR="00D502F8" w:rsidRPr="005F27A5" w:rsidRDefault="00D502F8"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0F54F7A9" w14:textId="49ADB9B5" w:rsidR="00D502F8" w:rsidRPr="005F27A5" w:rsidRDefault="00D502F8" w:rsidP="00AB0B66">
            <w:pPr>
              <w:pStyle w:val="a4"/>
              <w:numPr>
                <w:ilvl w:val="0"/>
                <w:numId w:val="3"/>
              </w:numPr>
              <w:tabs>
                <w:tab w:val="left" w:pos="1076"/>
              </w:tabs>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Obiecții privind Tabelul de concordanță</w:t>
            </w:r>
          </w:p>
          <w:p w14:paraId="34A2BEBD" w14:textId="4F9A964D" w:rsidR="00D502F8" w:rsidRPr="005F27A5" w:rsidRDefault="00D502F8" w:rsidP="00AB0B66">
            <w:pPr>
              <w:tabs>
                <w:tab w:val="left" w:pos="1076"/>
              </w:tabs>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sz w:val="20"/>
                <w:szCs w:val="20"/>
              </w:rPr>
              <w:t>Se va revedea compartimentul 1 al Tabelului de concordanță și se va include denumirea actului UE: Regulamentul (CE) nr. 1272/2008 al Parlamentului European și al Consiliului din 16 decembrie 2008 privind clasificarea, etichetarea și ambalarea substanțelor și a amestecurilor, de modificare și de abrogare a Directivelor 67/548/CEE și 1999/45/CE, precum și de modificare a Regulamentului (CE) nr. 1907/2006, CELEX: 32008R1272, publicat în Jurnalul Oficial seria L 353 din 31 decembrie 2008, așa cum a fost modificat ultima dată prin Regulamentul (UE) 2024/2865 al Parlamentului European și al Consiliului din 23 octombrie 2024.</w:t>
            </w:r>
          </w:p>
        </w:tc>
        <w:tc>
          <w:tcPr>
            <w:tcW w:w="4809" w:type="dxa"/>
          </w:tcPr>
          <w:p w14:paraId="7674B7ED" w14:textId="7D4C8C1B" w:rsidR="00D502F8" w:rsidRPr="001F71EB" w:rsidRDefault="00B94D97" w:rsidP="00E06442">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t>Se acceptă parțial</w:t>
            </w:r>
            <w:r w:rsidR="009268FB" w:rsidRPr="001F71EB">
              <w:rPr>
                <w:rFonts w:ascii="Times New Roman" w:hAnsi="Times New Roman" w:cs="Times New Roman"/>
                <w:b/>
                <w:sz w:val="20"/>
                <w:szCs w:val="20"/>
              </w:rPr>
              <w:t>.</w:t>
            </w:r>
          </w:p>
          <w:p w14:paraId="627C1546" w14:textId="7F987F42" w:rsidR="00730642" w:rsidRPr="001F71EB" w:rsidRDefault="00D53B84" w:rsidP="00E06442">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t>În proiect este indicat că acesta totodată transpune prevederile REGULAMENTUL</w:t>
            </w:r>
            <w:r w:rsidR="000250FE" w:rsidRPr="001F71EB">
              <w:rPr>
                <w:rFonts w:ascii="Times New Roman" w:hAnsi="Times New Roman" w:cs="Times New Roman"/>
                <w:bCs/>
                <w:sz w:val="20"/>
                <w:szCs w:val="20"/>
              </w:rPr>
              <w:t>UI</w:t>
            </w:r>
            <w:r w:rsidRPr="001F71EB">
              <w:rPr>
                <w:rFonts w:ascii="Times New Roman" w:hAnsi="Times New Roman" w:cs="Times New Roman"/>
                <w:bCs/>
                <w:sz w:val="20"/>
                <w:szCs w:val="20"/>
              </w:rPr>
              <w:t xml:space="preserve"> DELEGAT (UE) 2025/1222 AL COMISIEI din 2 aprilie 2025 de modificare a Regulamentului (CE) nr. 1272/2008 al Parlamentului European și al Consiliului în ceea ce privește clasificarea și etichetarea armonizată a anumitor substanțe (Text cu relevanță pentru SEE), Nr. CELEX: 32025R1222</w:t>
            </w:r>
            <w:r w:rsidR="00B43B90" w:rsidRPr="001F71EB">
              <w:rPr>
                <w:rFonts w:ascii="Times New Roman" w:hAnsi="Times New Roman" w:cs="Times New Roman"/>
                <w:bCs/>
                <w:sz w:val="20"/>
                <w:szCs w:val="20"/>
              </w:rPr>
              <w:t>.</w:t>
            </w:r>
          </w:p>
        </w:tc>
      </w:tr>
      <w:tr w:rsidR="00D502F8" w:rsidRPr="005F27A5" w14:paraId="6DDF3A81" w14:textId="77777777" w:rsidTr="00F44A8F">
        <w:trPr>
          <w:trHeight w:val="88"/>
        </w:trPr>
        <w:tc>
          <w:tcPr>
            <w:tcW w:w="2787" w:type="dxa"/>
            <w:vMerge/>
          </w:tcPr>
          <w:p w14:paraId="08DB6205" w14:textId="77777777" w:rsidR="00D502F8" w:rsidRPr="005F27A5" w:rsidRDefault="00D502F8"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634C0905" w14:textId="77777777" w:rsidR="00D502F8" w:rsidRPr="005F27A5" w:rsidRDefault="00D502F8"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7702EF49" w14:textId="4425FD24" w:rsidR="00D502F8" w:rsidRPr="005F27A5" w:rsidRDefault="00D502F8" w:rsidP="00AB0B66">
            <w:pPr>
              <w:tabs>
                <w:tab w:val="left" w:pos="1076"/>
              </w:tabs>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sz w:val="20"/>
                <w:szCs w:val="20"/>
              </w:rPr>
              <w:t>Se va include în Tabelul de concordanță și conținutul propriu-zis al anexelor din actul UE, nu doar mențiunea lor numerică și gradul de compatibilitate al acestora.</w:t>
            </w:r>
          </w:p>
        </w:tc>
        <w:tc>
          <w:tcPr>
            <w:tcW w:w="4809" w:type="dxa"/>
          </w:tcPr>
          <w:p w14:paraId="6A5F57C8" w14:textId="77777777" w:rsidR="004C2571" w:rsidRPr="001F71EB" w:rsidRDefault="00852D01" w:rsidP="00E06442">
            <w:pPr>
              <w:spacing w:beforeLines="20" w:before="48" w:afterLines="20" w:after="48"/>
              <w:ind w:left="57" w:right="57"/>
              <w:jc w:val="both"/>
              <w:rPr>
                <w:rFonts w:ascii="Times New Roman" w:hAnsi="Times New Roman" w:cs="Times New Roman"/>
                <w:b/>
                <w:sz w:val="20"/>
                <w:szCs w:val="20"/>
              </w:rPr>
            </w:pPr>
            <w:r w:rsidRPr="001F71EB">
              <w:rPr>
                <w:rFonts w:ascii="Times New Roman" w:hAnsi="Times New Roman" w:cs="Times New Roman"/>
                <w:b/>
                <w:sz w:val="20"/>
                <w:szCs w:val="20"/>
              </w:rPr>
              <w:t>Nu se acceptă.</w:t>
            </w:r>
          </w:p>
          <w:p w14:paraId="4892383C" w14:textId="77777777" w:rsidR="00530BE4" w:rsidRPr="001F71EB" w:rsidRDefault="004C2571" w:rsidP="00530BE4">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Cs/>
                <w:sz w:val="20"/>
                <w:szCs w:val="20"/>
              </w:rPr>
              <w:t>În prezent, nu sunt create și puse la dispoziția funcționarilor publici instrumente tehnice care să eficientizeze incorporarea integrală a conținutului Regulamentului/Directivei</w:t>
            </w:r>
            <w:r w:rsidR="009A0724" w:rsidRPr="001F71EB">
              <w:rPr>
                <w:rFonts w:ascii="Times New Roman" w:hAnsi="Times New Roman" w:cs="Times New Roman"/>
                <w:bCs/>
                <w:sz w:val="20"/>
                <w:szCs w:val="20"/>
              </w:rPr>
              <w:t xml:space="preserve"> UE</w:t>
            </w:r>
            <w:r w:rsidRPr="001F71EB">
              <w:rPr>
                <w:rFonts w:ascii="Times New Roman" w:hAnsi="Times New Roman" w:cs="Times New Roman"/>
                <w:bCs/>
                <w:sz w:val="20"/>
                <w:szCs w:val="20"/>
              </w:rPr>
              <w:t xml:space="preserve"> în tabelul de concordanță, în special în cazurile în care acestea conțin tabele tehnice ample și voluminoase</w:t>
            </w:r>
            <w:r w:rsidR="009A5882" w:rsidRPr="001F71EB">
              <w:rPr>
                <w:rFonts w:ascii="Times New Roman" w:hAnsi="Times New Roman" w:cs="Times New Roman"/>
                <w:bCs/>
                <w:sz w:val="20"/>
                <w:szCs w:val="20"/>
              </w:rPr>
              <w:t>, cum în cazul respectiv</w:t>
            </w:r>
            <w:r w:rsidRPr="001F71EB">
              <w:rPr>
                <w:rFonts w:ascii="Times New Roman" w:hAnsi="Times New Roman" w:cs="Times New Roman"/>
                <w:bCs/>
                <w:sz w:val="20"/>
                <w:szCs w:val="20"/>
              </w:rPr>
              <w:t>.</w:t>
            </w:r>
            <w:r w:rsidR="00530BE4" w:rsidRPr="001F71EB">
              <w:rPr>
                <w:rFonts w:ascii="Times New Roman" w:hAnsi="Times New Roman" w:cs="Times New Roman"/>
                <w:bCs/>
                <w:sz w:val="20"/>
                <w:szCs w:val="20"/>
              </w:rPr>
              <w:t xml:space="preserve"> Astfel, pentru claritate, anexele se vor atașa la setul de acte ca documente separate.</w:t>
            </w:r>
          </w:p>
          <w:p w14:paraId="46A2C7FE" w14:textId="2C84260C" w:rsidR="00D502F8" w:rsidRPr="001F71EB" w:rsidRDefault="00D502F8" w:rsidP="00E06442">
            <w:pPr>
              <w:spacing w:beforeLines="20" w:before="48" w:afterLines="20" w:after="48"/>
              <w:ind w:left="57" w:right="57"/>
              <w:jc w:val="both"/>
              <w:rPr>
                <w:rFonts w:ascii="Times New Roman" w:hAnsi="Times New Roman" w:cs="Times New Roman"/>
                <w:bCs/>
                <w:sz w:val="20"/>
                <w:szCs w:val="20"/>
              </w:rPr>
            </w:pPr>
          </w:p>
        </w:tc>
      </w:tr>
      <w:tr w:rsidR="00D502F8" w:rsidRPr="005F27A5" w14:paraId="5A12DE98" w14:textId="77777777" w:rsidTr="00D502F8">
        <w:trPr>
          <w:trHeight w:val="149"/>
        </w:trPr>
        <w:tc>
          <w:tcPr>
            <w:tcW w:w="2787" w:type="dxa"/>
            <w:vMerge/>
          </w:tcPr>
          <w:p w14:paraId="27D461E6" w14:textId="77777777" w:rsidR="00D502F8" w:rsidRPr="005F27A5" w:rsidRDefault="00D502F8"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19BC71EC" w14:textId="77777777" w:rsidR="00D502F8" w:rsidRPr="005F27A5" w:rsidRDefault="00D502F8"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6D6B3B81" w14:textId="2959C707" w:rsidR="00D502F8" w:rsidRPr="005F27A5" w:rsidRDefault="005E039D" w:rsidP="00AB0B66">
            <w:pPr>
              <w:tabs>
                <w:tab w:val="left" w:pos="1076"/>
              </w:tabs>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sz w:val="20"/>
                <w:szCs w:val="20"/>
              </w:rPr>
              <w:t>În contextul celor expuse mai sus, în compartimentul 8 al Tabelului, se vor diferenția calificativele de compatibilitate pentru prevederile UE netranspuse, neaplicabile la moment, dar aplicabile direct din data aderării la UE și prevederile UE neaplicabile, care per general nu se supun transpunerii.</w:t>
            </w:r>
          </w:p>
        </w:tc>
        <w:tc>
          <w:tcPr>
            <w:tcW w:w="4809" w:type="dxa"/>
          </w:tcPr>
          <w:p w14:paraId="45D6BCB9" w14:textId="4BCB5707" w:rsidR="002420F4" w:rsidRPr="001F71EB" w:rsidRDefault="002420F4"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
                <w:sz w:val="20"/>
                <w:szCs w:val="20"/>
              </w:rPr>
              <w:t>Se acceptă.</w:t>
            </w:r>
            <w:r w:rsidR="003F0B9B" w:rsidRPr="001F71EB">
              <w:rPr>
                <w:rFonts w:ascii="Times New Roman" w:hAnsi="Times New Roman" w:cs="Times New Roman"/>
                <w:bCs/>
                <w:sz w:val="20"/>
                <w:szCs w:val="20"/>
              </w:rPr>
              <w:t xml:space="preserve"> </w:t>
            </w:r>
            <w:r w:rsidR="001B7D85" w:rsidRPr="001F71EB">
              <w:rPr>
                <w:rFonts w:ascii="Times New Roman" w:hAnsi="Times New Roman" w:cs="Times New Roman"/>
                <w:bCs/>
                <w:sz w:val="20"/>
                <w:szCs w:val="20"/>
              </w:rPr>
              <w:t>Tabelul de concordanță a fost ajustat, utilizând calificativele</w:t>
            </w:r>
            <w:r w:rsidR="006C125E" w:rsidRPr="001F71EB">
              <w:rPr>
                <w:rFonts w:ascii="Times New Roman" w:hAnsi="Times New Roman" w:cs="Times New Roman"/>
                <w:bCs/>
                <w:sz w:val="20"/>
                <w:szCs w:val="20"/>
              </w:rPr>
              <w:t xml:space="preserve">, </w:t>
            </w:r>
            <w:r w:rsidR="001B7D85" w:rsidRPr="001F71EB">
              <w:rPr>
                <w:rFonts w:ascii="Times New Roman" w:hAnsi="Times New Roman" w:cs="Times New Roman"/>
                <w:bCs/>
                <w:sz w:val="20"/>
                <w:szCs w:val="20"/>
              </w:rPr>
              <w:t>conform Hotărârii Guvernului nr. 1171/2018.</w:t>
            </w:r>
          </w:p>
        </w:tc>
      </w:tr>
      <w:tr w:rsidR="00D502F8" w:rsidRPr="005F27A5" w14:paraId="747BCE4A" w14:textId="77777777" w:rsidTr="00D502F8">
        <w:trPr>
          <w:trHeight w:val="147"/>
        </w:trPr>
        <w:tc>
          <w:tcPr>
            <w:tcW w:w="2787" w:type="dxa"/>
            <w:vMerge/>
          </w:tcPr>
          <w:p w14:paraId="76E754C5" w14:textId="77777777" w:rsidR="00D502F8" w:rsidRPr="005F27A5" w:rsidRDefault="00D502F8"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p>
        </w:tc>
        <w:tc>
          <w:tcPr>
            <w:tcW w:w="737" w:type="dxa"/>
            <w:vMerge/>
          </w:tcPr>
          <w:p w14:paraId="23AC0619" w14:textId="77777777" w:rsidR="00D502F8" w:rsidRPr="005F27A5" w:rsidRDefault="00D502F8"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5FC98446" w14:textId="50E46A37" w:rsidR="005E039D" w:rsidRPr="005F27A5" w:rsidRDefault="005E039D" w:rsidP="00AB0B66">
            <w:pPr>
              <w:pStyle w:val="a4"/>
              <w:numPr>
                <w:ilvl w:val="0"/>
                <w:numId w:val="3"/>
              </w:numPr>
              <w:tabs>
                <w:tab w:val="left" w:pos="1076"/>
              </w:tabs>
              <w:spacing w:beforeLines="20" w:before="48" w:afterLines="20" w:after="48"/>
              <w:ind w:left="57" w:right="57"/>
              <w:jc w:val="both"/>
              <w:rPr>
                <w:rFonts w:ascii="Times New Roman" w:hAnsi="Times New Roman" w:cs="Times New Roman"/>
                <w:sz w:val="20"/>
                <w:szCs w:val="20"/>
              </w:rPr>
            </w:pPr>
            <w:r w:rsidRPr="005F27A5">
              <w:rPr>
                <w:rFonts w:ascii="Times New Roman" w:hAnsi="Times New Roman" w:cs="Times New Roman"/>
                <w:sz w:val="20"/>
                <w:szCs w:val="20"/>
              </w:rPr>
              <w:t>Obiecții privind Nota de fundamentare</w:t>
            </w:r>
          </w:p>
          <w:p w14:paraId="1972C2BA" w14:textId="23C53686" w:rsidR="00D502F8" w:rsidRPr="005F27A5" w:rsidRDefault="005E039D" w:rsidP="00AB0B66">
            <w:pPr>
              <w:tabs>
                <w:tab w:val="left" w:pos="1076"/>
              </w:tabs>
              <w:spacing w:beforeLines="20" w:before="48" w:afterLines="20" w:after="48"/>
              <w:ind w:left="57" w:right="57"/>
              <w:jc w:val="both"/>
              <w:rPr>
                <w:rFonts w:ascii="Times New Roman" w:hAnsi="Times New Roman" w:cs="Times New Roman"/>
                <w:color w:val="000000"/>
                <w:sz w:val="20"/>
                <w:szCs w:val="20"/>
              </w:rPr>
            </w:pPr>
            <w:r w:rsidRPr="005F27A5">
              <w:rPr>
                <w:rFonts w:ascii="Times New Roman" w:hAnsi="Times New Roman" w:cs="Times New Roman"/>
                <w:sz w:val="20"/>
                <w:szCs w:val="20"/>
              </w:rPr>
              <w:t>Compartimentul 5 al Notei de fundamentare se completa cu mențiunea privind obligația de transpunere a Regulamentului UE, în speță, Anexa XI la Capitolul 16 „Mediul înconjurător”, Secțiunea „Substanțe chimice” din Acordul de Asociere RM-UE.</w:t>
            </w:r>
          </w:p>
        </w:tc>
        <w:tc>
          <w:tcPr>
            <w:tcW w:w="4809" w:type="dxa"/>
          </w:tcPr>
          <w:p w14:paraId="62A524A6" w14:textId="67AF9E78" w:rsidR="00D502F8" w:rsidRPr="001F71EB" w:rsidRDefault="00152894" w:rsidP="00AB0B66">
            <w:pPr>
              <w:spacing w:beforeLines="20" w:before="48" w:afterLines="20" w:after="48"/>
              <w:ind w:left="57" w:right="57"/>
              <w:jc w:val="both"/>
              <w:rPr>
                <w:rFonts w:ascii="Times New Roman" w:hAnsi="Times New Roman" w:cs="Times New Roman"/>
                <w:bCs/>
                <w:sz w:val="20"/>
                <w:szCs w:val="20"/>
              </w:rPr>
            </w:pPr>
            <w:r w:rsidRPr="001F71EB">
              <w:rPr>
                <w:rFonts w:ascii="Times New Roman" w:hAnsi="Times New Roman" w:cs="Times New Roman"/>
                <w:b/>
                <w:sz w:val="20"/>
                <w:szCs w:val="20"/>
              </w:rPr>
              <w:t>Se acceptă.</w:t>
            </w:r>
            <w:r w:rsidRPr="001F71EB">
              <w:rPr>
                <w:rFonts w:ascii="Times New Roman" w:hAnsi="Times New Roman" w:cs="Times New Roman"/>
                <w:bCs/>
                <w:sz w:val="20"/>
                <w:szCs w:val="20"/>
              </w:rPr>
              <w:t xml:space="preserve"> Nota de fundamentare a fost ajustată.</w:t>
            </w:r>
          </w:p>
        </w:tc>
      </w:tr>
      <w:tr w:rsidR="00B63D5F" w:rsidRPr="005F27A5" w14:paraId="221048DE" w14:textId="77777777" w:rsidTr="0027421C">
        <w:tc>
          <w:tcPr>
            <w:tcW w:w="2787" w:type="dxa"/>
          </w:tcPr>
          <w:p w14:paraId="1B7EEA0A" w14:textId="77777777" w:rsidR="00B63D5F" w:rsidRPr="005F27A5" w:rsidRDefault="00B63D5F"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b/>
                <w:bCs/>
                <w:color w:val="0D0D0D" w:themeColor="text1" w:themeTint="F2"/>
                <w:sz w:val="20"/>
                <w:szCs w:val="20"/>
              </w:rPr>
              <w:t>Ministerul Justiției</w:t>
            </w:r>
          </w:p>
          <w:p w14:paraId="78CB51BE" w14:textId="4C002FFA" w:rsidR="00B63D5F" w:rsidRPr="005F27A5" w:rsidRDefault="00B63D5F"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color w:val="0D0D0D" w:themeColor="text1" w:themeTint="F2"/>
                <w:sz w:val="20"/>
                <w:szCs w:val="20"/>
              </w:rPr>
              <w:t>Aviz nr. XXX din YYY.2026</w:t>
            </w:r>
          </w:p>
        </w:tc>
        <w:tc>
          <w:tcPr>
            <w:tcW w:w="737" w:type="dxa"/>
          </w:tcPr>
          <w:p w14:paraId="2B0BE1E2" w14:textId="777777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01E55852" w14:textId="777777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p>
        </w:tc>
        <w:tc>
          <w:tcPr>
            <w:tcW w:w="4809" w:type="dxa"/>
          </w:tcPr>
          <w:p w14:paraId="567A04A0" w14:textId="77777777" w:rsidR="00B63D5F" w:rsidRPr="005F27A5" w:rsidRDefault="00B63D5F" w:rsidP="00AB0B66">
            <w:pPr>
              <w:spacing w:beforeLines="20" w:before="48" w:afterLines="20" w:after="48"/>
              <w:ind w:left="57" w:right="57"/>
              <w:jc w:val="both"/>
              <w:rPr>
                <w:rFonts w:ascii="Times New Roman" w:hAnsi="Times New Roman" w:cs="Times New Roman"/>
                <w:bCs/>
                <w:sz w:val="20"/>
                <w:szCs w:val="20"/>
              </w:rPr>
            </w:pPr>
          </w:p>
        </w:tc>
      </w:tr>
      <w:tr w:rsidR="00B63D5F" w:rsidRPr="005F27A5" w14:paraId="706C27F6" w14:textId="77777777" w:rsidTr="0027421C">
        <w:tc>
          <w:tcPr>
            <w:tcW w:w="2787" w:type="dxa"/>
          </w:tcPr>
          <w:p w14:paraId="554BE055" w14:textId="77777777" w:rsidR="00B63D5F" w:rsidRPr="005F27A5" w:rsidRDefault="00B63D5F"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b/>
                <w:bCs/>
                <w:color w:val="0D0D0D" w:themeColor="text1" w:themeTint="F2"/>
                <w:sz w:val="20"/>
                <w:szCs w:val="20"/>
              </w:rPr>
              <w:t>Centrul Național Anticorupție</w:t>
            </w:r>
          </w:p>
          <w:p w14:paraId="4A44EC26" w14:textId="56920022" w:rsidR="00B63D5F" w:rsidRPr="005F27A5" w:rsidRDefault="00B63D5F" w:rsidP="00AB0B66">
            <w:pPr>
              <w:spacing w:beforeLines="20" w:before="48" w:afterLines="20" w:after="48"/>
              <w:ind w:left="57" w:right="57"/>
              <w:contextualSpacing/>
              <w:jc w:val="center"/>
              <w:rPr>
                <w:rFonts w:ascii="Times New Roman" w:hAnsi="Times New Roman" w:cs="Times New Roman"/>
                <w:b/>
                <w:bCs/>
                <w:color w:val="0D0D0D" w:themeColor="text1" w:themeTint="F2"/>
                <w:sz w:val="20"/>
                <w:szCs w:val="20"/>
              </w:rPr>
            </w:pPr>
            <w:r w:rsidRPr="005F27A5">
              <w:rPr>
                <w:rFonts w:ascii="Times New Roman" w:hAnsi="Times New Roman" w:cs="Times New Roman"/>
                <w:color w:val="0D0D0D" w:themeColor="text1" w:themeTint="F2"/>
                <w:sz w:val="20"/>
                <w:szCs w:val="20"/>
              </w:rPr>
              <w:t>Aviz nr. XXX din YYY.2026</w:t>
            </w:r>
          </w:p>
        </w:tc>
        <w:tc>
          <w:tcPr>
            <w:tcW w:w="737" w:type="dxa"/>
          </w:tcPr>
          <w:p w14:paraId="51244CD0" w14:textId="777777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p>
        </w:tc>
        <w:tc>
          <w:tcPr>
            <w:tcW w:w="5723" w:type="dxa"/>
          </w:tcPr>
          <w:p w14:paraId="78A3ADB0" w14:textId="77777777" w:rsidR="00B63D5F" w:rsidRPr="005F27A5" w:rsidRDefault="00B63D5F" w:rsidP="00AB0B66">
            <w:pPr>
              <w:spacing w:beforeLines="20" w:before="48" w:afterLines="20" w:after="48"/>
              <w:ind w:left="57" w:right="57"/>
              <w:jc w:val="both"/>
              <w:rPr>
                <w:rFonts w:ascii="Times New Roman" w:hAnsi="Times New Roman" w:cs="Times New Roman"/>
                <w:color w:val="000000"/>
                <w:sz w:val="20"/>
                <w:szCs w:val="20"/>
              </w:rPr>
            </w:pPr>
          </w:p>
        </w:tc>
        <w:tc>
          <w:tcPr>
            <w:tcW w:w="4809" w:type="dxa"/>
          </w:tcPr>
          <w:p w14:paraId="3A4B28E2" w14:textId="77777777" w:rsidR="00B63D5F" w:rsidRPr="005F27A5" w:rsidRDefault="00B63D5F" w:rsidP="00AB0B66">
            <w:pPr>
              <w:spacing w:beforeLines="20" w:before="48" w:afterLines="20" w:after="48"/>
              <w:ind w:left="57" w:right="57"/>
              <w:jc w:val="both"/>
              <w:rPr>
                <w:rFonts w:ascii="Times New Roman" w:hAnsi="Times New Roman" w:cs="Times New Roman"/>
                <w:bCs/>
                <w:sz w:val="20"/>
                <w:szCs w:val="20"/>
              </w:rPr>
            </w:pPr>
          </w:p>
        </w:tc>
      </w:tr>
    </w:tbl>
    <w:p w14:paraId="6F734003" w14:textId="77777777" w:rsidR="00775391" w:rsidRDefault="00775391" w:rsidP="009B5694">
      <w:pPr>
        <w:spacing w:line="240" w:lineRule="auto"/>
        <w:ind w:right="57"/>
        <w:rPr>
          <w:rFonts w:ascii="Times New Roman" w:hAnsi="Times New Roman" w:cs="Times New Roman"/>
          <w:b/>
          <w:bCs/>
          <w:sz w:val="28"/>
          <w:szCs w:val="28"/>
          <w:lang w:val="ro-MD"/>
        </w:rPr>
      </w:pPr>
    </w:p>
    <w:p w14:paraId="6A731061" w14:textId="77777777" w:rsidR="009B5694" w:rsidRDefault="009B5694" w:rsidP="009B5694">
      <w:pPr>
        <w:spacing w:line="240" w:lineRule="auto"/>
        <w:ind w:right="57"/>
        <w:rPr>
          <w:rFonts w:ascii="Times New Roman" w:hAnsi="Times New Roman" w:cs="Times New Roman"/>
          <w:b/>
          <w:bCs/>
          <w:sz w:val="28"/>
          <w:szCs w:val="28"/>
          <w:lang w:val="ro-MD"/>
        </w:rPr>
      </w:pPr>
    </w:p>
    <w:p w14:paraId="000F6793" w14:textId="77777777" w:rsidR="009B5694" w:rsidRDefault="009B5694" w:rsidP="009B5694">
      <w:pPr>
        <w:spacing w:line="240" w:lineRule="auto"/>
        <w:ind w:right="57"/>
        <w:rPr>
          <w:rFonts w:ascii="Times New Roman" w:hAnsi="Times New Roman" w:cs="Times New Roman"/>
          <w:b/>
          <w:bCs/>
          <w:sz w:val="28"/>
          <w:szCs w:val="28"/>
          <w:lang w:val="ro-MD"/>
        </w:rPr>
      </w:pPr>
    </w:p>
    <w:p w14:paraId="5DA8B9FA" w14:textId="77777777" w:rsidR="009B5694" w:rsidRDefault="009B5694" w:rsidP="009B5694">
      <w:pPr>
        <w:spacing w:line="240" w:lineRule="auto"/>
        <w:ind w:right="57"/>
        <w:rPr>
          <w:rFonts w:ascii="Times New Roman" w:hAnsi="Times New Roman" w:cs="Times New Roman"/>
          <w:b/>
          <w:bCs/>
          <w:sz w:val="28"/>
          <w:szCs w:val="28"/>
          <w:lang w:val="ro-MD"/>
        </w:rPr>
      </w:pPr>
    </w:p>
    <w:p w14:paraId="791783E3" w14:textId="77777777" w:rsidR="009B5694" w:rsidRPr="005F27A5" w:rsidRDefault="009B5694" w:rsidP="009B5694">
      <w:pPr>
        <w:spacing w:line="240" w:lineRule="auto"/>
        <w:ind w:right="57"/>
        <w:rPr>
          <w:rFonts w:ascii="Times New Roman" w:hAnsi="Times New Roman" w:cs="Times New Roman"/>
          <w:b/>
          <w:bCs/>
          <w:sz w:val="28"/>
          <w:szCs w:val="28"/>
          <w:lang w:val="ro-MD"/>
        </w:rPr>
      </w:pPr>
    </w:p>
    <w:p w14:paraId="0677079D" w14:textId="77777777" w:rsidR="00775391" w:rsidRPr="005F27A5" w:rsidRDefault="00775391" w:rsidP="00AB0B66">
      <w:pPr>
        <w:spacing w:after="200" w:line="240" w:lineRule="auto"/>
        <w:ind w:left="57" w:right="57"/>
        <w:contextualSpacing/>
        <w:rPr>
          <w:rFonts w:ascii="Times New Roman" w:eastAsia="Times New Roman" w:hAnsi="Times New Roman" w:cs="Times New Roman"/>
          <w:color w:val="000000"/>
          <w:sz w:val="16"/>
          <w:szCs w:val="16"/>
          <w:lang w:val="it-IT"/>
        </w:rPr>
      </w:pPr>
      <w:bookmarkStart w:id="0" w:name="_Hlk211955161"/>
      <w:bookmarkStart w:id="1" w:name="_Hlk211955162"/>
      <w:r w:rsidRPr="005F27A5">
        <w:rPr>
          <w:rFonts w:ascii="Times New Roman" w:eastAsia="Times New Roman" w:hAnsi="Times New Roman" w:cs="Times New Roman"/>
          <w:color w:val="000000"/>
          <w:sz w:val="16"/>
          <w:szCs w:val="16"/>
          <w:lang w:val="it-IT"/>
        </w:rPr>
        <w:t>Ex.: Anastasia MIHOV;</w:t>
      </w:r>
    </w:p>
    <w:p w14:paraId="45C73632" w14:textId="7F659F60" w:rsidR="00775391" w:rsidRPr="005F27A5" w:rsidRDefault="00775391" w:rsidP="00AB0B66">
      <w:pPr>
        <w:spacing w:after="200" w:line="240" w:lineRule="auto"/>
        <w:ind w:left="57" w:right="57"/>
        <w:contextualSpacing/>
        <w:rPr>
          <w:rFonts w:ascii="Times New Roman" w:eastAsia="Times New Roman" w:hAnsi="Times New Roman" w:cs="Times New Roman"/>
          <w:color w:val="000000"/>
          <w:sz w:val="16"/>
          <w:szCs w:val="16"/>
          <w:lang w:val="it-IT"/>
        </w:rPr>
      </w:pPr>
      <w:r w:rsidRPr="005F27A5">
        <w:rPr>
          <w:rFonts w:ascii="Times New Roman" w:eastAsia="Times New Roman" w:hAnsi="Times New Roman" w:cs="Times New Roman"/>
          <w:color w:val="000000"/>
          <w:sz w:val="16"/>
          <w:szCs w:val="16"/>
          <w:lang w:val="it-IT"/>
        </w:rPr>
        <w:t xml:space="preserve">Tel.: </w:t>
      </w:r>
      <w:r w:rsidRPr="005F27A5">
        <w:rPr>
          <w:rFonts w:ascii="Times New Roman" w:eastAsia="Times New Roman" w:hAnsi="Times New Roman" w:cs="Times New Roman"/>
          <w:i/>
          <w:iCs/>
          <w:color w:val="000000"/>
          <w:sz w:val="16"/>
          <w:szCs w:val="16"/>
          <w:lang w:val="it-IT"/>
        </w:rPr>
        <w:t>+373 (22) 204 575</w:t>
      </w:r>
      <w:r w:rsidRPr="005F27A5">
        <w:rPr>
          <w:rFonts w:ascii="Times New Roman" w:eastAsia="Times New Roman" w:hAnsi="Times New Roman" w:cs="Times New Roman"/>
          <w:color w:val="000000"/>
          <w:sz w:val="16"/>
          <w:szCs w:val="16"/>
          <w:lang w:val="it-IT"/>
        </w:rPr>
        <w:t xml:space="preserve">/ E-mail: </w:t>
      </w:r>
      <w:hyperlink r:id="rId10" w:history="1">
        <w:r w:rsidRPr="005F27A5">
          <w:rPr>
            <w:rFonts w:ascii="Times New Roman" w:eastAsia="Times New Roman" w:hAnsi="Times New Roman" w:cs="Times New Roman"/>
            <w:color w:val="0000FF"/>
            <w:sz w:val="16"/>
            <w:szCs w:val="16"/>
            <w:u w:val="single"/>
            <w:lang w:val="it-IT"/>
          </w:rPr>
          <w:t>anastasia.mihov@mediu.gov.md</w:t>
        </w:r>
      </w:hyperlink>
      <w:bookmarkEnd w:id="0"/>
      <w:bookmarkEnd w:id="1"/>
    </w:p>
    <w:sectPr w:rsidR="00775391" w:rsidRPr="005F27A5" w:rsidSect="00A4265A">
      <w:headerReference w:type="default" r:id="rId11"/>
      <w:headerReference w:type="first" r:id="rId12"/>
      <w:pgSz w:w="16838" w:h="11906" w:orient="landscape"/>
      <w:pgMar w:top="1134" w:right="1134" w:bottom="851"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679F7" w14:textId="77777777" w:rsidR="00771B1F" w:rsidRPr="00DD5AA5" w:rsidRDefault="00771B1F" w:rsidP="001A6F39">
      <w:pPr>
        <w:spacing w:after="0" w:line="240" w:lineRule="auto"/>
      </w:pPr>
      <w:r w:rsidRPr="00DD5AA5">
        <w:separator/>
      </w:r>
    </w:p>
  </w:endnote>
  <w:endnote w:type="continuationSeparator" w:id="0">
    <w:p w14:paraId="6E4DBC73" w14:textId="77777777" w:rsidR="00771B1F" w:rsidRPr="00DD5AA5" w:rsidRDefault="00771B1F" w:rsidP="001A6F39">
      <w:pPr>
        <w:spacing w:after="0" w:line="240" w:lineRule="auto"/>
      </w:pPr>
      <w:r w:rsidRPr="00DD5A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5822C" w14:textId="77777777" w:rsidR="00771B1F" w:rsidRPr="00DD5AA5" w:rsidRDefault="00771B1F" w:rsidP="001A6F39">
      <w:pPr>
        <w:spacing w:after="0" w:line="240" w:lineRule="auto"/>
      </w:pPr>
      <w:r w:rsidRPr="00DD5AA5">
        <w:separator/>
      </w:r>
    </w:p>
  </w:footnote>
  <w:footnote w:type="continuationSeparator" w:id="0">
    <w:p w14:paraId="215E0562" w14:textId="77777777" w:rsidR="00771B1F" w:rsidRPr="00DD5AA5" w:rsidRDefault="00771B1F" w:rsidP="001A6F39">
      <w:pPr>
        <w:spacing w:after="0" w:line="240" w:lineRule="auto"/>
      </w:pPr>
      <w:r w:rsidRPr="00DD5A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429315"/>
      <w:docPartObj>
        <w:docPartGallery w:val="Page Numbers (Top of Page)"/>
        <w:docPartUnique/>
      </w:docPartObj>
    </w:sdtPr>
    <w:sdtEndPr>
      <w:rPr>
        <w:sz w:val="18"/>
        <w:szCs w:val="18"/>
      </w:rPr>
    </w:sdtEndPr>
    <w:sdtContent>
      <w:p w14:paraId="1EE2E7A3" w14:textId="11B6413E" w:rsidR="00A4265A" w:rsidRPr="00DD5AA5" w:rsidRDefault="00A4265A">
        <w:pPr>
          <w:pStyle w:val="af"/>
          <w:jc w:val="center"/>
          <w:rPr>
            <w:sz w:val="18"/>
            <w:szCs w:val="18"/>
          </w:rPr>
        </w:pPr>
        <w:r w:rsidRPr="00DD5AA5">
          <w:rPr>
            <w:rFonts w:ascii="Times New Roman" w:hAnsi="Times New Roman" w:cs="Times New Roman"/>
            <w:sz w:val="18"/>
            <w:szCs w:val="18"/>
          </w:rPr>
          <w:fldChar w:fldCharType="begin"/>
        </w:r>
        <w:r w:rsidRPr="00DD5AA5">
          <w:rPr>
            <w:rFonts w:ascii="Times New Roman" w:hAnsi="Times New Roman" w:cs="Times New Roman"/>
            <w:sz w:val="18"/>
            <w:szCs w:val="18"/>
          </w:rPr>
          <w:instrText>PAGE   \* MERGEFORMAT</w:instrText>
        </w:r>
        <w:r w:rsidRPr="00DD5AA5">
          <w:rPr>
            <w:rFonts w:ascii="Times New Roman" w:hAnsi="Times New Roman" w:cs="Times New Roman"/>
            <w:sz w:val="18"/>
            <w:szCs w:val="18"/>
          </w:rPr>
          <w:fldChar w:fldCharType="separate"/>
        </w:r>
        <w:r w:rsidRPr="00DD5AA5">
          <w:rPr>
            <w:rFonts w:ascii="Times New Roman" w:hAnsi="Times New Roman" w:cs="Times New Roman"/>
            <w:sz w:val="18"/>
            <w:szCs w:val="18"/>
          </w:rPr>
          <w:t>2</w:t>
        </w:r>
        <w:r w:rsidRPr="00DD5AA5">
          <w:rPr>
            <w:rFonts w:ascii="Times New Roman" w:hAnsi="Times New Roman" w:cs="Times New Roman"/>
            <w:sz w:val="18"/>
            <w:szCs w:val="18"/>
          </w:rPr>
          <w:fldChar w:fldCharType="end"/>
        </w:r>
      </w:p>
    </w:sdtContent>
  </w:sdt>
  <w:p w14:paraId="0228BB86" w14:textId="77777777" w:rsidR="00A4265A" w:rsidRPr="00DD5AA5" w:rsidRDefault="00A4265A">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D264A" w14:textId="56732901" w:rsidR="00A4265A" w:rsidRPr="00DD5AA5" w:rsidRDefault="00A4265A">
    <w:pPr>
      <w:pStyle w:val="af"/>
      <w:jc w:val="center"/>
    </w:pPr>
  </w:p>
  <w:p w14:paraId="0A075A93" w14:textId="77777777" w:rsidR="00A4265A" w:rsidRPr="00DD5AA5" w:rsidRDefault="00A4265A">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5654"/>
    <w:multiLevelType w:val="hybridMultilevel"/>
    <w:tmpl w:val="7E38895E"/>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277735F4"/>
    <w:multiLevelType w:val="hybridMultilevel"/>
    <w:tmpl w:val="BB2AE5B4"/>
    <w:lvl w:ilvl="0" w:tplc="8772B43A">
      <w:numFmt w:val="bullet"/>
      <w:lvlText w:val="-"/>
      <w:lvlJc w:val="left"/>
      <w:pPr>
        <w:ind w:left="417" w:hanging="360"/>
      </w:pPr>
      <w:rPr>
        <w:rFonts w:ascii="Times New Roman" w:eastAsiaTheme="minorHAnsi" w:hAnsi="Times New Roman" w:cs="Times New Roman" w:hint="default"/>
      </w:rPr>
    </w:lvl>
    <w:lvl w:ilvl="1" w:tplc="04180003" w:tentative="1">
      <w:start w:val="1"/>
      <w:numFmt w:val="bullet"/>
      <w:lvlText w:val="o"/>
      <w:lvlJc w:val="left"/>
      <w:pPr>
        <w:ind w:left="1137" w:hanging="360"/>
      </w:pPr>
      <w:rPr>
        <w:rFonts w:ascii="Courier New" w:hAnsi="Courier New" w:cs="Courier New" w:hint="default"/>
      </w:rPr>
    </w:lvl>
    <w:lvl w:ilvl="2" w:tplc="04180005" w:tentative="1">
      <w:start w:val="1"/>
      <w:numFmt w:val="bullet"/>
      <w:lvlText w:val=""/>
      <w:lvlJc w:val="left"/>
      <w:pPr>
        <w:ind w:left="1857" w:hanging="360"/>
      </w:pPr>
      <w:rPr>
        <w:rFonts w:ascii="Wingdings" w:hAnsi="Wingdings" w:hint="default"/>
      </w:rPr>
    </w:lvl>
    <w:lvl w:ilvl="3" w:tplc="04180001" w:tentative="1">
      <w:start w:val="1"/>
      <w:numFmt w:val="bullet"/>
      <w:lvlText w:val=""/>
      <w:lvlJc w:val="left"/>
      <w:pPr>
        <w:ind w:left="2577" w:hanging="360"/>
      </w:pPr>
      <w:rPr>
        <w:rFonts w:ascii="Symbol" w:hAnsi="Symbol" w:hint="default"/>
      </w:rPr>
    </w:lvl>
    <w:lvl w:ilvl="4" w:tplc="04180003" w:tentative="1">
      <w:start w:val="1"/>
      <w:numFmt w:val="bullet"/>
      <w:lvlText w:val="o"/>
      <w:lvlJc w:val="left"/>
      <w:pPr>
        <w:ind w:left="3297" w:hanging="360"/>
      </w:pPr>
      <w:rPr>
        <w:rFonts w:ascii="Courier New" w:hAnsi="Courier New" w:cs="Courier New" w:hint="default"/>
      </w:rPr>
    </w:lvl>
    <w:lvl w:ilvl="5" w:tplc="04180005" w:tentative="1">
      <w:start w:val="1"/>
      <w:numFmt w:val="bullet"/>
      <w:lvlText w:val=""/>
      <w:lvlJc w:val="left"/>
      <w:pPr>
        <w:ind w:left="4017" w:hanging="360"/>
      </w:pPr>
      <w:rPr>
        <w:rFonts w:ascii="Wingdings" w:hAnsi="Wingdings" w:hint="default"/>
      </w:rPr>
    </w:lvl>
    <w:lvl w:ilvl="6" w:tplc="04180001" w:tentative="1">
      <w:start w:val="1"/>
      <w:numFmt w:val="bullet"/>
      <w:lvlText w:val=""/>
      <w:lvlJc w:val="left"/>
      <w:pPr>
        <w:ind w:left="4737" w:hanging="360"/>
      </w:pPr>
      <w:rPr>
        <w:rFonts w:ascii="Symbol" w:hAnsi="Symbol" w:hint="default"/>
      </w:rPr>
    </w:lvl>
    <w:lvl w:ilvl="7" w:tplc="04180003" w:tentative="1">
      <w:start w:val="1"/>
      <w:numFmt w:val="bullet"/>
      <w:lvlText w:val="o"/>
      <w:lvlJc w:val="left"/>
      <w:pPr>
        <w:ind w:left="5457" w:hanging="360"/>
      </w:pPr>
      <w:rPr>
        <w:rFonts w:ascii="Courier New" w:hAnsi="Courier New" w:cs="Courier New" w:hint="default"/>
      </w:rPr>
    </w:lvl>
    <w:lvl w:ilvl="8" w:tplc="04180005" w:tentative="1">
      <w:start w:val="1"/>
      <w:numFmt w:val="bullet"/>
      <w:lvlText w:val=""/>
      <w:lvlJc w:val="left"/>
      <w:pPr>
        <w:ind w:left="6177" w:hanging="360"/>
      </w:pPr>
      <w:rPr>
        <w:rFonts w:ascii="Wingdings" w:hAnsi="Wingdings" w:hint="default"/>
      </w:rPr>
    </w:lvl>
  </w:abstractNum>
  <w:abstractNum w:abstractNumId="2" w15:restartNumberingAfterBreak="0">
    <w:nsid w:val="3E271A58"/>
    <w:multiLevelType w:val="hybridMultilevel"/>
    <w:tmpl w:val="52505062"/>
    <w:lvl w:ilvl="0" w:tplc="1C6E1C8C">
      <w:start w:val="1"/>
      <w:numFmt w:val="decimal"/>
      <w:lvlText w:val="%1."/>
      <w:lvlJc w:val="left"/>
      <w:pPr>
        <w:ind w:left="0" w:hanging="732"/>
      </w:pPr>
      <w:rPr>
        <w:rFonts w:ascii="Times New Roman" w:eastAsia="Times New Roman" w:hAnsi="Times New Roman" w:cs="Times New Roman" w:hint="default"/>
        <w:b/>
        <w:bCs/>
        <w:i w:val="0"/>
        <w:iCs w:val="0"/>
        <w:spacing w:val="0"/>
        <w:w w:val="100"/>
        <w:sz w:val="24"/>
        <w:szCs w:val="24"/>
        <w:lang w:val="ro-RO" w:eastAsia="en-US" w:bidi="ar-SA"/>
      </w:rPr>
    </w:lvl>
    <w:lvl w:ilvl="1" w:tplc="295C18D2">
      <w:numFmt w:val="bullet"/>
      <w:lvlText w:val="•"/>
      <w:lvlJc w:val="left"/>
      <w:pPr>
        <w:ind w:left="972" w:hanging="732"/>
      </w:pPr>
      <w:rPr>
        <w:rFonts w:hint="default"/>
        <w:lang w:val="ro-RO" w:eastAsia="en-US" w:bidi="ar-SA"/>
      </w:rPr>
    </w:lvl>
    <w:lvl w:ilvl="2" w:tplc="71F2E066">
      <w:numFmt w:val="bullet"/>
      <w:lvlText w:val="•"/>
      <w:lvlJc w:val="left"/>
      <w:pPr>
        <w:ind w:left="1944" w:hanging="732"/>
      </w:pPr>
      <w:rPr>
        <w:rFonts w:hint="default"/>
        <w:lang w:val="ro-RO" w:eastAsia="en-US" w:bidi="ar-SA"/>
      </w:rPr>
    </w:lvl>
    <w:lvl w:ilvl="3" w:tplc="5A480714">
      <w:numFmt w:val="bullet"/>
      <w:lvlText w:val="•"/>
      <w:lvlJc w:val="left"/>
      <w:pPr>
        <w:ind w:left="2916" w:hanging="732"/>
      </w:pPr>
      <w:rPr>
        <w:rFonts w:hint="default"/>
        <w:lang w:val="ro-RO" w:eastAsia="en-US" w:bidi="ar-SA"/>
      </w:rPr>
    </w:lvl>
    <w:lvl w:ilvl="4" w:tplc="E82A4310">
      <w:numFmt w:val="bullet"/>
      <w:lvlText w:val="•"/>
      <w:lvlJc w:val="left"/>
      <w:pPr>
        <w:ind w:left="3888" w:hanging="732"/>
      </w:pPr>
      <w:rPr>
        <w:rFonts w:hint="default"/>
        <w:lang w:val="ro-RO" w:eastAsia="en-US" w:bidi="ar-SA"/>
      </w:rPr>
    </w:lvl>
    <w:lvl w:ilvl="5" w:tplc="0864335C">
      <w:numFmt w:val="bullet"/>
      <w:lvlText w:val="•"/>
      <w:lvlJc w:val="left"/>
      <w:pPr>
        <w:ind w:left="4860" w:hanging="732"/>
      </w:pPr>
      <w:rPr>
        <w:rFonts w:hint="default"/>
        <w:lang w:val="ro-RO" w:eastAsia="en-US" w:bidi="ar-SA"/>
      </w:rPr>
    </w:lvl>
    <w:lvl w:ilvl="6" w:tplc="B00404DC">
      <w:numFmt w:val="bullet"/>
      <w:lvlText w:val="•"/>
      <w:lvlJc w:val="left"/>
      <w:pPr>
        <w:ind w:left="5832" w:hanging="732"/>
      </w:pPr>
      <w:rPr>
        <w:rFonts w:hint="default"/>
        <w:lang w:val="ro-RO" w:eastAsia="en-US" w:bidi="ar-SA"/>
      </w:rPr>
    </w:lvl>
    <w:lvl w:ilvl="7" w:tplc="B8787746">
      <w:numFmt w:val="bullet"/>
      <w:lvlText w:val="•"/>
      <w:lvlJc w:val="left"/>
      <w:pPr>
        <w:ind w:left="6804" w:hanging="732"/>
      </w:pPr>
      <w:rPr>
        <w:rFonts w:hint="default"/>
        <w:lang w:val="ro-RO" w:eastAsia="en-US" w:bidi="ar-SA"/>
      </w:rPr>
    </w:lvl>
    <w:lvl w:ilvl="8" w:tplc="43F09ED6">
      <w:numFmt w:val="bullet"/>
      <w:lvlText w:val="•"/>
      <w:lvlJc w:val="left"/>
      <w:pPr>
        <w:ind w:left="7776" w:hanging="732"/>
      </w:pPr>
      <w:rPr>
        <w:rFonts w:hint="default"/>
        <w:lang w:val="ro-RO" w:eastAsia="en-US" w:bidi="ar-SA"/>
      </w:rPr>
    </w:lvl>
  </w:abstractNum>
  <w:abstractNum w:abstractNumId="3" w15:restartNumberingAfterBreak="0">
    <w:nsid w:val="53FA7422"/>
    <w:multiLevelType w:val="hybridMultilevel"/>
    <w:tmpl w:val="E1ECBC3C"/>
    <w:lvl w:ilvl="0" w:tplc="3AB22EE2">
      <w:start w:val="1"/>
      <w:numFmt w:val="lowerLetter"/>
      <w:lvlText w:val="%1)"/>
      <w:lvlJc w:val="left"/>
      <w:pPr>
        <w:ind w:left="473" w:hanging="360"/>
      </w:pPr>
      <w:rPr>
        <w:rFonts w:hint="default"/>
      </w:rPr>
    </w:lvl>
    <w:lvl w:ilvl="1" w:tplc="04180019" w:tentative="1">
      <w:start w:val="1"/>
      <w:numFmt w:val="lowerLetter"/>
      <w:lvlText w:val="%2."/>
      <w:lvlJc w:val="left"/>
      <w:pPr>
        <w:ind w:left="1193" w:hanging="360"/>
      </w:pPr>
    </w:lvl>
    <w:lvl w:ilvl="2" w:tplc="0418001B" w:tentative="1">
      <w:start w:val="1"/>
      <w:numFmt w:val="lowerRoman"/>
      <w:lvlText w:val="%3."/>
      <w:lvlJc w:val="right"/>
      <w:pPr>
        <w:ind w:left="1913" w:hanging="180"/>
      </w:pPr>
    </w:lvl>
    <w:lvl w:ilvl="3" w:tplc="0418000F" w:tentative="1">
      <w:start w:val="1"/>
      <w:numFmt w:val="decimal"/>
      <w:lvlText w:val="%4."/>
      <w:lvlJc w:val="left"/>
      <w:pPr>
        <w:ind w:left="2633" w:hanging="360"/>
      </w:pPr>
    </w:lvl>
    <w:lvl w:ilvl="4" w:tplc="04180019" w:tentative="1">
      <w:start w:val="1"/>
      <w:numFmt w:val="lowerLetter"/>
      <w:lvlText w:val="%5."/>
      <w:lvlJc w:val="left"/>
      <w:pPr>
        <w:ind w:left="3353" w:hanging="360"/>
      </w:pPr>
    </w:lvl>
    <w:lvl w:ilvl="5" w:tplc="0418001B" w:tentative="1">
      <w:start w:val="1"/>
      <w:numFmt w:val="lowerRoman"/>
      <w:lvlText w:val="%6."/>
      <w:lvlJc w:val="right"/>
      <w:pPr>
        <w:ind w:left="4073" w:hanging="180"/>
      </w:pPr>
    </w:lvl>
    <w:lvl w:ilvl="6" w:tplc="0418000F" w:tentative="1">
      <w:start w:val="1"/>
      <w:numFmt w:val="decimal"/>
      <w:lvlText w:val="%7."/>
      <w:lvlJc w:val="left"/>
      <w:pPr>
        <w:ind w:left="4793" w:hanging="360"/>
      </w:pPr>
    </w:lvl>
    <w:lvl w:ilvl="7" w:tplc="04180019" w:tentative="1">
      <w:start w:val="1"/>
      <w:numFmt w:val="lowerLetter"/>
      <w:lvlText w:val="%8."/>
      <w:lvlJc w:val="left"/>
      <w:pPr>
        <w:ind w:left="5513" w:hanging="360"/>
      </w:pPr>
    </w:lvl>
    <w:lvl w:ilvl="8" w:tplc="0418001B" w:tentative="1">
      <w:start w:val="1"/>
      <w:numFmt w:val="lowerRoman"/>
      <w:lvlText w:val="%9."/>
      <w:lvlJc w:val="right"/>
      <w:pPr>
        <w:ind w:left="6233" w:hanging="180"/>
      </w:pPr>
    </w:lvl>
  </w:abstractNum>
  <w:abstractNum w:abstractNumId="4" w15:restartNumberingAfterBreak="0">
    <w:nsid w:val="73777693"/>
    <w:multiLevelType w:val="hybridMultilevel"/>
    <w:tmpl w:val="7068A648"/>
    <w:lvl w:ilvl="0" w:tplc="C1A6700C">
      <w:start w:val="1"/>
      <w:numFmt w:val="decimal"/>
      <w:lvlText w:val="%1)"/>
      <w:lvlJc w:val="left"/>
      <w:pPr>
        <w:ind w:left="1044" w:hanging="260"/>
      </w:pPr>
      <w:rPr>
        <w:rFonts w:ascii="Times New Roman" w:eastAsia="Times New Roman" w:hAnsi="Times New Roman" w:cs="Times New Roman" w:hint="default"/>
        <w:b w:val="0"/>
        <w:bCs w:val="0"/>
        <w:i w:val="0"/>
        <w:iCs w:val="0"/>
        <w:spacing w:val="0"/>
        <w:w w:val="100"/>
        <w:sz w:val="24"/>
        <w:szCs w:val="24"/>
        <w:lang w:val="ro-RO" w:eastAsia="en-US" w:bidi="ar-SA"/>
      </w:rPr>
    </w:lvl>
    <w:lvl w:ilvl="1" w:tplc="E612FEE4">
      <w:numFmt w:val="bullet"/>
      <w:lvlText w:val="•"/>
      <w:lvlJc w:val="left"/>
      <w:pPr>
        <w:ind w:left="1956" w:hanging="260"/>
      </w:pPr>
      <w:rPr>
        <w:rFonts w:hint="default"/>
        <w:lang w:val="ro-RO" w:eastAsia="en-US" w:bidi="ar-SA"/>
      </w:rPr>
    </w:lvl>
    <w:lvl w:ilvl="2" w:tplc="2D020150">
      <w:numFmt w:val="bullet"/>
      <w:lvlText w:val="•"/>
      <w:lvlJc w:val="left"/>
      <w:pPr>
        <w:ind w:left="2873" w:hanging="260"/>
      </w:pPr>
      <w:rPr>
        <w:rFonts w:hint="default"/>
        <w:lang w:val="ro-RO" w:eastAsia="en-US" w:bidi="ar-SA"/>
      </w:rPr>
    </w:lvl>
    <w:lvl w:ilvl="3" w:tplc="DBF87BBC">
      <w:numFmt w:val="bullet"/>
      <w:lvlText w:val="•"/>
      <w:lvlJc w:val="left"/>
      <w:pPr>
        <w:ind w:left="3790" w:hanging="260"/>
      </w:pPr>
      <w:rPr>
        <w:rFonts w:hint="default"/>
        <w:lang w:val="ro-RO" w:eastAsia="en-US" w:bidi="ar-SA"/>
      </w:rPr>
    </w:lvl>
    <w:lvl w:ilvl="4" w:tplc="5DA293B4">
      <w:numFmt w:val="bullet"/>
      <w:lvlText w:val="•"/>
      <w:lvlJc w:val="left"/>
      <w:pPr>
        <w:ind w:left="4706" w:hanging="260"/>
      </w:pPr>
      <w:rPr>
        <w:rFonts w:hint="default"/>
        <w:lang w:val="ro-RO" w:eastAsia="en-US" w:bidi="ar-SA"/>
      </w:rPr>
    </w:lvl>
    <w:lvl w:ilvl="5" w:tplc="D7D0C2B4">
      <w:numFmt w:val="bullet"/>
      <w:lvlText w:val="•"/>
      <w:lvlJc w:val="left"/>
      <w:pPr>
        <w:ind w:left="5623" w:hanging="260"/>
      </w:pPr>
      <w:rPr>
        <w:rFonts w:hint="default"/>
        <w:lang w:val="ro-RO" w:eastAsia="en-US" w:bidi="ar-SA"/>
      </w:rPr>
    </w:lvl>
    <w:lvl w:ilvl="6" w:tplc="F5787DF8">
      <w:numFmt w:val="bullet"/>
      <w:lvlText w:val="•"/>
      <w:lvlJc w:val="left"/>
      <w:pPr>
        <w:ind w:left="6540" w:hanging="260"/>
      </w:pPr>
      <w:rPr>
        <w:rFonts w:hint="default"/>
        <w:lang w:val="ro-RO" w:eastAsia="en-US" w:bidi="ar-SA"/>
      </w:rPr>
    </w:lvl>
    <w:lvl w:ilvl="7" w:tplc="1EBC898C">
      <w:numFmt w:val="bullet"/>
      <w:lvlText w:val="•"/>
      <w:lvlJc w:val="left"/>
      <w:pPr>
        <w:ind w:left="7457" w:hanging="260"/>
      </w:pPr>
      <w:rPr>
        <w:rFonts w:hint="default"/>
        <w:lang w:val="ro-RO" w:eastAsia="en-US" w:bidi="ar-SA"/>
      </w:rPr>
    </w:lvl>
    <w:lvl w:ilvl="8" w:tplc="53E62530">
      <w:numFmt w:val="bullet"/>
      <w:lvlText w:val="•"/>
      <w:lvlJc w:val="left"/>
      <w:pPr>
        <w:ind w:left="8373" w:hanging="260"/>
      </w:pPr>
      <w:rPr>
        <w:rFonts w:hint="default"/>
        <w:lang w:val="ro-RO" w:eastAsia="en-US" w:bidi="ar-SA"/>
      </w:rPr>
    </w:lvl>
  </w:abstractNum>
  <w:num w:numId="1" w16cid:durableId="1070006934">
    <w:abstractNumId w:val="4"/>
  </w:num>
  <w:num w:numId="2" w16cid:durableId="1071538300">
    <w:abstractNumId w:val="0"/>
  </w:num>
  <w:num w:numId="3" w16cid:durableId="979072632">
    <w:abstractNumId w:val="3"/>
  </w:num>
  <w:num w:numId="4" w16cid:durableId="1240170135">
    <w:abstractNumId w:val="1"/>
  </w:num>
  <w:num w:numId="5" w16cid:durableId="600139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8B7"/>
    <w:rsid w:val="000018C3"/>
    <w:rsid w:val="00002192"/>
    <w:rsid w:val="00006370"/>
    <w:rsid w:val="000072FD"/>
    <w:rsid w:val="00007465"/>
    <w:rsid w:val="000123C2"/>
    <w:rsid w:val="00012EB2"/>
    <w:rsid w:val="00014CF6"/>
    <w:rsid w:val="00015D04"/>
    <w:rsid w:val="0002026F"/>
    <w:rsid w:val="00020891"/>
    <w:rsid w:val="00021A2F"/>
    <w:rsid w:val="00021DE9"/>
    <w:rsid w:val="0002215C"/>
    <w:rsid w:val="00023D34"/>
    <w:rsid w:val="00024672"/>
    <w:rsid w:val="00024E2F"/>
    <w:rsid w:val="000250FE"/>
    <w:rsid w:val="00030711"/>
    <w:rsid w:val="0003086B"/>
    <w:rsid w:val="00031706"/>
    <w:rsid w:val="00032350"/>
    <w:rsid w:val="00033201"/>
    <w:rsid w:val="000343D4"/>
    <w:rsid w:val="00034D5C"/>
    <w:rsid w:val="000356EC"/>
    <w:rsid w:val="00037BAA"/>
    <w:rsid w:val="00041BE1"/>
    <w:rsid w:val="00042A4E"/>
    <w:rsid w:val="00042FD0"/>
    <w:rsid w:val="00043B1C"/>
    <w:rsid w:val="00044885"/>
    <w:rsid w:val="00044E2D"/>
    <w:rsid w:val="00045613"/>
    <w:rsid w:val="000457A9"/>
    <w:rsid w:val="00045FFA"/>
    <w:rsid w:val="00047BCD"/>
    <w:rsid w:val="0005275E"/>
    <w:rsid w:val="00054B68"/>
    <w:rsid w:val="00056A9F"/>
    <w:rsid w:val="00060BFF"/>
    <w:rsid w:val="00060E3D"/>
    <w:rsid w:val="00062B2F"/>
    <w:rsid w:val="00063A17"/>
    <w:rsid w:val="00066A29"/>
    <w:rsid w:val="00067390"/>
    <w:rsid w:val="0007159F"/>
    <w:rsid w:val="00072F99"/>
    <w:rsid w:val="0007420F"/>
    <w:rsid w:val="000757D7"/>
    <w:rsid w:val="00075A30"/>
    <w:rsid w:val="000779DF"/>
    <w:rsid w:val="000800FA"/>
    <w:rsid w:val="00081143"/>
    <w:rsid w:val="0009237D"/>
    <w:rsid w:val="00093AA1"/>
    <w:rsid w:val="00094F9D"/>
    <w:rsid w:val="00095D63"/>
    <w:rsid w:val="00096B5A"/>
    <w:rsid w:val="00096F15"/>
    <w:rsid w:val="00097317"/>
    <w:rsid w:val="0009751A"/>
    <w:rsid w:val="000976C8"/>
    <w:rsid w:val="00097B62"/>
    <w:rsid w:val="000A0818"/>
    <w:rsid w:val="000A2D15"/>
    <w:rsid w:val="000A3277"/>
    <w:rsid w:val="000A5B02"/>
    <w:rsid w:val="000B00D2"/>
    <w:rsid w:val="000B6E83"/>
    <w:rsid w:val="000C0729"/>
    <w:rsid w:val="000C0776"/>
    <w:rsid w:val="000C081D"/>
    <w:rsid w:val="000C2687"/>
    <w:rsid w:val="000C3F94"/>
    <w:rsid w:val="000C636A"/>
    <w:rsid w:val="000D0BB8"/>
    <w:rsid w:val="000D3D36"/>
    <w:rsid w:val="000D3D83"/>
    <w:rsid w:val="000D4756"/>
    <w:rsid w:val="000D4BB2"/>
    <w:rsid w:val="000D4DED"/>
    <w:rsid w:val="000D52DA"/>
    <w:rsid w:val="000D7CBE"/>
    <w:rsid w:val="000E00C2"/>
    <w:rsid w:val="000E03F2"/>
    <w:rsid w:val="000E05A2"/>
    <w:rsid w:val="000E3FF8"/>
    <w:rsid w:val="000E45BD"/>
    <w:rsid w:val="000E46A9"/>
    <w:rsid w:val="000E5DBC"/>
    <w:rsid w:val="000E617C"/>
    <w:rsid w:val="000E6640"/>
    <w:rsid w:val="000E71FA"/>
    <w:rsid w:val="000E761B"/>
    <w:rsid w:val="000F0395"/>
    <w:rsid w:val="000F1ACD"/>
    <w:rsid w:val="000F362C"/>
    <w:rsid w:val="000F6742"/>
    <w:rsid w:val="000F7F53"/>
    <w:rsid w:val="00101AE3"/>
    <w:rsid w:val="0010398D"/>
    <w:rsid w:val="00103D51"/>
    <w:rsid w:val="0010523E"/>
    <w:rsid w:val="00105449"/>
    <w:rsid w:val="00106487"/>
    <w:rsid w:val="00106746"/>
    <w:rsid w:val="00106EDF"/>
    <w:rsid w:val="001074C0"/>
    <w:rsid w:val="001075CF"/>
    <w:rsid w:val="001076DC"/>
    <w:rsid w:val="00110CAC"/>
    <w:rsid w:val="00111F08"/>
    <w:rsid w:val="0011262C"/>
    <w:rsid w:val="00114132"/>
    <w:rsid w:val="0011422C"/>
    <w:rsid w:val="00115A07"/>
    <w:rsid w:val="00120D37"/>
    <w:rsid w:val="00121F65"/>
    <w:rsid w:val="00122114"/>
    <w:rsid w:val="00122A2C"/>
    <w:rsid w:val="001249B3"/>
    <w:rsid w:val="00124C48"/>
    <w:rsid w:val="00125774"/>
    <w:rsid w:val="00125BD4"/>
    <w:rsid w:val="00126B80"/>
    <w:rsid w:val="00130F3D"/>
    <w:rsid w:val="0013117D"/>
    <w:rsid w:val="001313AB"/>
    <w:rsid w:val="0013407E"/>
    <w:rsid w:val="0013447A"/>
    <w:rsid w:val="00134888"/>
    <w:rsid w:val="00135C75"/>
    <w:rsid w:val="00136FCB"/>
    <w:rsid w:val="0014016D"/>
    <w:rsid w:val="00140BE4"/>
    <w:rsid w:val="001418AB"/>
    <w:rsid w:val="00145C13"/>
    <w:rsid w:val="00146C81"/>
    <w:rsid w:val="00147274"/>
    <w:rsid w:val="00147748"/>
    <w:rsid w:val="00147CA3"/>
    <w:rsid w:val="001504AE"/>
    <w:rsid w:val="00151884"/>
    <w:rsid w:val="00152894"/>
    <w:rsid w:val="00153555"/>
    <w:rsid w:val="00154B61"/>
    <w:rsid w:val="00156184"/>
    <w:rsid w:val="00156EC7"/>
    <w:rsid w:val="001603D2"/>
    <w:rsid w:val="0016095F"/>
    <w:rsid w:val="00160EDC"/>
    <w:rsid w:val="00162CD9"/>
    <w:rsid w:val="00170448"/>
    <w:rsid w:val="0017195D"/>
    <w:rsid w:val="001721A1"/>
    <w:rsid w:val="00172A4A"/>
    <w:rsid w:val="00175D91"/>
    <w:rsid w:val="001762B0"/>
    <w:rsid w:val="00177043"/>
    <w:rsid w:val="001803C1"/>
    <w:rsid w:val="0018149B"/>
    <w:rsid w:val="00183017"/>
    <w:rsid w:val="0018306A"/>
    <w:rsid w:val="001836F2"/>
    <w:rsid w:val="00183C7C"/>
    <w:rsid w:val="001840F9"/>
    <w:rsid w:val="00184B74"/>
    <w:rsid w:val="001864AA"/>
    <w:rsid w:val="00190692"/>
    <w:rsid w:val="001971A2"/>
    <w:rsid w:val="00197829"/>
    <w:rsid w:val="001A2560"/>
    <w:rsid w:val="001A4A7C"/>
    <w:rsid w:val="001A5B1A"/>
    <w:rsid w:val="001A5F4F"/>
    <w:rsid w:val="001A6C78"/>
    <w:rsid w:val="001A6F39"/>
    <w:rsid w:val="001B0385"/>
    <w:rsid w:val="001B3524"/>
    <w:rsid w:val="001B37C6"/>
    <w:rsid w:val="001B3AB2"/>
    <w:rsid w:val="001B42E9"/>
    <w:rsid w:val="001B44E8"/>
    <w:rsid w:val="001B4670"/>
    <w:rsid w:val="001B5E36"/>
    <w:rsid w:val="001B679C"/>
    <w:rsid w:val="001B72D8"/>
    <w:rsid w:val="001B7468"/>
    <w:rsid w:val="001B7D85"/>
    <w:rsid w:val="001C0415"/>
    <w:rsid w:val="001C0458"/>
    <w:rsid w:val="001C1002"/>
    <w:rsid w:val="001C21AC"/>
    <w:rsid w:val="001C30A5"/>
    <w:rsid w:val="001C6101"/>
    <w:rsid w:val="001C63A7"/>
    <w:rsid w:val="001C78CA"/>
    <w:rsid w:val="001D1353"/>
    <w:rsid w:val="001D3008"/>
    <w:rsid w:val="001D3430"/>
    <w:rsid w:val="001D439D"/>
    <w:rsid w:val="001D51F9"/>
    <w:rsid w:val="001D6A3D"/>
    <w:rsid w:val="001D7229"/>
    <w:rsid w:val="001E54CE"/>
    <w:rsid w:val="001E5618"/>
    <w:rsid w:val="001E70D9"/>
    <w:rsid w:val="001E7E8C"/>
    <w:rsid w:val="001E7EA7"/>
    <w:rsid w:val="001E7F95"/>
    <w:rsid w:val="001F01B9"/>
    <w:rsid w:val="001F038F"/>
    <w:rsid w:val="001F1971"/>
    <w:rsid w:val="001F1A12"/>
    <w:rsid w:val="001F241F"/>
    <w:rsid w:val="001F27F1"/>
    <w:rsid w:val="001F3E96"/>
    <w:rsid w:val="001F4FB4"/>
    <w:rsid w:val="001F63B0"/>
    <w:rsid w:val="001F6675"/>
    <w:rsid w:val="001F71EB"/>
    <w:rsid w:val="00201ADD"/>
    <w:rsid w:val="00202930"/>
    <w:rsid w:val="00202AC5"/>
    <w:rsid w:val="00203496"/>
    <w:rsid w:val="00203719"/>
    <w:rsid w:val="002040EC"/>
    <w:rsid w:val="002042F8"/>
    <w:rsid w:val="0020492E"/>
    <w:rsid w:val="0020536A"/>
    <w:rsid w:val="0021118F"/>
    <w:rsid w:val="002132EB"/>
    <w:rsid w:val="00215CB6"/>
    <w:rsid w:val="00215DFC"/>
    <w:rsid w:val="00216666"/>
    <w:rsid w:val="00221492"/>
    <w:rsid w:val="00221B02"/>
    <w:rsid w:val="00221F2A"/>
    <w:rsid w:val="00223786"/>
    <w:rsid w:val="00225D4C"/>
    <w:rsid w:val="00230432"/>
    <w:rsid w:val="00231360"/>
    <w:rsid w:val="00231AEA"/>
    <w:rsid w:val="002337D0"/>
    <w:rsid w:val="002349E9"/>
    <w:rsid w:val="00240586"/>
    <w:rsid w:val="002420F4"/>
    <w:rsid w:val="00244761"/>
    <w:rsid w:val="00245074"/>
    <w:rsid w:val="00246466"/>
    <w:rsid w:val="00246ECA"/>
    <w:rsid w:val="00253E07"/>
    <w:rsid w:val="00254400"/>
    <w:rsid w:val="00257A76"/>
    <w:rsid w:val="00257C8D"/>
    <w:rsid w:val="00257FEE"/>
    <w:rsid w:val="002601D3"/>
    <w:rsid w:val="00262056"/>
    <w:rsid w:val="0026312A"/>
    <w:rsid w:val="00265854"/>
    <w:rsid w:val="00266423"/>
    <w:rsid w:val="0026743A"/>
    <w:rsid w:val="002676A7"/>
    <w:rsid w:val="002704AC"/>
    <w:rsid w:val="00271E70"/>
    <w:rsid w:val="0027421C"/>
    <w:rsid w:val="00275287"/>
    <w:rsid w:val="0027696A"/>
    <w:rsid w:val="0027712E"/>
    <w:rsid w:val="00281A17"/>
    <w:rsid w:val="002829D0"/>
    <w:rsid w:val="002836B1"/>
    <w:rsid w:val="002838D7"/>
    <w:rsid w:val="002860DF"/>
    <w:rsid w:val="002873B7"/>
    <w:rsid w:val="0029067A"/>
    <w:rsid w:val="0029183C"/>
    <w:rsid w:val="00292131"/>
    <w:rsid w:val="00292DE3"/>
    <w:rsid w:val="00294649"/>
    <w:rsid w:val="002A05B7"/>
    <w:rsid w:val="002A05EE"/>
    <w:rsid w:val="002A356B"/>
    <w:rsid w:val="002A35FD"/>
    <w:rsid w:val="002A43CE"/>
    <w:rsid w:val="002A567E"/>
    <w:rsid w:val="002B0E7E"/>
    <w:rsid w:val="002B1646"/>
    <w:rsid w:val="002B24BC"/>
    <w:rsid w:val="002B2CD2"/>
    <w:rsid w:val="002B5964"/>
    <w:rsid w:val="002B700A"/>
    <w:rsid w:val="002C024E"/>
    <w:rsid w:val="002C2CC2"/>
    <w:rsid w:val="002C5755"/>
    <w:rsid w:val="002C5E3E"/>
    <w:rsid w:val="002C76DB"/>
    <w:rsid w:val="002D2F50"/>
    <w:rsid w:val="002D38B7"/>
    <w:rsid w:val="002D4129"/>
    <w:rsid w:val="002D546C"/>
    <w:rsid w:val="002D6E83"/>
    <w:rsid w:val="002D78C9"/>
    <w:rsid w:val="002E0318"/>
    <w:rsid w:val="002E044B"/>
    <w:rsid w:val="002E0CA1"/>
    <w:rsid w:val="002E1308"/>
    <w:rsid w:val="002E1943"/>
    <w:rsid w:val="002E20FF"/>
    <w:rsid w:val="002E2EB9"/>
    <w:rsid w:val="002E3091"/>
    <w:rsid w:val="002E52C7"/>
    <w:rsid w:val="002F0258"/>
    <w:rsid w:val="002F056B"/>
    <w:rsid w:val="002F2A75"/>
    <w:rsid w:val="002F5365"/>
    <w:rsid w:val="002F7B2B"/>
    <w:rsid w:val="00302C09"/>
    <w:rsid w:val="00303082"/>
    <w:rsid w:val="00303E58"/>
    <w:rsid w:val="003057B1"/>
    <w:rsid w:val="003058E4"/>
    <w:rsid w:val="00305D8F"/>
    <w:rsid w:val="00311818"/>
    <w:rsid w:val="00311CF5"/>
    <w:rsid w:val="003122D0"/>
    <w:rsid w:val="00312565"/>
    <w:rsid w:val="00314608"/>
    <w:rsid w:val="00315BA3"/>
    <w:rsid w:val="0031604C"/>
    <w:rsid w:val="0032078D"/>
    <w:rsid w:val="0032233A"/>
    <w:rsid w:val="00323415"/>
    <w:rsid w:val="0032397C"/>
    <w:rsid w:val="00325A84"/>
    <w:rsid w:val="003278D6"/>
    <w:rsid w:val="00330BFA"/>
    <w:rsid w:val="00332416"/>
    <w:rsid w:val="003341A7"/>
    <w:rsid w:val="00337AA6"/>
    <w:rsid w:val="00337FDE"/>
    <w:rsid w:val="003421C2"/>
    <w:rsid w:val="00343A02"/>
    <w:rsid w:val="00343D66"/>
    <w:rsid w:val="003456F3"/>
    <w:rsid w:val="003459A7"/>
    <w:rsid w:val="00346717"/>
    <w:rsid w:val="00346F54"/>
    <w:rsid w:val="003471F4"/>
    <w:rsid w:val="00347C8C"/>
    <w:rsid w:val="00350D1B"/>
    <w:rsid w:val="0035191E"/>
    <w:rsid w:val="003534C8"/>
    <w:rsid w:val="0035593F"/>
    <w:rsid w:val="0035671B"/>
    <w:rsid w:val="00357375"/>
    <w:rsid w:val="00357646"/>
    <w:rsid w:val="00360AED"/>
    <w:rsid w:val="00361182"/>
    <w:rsid w:val="00363957"/>
    <w:rsid w:val="00370190"/>
    <w:rsid w:val="00370C78"/>
    <w:rsid w:val="00371E6E"/>
    <w:rsid w:val="003720E8"/>
    <w:rsid w:val="00373999"/>
    <w:rsid w:val="00375A65"/>
    <w:rsid w:val="00376416"/>
    <w:rsid w:val="0037665C"/>
    <w:rsid w:val="00380092"/>
    <w:rsid w:val="00380DE8"/>
    <w:rsid w:val="00380E90"/>
    <w:rsid w:val="00380F4E"/>
    <w:rsid w:val="00382397"/>
    <w:rsid w:val="00382A03"/>
    <w:rsid w:val="003834B0"/>
    <w:rsid w:val="003835B9"/>
    <w:rsid w:val="00385730"/>
    <w:rsid w:val="00386FDD"/>
    <w:rsid w:val="003910AF"/>
    <w:rsid w:val="00391CE0"/>
    <w:rsid w:val="003929B5"/>
    <w:rsid w:val="003948E8"/>
    <w:rsid w:val="003967F3"/>
    <w:rsid w:val="00396AAC"/>
    <w:rsid w:val="0039716B"/>
    <w:rsid w:val="003A2110"/>
    <w:rsid w:val="003A3813"/>
    <w:rsid w:val="003A4CEA"/>
    <w:rsid w:val="003A5A9A"/>
    <w:rsid w:val="003A6D83"/>
    <w:rsid w:val="003A709C"/>
    <w:rsid w:val="003B20A5"/>
    <w:rsid w:val="003B3D3F"/>
    <w:rsid w:val="003B5D9B"/>
    <w:rsid w:val="003C0BCF"/>
    <w:rsid w:val="003C105D"/>
    <w:rsid w:val="003C2349"/>
    <w:rsid w:val="003C2E27"/>
    <w:rsid w:val="003C302E"/>
    <w:rsid w:val="003C4D07"/>
    <w:rsid w:val="003C6D2B"/>
    <w:rsid w:val="003D12DF"/>
    <w:rsid w:val="003D22EA"/>
    <w:rsid w:val="003D6859"/>
    <w:rsid w:val="003D6E44"/>
    <w:rsid w:val="003E2402"/>
    <w:rsid w:val="003E6497"/>
    <w:rsid w:val="003F061D"/>
    <w:rsid w:val="003F0B9B"/>
    <w:rsid w:val="003F1D83"/>
    <w:rsid w:val="003F55AC"/>
    <w:rsid w:val="003F6533"/>
    <w:rsid w:val="003F6670"/>
    <w:rsid w:val="00401F58"/>
    <w:rsid w:val="004040EA"/>
    <w:rsid w:val="00406AD1"/>
    <w:rsid w:val="00406E4B"/>
    <w:rsid w:val="00406EB2"/>
    <w:rsid w:val="0041068B"/>
    <w:rsid w:val="00410FF5"/>
    <w:rsid w:val="0041274A"/>
    <w:rsid w:val="0041287B"/>
    <w:rsid w:val="00412F56"/>
    <w:rsid w:val="004215C5"/>
    <w:rsid w:val="004236AE"/>
    <w:rsid w:val="00423A7E"/>
    <w:rsid w:val="0042447D"/>
    <w:rsid w:val="00425AB6"/>
    <w:rsid w:val="00427415"/>
    <w:rsid w:val="00430595"/>
    <w:rsid w:val="00432B1D"/>
    <w:rsid w:val="004341DF"/>
    <w:rsid w:val="00437076"/>
    <w:rsid w:val="00441222"/>
    <w:rsid w:val="00442D61"/>
    <w:rsid w:val="0044416C"/>
    <w:rsid w:val="004452D8"/>
    <w:rsid w:val="00446B1B"/>
    <w:rsid w:val="00450706"/>
    <w:rsid w:val="00451773"/>
    <w:rsid w:val="004532DF"/>
    <w:rsid w:val="00456507"/>
    <w:rsid w:val="00457459"/>
    <w:rsid w:val="0045776A"/>
    <w:rsid w:val="0045789F"/>
    <w:rsid w:val="00457C59"/>
    <w:rsid w:val="00457DD9"/>
    <w:rsid w:val="00462B47"/>
    <w:rsid w:val="00463542"/>
    <w:rsid w:val="00470514"/>
    <w:rsid w:val="004713B8"/>
    <w:rsid w:val="00471F96"/>
    <w:rsid w:val="00472492"/>
    <w:rsid w:val="00473C3B"/>
    <w:rsid w:val="004740D6"/>
    <w:rsid w:val="00474288"/>
    <w:rsid w:val="00474B23"/>
    <w:rsid w:val="004764B2"/>
    <w:rsid w:val="004828CF"/>
    <w:rsid w:val="00483CDD"/>
    <w:rsid w:val="00485A95"/>
    <w:rsid w:val="00485D81"/>
    <w:rsid w:val="004874F6"/>
    <w:rsid w:val="004879B0"/>
    <w:rsid w:val="004904E0"/>
    <w:rsid w:val="0049113C"/>
    <w:rsid w:val="004921A2"/>
    <w:rsid w:val="00492867"/>
    <w:rsid w:val="00492A1B"/>
    <w:rsid w:val="00492B27"/>
    <w:rsid w:val="004949BE"/>
    <w:rsid w:val="00495239"/>
    <w:rsid w:val="004958DF"/>
    <w:rsid w:val="00496568"/>
    <w:rsid w:val="0049725A"/>
    <w:rsid w:val="00497FD6"/>
    <w:rsid w:val="004A0CB0"/>
    <w:rsid w:val="004A4768"/>
    <w:rsid w:val="004B1529"/>
    <w:rsid w:val="004B22E0"/>
    <w:rsid w:val="004B3990"/>
    <w:rsid w:val="004B59D7"/>
    <w:rsid w:val="004B5B3B"/>
    <w:rsid w:val="004C03F6"/>
    <w:rsid w:val="004C2571"/>
    <w:rsid w:val="004C2704"/>
    <w:rsid w:val="004C337A"/>
    <w:rsid w:val="004C65CD"/>
    <w:rsid w:val="004C6945"/>
    <w:rsid w:val="004C7364"/>
    <w:rsid w:val="004D1BB1"/>
    <w:rsid w:val="004D22D1"/>
    <w:rsid w:val="004D5C60"/>
    <w:rsid w:val="004D7216"/>
    <w:rsid w:val="004D7B7C"/>
    <w:rsid w:val="004E1E9C"/>
    <w:rsid w:val="004E4972"/>
    <w:rsid w:val="004E514E"/>
    <w:rsid w:val="004E5D22"/>
    <w:rsid w:val="004E7394"/>
    <w:rsid w:val="004E73FF"/>
    <w:rsid w:val="004F3002"/>
    <w:rsid w:val="004F36BC"/>
    <w:rsid w:val="004F3D0C"/>
    <w:rsid w:val="004F5E12"/>
    <w:rsid w:val="004F6C20"/>
    <w:rsid w:val="004F7E2D"/>
    <w:rsid w:val="005002C7"/>
    <w:rsid w:val="0050095D"/>
    <w:rsid w:val="00501BDE"/>
    <w:rsid w:val="00501C0B"/>
    <w:rsid w:val="00501D25"/>
    <w:rsid w:val="005028CE"/>
    <w:rsid w:val="00507545"/>
    <w:rsid w:val="00507ACF"/>
    <w:rsid w:val="00507D1A"/>
    <w:rsid w:val="00514D84"/>
    <w:rsid w:val="005162ED"/>
    <w:rsid w:val="005176AA"/>
    <w:rsid w:val="0052039E"/>
    <w:rsid w:val="00520B57"/>
    <w:rsid w:val="0052113A"/>
    <w:rsid w:val="0052246C"/>
    <w:rsid w:val="005227A6"/>
    <w:rsid w:val="00522D24"/>
    <w:rsid w:val="005230E8"/>
    <w:rsid w:val="00523329"/>
    <w:rsid w:val="00523695"/>
    <w:rsid w:val="005248D2"/>
    <w:rsid w:val="00525C77"/>
    <w:rsid w:val="0052666F"/>
    <w:rsid w:val="00530BE4"/>
    <w:rsid w:val="00531855"/>
    <w:rsid w:val="005319B0"/>
    <w:rsid w:val="00531BF9"/>
    <w:rsid w:val="00531CD1"/>
    <w:rsid w:val="00536126"/>
    <w:rsid w:val="005369E1"/>
    <w:rsid w:val="00536CE4"/>
    <w:rsid w:val="00540D9C"/>
    <w:rsid w:val="0054113B"/>
    <w:rsid w:val="005417B1"/>
    <w:rsid w:val="00542ACA"/>
    <w:rsid w:val="00545E61"/>
    <w:rsid w:val="00546251"/>
    <w:rsid w:val="0055043B"/>
    <w:rsid w:val="00551963"/>
    <w:rsid w:val="00552DA9"/>
    <w:rsid w:val="00553A49"/>
    <w:rsid w:val="00556569"/>
    <w:rsid w:val="005573EC"/>
    <w:rsid w:val="0056068C"/>
    <w:rsid w:val="00560A02"/>
    <w:rsid w:val="00560FAB"/>
    <w:rsid w:val="00561D1C"/>
    <w:rsid w:val="00561E18"/>
    <w:rsid w:val="00562088"/>
    <w:rsid w:val="00562273"/>
    <w:rsid w:val="00563391"/>
    <w:rsid w:val="005639DF"/>
    <w:rsid w:val="00565EB0"/>
    <w:rsid w:val="00567C30"/>
    <w:rsid w:val="00570C57"/>
    <w:rsid w:val="00573CFF"/>
    <w:rsid w:val="005766A6"/>
    <w:rsid w:val="00577CA4"/>
    <w:rsid w:val="00580003"/>
    <w:rsid w:val="0058273B"/>
    <w:rsid w:val="005861C6"/>
    <w:rsid w:val="0058644E"/>
    <w:rsid w:val="0059220F"/>
    <w:rsid w:val="00593D67"/>
    <w:rsid w:val="00595498"/>
    <w:rsid w:val="005A0D63"/>
    <w:rsid w:val="005A138B"/>
    <w:rsid w:val="005A5073"/>
    <w:rsid w:val="005B02C7"/>
    <w:rsid w:val="005B5016"/>
    <w:rsid w:val="005C2363"/>
    <w:rsid w:val="005C238A"/>
    <w:rsid w:val="005C36D7"/>
    <w:rsid w:val="005C4CF0"/>
    <w:rsid w:val="005C4DC3"/>
    <w:rsid w:val="005C509F"/>
    <w:rsid w:val="005C6902"/>
    <w:rsid w:val="005C7D53"/>
    <w:rsid w:val="005D0476"/>
    <w:rsid w:val="005D0E80"/>
    <w:rsid w:val="005D1B19"/>
    <w:rsid w:val="005D72EE"/>
    <w:rsid w:val="005D7AA0"/>
    <w:rsid w:val="005E039D"/>
    <w:rsid w:val="005E0512"/>
    <w:rsid w:val="005E1944"/>
    <w:rsid w:val="005E36AC"/>
    <w:rsid w:val="005E3D05"/>
    <w:rsid w:val="005E3FF5"/>
    <w:rsid w:val="005E577B"/>
    <w:rsid w:val="005E737E"/>
    <w:rsid w:val="005F1C44"/>
    <w:rsid w:val="005F1CE8"/>
    <w:rsid w:val="005F2153"/>
    <w:rsid w:val="005F27A5"/>
    <w:rsid w:val="005F2B80"/>
    <w:rsid w:val="005F6A09"/>
    <w:rsid w:val="00601BD1"/>
    <w:rsid w:val="00601F38"/>
    <w:rsid w:val="00603F6A"/>
    <w:rsid w:val="00604394"/>
    <w:rsid w:val="00604485"/>
    <w:rsid w:val="00605AA9"/>
    <w:rsid w:val="00605EEE"/>
    <w:rsid w:val="00611503"/>
    <w:rsid w:val="00612CC6"/>
    <w:rsid w:val="00613257"/>
    <w:rsid w:val="00613440"/>
    <w:rsid w:val="00613819"/>
    <w:rsid w:val="00613F54"/>
    <w:rsid w:val="0062112D"/>
    <w:rsid w:val="006220CA"/>
    <w:rsid w:val="00624218"/>
    <w:rsid w:val="00625C6A"/>
    <w:rsid w:val="00625C83"/>
    <w:rsid w:val="006263A6"/>
    <w:rsid w:val="00626B98"/>
    <w:rsid w:val="00627D1C"/>
    <w:rsid w:val="006312DA"/>
    <w:rsid w:val="00633100"/>
    <w:rsid w:val="00633F96"/>
    <w:rsid w:val="00634024"/>
    <w:rsid w:val="00634ACE"/>
    <w:rsid w:val="00634F81"/>
    <w:rsid w:val="006353C9"/>
    <w:rsid w:val="0063541B"/>
    <w:rsid w:val="0063595F"/>
    <w:rsid w:val="006374D0"/>
    <w:rsid w:val="00637A95"/>
    <w:rsid w:val="00642A7B"/>
    <w:rsid w:val="0064472A"/>
    <w:rsid w:val="00644F8B"/>
    <w:rsid w:val="0064507A"/>
    <w:rsid w:val="00645814"/>
    <w:rsid w:val="006461E8"/>
    <w:rsid w:val="00647F2E"/>
    <w:rsid w:val="0065114C"/>
    <w:rsid w:val="00651870"/>
    <w:rsid w:val="00653EA0"/>
    <w:rsid w:val="00654106"/>
    <w:rsid w:val="00655D37"/>
    <w:rsid w:val="00656A09"/>
    <w:rsid w:val="00661DF2"/>
    <w:rsid w:val="00664200"/>
    <w:rsid w:val="00664CD6"/>
    <w:rsid w:val="00664EDF"/>
    <w:rsid w:val="0066562B"/>
    <w:rsid w:val="00665878"/>
    <w:rsid w:val="00666010"/>
    <w:rsid w:val="00666711"/>
    <w:rsid w:val="00670A43"/>
    <w:rsid w:val="00671E7A"/>
    <w:rsid w:val="00673560"/>
    <w:rsid w:val="0067752B"/>
    <w:rsid w:val="0068007E"/>
    <w:rsid w:val="0068131F"/>
    <w:rsid w:val="006815F5"/>
    <w:rsid w:val="00682664"/>
    <w:rsid w:val="006832DC"/>
    <w:rsid w:val="006873E4"/>
    <w:rsid w:val="006903D5"/>
    <w:rsid w:val="00690CED"/>
    <w:rsid w:val="00693D3A"/>
    <w:rsid w:val="0069460C"/>
    <w:rsid w:val="006950EF"/>
    <w:rsid w:val="00696A48"/>
    <w:rsid w:val="00697D05"/>
    <w:rsid w:val="006A02F1"/>
    <w:rsid w:val="006A0642"/>
    <w:rsid w:val="006A0D25"/>
    <w:rsid w:val="006A3892"/>
    <w:rsid w:val="006A6808"/>
    <w:rsid w:val="006A687F"/>
    <w:rsid w:val="006B0F2F"/>
    <w:rsid w:val="006B2B98"/>
    <w:rsid w:val="006B708C"/>
    <w:rsid w:val="006C125E"/>
    <w:rsid w:val="006C144C"/>
    <w:rsid w:val="006C21FC"/>
    <w:rsid w:val="006C2FD2"/>
    <w:rsid w:val="006C3E45"/>
    <w:rsid w:val="006C3FE2"/>
    <w:rsid w:val="006C6D32"/>
    <w:rsid w:val="006D4532"/>
    <w:rsid w:val="006D4821"/>
    <w:rsid w:val="006D4A85"/>
    <w:rsid w:val="006D50E4"/>
    <w:rsid w:val="006D713B"/>
    <w:rsid w:val="006D716D"/>
    <w:rsid w:val="006E570F"/>
    <w:rsid w:val="006E59FA"/>
    <w:rsid w:val="006E6C65"/>
    <w:rsid w:val="006F02D5"/>
    <w:rsid w:val="006F0C99"/>
    <w:rsid w:val="006F1407"/>
    <w:rsid w:val="006F1B14"/>
    <w:rsid w:val="006F2A05"/>
    <w:rsid w:val="006F3038"/>
    <w:rsid w:val="006F3D98"/>
    <w:rsid w:val="006F6522"/>
    <w:rsid w:val="006F6B99"/>
    <w:rsid w:val="006F6CD3"/>
    <w:rsid w:val="006F6F45"/>
    <w:rsid w:val="006F77EC"/>
    <w:rsid w:val="00700B97"/>
    <w:rsid w:val="0070180D"/>
    <w:rsid w:val="007019EC"/>
    <w:rsid w:val="00701E01"/>
    <w:rsid w:val="00703EEC"/>
    <w:rsid w:val="0070407C"/>
    <w:rsid w:val="007061C5"/>
    <w:rsid w:val="007062DB"/>
    <w:rsid w:val="00706B74"/>
    <w:rsid w:val="007078B9"/>
    <w:rsid w:val="0071091C"/>
    <w:rsid w:val="0071113D"/>
    <w:rsid w:val="007122B9"/>
    <w:rsid w:val="007125A2"/>
    <w:rsid w:val="00712852"/>
    <w:rsid w:val="0071418F"/>
    <w:rsid w:val="0071566E"/>
    <w:rsid w:val="00716471"/>
    <w:rsid w:val="00720338"/>
    <w:rsid w:val="00720508"/>
    <w:rsid w:val="007205BD"/>
    <w:rsid w:val="007222B3"/>
    <w:rsid w:val="00722A03"/>
    <w:rsid w:val="007242C3"/>
    <w:rsid w:val="00725A19"/>
    <w:rsid w:val="00727C01"/>
    <w:rsid w:val="0073019E"/>
    <w:rsid w:val="00730642"/>
    <w:rsid w:val="00730785"/>
    <w:rsid w:val="00732DEB"/>
    <w:rsid w:val="00733D28"/>
    <w:rsid w:val="007344AC"/>
    <w:rsid w:val="00740553"/>
    <w:rsid w:val="007416AF"/>
    <w:rsid w:val="00743AC6"/>
    <w:rsid w:val="007452A0"/>
    <w:rsid w:val="00745604"/>
    <w:rsid w:val="007458D4"/>
    <w:rsid w:val="00745BB0"/>
    <w:rsid w:val="00745EE5"/>
    <w:rsid w:val="007461C5"/>
    <w:rsid w:val="0074669D"/>
    <w:rsid w:val="007466BC"/>
    <w:rsid w:val="007502F8"/>
    <w:rsid w:val="00750554"/>
    <w:rsid w:val="00753A23"/>
    <w:rsid w:val="00753C04"/>
    <w:rsid w:val="00753EB6"/>
    <w:rsid w:val="0076134A"/>
    <w:rsid w:val="007623D1"/>
    <w:rsid w:val="007630AE"/>
    <w:rsid w:val="0076332C"/>
    <w:rsid w:val="00763828"/>
    <w:rsid w:val="00763D59"/>
    <w:rsid w:val="007658E2"/>
    <w:rsid w:val="00771B1F"/>
    <w:rsid w:val="007727FE"/>
    <w:rsid w:val="00773310"/>
    <w:rsid w:val="00773AFF"/>
    <w:rsid w:val="00775391"/>
    <w:rsid w:val="00775CAD"/>
    <w:rsid w:val="0077604F"/>
    <w:rsid w:val="007801C8"/>
    <w:rsid w:val="0078052D"/>
    <w:rsid w:val="00782240"/>
    <w:rsid w:val="00783A7B"/>
    <w:rsid w:val="007852D9"/>
    <w:rsid w:val="007869E9"/>
    <w:rsid w:val="00790BDE"/>
    <w:rsid w:val="00791824"/>
    <w:rsid w:val="00792766"/>
    <w:rsid w:val="00792CAF"/>
    <w:rsid w:val="00793D34"/>
    <w:rsid w:val="007947B3"/>
    <w:rsid w:val="0079487E"/>
    <w:rsid w:val="007964B5"/>
    <w:rsid w:val="00797715"/>
    <w:rsid w:val="00797732"/>
    <w:rsid w:val="007A1933"/>
    <w:rsid w:val="007A1E9C"/>
    <w:rsid w:val="007A3083"/>
    <w:rsid w:val="007A3D2F"/>
    <w:rsid w:val="007A3E40"/>
    <w:rsid w:val="007A449F"/>
    <w:rsid w:val="007A456E"/>
    <w:rsid w:val="007A513F"/>
    <w:rsid w:val="007A5784"/>
    <w:rsid w:val="007B1269"/>
    <w:rsid w:val="007B3B36"/>
    <w:rsid w:val="007B6B8E"/>
    <w:rsid w:val="007B6EC9"/>
    <w:rsid w:val="007C2C68"/>
    <w:rsid w:val="007C2C98"/>
    <w:rsid w:val="007C3077"/>
    <w:rsid w:val="007C43A0"/>
    <w:rsid w:val="007C5E8D"/>
    <w:rsid w:val="007C7645"/>
    <w:rsid w:val="007C7FAC"/>
    <w:rsid w:val="007D1A3B"/>
    <w:rsid w:val="007D1BA5"/>
    <w:rsid w:val="007D244F"/>
    <w:rsid w:val="007D36BD"/>
    <w:rsid w:val="007D37A2"/>
    <w:rsid w:val="007D3C41"/>
    <w:rsid w:val="007D41A4"/>
    <w:rsid w:val="007D655C"/>
    <w:rsid w:val="007D698D"/>
    <w:rsid w:val="007D7F4F"/>
    <w:rsid w:val="007E0E30"/>
    <w:rsid w:val="007E1A58"/>
    <w:rsid w:val="007E1C8F"/>
    <w:rsid w:val="007E21E8"/>
    <w:rsid w:val="007E37B6"/>
    <w:rsid w:val="007E4834"/>
    <w:rsid w:val="007E543C"/>
    <w:rsid w:val="007E54A9"/>
    <w:rsid w:val="007E5FA0"/>
    <w:rsid w:val="007E63BB"/>
    <w:rsid w:val="007E731B"/>
    <w:rsid w:val="007E7B74"/>
    <w:rsid w:val="007F038E"/>
    <w:rsid w:val="007F11CE"/>
    <w:rsid w:val="007F2E34"/>
    <w:rsid w:val="007F4A04"/>
    <w:rsid w:val="007F57DA"/>
    <w:rsid w:val="007F6A1D"/>
    <w:rsid w:val="00801017"/>
    <w:rsid w:val="00801041"/>
    <w:rsid w:val="00803EE7"/>
    <w:rsid w:val="00804162"/>
    <w:rsid w:val="008043B5"/>
    <w:rsid w:val="00806BFF"/>
    <w:rsid w:val="00806CE3"/>
    <w:rsid w:val="00807044"/>
    <w:rsid w:val="0080726F"/>
    <w:rsid w:val="008073FE"/>
    <w:rsid w:val="00807951"/>
    <w:rsid w:val="00810505"/>
    <w:rsid w:val="00810B47"/>
    <w:rsid w:val="00812AD2"/>
    <w:rsid w:val="00814022"/>
    <w:rsid w:val="0081455E"/>
    <w:rsid w:val="00814950"/>
    <w:rsid w:val="00814DF0"/>
    <w:rsid w:val="00816845"/>
    <w:rsid w:val="00817D1A"/>
    <w:rsid w:val="008202E2"/>
    <w:rsid w:val="008209DD"/>
    <w:rsid w:val="008214A7"/>
    <w:rsid w:val="00821A1B"/>
    <w:rsid w:val="008231B7"/>
    <w:rsid w:val="00823B9E"/>
    <w:rsid w:val="00826153"/>
    <w:rsid w:val="00827020"/>
    <w:rsid w:val="00830924"/>
    <w:rsid w:val="008320A2"/>
    <w:rsid w:val="00832D2E"/>
    <w:rsid w:val="00832F55"/>
    <w:rsid w:val="00834114"/>
    <w:rsid w:val="00835904"/>
    <w:rsid w:val="00835ED3"/>
    <w:rsid w:val="008361F3"/>
    <w:rsid w:val="008404C2"/>
    <w:rsid w:val="008407EE"/>
    <w:rsid w:val="0084109C"/>
    <w:rsid w:val="0084191B"/>
    <w:rsid w:val="00844A95"/>
    <w:rsid w:val="0084738F"/>
    <w:rsid w:val="0084780F"/>
    <w:rsid w:val="008502FB"/>
    <w:rsid w:val="008505EE"/>
    <w:rsid w:val="008517EC"/>
    <w:rsid w:val="00852D01"/>
    <w:rsid w:val="00854B9F"/>
    <w:rsid w:val="00854F1E"/>
    <w:rsid w:val="00856EAB"/>
    <w:rsid w:val="00857461"/>
    <w:rsid w:val="008620AF"/>
    <w:rsid w:val="008640F4"/>
    <w:rsid w:val="00864EF2"/>
    <w:rsid w:val="00865674"/>
    <w:rsid w:val="008668F5"/>
    <w:rsid w:val="008725B7"/>
    <w:rsid w:val="00872B2A"/>
    <w:rsid w:val="00873647"/>
    <w:rsid w:val="008745DA"/>
    <w:rsid w:val="008806D3"/>
    <w:rsid w:val="008810D0"/>
    <w:rsid w:val="00881C0A"/>
    <w:rsid w:val="008835E2"/>
    <w:rsid w:val="008839BD"/>
    <w:rsid w:val="00885268"/>
    <w:rsid w:val="00885B76"/>
    <w:rsid w:val="008860CB"/>
    <w:rsid w:val="00891E6D"/>
    <w:rsid w:val="00891E76"/>
    <w:rsid w:val="00892B39"/>
    <w:rsid w:val="00892DBC"/>
    <w:rsid w:val="008934DB"/>
    <w:rsid w:val="008A3D0B"/>
    <w:rsid w:val="008A5A80"/>
    <w:rsid w:val="008A5B25"/>
    <w:rsid w:val="008A7203"/>
    <w:rsid w:val="008B0E15"/>
    <w:rsid w:val="008B139D"/>
    <w:rsid w:val="008B16BE"/>
    <w:rsid w:val="008B3A4B"/>
    <w:rsid w:val="008B423C"/>
    <w:rsid w:val="008B4634"/>
    <w:rsid w:val="008B539E"/>
    <w:rsid w:val="008B56A2"/>
    <w:rsid w:val="008B5929"/>
    <w:rsid w:val="008B710E"/>
    <w:rsid w:val="008C05CC"/>
    <w:rsid w:val="008C329D"/>
    <w:rsid w:val="008C3BD8"/>
    <w:rsid w:val="008D2367"/>
    <w:rsid w:val="008D2E83"/>
    <w:rsid w:val="008D4BED"/>
    <w:rsid w:val="008D5905"/>
    <w:rsid w:val="008D5C69"/>
    <w:rsid w:val="008D69AF"/>
    <w:rsid w:val="008D7171"/>
    <w:rsid w:val="008E1C56"/>
    <w:rsid w:val="008E2932"/>
    <w:rsid w:val="008E2F43"/>
    <w:rsid w:val="008E323A"/>
    <w:rsid w:val="008E7172"/>
    <w:rsid w:val="008F002D"/>
    <w:rsid w:val="008F0E3D"/>
    <w:rsid w:val="008F29F4"/>
    <w:rsid w:val="008F2A66"/>
    <w:rsid w:val="008F2BBC"/>
    <w:rsid w:val="008F313B"/>
    <w:rsid w:val="008F47DF"/>
    <w:rsid w:val="008F5B53"/>
    <w:rsid w:val="008F6859"/>
    <w:rsid w:val="008F6DC3"/>
    <w:rsid w:val="008F76EF"/>
    <w:rsid w:val="008F7886"/>
    <w:rsid w:val="00903943"/>
    <w:rsid w:val="00905096"/>
    <w:rsid w:val="00905B74"/>
    <w:rsid w:val="00905DCB"/>
    <w:rsid w:val="00906FE3"/>
    <w:rsid w:val="00907397"/>
    <w:rsid w:val="0091044B"/>
    <w:rsid w:val="00910644"/>
    <w:rsid w:val="00911124"/>
    <w:rsid w:val="00912699"/>
    <w:rsid w:val="00913039"/>
    <w:rsid w:val="009130EE"/>
    <w:rsid w:val="00915134"/>
    <w:rsid w:val="009162E2"/>
    <w:rsid w:val="00921125"/>
    <w:rsid w:val="009215E9"/>
    <w:rsid w:val="0092165C"/>
    <w:rsid w:val="0092302B"/>
    <w:rsid w:val="00924690"/>
    <w:rsid w:val="009268FB"/>
    <w:rsid w:val="00927E93"/>
    <w:rsid w:val="009318DD"/>
    <w:rsid w:val="00933684"/>
    <w:rsid w:val="009337FB"/>
    <w:rsid w:val="00941785"/>
    <w:rsid w:val="00942E41"/>
    <w:rsid w:val="00943872"/>
    <w:rsid w:val="00946723"/>
    <w:rsid w:val="0094673C"/>
    <w:rsid w:val="00947FAC"/>
    <w:rsid w:val="009519CF"/>
    <w:rsid w:val="00951B91"/>
    <w:rsid w:val="00952205"/>
    <w:rsid w:val="00953FA7"/>
    <w:rsid w:val="00956E02"/>
    <w:rsid w:val="00960C9C"/>
    <w:rsid w:val="00962A07"/>
    <w:rsid w:val="0096342F"/>
    <w:rsid w:val="00965CFD"/>
    <w:rsid w:val="00965EF3"/>
    <w:rsid w:val="00966D83"/>
    <w:rsid w:val="00970044"/>
    <w:rsid w:val="00970347"/>
    <w:rsid w:val="009709EF"/>
    <w:rsid w:val="00972B05"/>
    <w:rsid w:val="00973CB8"/>
    <w:rsid w:val="009746C0"/>
    <w:rsid w:val="00974A3B"/>
    <w:rsid w:val="00975463"/>
    <w:rsid w:val="00976ACB"/>
    <w:rsid w:val="00976C2A"/>
    <w:rsid w:val="00980060"/>
    <w:rsid w:val="009806BC"/>
    <w:rsid w:val="009821B1"/>
    <w:rsid w:val="00982724"/>
    <w:rsid w:val="00982ACB"/>
    <w:rsid w:val="009834C6"/>
    <w:rsid w:val="00983B9E"/>
    <w:rsid w:val="0098537C"/>
    <w:rsid w:val="00985B7C"/>
    <w:rsid w:val="009870F1"/>
    <w:rsid w:val="0099143B"/>
    <w:rsid w:val="00992111"/>
    <w:rsid w:val="00992B21"/>
    <w:rsid w:val="00992B71"/>
    <w:rsid w:val="00993B63"/>
    <w:rsid w:val="00995F86"/>
    <w:rsid w:val="009960D9"/>
    <w:rsid w:val="00996396"/>
    <w:rsid w:val="00996BE6"/>
    <w:rsid w:val="00997794"/>
    <w:rsid w:val="009A0417"/>
    <w:rsid w:val="009A0724"/>
    <w:rsid w:val="009A0EAA"/>
    <w:rsid w:val="009A1313"/>
    <w:rsid w:val="009A17AC"/>
    <w:rsid w:val="009A4A37"/>
    <w:rsid w:val="009A4B20"/>
    <w:rsid w:val="009A57ED"/>
    <w:rsid w:val="009A5882"/>
    <w:rsid w:val="009A5BDA"/>
    <w:rsid w:val="009B084B"/>
    <w:rsid w:val="009B11E6"/>
    <w:rsid w:val="009B18A6"/>
    <w:rsid w:val="009B1D79"/>
    <w:rsid w:val="009B2C49"/>
    <w:rsid w:val="009B2D1F"/>
    <w:rsid w:val="009B470F"/>
    <w:rsid w:val="009B4766"/>
    <w:rsid w:val="009B5694"/>
    <w:rsid w:val="009B5843"/>
    <w:rsid w:val="009B6061"/>
    <w:rsid w:val="009C07F8"/>
    <w:rsid w:val="009C0AE9"/>
    <w:rsid w:val="009C1011"/>
    <w:rsid w:val="009C1E55"/>
    <w:rsid w:val="009C51CE"/>
    <w:rsid w:val="009D1867"/>
    <w:rsid w:val="009D2BCE"/>
    <w:rsid w:val="009D2E8A"/>
    <w:rsid w:val="009D31BD"/>
    <w:rsid w:val="009D3F33"/>
    <w:rsid w:val="009D41F4"/>
    <w:rsid w:val="009D4270"/>
    <w:rsid w:val="009D7CEE"/>
    <w:rsid w:val="009E0F9C"/>
    <w:rsid w:val="009E2813"/>
    <w:rsid w:val="009E3705"/>
    <w:rsid w:val="009E3B74"/>
    <w:rsid w:val="009E43B8"/>
    <w:rsid w:val="009E4D9A"/>
    <w:rsid w:val="009E617A"/>
    <w:rsid w:val="009E73AF"/>
    <w:rsid w:val="009F148C"/>
    <w:rsid w:val="009F2809"/>
    <w:rsid w:val="009F3AD8"/>
    <w:rsid w:val="009F4216"/>
    <w:rsid w:val="009F4E44"/>
    <w:rsid w:val="009F4F4E"/>
    <w:rsid w:val="009F6FFB"/>
    <w:rsid w:val="00A004E3"/>
    <w:rsid w:val="00A010E9"/>
    <w:rsid w:val="00A023FE"/>
    <w:rsid w:val="00A02EA6"/>
    <w:rsid w:val="00A043B3"/>
    <w:rsid w:val="00A04B60"/>
    <w:rsid w:val="00A055C5"/>
    <w:rsid w:val="00A05C11"/>
    <w:rsid w:val="00A06067"/>
    <w:rsid w:val="00A06A1B"/>
    <w:rsid w:val="00A10F3D"/>
    <w:rsid w:val="00A1247D"/>
    <w:rsid w:val="00A14B53"/>
    <w:rsid w:val="00A15475"/>
    <w:rsid w:val="00A15CD0"/>
    <w:rsid w:val="00A16027"/>
    <w:rsid w:val="00A166FA"/>
    <w:rsid w:val="00A17801"/>
    <w:rsid w:val="00A2071B"/>
    <w:rsid w:val="00A208B1"/>
    <w:rsid w:val="00A21494"/>
    <w:rsid w:val="00A245B4"/>
    <w:rsid w:val="00A24B2D"/>
    <w:rsid w:val="00A25C4B"/>
    <w:rsid w:val="00A271D6"/>
    <w:rsid w:val="00A275D1"/>
    <w:rsid w:val="00A32815"/>
    <w:rsid w:val="00A3317F"/>
    <w:rsid w:val="00A4265A"/>
    <w:rsid w:val="00A440BF"/>
    <w:rsid w:val="00A4502C"/>
    <w:rsid w:val="00A46E43"/>
    <w:rsid w:val="00A47CAF"/>
    <w:rsid w:val="00A50B7B"/>
    <w:rsid w:val="00A51A84"/>
    <w:rsid w:val="00A5232E"/>
    <w:rsid w:val="00A53BC4"/>
    <w:rsid w:val="00A5569C"/>
    <w:rsid w:val="00A556FD"/>
    <w:rsid w:val="00A578FF"/>
    <w:rsid w:val="00A57BFF"/>
    <w:rsid w:val="00A60E33"/>
    <w:rsid w:val="00A61595"/>
    <w:rsid w:val="00A61FCF"/>
    <w:rsid w:val="00A6227E"/>
    <w:rsid w:val="00A64D3A"/>
    <w:rsid w:val="00A65776"/>
    <w:rsid w:val="00A66854"/>
    <w:rsid w:val="00A67661"/>
    <w:rsid w:val="00A67DA5"/>
    <w:rsid w:val="00A725A2"/>
    <w:rsid w:val="00A73670"/>
    <w:rsid w:val="00A73CFB"/>
    <w:rsid w:val="00A8010F"/>
    <w:rsid w:val="00A80814"/>
    <w:rsid w:val="00A82AA2"/>
    <w:rsid w:val="00A833A4"/>
    <w:rsid w:val="00A83E9F"/>
    <w:rsid w:val="00A85B3D"/>
    <w:rsid w:val="00A862A7"/>
    <w:rsid w:val="00A905D6"/>
    <w:rsid w:val="00A93FE8"/>
    <w:rsid w:val="00A94D45"/>
    <w:rsid w:val="00A95BC1"/>
    <w:rsid w:val="00A96429"/>
    <w:rsid w:val="00A9750B"/>
    <w:rsid w:val="00AA0861"/>
    <w:rsid w:val="00AA26B6"/>
    <w:rsid w:val="00AA565B"/>
    <w:rsid w:val="00AA5E3E"/>
    <w:rsid w:val="00AB03C4"/>
    <w:rsid w:val="00AB03F2"/>
    <w:rsid w:val="00AB0B66"/>
    <w:rsid w:val="00AB144E"/>
    <w:rsid w:val="00AB2765"/>
    <w:rsid w:val="00AB47B9"/>
    <w:rsid w:val="00AB59F4"/>
    <w:rsid w:val="00AB7250"/>
    <w:rsid w:val="00AC248D"/>
    <w:rsid w:val="00AC26D3"/>
    <w:rsid w:val="00AC2DA5"/>
    <w:rsid w:val="00AC4ED6"/>
    <w:rsid w:val="00AC521B"/>
    <w:rsid w:val="00AC555B"/>
    <w:rsid w:val="00AD0681"/>
    <w:rsid w:val="00AD20A3"/>
    <w:rsid w:val="00AD21D0"/>
    <w:rsid w:val="00AD24E3"/>
    <w:rsid w:val="00AD364A"/>
    <w:rsid w:val="00AD391B"/>
    <w:rsid w:val="00AD48D6"/>
    <w:rsid w:val="00AD5503"/>
    <w:rsid w:val="00AD67FD"/>
    <w:rsid w:val="00AD756E"/>
    <w:rsid w:val="00AE54F7"/>
    <w:rsid w:val="00AE5BEE"/>
    <w:rsid w:val="00AE5C97"/>
    <w:rsid w:val="00AF1FB7"/>
    <w:rsid w:val="00AF269D"/>
    <w:rsid w:val="00AF3DB7"/>
    <w:rsid w:val="00AF48E4"/>
    <w:rsid w:val="00AF65B5"/>
    <w:rsid w:val="00AF6665"/>
    <w:rsid w:val="00AF7160"/>
    <w:rsid w:val="00B0291D"/>
    <w:rsid w:val="00B040A3"/>
    <w:rsid w:val="00B04447"/>
    <w:rsid w:val="00B04594"/>
    <w:rsid w:val="00B047CB"/>
    <w:rsid w:val="00B129C5"/>
    <w:rsid w:val="00B1327C"/>
    <w:rsid w:val="00B14704"/>
    <w:rsid w:val="00B15712"/>
    <w:rsid w:val="00B17939"/>
    <w:rsid w:val="00B207C4"/>
    <w:rsid w:val="00B20962"/>
    <w:rsid w:val="00B236D9"/>
    <w:rsid w:val="00B25749"/>
    <w:rsid w:val="00B25D05"/>
    <w:rsid w:val="00B25ED8"/>
    <w:rsid w:val="00B2670C"/>
    <w:rsid w:val="00B26DE7"/>
    <w:rsid w:val="00B30725"/>
    <w:rsid w:val="00B3107B"/>
    <w:rsid w:val="00B319AE"/>
    <w:rsid w:val="00B33C4A"/>
    <w:rsid w:val="00B35AB5"/>
    <w:rsid w:val="00B36F1D"/>
    <w:rsid w:val="00B37CE5"/>
    <w:rsid w:val="00B40460"/>
    <w:rsid w:val="00B43B90"/>
    <w:rsid w:val="00B440A2"/>
    <w:rsid w:val="00B44B44"/>
    <w:rsid w:val="00B4519C"/>
    <w:rsid w:val="00B453F8"/>
    <w:rsid w:val="00B46F4B"/>
    <w:rsid w:val="00B47758"/>
    <w:rsid w:val="00B50BF5"/>
    <w:rsid w:val="00B510FA"/>
    <w:rsid w:val="00B519FF"/>
    <w:rsid w:val="00B61A93"/>
    <w:rsid w:val="00B62493"/>
    <w:rsid w:val="00B63D5F"/>
    <w:rsid w:val="00B67342"/>
    <w:rsid w:val="00B70E10"/>
    <w:rsid w:val="00B73766"/>
    <w:rsid w:val="00B778C2"/>
    <w:rsid w:val="00B80B06"/>
    <w:rsid w:val="00B81D90"/>
    <w:rsid w:val="00B82DED"/>
    <w:rsid w:val="00B83BF9"/>
    <w:rsid w:val="00B867B7"/>
    <w:rsid w:val="00B90D47"/>
    <w:rsid w:val="00B9195B"/>
    <w:rsid w:val="00B92331"/>
    <w:rsid w:val="00B93221"/>
    <w:rsid w:val="00B942BD"/>
    <w:rsid w:val="00B94D97"/>
    <w:rsid w:val="00B9509E"/>
    <w:rsid w:val="00B9517B"/>
    <w:rsid w:val="00B96741"/>
    <w:rsid w:val="00B97567"/>
    <w:rsid w:val="00BA09EB"/>
    <w:rsid w:val="00BA12D8"/>
    <w:rsid w:val="00BA1406"/>
    <w:rsid w:val="00BA1D8A"/>
    <w:rsid w:val="00BA2155"/>
    <w:rsid w:val="00BA232C"/>
    <w:rsid w:val="00BA2772"/>
    <w:rsid w:val="00BA358E"/>
    <w:rsid w:val="00BA57A8"/>
    <w:rsid w:val="00BA6184"/>
    <w:rsid w:val="00BA6282"/>
    <w:rsid w:val="00BB0A90"/>
    <w:rsid w:val="00BB1139"/>
    <w:rsid w:val="00BB5A69"/>
    <w:rsid w:val="00BC1568"/>
    <w:rsid w:val="00BC35F2"/>
    <w:rsid w:val="00BC3A06"/>
    <w:rsid w:val="00BC4AAF"/>
    <w:rsid w:val="00BD02AB"/>
    <w:rsid w:val="00BD06DE"/>
    <w:rsid w:val="00BD0977"/>
    <w:rsid w:val="00BD0CF5"/>
    <w:rsid w:val="00BD0EC2"/>
    <w:rsid w:val="00BD31E6"/>
    <w:rsid w:val="00BD3622"/>
    <w:rsid w:val="00BD42D4"/>
    <w:rsid w:val="00BD5F4D"/>
    <w:rsid w:val="00BD6360"/>
    <w:rsid w:val="00BE06DE"/>
    <w:rsid w:val="00BE074B"/>
    <w:rsid w:val="00BE0BF9"/>
    <w:rsid w:val="00BE1BFC"/>
    <w:rsid w:val="00BE1EA9"/>
    <w:rsid w:val="00BE43F4"/>
    <w:rsid w:val="00BE4C94"/>
    <w:rsid w:val="00BE75F7"/>
    <w:rsid w:val="00BE7855"/>
    <w:rsid w:val="00BF0990"/>
    <w:rsid w:val="00BF0D77"/>
    <w:rsid w:val="00BF0E7F"/>
    <w:rsid w:val="00BF3D6B"/>
    <w:rsid w:val="00BF3DCF"/>
    <w:rsid w:val="00BF519B"/>
    <w:rsid w:val="00BF5E3F"/>
    <w:rsid w:val="00BF6736"/>
    <w:rsid w:val="00BF7625"/>
    <w:rsid w:val="00BF7B59"/>
    <w:rsid w:val="00C00F25"/>
    <w:rsid w:val="00C015AD"/>
    <w:rsid w:val="00C02FF9"/>
    <w:rsid w:val="00C03D5D"/>
    <w:rsid w:val="00C0435A"/>
    <w:rsid w:val="00C05351"/>
    <w:rsid w:val="00C07F5F"/>
    <w:rsid w:val="00C10224"/>
    <w:rsid w:val="00C10D9C"/>
    <w:rsid w:val="00C11A88"/>
    <w:rsid w:val="00C11C4F"/>
    <w:rsid w:val="00C11E27"/>
    <w:rsid w:val="00C12014"/>
    <w:rsid w:val="00C129C0"/>
    <w:rsid w:val="00C133A8"/>
    <w:rsid w:val="00C1393D"/>
    <w:rsid w:val="00C13CB0"/>
    <w:rsid w:val="00C15EB0"/>
    <w:rsid w:val="00C160AA"/>
    <w:rsid w:val="00C17084"/>
    <w:rsid w:val="00C17308"/>
    <w:rsid w:val="00C202DA"/>
    <w:rsid w:val="00C21898"/>
    <w:rsid w:val="00C23807"/>
    <w:rsid w:val="00C30616"/>
    <w:rsid w:val="00C308B6"/>
    <w:rsid w:val="00C32AA7"/>
    <w:rsid w:val="00C32C2C"/>
    <w:rsid w:val="00C33E32"/>
    <w:rsid w:val="00C35159"/>
    <w:rsid w:val="00C3541A"/>
    <w:rsid w:val="00C376E9"/>
    <w:rsid w:val="00C430CC"/>
    <w:rsid w:val="00C4334A"/>
    <w:rsid w:val="00C47BB7"/>
    <w:rsid w:val="00C5068E"/>
    <w:rsid w:val="00C518A2"/>
    <w:rsid w:val="00C544DD"/>
    <w:rsid w:val="00C54B8B"/>
    <w:rsid w:val="00C5715C"/>
    <w:rsid w:val="00C60050"/>
    <w:rsid w:val="00C60493"/>
    <w:rsid w:val="00C60831"/>
    <w:rsid w:val="00C620EF"/>
    <w:rsid w:val="00C62C36"/>
    <w:rsid w:val="00C640D2"/>
    <w:rsid w:val="00C70EB4"/>
    <w:rsid w:val="00C70F8E"/>
    <w:rsid w:val="00C723FD"/>
    <w:rsid w:val="00C724D1"/>
    <w:rsid w:val="00C72C95"/>
    <w:rsid w:val="00C7339A"/>
    <w:rsid w:val="00C73F05"/>
    <w:rsid w:val="00C75EB1"/>
    <w:rsid w:val="00C76CEA"/>
    <w:rsid w:val="00C80872"/>
    <w:rsid w:val="00C80DCD"/>
    <w:rsid w:val="00C828CF"/>
    <w:rsid w:val="00C82B72"/>
    <w:rsid w:val="00C8351D"/>
    <w:rsid w:val="00C8393A"/>
    <w:rsid w:val="00C83D03"/>
    <w:rsid w:val="00C84264"/>
    <w:rsid w:val="00C845D1"/>
    <w:rsid w:val="00C85613"/>
    <w:rsid w:val="00C856C2"/>
    <w:rsid w:val="00C868FB"/>
    <w:rsid w:val="00C86CFE"/>
    <w:rsid w:val="00C8744A"/>
    <w:rsid w:val="00C91575"/>
    <w:rsid w:val="00C92A9C"/>
    <w:rsid w:val="00C93ABD"/>
    <w:rsid w:val="00C93C61"/>
    <w:rsid w:val="00CA072A"/>
    <w:rsid w:val="00CA443E"/>
    <w:rsid w:val="00CA4CDB"/>
    <w:rsid w:val="00CA5A23"/>
    <w:rsid w:val="00CA6BAC"/>
    <w:rsid w:val="00CA75A4"/>
    <w:rsid w:val="00CB0293"/>
    <w:rsid w:val="00CB0AC0"/>
    <w:rsid w:val="00CB0D9F"/>
    <w:rsid w:val="00CB18AD"/>
    <w:rsid w:val="00CB2E3C"/>
    <w:rsid w:val="00CB3572"/>
    <w:rsid w:val="00CB3581"/>
    <w:rsid w:val="00CB4F32"/>
    <w:rsid w:val="00CB587D"/>
    <w:rsid w:val="00CB6581"/>
    <w:rsid w:val="00CB77BA"/>
    <w:rsid w:val="00CC1021"/>
    <w:rsid w:val="00CC1723"/>
    <w:rsid w:val="00CC1C76"/>
    <w:rsid w:val="00CC245D"/>
    <w:rsid w:val="00CC65BC"/>
    <w:rsid w:val="00CC6E62"/>
    <w:rsid w:val="00CD0808"/>
    <w:rsid w:val="00CD1278"/>
    <w:rsid w:val="00CD1DBD"/>
    <w:rsid w:val="00CD1DCA"/>
    <w:rsid w:val="00CD4681"/>
    <w:rsid w:val="00CD6676"/>
    <w:rsid w:val="00CD6DCC"/>
    <w:rsid w:val="00CE0C86"/>
    <w:rsid w:val="00CE3F91"/>
    <w:rsid w:val="00CE4037"/>
    <w:rsid w:val="00CE59AD"/>
    <w:rsid w:val="00CE6834"/>
    <w:rsid w:val="00CE79D6"/>
    <w:rsid w:val="00CF0576"/>
    <w:rsid w:val="00CF064F"/>
    <w:rsid w:val="00CF0C8B"/>
    <w:rsid w:val="00CF2B91"/>
    <w:rsid w:val="00CF5D01"/>
    <w:rsid w:val="00CF703F"/>
    <w:rsid w:val="00D01422"/>
    <w:rsid w:val="00D02AF1"/>
    <w:rsid w:val="00D03109"/>
    <w:rsid w:val="00D032D0"/>
    <w:rsid w:val="00D04002"/>
    <w:rsid w:val="00D040D0"/>
    <w:rsid w:val="00D05F49"/>
    <w:rsid w:val="00D07912"/>
    <w:rsid w:val="00D11B6A"/>
    <w:rsid w:val="00D12333"/>
    <w:rsid w:val="00D2140A"/>
    <w:rsid w:val="00D226E0"/>
    <w:rsid w:val="00D2429C"/>
    <w:rsid w:val="00D251D9"/>
    <w:rsid w:val="00D25E81"/>
    <w:rsid w:val="00D26580"/>
    <w:rsid w:val="00D26D09"/>
    <w:rsid w:val="00D26DDC"/>
    <w:rsid w:val="00D3072E"/>
    <w:rsid w:val="00D30D05"/>
    <w:rsid w:val="00D31ECB"/>
    <w:rsid w:val="00D34B1F"/>
    <w:rsid w:val="00D41542"/>
    <w:rsid w:val="00D41B15"/>
    <w:rsid w:val="00D41BB8"/>
    <w:rsid w:val="00D42E6A"/>
    <w:rsid w:val="00D439B2"/>
    <w:rsid w:val="00D43F24"/>
    <w:rsid w:val="00D47630"/>
    <w:rsid w:val="00D502F8"/>
    <w:rsid w:val="00D51027"/>
    <w:rsid w:val="00D51922"/>
    <w:rsid w:val="00D5204D"/>
    <w:rsid w:val="00D524F5"/>
    <w:rsid w:val="00D5308D"/>
    <w:rsid w:val="00D53B84"/>
    <w:rsid w:val="00D53CCE"/>
    <w:rsid w:val="00D5439E"/>
    <w:rsid w:val="00D5524D"/>
    <w:rsid w:val="00D56832"/>
    <w:rsid w:val="00D56FD9"/>
    <w:rsid w:val="00D5700F"/>
    <w:rsid w:val="00D57B92"/>
    <w:rsid w:val="00D60F25"/>
    <w:rsid w:val="00D6139C"/>
    <w:rsid w:val="00D61BEA"/>
    <w:rsid w:val="00D61E56"/>
    <w:rsid w:val="00D6420D"/>
    <w:rsid w:val="00D64D98"/>
    <w:rsid w:val="00D66053"/>
    <w:rsid w:val="00D6775B"/>
    <w:rsid w:val="00D7057F"/>
    <w:rsid w:val="00D71235"/>
    <w:rsid w:val="00D71A2B"/>
    <w:rsid w:val="00D725CC"/>
    <w:rsid w:val="00D72D13"/>
    <w:rsid w:val="00D736F8"/>
    <w:rsid w:val="00D7501B"/>
    <w:rsid w:val="00D75D67"/>
    <w:rsid w:val="00D77AE3"/>
    <w:rsid w:val="00D84F19"/>
    <w:rsid w:val="00D85492"/>
    <w:rsid w:val="00D86672"/>
    <w:rsid w:val="00D87C4B"/>
    <w:rsid w:val="00D91265"/>
    <w:rsid w:val="00D93384"/>
    <w:rsid w:val="00D935FE"/>
    <w:rsid w:val="00D9446D"/>
    <w:rsid w:val="00D96616"/>
    <w:rsid w:val="00DA07A5"/>
    <w:rsid w:val="00DA1A87"/>
    <w:rsid w:val="00DA1DAB"/>
    <w:rsid w:val="00DA3995"/>
    <w:rsid w:val="00DA4F8F"/>
    <w:rsid w:val="00DA5F7D"/>
    <w:rsid w:val="00DA674B"/>
    <w:rsid w:val="00DB094A"/>
    <w:rsid w:val="00DB3271"/>
    <w:rsid w:val="00DB5C0D"/>
    <w:rsid w:val="00DB739D"/>
    <w:rsid w:val="00DC11F8"/>
    <w:rsid w:val="00DC1F82"/>
    <w:rsid w:val="00DC2B08"/>
    <w:rsid w:val="00DC2C8E"/>
    <w:rsid w:val="00DC2F43"/>
    <w:rsid w:val="00DC7652"/>
    <w:rsid w:val="00DD1EDA"/>
    <w:rsid w:val="00DD214C"/>
    <w:rsid w:val="00DD2E28"/>
    <w:rsid w:val="00DD47D2"/>
    <w:rsid w:val="00DD5AA5"/>
    <w:rsid w:val="00DD60B4"/>
    <w:rsid w:val="00DD74CE"/>
    <w:rsid w:val="00DD7861"/>
    <w:rsid w:val="00DE012C"/>
    <w:rsid w:val="00DE0DA6"/>
    <w:rsid w:val="00DE26DF"/>
    <w:rsid w:val="00DE369D"/>
    <w:rsid w:val="00DE4889"/>
    <w:rsid w:val="00DE726A"/>
    <w:rsid w:val="00DE72CD"/>
    <w:rsid w:val="00DF00AE"/>
    <w:rsid w:val="00DF0780"/>
    <w:rsid w:val="00DF0B60"/>
    <w:rsid w:val="00DF0B61"/>
    <w:rsid w:val="00DF22C9"/>
    <w:rsid w:val="00DF24E8"/>
    <w:rsid w:val="00DF626E"/>
    <w:rsid w:val="00DF6B5C"/>
    <w:rsid w:val="00DF78A0"/>
    <w:rsid w:val="00DF7A89"/>
    <w:rsid w:val="00E02EEB"/>
    <w:rsid w:val="00E02F36"/>
    <w:rsid w:val="00E03516"/>
    <w:rsid w:val="00E03AC0"/>
    <w:rsid w:val="00E0609C"/>
    <w:rsid w:val="00E06442"/>
    <w:rsid w:val="00E06F72"/>
    <w:rsid w:val="00E0733B"/>
    <w:rsid w:val="00E07495"/>
    <w:rsid w:val="00E10027"/>
    <w:rsid w:val="00E11770"/>
    <w:rsid w:val="00E13096"/>
    <w:rsid w:val="00E156E4"/>
    <w:rsid w:val="00E15767"/>
    <w:rsid w:val="00E17BB3"/>
    <w:rsid w:val="00E21FAA"/>
    <w:rsid w:val="00E22828"/>
    <w:rsid w:val="00E22ADB"/>
    <w:rsid w:val="00E230E3"/>
    <w:rsid w:val="00E303EA"/>
    <w:rsid w:val="00E31568"/>
    <w:rsid w:val="00E31841"/>
    <w:rsid w:val="00E34AE1"/>
    <w:rsid w:val="00E3502F"/>
    <w:rsid w:val="00E3648F"/>
    <w:rsid w:val="00E37CDB"/>
    <w:rsid w:val="00E4071D"/>
    <w:rsid w:val="00E41A73"/>
    <w:rsid w:val="00E41ABF"/>
    <w:rsid w:val="00E41F53"/>
    <w:rsid w:val="00E45694"/>
    <w:rsid w:val="00E457DC"/>
    <w:rsid w:val="00E458BD"/>
    <w:rsid w:val="00E46018"/>
    <w:rsid w:val="00E461FD"/>
    <w:rsid w:val="00E46691"/>
    <w:rsid w:val="00E46C5A"/>
    <w:rsid w:val="00E50194"/>
    <w:rsid w:val="00E51414"/>
    <w:rsid w:val="00E535F5"/>
    <w:rsid w:val="00E53B64"/>
    <w:rsid w:val="00E544B3"/>
    <w:rsid w:val="00E544F7"/>
    <w:rsid w:val="00E547DC"/>
    <w:rsid w:val="00E56078"/>
    <w:rsid w:val="00E5637A"/>
    <w:rsid w:val="00E568F0"/>
    <w:rsid w:val="00E576D7"/>
    <w:rsid w:val="00E60321"/>
    <w:rsid w:val="00E60D07"/>
    <w:rsid w:val="00E6332B"/>
    <w:rsid w:val="00E7278C"/>
    <w:rsid w:val="00E7353E"/>
    <w:rsid w:val="00E7354F"/>
    <w:rsid w:val="00E73F8E"/>
    <w:rsid w:val="00E74598"/>
    <w:rsid w:val="00E74DA4"/>
    <w:rsid w:val="00E76DB2"/>
    <w:rsid w:val="00E84835"/>
    <w:rsid w:val="00E84B92"/>
    <w:rsid w:val="00E862C6"/>
    <w:rsid w:val="00E87543"/>
    <w:rsid w:val="00E900A0"/>
    <w:rsid w:val="00E91845"/>
    <w:rsid w:val="00E91ED4"/>
    <w:rsid w:val="00E924A1"/>
    <w:rsid w:val="00E94A25"/>
    <w:rsid w:val="00E955A6"/>
    <w:rsid w:val="00E962A5"/>
    <w:rsid w:val="00E96661"/>
    <w:rsid w:val="00EA0127"/>
    <w:rsid w:val="00EA2C19"/>
    <w:rsid w:val="00EA2F88"/>
    <w:rsid w:val="00EA3447"/>
    <w:rsid w:val="00EA47E2"/>
    <w:rsid w:val="00EA57DB"/>
    <w:rsid w:val="00EA58FF"/>
    <w:rsid w:val="00EA6FF9"/>
    <w:rsid w:val="00EA7057"/>
    <w:rsid w:val="00EA76E4"/>
    <w:rsid w:val="00EB3838"/>
    <w:rsid w:val="00EB4489"/>
    <w:rsid w:val="00EB5BC0"/>
    <w:rsid w:val="00EB63DD"/>
    <w:rsid w:val="00EB69DB"/>
    <w:rsid w:val="00EB7EF4"/>
    <w:rsid w:val="00EC005F"/>
    <w:rsid w:val="00EC07F3"/>
    <w:rsid w:val="00EC2FB0"/>
    <w:rsid w:val="00EC3D4F"/>
    <w:rsid w:val="00EC40F7"/>
    <w:rsid w:val="00EC45F4"/>
    <w:rsid w:val="00EC63DB"/>
    <w:rsid w:val="00ED1C5B"/>
    <w:rsid w:val="00ED2ED2"/>
    <w:rsid w:val="00ED323D"/>
    <w:rsid w:val="00ED32A1"/>
    <w:rsid w:val="00ED3C45"/>
    <w:rsid w:val="00ED4F14"/>
    <w:rsid w:val="00ED79D4"/>
    <w:rsid w:val="00EE1F1D"/>
    <w:rsid w:val="00EE25D0"/>
    <w:rsid w:val="00EE2F08"/>
    <w:rsid w:val="00EE31FD"/>
    <w:rsid w:val="00EE7BEE"/>
    <w:rsid w:val="00EF001D"/>
    <w:rsid w:val="00EF07D0"/>
    <w:rsid w:val="00EF0C69"/>
    <w:rsid w:val="00EF119C"/>
    <w:rsid w:val="00EF13E1"/>
    <w:rsid w:val="00EF1B87"/>
    <w:rsid w:val="00EF3958"/>
    <w:rsid w:val="00EF6EB1"/>
    <w:rsid w:val="00F007FA"/>
    <w:rsid w:val="00F019BC"/>
    <w:rsid w:val="00F01E81"/>
    <w:rsid w:val="00F03F43"/>
    <w:rsid w:val="00F05B64"/>
    <w:rsid w:val="00F06BD7"/>
    <w:rsid w:val="00F071B9"/>
    <w:rsid w:val="00F076F9"/>
    <w:rsid w:val="00F07EFA"/>
    <w:rsid w:val="00F1218D"/>
    <w:rsid w:val="00F12FD0"/>
    <w:rsid w:val="00F13E3C"/>
    <w:rsid w:val="00F1481D"/>
    <w:rsid w:val="00F15AC5"/>
    <w:rsid w:val="00F2131C"/>
    <w:rsid w:val="00F21A09"/>
    <w:rsid w:val="00F22DA2"/>
    <w:rsid w:val="00F24D51"/>
    <w:rsid w:val="00F25DEA"/>
    <w:rsid w:val="00F275CE"/>
    <w:rsid w:val="00F315CB"/>
    <w:rsid w:val="00F32051"/>
    <w:rsid w:val="00F32485"/>
    <w:rsid w:val="00F33DB1"/>
    <w:rsid w:val="00F35153"/>
    <w:rsid w:val="00F36B0B"/>
    <w:rsid w:val="00F36D37"/>
    <w:rsid w:val="00F37B23"/>
    <w:rsid w:val="00F37D39"/>
    <w:rsid w:val="00F4157D"/>
    <w:rsid w:val="00F41C0E"/>
    <w:rsid w:val="00F41C1B"/>
    <w:rsid w:val="00F4234C"/>
    <w:rsid w:val="00F42458"/>
    <w:rsid w:val="00F43B4A"/>
    <w:rsid w:val="00F43DAE"/>
    <w:rsid w:val="00F447DC"/>
    <w:rsid w:val="00F44A8F"/>
    <w:rsid w:val="00F4567A"/>
    <w:rsid w:val="00F4751F"/>
    <w:rsid w:val="00F52344"/>
    <w:rsid w:val="00F54F0B"/>
    <w:rsid w:val="00F54FA7"/>
    <w:rsid w:val="00F57B8A"/>
    <w:rsid w:val="00F637FD"/>
    <w:rsid w:val="00F63B9A"/>
    <w:rsid w:val="00F63D64"/>
    <w:rsid w:val="00F64271"/>
    <w:rsid w:val="00F64977"/>
    <w:rsid w:val="00F65C4E"/>
    <w:rsid w:val="00F70B1A"/>
    <w:rsid w:val="00F720E9"/>
    <w:rsid w:val="00F73332"/>
    <w:rsid w:val="00F74F03"/>
    <w:rsid w:val="00F75B80"/>
    <w:rsid w:val="00F75F27"/>
    <w:rsid w:val="00F80A90"/>
    <w:rsid w:val="00F818D0"/>
    <w:rsid w:val="00F820A1"/>
    <w:rsid w:val="00F836D2"/>
    <w:rsid w:val="00F8382B"/>
    <w:rsid w:val="00F83ACF"/>
    <w:rsid w:val="00F84521"/>
    <w:rsid w:val="00F845B1"/>
    <w:rsid w:val="00F846FE"/>
    <w:rsid w:val="00F8575D"/>
    <w:rsid w:val="00F86E5B"/>
    <w:rsid w:val="00F9121A"/>
    <w:rsid w:val="00F92771"/>
    <w:rsid w:val="00F9531A"/>
    <w:rsid w:val="00F96C97"/>
    <w:rsid w:val="00F96CFE"/>
    <w:rsid w:val="00F97F33"/>
    <w:rsid w:val="00FA2FA2"/>
    <w:rsid w:val="00FA3007"/>
    <w:rsid w:val="00FA3056"/>
    <w:rsid w:val="00FA31FF"/>
    <w:rsid w:val="00FA390A"/>
    <w:rsid w:val="00FA5653"/>
    <w:rsid w:val="00FA5FE8"/>
    <w:rsid w:val="00FA63D5"/>
    <w:rsid w:val="00FA68DA"/>
    <w:rsid w:val="00FA751C"/>
    <w:rsid w:val="00FA7995"/>
    <w:rsid w:val="00FB04A6"/>
    <w:rsid w:val="00FB1B14"/>
    <w:rsid w:val="00FB2474"/>
    <w:rsid w:val="00FB2740"/>
    <w:rsid w:val="00FB40B4"/>
    <w:rsid w:val="00FB6754"/>
    <w:rsid w:val="00FB6ED3"/>
    <w:rsid w:val="00FC154D"/>
    <w:rsid w:val="00FC249F"/>
    <w:rsid w:val="00FC2625"/>
    <w:rsid w:val="00FC2B07"/>
    <w:rsid w:val="00FC5BA2"/>
    <w:rsid w:val="00FC79D3"/>
    <w:rsid w:val="00FD19E2"/>
    <w:rsid w:val="00FD4C39"/>
    <w:rsid w:val="00FD6C92"/>
    <w:rsid w:val="00FD743A"/>
    <w:rsid w:val="00FE0CB8"/>
    <w:rsid w:val="00FE0E0F"/>
    <w:rsid w:val="00FE1029"/>
    <w:rsid w:val="00FE12F3"/>
    <w:rsid w:val="00FE14BE"/>
    <w:rsid w:val="00FE573C"/>
    <w:rsid w:val="00FE5D59"/>
    <w:rsid w:val="00FE602D"/>
    <w:rsid w:val="00FE6DDB"/>
    <w:rsid w:val="00FF02EF"/>
    <w:rsid w:val="00FF0820"/>
    <w:rsid w:val="00FF1838"/>
    <w:rsid w:val="00FF2E32"/>
    <w:rsid w:val="00FF60FE"/>
    <w:rsid w:val="00FF63AE"/>
    <w:rsid w:val="00FF749C"/>
    <w:rsid w:val="00FF79A3"/>
    <w:rsid w:val="00FF7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9E508"/>
  <w15:chartTrackingRefBased/>
  <w15:docId w15:val="{FBB0EDF7-5F04-4F22-A34A-A03BCFD5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608"/>
    <w:rPr>
      <w:lang w:val="ro-RO"/>
    </w:rPr>
  </w:style>
  <w:style w:type="paragraph" w:styleId="1">
    <w:name w:val="heading 1"/>
    <w:basedOn w:val="a"/>
    <w:next w:val="a"/>
    <w:link w:val="10"/>
    <w:uiPriority w:val="9"/>
    <w:qFormat/>
    <w:rsid w:val="00140B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rsid w:val="00AE5BEE"/>
    <w:pPr>
      <w:keepNext/>
      <w:keepLines/>
      <w:spacing w:before="280" w:after="80"/>
      <w:outlineLvl w:val="2"/>
    </w:pPr>
    <w:rPr>
      <w:rFonts w:ascii="Calibri" w:eastAsia="Calibri" w:hAnsi="Calibri" w:cs="Calibri"/>
      <w:b/>
      <w:sz w:val="28"/>
      <w:szCs w:val="28"/>
    </w:rPr>
  </w:style>
  <w:style w:type="paragraph" w:styleId="4">
    <w:name w:val="heading 4"/>
    <w:basedOn w:val="a"/>
    <w:next w:val="a"/>
    <w:link w:val="40"/>
    <w:uiPriority w:val="9"/>
    <w:semiHidden/>
    <w:unhideWhenUsed/>
    <w:qFormat/>
    <w:rsid w:val="00AE5BE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E5BEE"/>
    <w:rPr>
      <w:rFonts w:ascii="Calibri" w:eastAsia="Calibri" w:hAnsi="Calibri" w:cs="Calibri"/>
      <w:b/>
      <w:sz w:val="28"/>
      <w:szCs w:val="28"/>
      <w:lang w:val="ro-RO"/>
    </w:rPr>
  </w:style>
  <w:style w:type="character" w:customStyle="1" w:styleId="40">
    <w:name w:val="Заголовок 4 Знак"/>
    <w:basedOn w:val="a0"/>
    <w:link w:val="4"/>
    <w:uiPriority w:val="9"/>
    <w:semiHidden/>
    <w:rsid w:val="00AE5BEE"/>
    <w:rPr>
      <w:rFonts w:asciiTheme="majorHAnsi" w:eastAsiaTheme="majorEastAsia" w:hAnsiTheme="majorHAnsi" w:cstheme="majorBidi"/>
      <w:i/>
      <w:iCs/>
      <w:color w:val="2E74B5" w:themeColor="accent1" w:themeShade="BF"/>
      <w:lang w:val="ru-RU"/>
    </w:rPr>
  </w:style>
  <w:style w:type="table" w:styleId="a3">
    <w:name w:val="Table Grid"/>
    <w:basedOn w:val="a1"/>
    <w:uiPriority w:val="39"/>
    <w:rsid w:val="00AE5B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5BEE"/>
    <w:pPr>
      <w:autoSpaceDE w:val="0"/>
      <w:autoSpaceDN w:val="0"/>
      <w:adjustRightInd w:val="0"/>
      <w:spacing w:after="0" w:line="240" w:lineRule="auto"/>
    </w:pPr>
    <w:rPr>
      <w:rFonts w:ascii="Calibri" w:hAnsi="Calibri" w:cs="Calibri"/>
      <w:color w:val="000000"/>
      <w:sz w:val="24"/>
      <w:szCs w:val="24"/>
    </w:rPr>
  </w:style>
  <w:style w:type="paragraph" w:styleId="a4">
    <w:name w:val="List Paragraph"/>
    <w:aliases w:val="Bullet Points,Liste Paragraf,Normal bullet 2,body 2,List Paragraph1,Scriptoria bullet points,HotarirePunct1,Абзац списка1,List Paragraph 1,Bullets,List Paragraph (numbered (a)),Bullet,Заголовок 3 глава,Akapit z listą BS,Outlines a.b.c."/>
    <w:basedOn w:val="a"/>
    <w:link w:val="a5"/>
    <w:uiPriority w:val="1"/>
    <w:qFormat/>
    <w:rsid w:val="00AE5BEE"/>
    <w:pPr>
      <w:ind w:left="720"/>
      <w:contextualSpacing/>
    </w:pPr>
  </w:style>
  <w:style w:type="character" w:customStyle="1" w:styleId="2">
    <w:name w:val="Основной текст (2)_"/>
    <w:basedOn w:val="a0"/>
    <w:link w:val="21"/>
    <w:uiPriority w:val="99"/>
    <w:rsid w:val="00AE5BEE"/>
    <w:rPr>
      <w:rFonts w:ascii="Times New Roman" w:hAnsi="Times New Roman" w:cs="Times New Roman"/>
      <w:sz w:val="232"/>
      <w:szCs w:val="232"/>
      <w:shd w:val="clear" w:color="auto" w:fill="FFFFFF"/>
    </w:rPr>
  </w:style>
  <w:style w:type="paragraph" w:customStyle="1" w:styleId="21">
    <w:name w:val="Основной текст (2)1"/>
    <w:basedOn w:val="a"/>
    <w:link w:val="2"/>
    <w:uiPriority w:val="99"/>
    <w:rsid w:val="00AE5BEE"/>
    <w:pPr>
      <w:widowControl w:val="0"/>
      <w:shd w:val="clear" w:color="auto" w:fill="FFFFFF"/>
      <w:spacing w:after="0" w:line="3110" w:lineRule="exact"/>
      <w:jc w:val="both"/>
    </w:pPr>
    <w:rPr>
      <w:rFonts w:ascii="Times New Roman" w:hAnsi="Times New Roman" w:cs="Times New Roman"/>
      <w:sz w:val="232"/>
      <w:szCs w:val="232"/>
      <w:lang w:val="en-US"/>
    </w:rPr>
  </w:style>
  <w:style w:type="character" w:customStyle="1" w:styleId="20">
    <w:name w:val="Основной текст (2) + Курсив"/>
    <w:basedOn w:val="2"/>
    <w:uiPriority w:val="99"/>
    <w:rsid w:val="00AE5BEE"/>
    <w:rPr>
      <w:rFonts w:ascii="Times New Roman" w:hAnsi="Times New Roman" w:cs="Times New Roman"/>
      <w:i/>
      <w:iCs/>
      <w:spacing w:val="0"/>
      <w:sz w:val="232"/>
      <w:szCs w:val="232"/>
      <w:u w:val="none"/>
      <w:shd w:val="clear" w:color="auto" w:fill="FFFFFF"/>
    </w:rPr>
  </w:style>
  <w:style w:type="character" w:customStyle="1" w:styleId="22">
    <w:name w:val="Основной текст (2) + Полужирный"/>
    <w:basedOn w:val="2"/>
    <w:uiPriority w:val="99"/>
    <w:rsid w:val="00AE5BEE"/>
    <w:rPr>
      <w:rFonts w:ascii="Times New Roman" w:hAnsi="Times New Roman" w:cs="Times New Roman"/>
      <w:b/>
      <w:bCs/>
      <w:sz w:val="232"/>
      <w:szCs w:val="232"/>
      <w:u w:val="none"/>
      <w:shd w:val="clear" w:color="auto" w:fill="FFFFFF"/>
    </w:rPr>
  </w:style>
  <w:style w:type="character" w:customStyle="1" w:styleId="23">
    <w:name w:val="Основной текст (2)"/>
    <w:basedOn w:val="2"/>
    <w:uiPriority w:val="99"/>
    <w:rsid w:val="00AE5BEE"/>
    <w:rPr>
      <w:rFonts w:ascii="Times New Roman" w:hAnsi="Times New Roman" w:cs="Times New Roman"/>
      <w:sz w:val="232"/>
      <w:szCs w:val="232"/>
      <w:u w:val="none"/>
      <w:shd w:val="clear" w:color="auto" w:fill="FFFFFF"/>
    </w:rPr>
  </w:style>
  <w:style w:type="character" w:customStyle="1" w:styleId="7">
    <w:name w:val="Основной текст (7)_"/>
    <w:basedOn w:val="a0"/>
    <w:link w:val="70"/>
    <w:uiPriority w:val="99"/>
    <w:rsid w:val="00AE5BEE"/>
    <w:rPr>
      <w:rFonts w:ascii="Times New Roman" w:hAnsi="Times New Roman" w:cs="Times New Roman"/>
      <w:i/>
      <w:iCs/>
      <w:sz w:val="232"/>
      <w:szCs w:val="232"/>
      <w:shd w:val="clear" w:color="auto" w:fill="FFFFFF"/>
    </w:rPr>
  </w:style>
  <w:style w:type="paragraph" w:customStyle="1" w:styleId="70">
    <w:name w:val="Основной текст (7)"/>
    <w:basedOn w:val="a"/>
    <w:link w:val="7"/>
    <w:uiPriority w:val="99"/>
    <w:rsid w:val="00AE5BEE"/>
    <w:pPr>
      <w:widowControl w:val="0"/>
      <w:shd w:val="clear" w:color="auto" w:fill="FFFFFF"/>
      <w:spacing w:before="1380" w:after="1380" w:line="240" w:lineRule="atLeast"/>
      <w:jc w:val="both"/>
    </w:pPr>
    <w:rPr>
      <w:rFonts w:ascii="Times New Roman" w:hAnsi="Times New Roman" w:cs="Times New Roman"/>
      <w:i/>
      <w:iCs/>
      <w:sz w:val="232"/>
      <w:szCs w:val="232"/>
      <w:lang w:val="en-US"/>
    </w:rPr>
  </w:style>
  <w:style w:type="character" w:customStyle="1" w:styleId="5">
    <w:name w:val="Основной текст (5)_"/>
    <w:basedOn w:val="a0"/>
    <w:link w:val="50"/>
    <w:uiPriority w:val="99"/>
    <w:rsid w:val="00AE5BEE"/>
    <w:rPr>
      <w:rFonts w:ascii="Times New Roman" w:hAnsi="Times New Roman" w:cs="Times New Roman"/>
      <w:b/>
      <w:bCs/>
      <w:i/>
      <w:iCs/>
      <w:sz w:val="232"/>
      <w:szCs w:val="232"/>
      <w:shd w:val="clear" w:color="auto" w:fill="FFFFFF"/>
    </w:rPr>
  </w:style>
  <w:style w:type="character" w:customStyle="1" w:styleId="51">
    <w:name w:val="Основной текст (5) + Не полужирный"/>
    <w:basedOn w:val="5"/>
    <w:uiPriority w:val="99"/>
    <w:rsid w:val="00AE5BEE"/>
    <w:rPr>
      <w:rFonts w:ascii="Times New Roman" w:hAnsi="Times New Roman" w:cs="Times New Roman"/>
      <w:b w:val="0"/>
      <w:bCs w:val="0"/>
      <w:i/>
      <w:iCs/>
      <w:spacing w:val="0"/>
      <w:sz w:val="232"/>
      <w:szCs w:val="232"/>
      <w:shd w:val="clear" w:color="auto" w:fill="FFFFFF"/>
      <w:lang w:val="en-US" w:eastAsia="en-US"/>
    </w:rPr>
  </w:style>
  <w:style w:type="paragraph" w:customStyle="1" w:styleId="50">
    <w:name w:val="Основной текст (5)"/>
    <w:basedOn w:val="a"/>
    <w:link w:val="5"/>
    <w:uiPriority w:val="99"/>
    <w:rsid w:val="00AE5BEE"/>
    <w:pPr>
      <w:widowControl w:val="0"/>
      <w:shd w:val="clear" w:color="auto" w:fill="FFFFFF"/>
      <w:spacing w:before="1440" w:after="1320" w:line="240" w:lineRule="atLeast"/>
      <w:jc w:val="both"/>
    </w:pPr>
    <w:rPr>
      <w:rFonts w:ascii="Times New Roman" w:hAnsi="Times New Roman" w:cs="Times New Roman"/>
      <w:b/>
      <w:bCs/>
      <w:i/>
      <w:iCs/>
      <w:sz w:val="232"/>
      <w:szCs w:val="232"/>
      <w:lang w:val="en-US"/>
    </w:rPr>
  </w:style>
  <w:style w:type="character" w:customStyle="1" w:styleId="210">
    <w:name w:val="Основной текст (2) + Полужирный1"/>
    <w:aliases w:val="Курсив"/>
    <w:basedOn w:val="2"/>
    <w:uiPriority w:val="99"/>
    <w:rsid w:val="00AE5BEE"/>
    <w:rPr>
      <w:rFonts w:ascii="Times New Roman" w:hAnsi="Times New Roman" w:cs="Times New Roman"/>
      <w:b/>
      <w:bCs/>
      <w:i/>
      <w:iCs/>
      <w:sz w:val="232"/>
      <w:szCs w:val="232"/>
      <w:u w:val="none"/>
      <w:shd w:val="clear" w:color="auto" w:fill="FFFFFF"/>
    </w:rPr>
  </w:style>
  <w:style w:type="character" w:styleId="a6">
    <w:name w:val="Emphasis"/>
    <w:basedOn w:val="a0"/>
    <w:uiPriority w:val="20"/>
    <w:qFormat/>
    <w:rsid w:val="00AE5BEE"/>
    <w:rPr>
      <w:i/>
      <w:iCs/>
    </w:rPr>
  </w:style>
  <w:style w:type="character" w:styleId="a7">
    <w:name w:val="Strong"/>
    <w:basedOn w:val="a0"/>
    <w:uiPriority w:val="22"/>
    <w:qFormat/>
    <w:rsid w:val="00AE5BEE"/>
    <w:rPr>
      <w:b/>
      <w:bCs/>
    </w:rPr>
  </w:style>
  <w:style w:type="character" w:styleId="a8">
    <w:name w:val="Hyperlink"/>
    <w:basedOn w:val="a0"/>
    <w:uiPriority w:val="99"/>
    <w:unhideWhenUsed/>
    <w:rsid w:val="00AE5BEE"/>
    <w:rPr>
      <w:color w:val="0563C1" w:themeColor="hyperlink"/>
      <w:u w:val="single"/>
    </w:rPr>
  </w:style>
  <w:style w:type="character" w:styleId="a9">
    <w:name w:val="annotation reference"/>
    <w:uiPriority w:val="99"/>
    <w:semiHidden/>
    <w:unhideWhenUsed/>
    <w:rsid w:val="00AE5BEE"/>
    <w:rPr>
      <w:sz w:val="16"/>
      <w:szCs w:val="16"/>
    </w:rPr>
  </w:style>
  <w:style w:type="paragraph" w:styleId="aa">
    <w:name w:val="annotation text"/>
    <w:basedOn w:val="a"/>
    <w:link w:val="ab"/>
    <w:uiPriority w:val="99"/>
    <w:unhideWhenUsed/>
    <w:rsid w:val="00AE5BEE"/>
    <w:pPr>
      <w:spacing w:after="200" w:line="276" w:lineRule="auto"/>
    </w:pPr>
    <w:rPr>
      <w:rFonts w:ascii="Calibri" w:eastAsia="Calibri" w:hAnsi="Calibri" w:cs="Times New Roman"/>
      <w:sz w:val="20"/>
      <w:szCs w:val="20"/>
      <w:lang w:val="en-US"/>
    </w:rPr>
  </w:style>
  <w:style w:type="character" w:customStyle="1" w:styleId="ab">
    <w:name w:val="Текст примечания Знак"/>
    <w:basedOn w:val="a0"/>
    <w:link w:val="aa"/>
    <w:uiPriority w:val="99"/>
    <w:rsid w:val="00AE5BEE"/>
    <w:rPr>
      <w:rFonts w:ascii="Calibri" w:eastAsia="Calibri" w:hAnsi="Calibri" w:cs="Times New Roman"/>
      <w:sz w:val="20"/>
      <w:szCs w:val="20"/>
    </w:rPr>
  </w:style>
  <w:style w:type="paragraph" w:styleId="ac">
    <w:name w:val="Balloon Text"/>
    <w:basedOn w:val="a"/>
    <w:link w:val="ad"/>
    <w:uiPriority w:val="99"/>
    <w:semiHidden/>
    <w:unhideWhenUsed/>
    <w:rsid w:val="00AE5BE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E5BEE"/>
    <w:rPr>
      <w:rFonts w:ascii="Segoe UI" w:hAnsi="Segoe UI" w:cs="Segoe UI"/>
      <w:sz w:val="18"/>
      <w:szCs w:val="18"/>
      <w:lang w:val="ru-RU"/>
    </w:rPr>
  </w:style>
  <w:style w:type="character" w:customStyle="1" w:styleId="a5">
    <w:name w:val="Абзац списка Знак"/>
    <w:aliases w:val="Bullet Points Знак,Liste Paragraf Знак,Normal bullet 2 Знак,body 2 Знак,List Paragraph1 Знак,Scriptoria bullet points Знак,HotarirePunct1 Знак,Абзац списка1 Знак,List Paragraph 1 Знак,Bullets Знак,List Paragraph (numbered (a)) Знак"/>
    <w:link w:val="a4"/>
    <w:uiPriority w:val="34"/>
    <w:qFormat/>
    <w:locked/>
    <w:rsid w:val="00AE5BEE"/>
    <w:rPr>
      <w:lang w:val="ru-RU"/>
    </w:rPr>
  </w:style>
  <w:style w:type="character" w:customStyle="1" w:styleId="sden">
    <w:name w:val="s_den"/>
    <w:basedOn w:val="a0"/>
    <w:rsid w:val="00AE5BEE"/>
  </w:style>
  <w:style w:type="character" w:customStyle="1" w:styleId="shdr">
    <w:name w:val="s_hdr"/>
    <w:basedOn w:val="a0"/>
    <w:rsid w:val="00AE5BEE"/>
  </w:style>
  <w:style w:type="paragraph" w:styleId="ae">
    <w:name w:val="Normal (Web)"/>
    <w:basedOn w:val="a"/>
    <w:uiPriority w:val="99"/>
    <w:unhideWhenUsed/>
    <w:rsid w:val="00AE5BE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M1">
    <w:name w:val="CM1"/>
    <w:basedOn w:val="Default"/>
    <w:next w:val="Default"/>
    <w:uiPriority w:val="99"/>
    <w:rsid w:val="00AE5BEE"/>
    <w:rPr>
      <w:rFonts w:ascii="Times New Roman" w:hAnsi="Times New Roman" w:cs="Times New Roman"/>
      <w:color w:val="auto"/>
    </w:rPr>
  </w:style>
  <w:style w:type="paragraph" w:customStyle="1" w:styleId="CM3">
    <w:name w:val="CM3"/>
    <w:basedOn w:val="Default"/>
    <w:next w:val="Default"/>
    <w:uiPriority w:val="99"/>
    <w:rsid w:val="00AE5BEE"/>
    <w:rPr>
      <w:rFonts w:ascii="Times New Roman" w:hAnsi="Times New Roman" w:cs="Times New Roman"/>
      <w:color w:val="auto"/>
    </w:rPr>
  </w:style>
  <w:style w:type="paragraph" w:customStyle="1" w:styleId="CM4">
    <w:name w:val="CM4"/>
    <w:basedOn w:val="Default"/>
    <w:next w:val="Default"/>
    <w:uiPriority w:val="99"/>
    <w:rsid w:val="00AE5BEE"/>
    <w:rPr>
      <w:rFonts w:ascii="Times New Roman" w:hAnsi="Times New Roman" w:cs="Times New Roman"/>
      <w:color w:val="auto"/>
    </w:rPr>
  </w:style>
  <w:style w:type="character" w:customStyle="1" w:styleId="object">
    <w:name w:val="object"/>
    <w:basedOn w:val="a0"/>
    <w:rsid w:val="00AE5BEE"/>
  </w:style>
  <w:style w:type="character" w:customStyle="1" w:styleId="apple-converted-space">
    <w:name w:val="apple-converted-space"/>
    <w:basedOn w:val="a0"/>
    <w:rsid w:val="007019EC"/>
  </w:style>
  <w:style w:type="character" w:customStyle="1" w:styleId="10">
    <w:name w:val="Заголовок 1 Знак"/>
    <w:basedOn w:val="a0"/>
    <w:link w:val="1"/>
    <w:uiPriority w:val="9"/>
    <w:rsid w:val="00140BE4"/>
    <w:rPr>
      <w:rFonts w:asciiTheme="majorHAnsi" w:eastAsiaTheme="majorEastAsia" w:hAnsiTheme="majorHAnsi" w:cstheme="majorBidi"/>
      <w:color w:val="2E74B5" w:themeColor="accent1" w:themeShade="BF"/>
      <w:sz w:val="32"/>
      <w:szCs w:val="32"/>
      <w:lang w:val="ru-RU"/>
    </w:rPr>
  </w:style>
  <w:style w:type="paragraph" w:styleId="af">
    <w:name w:val="header"/>
    <w:basedOn w:val="a"/>
    <w:link w:val="af0"/>
    <w:uiPriority w:val="99"/>
    <w:unhideWhenUsed/>
    <w:rsid w:val="001A6F39"/>
    <w:pPr>
      <w:tabs>
        <w:tab w:val="center" w:pos="4536"/>
        <w:tab w:val="right" w:pos="9072"/>
      </w:tabs>
      <w:spacing w:after="0" w:line="240" w:lineRule="auto"/>
    </w:pPr>
  </w:style>
  <w:style w:type="character" w:customStyle="1" w:styleId="af0">
    <w:name w:val="Верхний колонтитул Знак"/>
    <w:basedOn w:val="a0"/>
    <w:link w:val="af"/>
    <w:uiPriority w:val="99"/>
    <w:rsid w:val="001A6F39"/>
    <w:rPr>
      <w:lang w:val="ro-RO"/>
    </w:rPr>
  </w:style>
  <w:style w:type="paragraph" w:styleId="af1">
    <w:name w:val="footer"/>
    <w:basedOn w:val="a"/>
    <w:link w:val="af2"/>
    <w:uiPriority w:val="99"/>
    <w:unhideWhenUsed/>
    <w:rsid w:val="001A6F39"/>
    <w:pPr>
      <w:tabs>
        <w:tab w:val="center" w:pos="4536"/>
        <w:tab w:val="right" w:pos="9072"/>
      </w:tabs>
      <w:spacing w:after="0" w:line="240" w:lineRule="auto"/>
    </w:pPr>
  </w:style>
  <w:style w:type="character" w:customStyle="1" w:styleId="af2">
    <w:name w:val="Нижний колонтитул Знак"/>
    <w:basedOn w:val="a0"/>
    <w:link w:val="af1"/>
    <w:uiPriority w:val="99"/>
    <w:rsid w:val="001A6F39"/>
    <w:rPr>
      <w:lang w:val="ro-RO"/>
    </w:rPr>
  </w:style>
  <w:style w:type="character" w:styleId="af3">
    <w:name w:val="Unresolved Mention"/>
    <w:basedOn w:val="a0"/>
    <w:uiPriority w:val="99"/>
    <w:semiHidden/>
    <w:unhideWhenUsed/>
    <w:rsid w:val="00E230E3"/>
    <w:rPr>
      <w:color w:val="605E5C"/>
      <w:shd w:val="clear" w:color="auto" w:fill="E1DFDD"/>
    </w:rPr>
  </w:style>
  <w:style w:type="character" w:styleId="af4">
    <w:name w:val="FollowedHyperlink"/>
    <w:basedOn w:val="a0"/>
    <w:uiPriority w:val="99"/>
    <w:semiHidden/>
    <w:unhideWhenUsed/>
    <w:rsid w:val="002C024E"/>
    <w:rPr>
      <w:color w:val="954F72" w:themeColor="followedHyperlink"/>
      <w:u w:val="single"/>
    </w:rPr>
  </w:style>
  <w:style w:type="paragraph" w:styleId="af5">
    <w:name w:val="annotation subject"/>
    <w:basedOn w:val="aa"/>
    <w:next w:val="aa"/>
    <w:link w:val="af6"/>
    <w:uiPriority w:val="99"/>
    <w:semiHidden/>
    <w:unhideWhenUsed/>
    <w:rsid w:val="004874F6"/>
    <w:pPr>
      <w:spacing w:after="160" w:line="240" w:lineRule="auto"/>
    </w:pPr>
    <w:rPr>
      <w:rFonts w:asciiTheme="minorHAnsi" w:eastAsiaTheme="minorHAnsi" w:hAnsiTheme="minorHAnsi" w:cstheme="minorBidi"/>
      <w:b/>
      <w:bCs/>
      <w:lang w:val="ro-RO"/>
    </w:rPr>
  </w:style>
  <w:style w:type="character" w:customStyle="1" w:styleId="af6">
    <w:name w:val="Тема примечания Знак"/>
    <w:basedOn w:val="ab"/>
    <w:link w:val="af5"/>
    <w:uiPriority w:val="99"/>
    <w:semiHidden/>
    <w:rsid w:val="004874F6"/>
    <w:rPr>
      <w:rFonts w:ascii="Calibri" w:eastAsia="Calibri" w:hAnsi="Calibri" w:cs="Times New Roman"/>
      <w:b/>
      <w:bCs/>
      <w:sz w:val="20"/>
      <w:szCs w:val="20"/>
      <w:lang w:val="ro-RO"/>
    </w:rPr>
  </w:style>
  <w:style w:type="paragraph" w:styleId="af7">
    <w:name w:val="Revision"/>
    <w:hidden/>
    <w:uiPriority w:val="99"/>
    <w:semiHidden/>
    <w:rsid w:val="002A567E"/>
    <w:pPr>
      <w:spacing w:after="0" w:line="240" w:lineRule="auto"/>
    </w:pPr>
    <w:rPr>
      <w:lang w:val="ro-RO"/>
    </w:rPr>
  </w:style>
  <w:style w:type="table" w:customStyle="1" w:styleId="TableNormal">
    <w:name w:val="Table Normal"/>
    <w:uiPriority w:val="2"/>
    <w:semiHidden/>
    <w:unhideWhenUsed/>
    <w:qFormat/>
    <w:rsid w:val="00CB587D"/>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f8">
    <w:name w:val="Body Text"/>
    <w:basedOn w:val="a"/>
    <w:link w:val="af9"/>
    <w:uiPriority w:val="1"/>
    <w:qFormat/>
    <w:rsid w:val="00CB587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f9">
    <w:name w:val="Основной текст Знак"/>
    <w:basedOn w:val="a0"/>
    <w:link w:val="af8"/>
    <w:uiPriority w:val="1"/>
    <w:rsid w:val="00CB587D"/>
    <w:rPr>
      <w:rFonts w:ascii="Times New Roman" w:eastAsia="Times New Roman" w:hAnsi="Times New Roman" w:cs="Times New Roman"/>
      <w:sz w:val="24"/>
      <w:szCs w:val="24"/>
      <w:lang w:val="ro-RO"/>
    </w:rPr>
  </w:style>
  <w:style w:type="paragraph" w:customStyle="1" w:styleId="TableParagraph">
    <w:name w:val="Table Paragraph"/>
    <w:basedOn w:val="a"/>
    <w:uiPriority w:val="1"/>
    <w:qFormat/>
    <w:rsid w:val="00CB587D"/>
    <w:pPr>
      <w:widowControl w:val="0"/>
      <w:autoSpaceDE w:val="0"/>
      <w:autoSpaceDN w:val="0"/>
      <w:spacing w:after="0" w:line="240" w:lineRule="auto"/>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2426">
      <w:bodyDiv w:val="1"/>
      <w:marLeft w:val="0"/>
      <w:marRight w:val="0"/>
      <w:marTop w:val="0"/>
      <w:marBottom w:val="0"/>
      <w:divBdr>
        <w:top w:val="none" w:sz="0" w:space="0" w:color="auto"/>
        <w:left w:val="none" w:sz="0" w:space="0" w:color="auto"/>
        <w:bottom w:val="none" w:sz="0" w:space="0" w:color="auto"/>
        <w:right w:val="none" w:sz="0" w:space="0" w:color="auto"/>
      </w:divBdr>
    </w:div>
    <w:div w:id="74860607">
      <w:bodyDiv w:val="1"/>
      <w:marLeft w:val="0"/>
      <w:marRight w:val="0"/>
      <w:marTop w:val="0"/>
      <w:marBottom w:val="0"/>
      <w:divBdr>
        <w:top w:val="none" w:sz="0" w:space="0" w:color="auto"/>
        <w:left w:val="none" w:sz="0" w:space="0" w:color="auto"/>
        <w:bottom w:val="none" w:sz="0" w:space="0" w:color="auto"/>
        <w:right w:val="none" w:sz="0" w:space="0" w:color="auto"/>
      </w:divBdr>
    </w:div>
    <w:div w:id="191308205">
      <w:bodyDiv w:val="1"/>
      <w:marLeft w:val="0"/>
      <w:marRight w:val="0"/>
      <w:marTop w:val="0"/>
      <w:marBottom w:val="0"/>
      <w:divBdr>
        <w:top w:val="none" w:sz="0" w:space="0" w:color="auto"/>
        <w:left w:val="none" w:sz="0" w:space="0" w:color="auto"/>
        <w:bottom w:val="none" w:sz="0" w:space="0" w:color="auto"/>
        <w:right w:val="none" w:sz="0" w:space="0" w:color="auto"/>
      </w:divBdr>
    </w:div>
    <w:div w:id="207765172">
      <w:bodyDiv w:val="1"/>
      <w:marLeft w:val="0"/>
      <w:marRight w:val="0"/>
      <w:marTop w:val="0"/>
      <w:marBottom w:val="0"/>
      <w:divBdr>
        <w:top w:val="none" w:sz="0" w:space="0" w:color="auto"/>
        <w:left w:val="none" w:sz="0" w:space="0" w:color="auto"/>
        <w:bottom w:val="none" w:sz="0" w:space="0" w:color="auto"/>
        <w:right w:val="none" w:sz="0" w:space="0" w:color="auto"/>
      </w:divBdr>
    </w:div>
    <w:div w:id="224754656">
      <w:bodyDiv w:val="1"/>
      <w:marLeft w:val="0"/>
      <w:marRight w:val="0"/>
      <w:marTop w:val="0"/>
      <w:marBottom w:val="0"/>
      <w:divBdr>
        <w:top w:val="none" w:sz="0" w:space="0" w:color="auto"/>
        <w:left w:val="none" w:sz="0" w:space="0" w:color="auto"/>
        <w:bottom w:val="none" w:sz="0" w:space="0" w:color="auto"/>
        <w:right w:val="none" w:sz="0" w:space="0" w:color="auto"/>
      </w:divBdr>
    </w:div>
    <w:div w:id="256062069">
      <w:bodyDiv w:val="1"/>
      <w:marLeft w:val="0"/>
      <w:marRight w:val="0"/>
      <w:marTop w:val="0"/>
      <w:marBottom w:val="0"/>
      <w:divBdr>
        <w:top w:val="none" w:sz="0" w:space="0" w:color="auto"/>
        <w:left w:val="none" w:sz="0" w:space="0" w:color="auto"/>
        <w:bottom w:val="none" w:sz="0" w:space="0" w:color="auto"/>
        <w:right w:val="none" w:sz="0" w:space="0" w:color="auto"/>
      </w:divBdr>
    </w:div>
    <w:div w:id="266816583">
      <w:bodyDiv w:val="1"/>
      <w:marLeft w:val="0"/>
      <w:marRight w:val="0"/>
      <w:marTop w:val="0"/>
      <w:marBottom w:val="0"/>
      <w:divBdr>
        <w:top w:val="none" w:sz="0" w:space="0" w:color="auto"/>
        <w:left w:val="none" w:sz="0" w:space="0" w:color="auto"/>
        <w:bottom w:val="none" w:sz="0" w:space="0" w:color="auto"/>
        <w:right w:val="none" w:sz="0" w:space="0" w:color="auto"/>
      </w:divBdr>
    </w:div>
    <w:div w:id="343019125">
      <w:bodyDiv w:val="1"/>
      <w:marLeft w:val="0"/>
      <w:marRight w:val="0"/>
      <w:marTop w:val="0"/>
      <w:marBottom w:val="0"/>
      <w:divBdr>
        <w:top w:val="none" w:sz="0" w:space="0" w:color="auto"/>
        <w:left w:val="none" w:sz="0" w:space="0" w:color="auto"/>
        <w:bottom w:val="none" w:sz="0" w:space="0" w:color="auto"/>
        <w:right w:val="none" w:sz="0" w:space="0" w:color="auto"/>
      </w:divBdr>
    </w:div>
    <w:div w:id="349991951">
      <w:bodyDiv w:val="1"/>
      <w:marLeft w:val="0"/>
      <w:marRight w:val="0"/>
      <w:marTop w:val="0"/>
      <w:marBottom w:val="0"/>
      <w:divBdr>
        <w:top w:val="none" w:sz="0" w:space="0" w:color="auto"/>
        <w:left w:val="none" w:sz="0" w:space="0" w:color="auto"/>
        <w:bottom w:val="none" w:sz="0" w:space="0" w:color="auto"/>
        <w:right w:val="none" w:sz="0" w:space="0" w:color="auto"/>
      </w:divBdr>
    </w:div>
    <w:div w:id="482548966">
      <w:bodyDiv w:val="1"/>
      <w:marLeft w:val="0"/>
      <w:marRight w:val="0"/>
      <w:marTop w:val="0"/>
      <w:marBottom w:val="0"/>
      <w:divBdr>
        <w:top w:val="none" w:sz="0" w:space="0" w:color="auto"/>
        <w:left w:val="none" w:sz="0" w:space="0" w:color="auto"/>
        <w:bottom w:val="none" w:sz="0" w:space="0" w:color="auto"/>
        <w:right w:val="none" w:sz="0" w:space="0" w:color="auto"/>
      </w:divBdr>
    </w:div>
    <w:div w:id="522671054">
      <w:bodyDiv w:val="1"/>
      <w:marLeft w:val="0"/>
      <w:marRight w:val="0"/>
      <w:marTop w:val="0"/>
      <w:marBottom w:val="0"/>
      <w:divBdr>
        <w:top w:val="none" w:sz="0" w:space="0" w:color="auto"/>
        <w:left w:val="none" w:sz="0" w:space="0" w:color="auto"/>
        <w:bottom w:val="none" w:sz="0" w:space="0" w:color="auto"/>
        <w:right w:val="none" w:sz="0" w:space="0" w:color="auto"/>
      </w:divBdr>
    </w:div>
    <w:div w:id="588344778">
      <w:bodyDiv w:val="1"/>
      <w:marLeft w:val="0"/>
      <w:marRight w:val="0"/>
      <w:marTop w:val="0"/>
      <w:marBottom w:val="0"/>
      <w:divBdr>
        <w:top w:val="none" w:sz="0" w:space="0" w:color="auto"/>
        <w:left w:val="none" w:sz="0" w:space="0" w:color="auto"/>
        <w:bottom w:val="none" w:sz="0" w:space="0" w:color="auto"/>
        <w:right w:val="none" w:sz="0" w:space="0" w:color="auto"/>
      </w:divBdr>
    </w:div>
    <w:div w:id="595988088">
      <w:bodyDiv w:val="1"/>
      <w:marLeft w:val="0"/>
      <w:marRight w:val="0"/>
      <w:marTop w:val="0"/>
      <w:marBottom w:val="0"/>
      <w:divBdr>
        <w:top w:val="none" w:sz="0" w:space="0" w:color="auto"/>
        <w:left w:val="none" w:sz="0" w:space="0" w:color="auto"/>
        <w:bottom w:val="none" w:sz="0" w:space="0" w:color="auto"/>
        <w:right w:val="none" w:sz="0" w:space="0" w:color="auto"/>
      </w:divBdr>
    </w:div>
    <w:div w:id="617032192">
      <w:bodyDiv w:val="1"/>
      <w:marLeft w:val="0"/>
      <w:marRight w:val="0"/>
      <w:marTop w:val="0"/>
      <w:marBottom w:val="0"/>
      <w:divBdr>
        <w:top w:val="none" w:sz="0" w:space="0" w:color="auto"/>
        <w:left w:val="none" w:sz="0" w:space="0" w:color="auto"/>
        <w:bottom w:val="none" w:sz="0" w:space="0" w:color="auto"/>
        <w:right w:val="none" w:sz="0" w:space="0" w:color="auto"/>
      </w:divBdr>
    </w:div>
    <w:div w:id="642662384">
      <w:bodyDiv w:val="1"/>
      <w:marLeft w:val="0"/>
      <w:marRight w:val="0"/>
      <w:marTop w:val="0"/>
      <w:marBottom w:val="0"/>
      <w:divBdr>
        <w:top w:val="none" w:sz="0" w:space="0" w:color="auto"/>
        <w:left w:val="none" w:sz="0" w:space="0" w:color="auto"/>
        <w:bottom w:val="none" w:sz="0" w:space="0" w:color="auto"/>
        <w:right w:val="none" w:sz="0" w:space="0" w:color="auto"/>
      </w:divBdr>
    </w:div>
    <w:div w:id="711461865">
      <w:bodyDiv w:val="1"/>
      <w:marLeft w:val="0"/>
      <w:marRight w:val="0"/>
      <w:marTop w:val="0"/>
      <w:marBottom w:val="0"/>
      <w:divBdr>
        <w:top w:val="none" w:sz="0" w:space="0" w:color="auto"/>
        <w:left w:val="none" w:sz="0" w:space="0" w:color="auto"/>
        <w:bottom w:val="none" w:sz="0" w:space="0" w:color="auto"/>
        <w:right w:val="none" w:sz="0" w:space="0" w:color="auto"/>
      </w:divBdr>
    </w:div>
    <w:div w:id="777410127">
      <w:bodyDiv w:val="1"/>
      <w:marLeft w:val="0"/>
      <w:marRight w:val="0"/>
      <w:marTop w:val="0"/>
      <w:marBottom w:val="0"/>
      <w:divBdr>
        <w:top w:val="none" w:sz="0" w:space="0" w:color="auto"/>
        <w:left w:val="none" w:sz="0" w:space="0" w:color="auto"/>
        <w:bottom w:val="none" w:sz="0" w:space="0" w:color="auto"/>
        <w:right w:val="none" w:sz="0" w:space="0" w:color="auto"/>
      </w:divBdr>
    </w:div>
    <w:div w:id="827866113">
      <w:bodyDiv w:val="1"/>
      <w:marLeft w:val="0"/>
      <w:marRight w:val="0"/>
      <w:marTop w:val="0"/>
      <w:marBottom w:val="0"/>
      <w:divBdr>
        <w:top w:val="none" w:sz="0" w:space="0" w:color="auto"/>
        <w:left w:val="none" w:sz="0" w:space="0" w:color="auto"/>
        <w:bottom w:val="none" w:sz="0" w:space="0" w:color="auto"/>
        <w:right w:val="none" w:sz="0" w:space="0" w:color="auto"/>
      </w:divBdr>
    </w:div>
    <w:div w:id="883248148">
      <w:bodyDiv w:val="1"/>
      <w:marLeft w:val="0"/>
      <w:marRight w:val="0"/>
      <w:marTop w:val="0"/>
      <w:marBottom w:val="0"/>
      <w:divBdr>
        <w:top w:val="none" w:sz="0" w:space="0" w:color="auto"/>
        <w:left w:val="none" w:sz="0" w:space="0" w:color="auto"/>
        <w:bottom w:val="none" w:sz="0" w:space="0" w:color="auto"/>
        <w:right w:val="none" w:sz="0" w:space="0" w:color="auto"/>
      </w:divBdr>
    </w:div>
    <w:div w:id="977799979">
      <w:bodyDiv w:val="1"/>
      <w:marLeft w:val="0"/>
      <w:marRight w:val="0"/>
      <w:marTop w:val="0"/>
      <w:marBottom w:val="0"/>
      <w:divBdr>
        <w:top w:val="none" w:sz="0" w:space="0" w:color="auto"/>
        <w:left w:val="none" w:sz="0" w:space="0" w:color="auto"/>
        <w:bottom w:val="none" w:sz="0" w:space="0" w:color="auto"/>
        <w:right w:val="none" w:sz="0" w:space="0" w:color="auto"/>
      </w:divBdr>
    </w:div>
    <w:div w:id="1025130544">
      <w:bodyDiv w:val="1"/>
      <w:marLeft w:val="0"/>
      <w:marRight w:val="0"/>
      <w:marTop w:val="0"/>
      <w:marBottom w:val="0"/>
      <w:divBdr>
        <w:top w:val="none" w:sz="0" w:space="0" w:color="auto"/>
        <w:left w:val="none" w:sz="0" w:space="0" w:color="auto"/>
        <w:bottom w:val="none" w:sz="0" w:space="0" w:color="auto"/>
        <w:right w:val="none" w:sz="0" w:space="0" w:color="auto"/>
      </w:divBdr>
    </w:div>
    <w:div w:id="1057820164">
      <w:bodyDiv w:val="1"/>
      <w:marLeft w:val="0"/>
      <w:marRight w:val="0"/>
      <w:marTop w:val="0"/>
      <w:marBottom w:val="0"/>
      <w:divBdr>
        <w:top w:val="none" w:sz="0" w:space="0" w:color="auto"/>
        <w:left w:val="none" w:sz="0" w:space="0" w:color="auto"/>
        <w:bottom w:val="none" w:sz="0" w:space="0" w:color="auto"/>
        <w:right w:val="none" w:sz="0" w:space="0" w:color="auto"/>
      </w:divBdr>
    </w:div>
    <w:div w:id="1074013724">
      <w:bodyDiv w:val="1"/>
      <w:marLeft w:val="0"/>
      <w:marRight w:val="0"/>
      <w:marTop w:val="0"/>
      <w:marBottom w:val="0"/>
      <w:divBdr>
        <w:top w:val="none" w:sz="0" w:space="0" w:color="auto"/>
        <w:left w:val="none" w:sz="0" w:space="0" w:color="auto"/>
        <w:bottom w:val="none" w:sz="0" w:space="0" w:color="auto"/>
        <w:right w:val="none" w:sz="0" w:space="0" w:color="auto"/>
      </w:divBdr>
    </w:div>
    <w:div w:id="1182545882">
      <w:bodyDiv w:val="1"/>
      <w:marLeft w:val="0"/>
      <w:marRight w:val="0"/>
      <w:marTop w:val="0"/>
      <w:marBottom w:val="0"/>
      <w:divBdr>
        <w:top w:val="none" w:sz="0" w:space="0" w:color="auto"/>
        <w:left w:val="none" w:sz="0" w:space="0" w:color="auto"/>
        <w:bottom w:val="none" w:sz="0" w:space="0" w:color="auto"/>
        <w:right w:val="none" w:sz="0" w:space="0" w:color="auto"/>
      </w:divBdr>
    </w:div>
    <w:div w:id="1242642272">
      <w:bodyDiv w:val="1"/>
      <w:marLeft w:val="0"/>
      <w:marRight w:val="0"/>
      <w:marTop w:val="0"/>
      <w:marBottom w:val="0"/>
      <w:divBdr>
        <w:top w:val="none" w:sz="0" w:space="0" w:color="auto"/>
        <w:left w:val="none" w:sz="0" w:space="0" w:color="auto"/>
        <w:bottom w:val="none" w:sz="0" w:space="0" w:color="auto"/>
        <w:right w:val="none" w:sz="0" w:space="0" w:color="auto"/>
      </w:divBdr>
    </w:div>
    <w:div w:id="1307776493">
      <w:bodyDiv w:val="1"/>
      <w:marLeft w:val="0"/>
      <w:marRight w:val="0"/>
      <w:marTop w:val="0"/>
      <w:marBottom w:val="0"/>
      <w:divBdr>
        <w:top w:val="none" w:sz="0" w:space="0" w:color="auto"/>
        <w:left w:val="none" w:sz="0" w:space="0" w:color="auto"/>
        <w:bottom w:val="none" w:sz="0" w:space="0" w:color="auto"/>
        <w:right w:val="none" w:sz="0" w:space="0" w:color="auto"/>
      </w:divBdr>
    </w:div>
    <w:div w:id="1334642764">
      <w:bodyDiv w:val="1"/>
      <w:marLeft w:val="0"/>
      <w:marRight w:val="0"/>
      <w:marTop w:val="0"/>
      <w:marBottom w:val="0"/>
      <w:divBdr>
        <w:top w:val="none" w:sz="0" w:space="0" w:color="auto"/>
        <w:left w:val="none" w:sz="0" w:space="0" w:color="auto"/>
        <w:bottom w:val="none" w:sz="0" w:space="0" w:color="auto"/>
        <w:right w:val="none" w:sz="0" w:space="0" w:color="auto"/>
      </w:divBdr>
    </w:div>
    <w:div w:id="1339040472">
      <w:bodyDiv w:val="1"/>
      <w:marLeft w:val="0"/>
      <w:marRight w:val="0"/>
      <w:marTop w:val="0"/>
      <w:marBottom w:val="0"/>
      <w:divBdr>
        <w:top w:val="none" w:sz="0" w:space="0" w:color="auto"/>
        <w:left w:val="none" w:sz="0" w:space="0" w:color="auto"/>
        <w:bottom w:val="none" w:sz="0" w:space="0" w:color="auto"/>
        <w:right w:val="none" w:sz="0" w:space="0" w:color="auto"/>
      </w:divBdr>
    </w:div>
    <w:div w:id="1353610700">
      <w:bodyDiv w:val="1"/>
      <w:marLeft w:val="0"/>
      <w:marRight w:val="0"/>
      <w:marTop w:val="0"/>
      <w:marBottom w:val="0"/>
      <w:divBdr>
        <w:top w:val="none" w:sz="0" w:space="0" w:color="auto"/>
        <w:left w:val="none" w:sz="0" w:space="0" w:color="auto"/>
        <w:bottom w:val="none" w:sz="0" w:space="0" w:color="auto"/>
        <w:right w:val="none" w:sz="0" w:space="0" w:color="auto"/>
      </w:divBdr>
    </w:div>
    <w:div w:id="1365443765">
      <w:bodyDiv w:val="1"/>
      <w:marLeft w:val="0"/>
      <w:marRight w:val="0"/>
      <w:marTop w:val="0"/>
      <w:marBottom w:val="0"/>
      <w:divBdr>
        <w:top w:val="none" w:sz="0" w:space="0" w:color="auto"/>
        <w:left w:val="none" w:sz="0" w:space="0" w:color="auto"/>
        <w:bottom w:val="none" w:sz="0" w:space="0" w:color="auto"/>
        <w:right w:val="none" w:sz="0" w:space="0" w:color="auto"/>
      </w:divBdr>
    </w:div>
    <w:div w:id="1505708199">
      <w:bodyDiv w:val="1"/>
      <w:marLeft w:val="0"/>
      <w:marRight w:val="0"/>
      <w:marTop w:val="0"/>
      <w:marBottom w:val="0"/>
      <w:divBdr>
        <w:top w:val="none" w:sz="0" w:space="0" w:color="auto"/>
        <w:left w:val="none" w:sz="0" w:space="0" w:color="auto"/>
        <w:bottom w:val="none" w:sz="0" w:space="0" w:color="auto"/>
        <w:right w:val="none" w:sz="0" w:space="0" w:color="auto"/>
      </w:divBdr>
    </w:div>
    <w:div w:id="1507400307">
      <w:bodyDiv w:val="1"/>
      <w:marLeft w:val="0"/>
      <w:marRight w:val="0"/>
      <w:marTop w:val="0"/>
      <w:marBottom w:val="0"/>
      <w:divBdr>
        <w:top w:val="none" w:sz="0" w:space="0" w:color="auto"/>
        <w:left w:val="none" w:sz="0" w:space="0" w:color="auto"/>
        <w:bottom w:val="none" w:sz="0" w:space="0" w:color="auto"/>
        <w:right w:val="none" w:sz="0" w:space="0" w:color="auto"/>
      </w:divBdr>
    </w:div>
    <w:div w:id="1568685664">
      <w:bodyDiv w:val="1"/>
      <w:marLeft w:val="0"/>
      <w:marRight w:val="0"/>
      <w:marTop w:val="0"/>
      <w:marBottom w:val="0"/>
      <w:divBdr>
        <w:top w:val="none" w:sz="0" w:space="0" w:color="auto"/>
        <w:left w:val="none" w:sz="0" w:space="0" w:color="auto"/>
        <w:bottom w:val="none" w:sz="0" w:space="0" w:color="auto"/>
        <w:right w:val="none" w:sz="0" w:space="0" w:color="auto"/>
      </w:divBdr>
    </w:div>
    <w:div w:id="1614823216">
      <w:bodyDiv w:val="1"/>
      <w:marLeft w:val="0"/>
      <w:marRight w:val="0"/>
      <w:marTop w:val="0"/>
      <w:marBottom w:val="0"/>
      <w:divBdr>
        <w:top w:val="none" w:sz="0" w:space="0" w:color="auto"/>
        <w:left w:val="none" w:sz="0" w:space="0" w:color="auto"/>
        <w:bottom w:val="none" w:sz="0" w:space="0" w:color="auto"/>
        <w:right w:val="none" w:sz="0" w:space="0" w:color="auto"/>
      </w:divBdr>
    </w:div>
    <w:div w:id="1620531035">
      <w:bodyDiv w:val="1"/>
      <w:marLeft w:val="0"/>
      <w:marRight w:val="0"/>
      <w:marTop w:val="0"/>
      <w:marBottom w:val="0"/>
      <w:divBdr>
        <w:top w:val="none" w:sz="0" w:space="0" w:color="auto"/>
        <w:left w:val="none" w:sz="0" w:space="0" w:color="auto"/>
        <w:bottom w:val="none" w:sz="0" w:space="0" w:color="auto"/>
        <w:right w:val="none" w:sz="0" w:space="0" w:color="auto"/>
      </w:divBdr>
    </w:div>
    <w:div w:id="1657610238">
      <w:bodyDiv w:val="1"/>
      <w:marLeft w:val="0"/>
      <w:marRight w:val="0"/>
      <w:marTop w:val="0"/>
      <w:marBottom w:val="0"/>
      <w:divBdr>
        <w:top w:val="none" w:sz="0" w:space="0" w:color="auto"/>
        <w:left w:val="none" w:sz="0" w:space="0" w:color="auto"/>
        <w:bottom w:val="none" w:sz="0" w:space="0" w:color="auto"/>
        <w:right w:val="none" w:sz="0" w:space="0" w:color="auto"/>
      </w:divBdr>
    </w:div>
    <w:div w:id="1667131899">
      <w:bodyDiv w:val="1"/>
      <w:marLeft w:val="0"/>
      <w:marRight w:val="0"/>
      <w:marTop w:val="0"/>
      <w:marBottom w:val="0"/>
      <w:divBdr>
        <w:top w:val="none" w:sz="0" w:space="0" w:color="auto"/>
        <w:left w:val="none" w:sz="0" w:space="0" w:color="auto"/>
        <w:bottom w:val="none" w:sz="0" w:space="0" w:color="auto"/>
        <w:right w:val="none" w:sz="0" w:space="0" w:color="auto"/>
      </w:divBdr>
    </w:div>
    <w:div w:id="1700474531">
      <w:bodyDiv w:val="1"/>
      <w:marLeft w:val="0"/>
      <w:marRight w:val="0"/>
      <w:marTop w:val="0"/>
      <w:marBottom w:val="0"/>
      <w:divBdr>
        <w:top w:val="none" w:sz="0" w:space="0" w:color="auto"/>
        <w:left w:val="none" w:sz="0" w:space="0" w:color="auto"/>
        <w:bottom w:val="none" w:sz="0" w:space="0" w:color="auto"/>
        <w:right w:val="none" w:sz="0" w:space="0" w:color="auto"/>
      </w:divBdr>
    </w:div>
    <w:div w:id="1759012309">
      <w:bodyDiv w:val="1"/>
      <w:marLeft w:val="0"/>
      <w:marRight w:val="0"/>
      <w:marTop w:val="0"/>
      <w:marBottom w:val="0"/>
      <w:divBdr>
        <w:top w:val="none" w:sz="0" w:space="0" w:color="auto"/>
        <w:left w:val="none" w:sz="0" w:space="0" w:color="auto"/>
        <w:bottom w:val="none" w:sz="0" w:space="0" w:color="auto"/>
        <w:right w:val="none" w:sz="0" w:space="0" w:color="auto"/>
      </w:divBdr>
    </w:div>
    <w:div w:id="1860579611">
      <w:bodyDiv w:val="1"/>
      <w:marLeft w:val="0"/>
      <w:marRight w:val="0"/>
      <w:marTop w:val="0"/>
      <w:marBottom w:val="0"/>
      <w:divBdr>
        <w:top w:val="none" w:sz="0" w:space="0" w:color="auto"/>
        <w:left w:val="none" w:sz="0" w:space="0" w:color="auto"/>
        <w:bottom w:val="none" w:sz="0" w:space="0" w:color="auto"/>
        <w:right w:val="none" w:sz="0" w:space="0" w:color="auto"/>
      </w:divBdr>
    </w:div>
    <w:div w:id="1879269635">
      <w:bodyDiv w:val="1"/>
      <w:marLeft w:val="0"/>
      <w:marRight w:val="0"/>
      <w:marTop w:val="0"/>
      <w:marBottom w:val="0"/>
      <w:divBdr>
        <w:top w:val="none" w:sz="0" w:space="0" w:color="auto"/>
        <w:left w:val="none" w:sz="0" w:space="0" w:color="auto"/>
        <w:bottom w:val="none" w:sz="0" w:space="0" w:color="auto"/>
        <w:right w:val="none" w:sz="0" w:space="0" w:color="auto"/>
      </w:divBdr>
    </w:div>
    <w:div w:id="1934897224">
      <w:bodyDiv w:val="1"/>
      <w:marLeft w:val="0"/>
      <w:marRight w:val="0"/>
      <w:marTop w:val="0"/>
      <w:marBottom w:val="0"/>
      <w:divBdr>
        <w:top w:val="none" w:sz="0" w:space="0" w:color="auto"/>
        <w:left w:val="none" w:sz="0" w:space="0" w:color="auto"/>
        <w:bottom w:val="none" w:sz="0" w:space="0" w:color="auto"/>
        <w:right w:val="none" w:sz="0" w:space="0" w:color="auto"/>
      </w:divBdr>
    </w:div>
    <w:div w:id="1948347586">
      <w:bodyDiv w:val="1"/>
      <w:marLeft w:val="0"/>
      <w:marRight w:val="0"/>
      <w:marTop w:val="0"/>
      <w:marBottom w:val="0"/>
      <w:divBdr>
        <w:top w:val="none" w:sz="0" w:space="0" w:color="auto"/>
        <w:left w:val="none" w:sz="0" w:space="0" w:color="auto"/>
        <w:bottom w:val="none" w:sz="0" w:space="0" w:color="auto"/>
        <w:right w:val="none" w:sz="0" w:space="0" w:color="auto"/>
      </w:divBdr>
    </w:div>
    <w:div w:id="2005820738">
      <w:bodyDiv w:val="1"/>
      <w:marLeft w:val="0"/>
      <w:marRight w:val="0"/>
      <w:marTop w:val="0"/>
      <w:marBottom w:val="0"/>
      <w:divBdr>
        <w:top w:val="none" w:sz="0" w:space="0" w:color="auto"/>
        <w:left w:val="none" w:sz="0" w:space="0" w:color="auto"/>
        <w:bottom w:val="none" w:sz="0" w:space="0" w:color="auto"/>
        <w:right w:val="none" w:sz="0" w:space="0" w:color="auto"/>
      </w:divBdr>
    </w:div>
    <w:div w:id="2067146679">
      <w:bodyDiv w:val="1"/>
      <w:marLeft w:val="0"/>
      <w:marRight w:val="0"/>
      <w:marTop w:val="0"/>
      <w:marBottom w:val="0"/>
      <w:divBdr>
        <w:top w:val="none" w:sz="0" w:space="0" w:color="auto"/>
        <w:left w:val="none" w:sz="0" w:space="0" w:color="auto"/>
        <w:bottom w:val="none" w:sz="0" w:space="0" w:color="auto"/>
        <w:right w:val="none" w:sz="0" w:space="0" w:color="auto"/>
      </w:divBdr>
    </w:div>
    <w:div w:id="211697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isoncentres.echa.europa.eu/appointed-bod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nastasia.mihov@mediu.gov.md" TargetMode="External"/><Relationship Id="rId4" Type="http://schemas.openxmlformats.org/officeDocument/2006/relationships/settings" Target="settings.xml"/><Relationship Id="rId9" Type="http://schemas.openxmlformats.org/officeDocument/2006/relationships/hyperlink" Target="https://particip.gov.md/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BB2B0-F4B9-4A9E-AF2D-F3B52A5B2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30</Pages>
  <Words>10402</Words>
  <Characters>63985</Characters>
  <Application>Microsoft Office Word</Application>
  <DocSecurity>0</DocSecurity>
  <Lines>1637</Lines>
  <Paragraphs>386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74021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Anastasia Mihov</cp:lastModifiedBy>
  <cp:revision>144</cp:revision>
  <cp:lastPrinted>2025-07-14T11:39:00Z</cp:lastPrinted>
  <dcterms:created xsi:type="dcterms:W3CDTF">2026-02-09T08:28:00Z</dcterms:created>
  <dcterms:modified xsi:type="dcterms:W3CDTF">2026-02-13T09:50:00Z</dcterms:modified>
</cp:coreProperties>
</file>