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4056EB8E" w:rsidR="008B4BE6" w:rsidRPr="008E22A6" w:rsidRDefault="006933C3" w:rsidP="009435C6">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r w:rsidRPr="008E22A6">
        <w:rPr>
          <w:b/>
          <w:sz w:val="24"/>
          <w:szCs w:val="24"/>
          <w:lang w:val="ro-RO"/>
        </w:rPr>
        <w:t>NOTA</w:t>
      </w:r>
      <w:r w:rsidR="00032B46" w:rsidRPr="008E22A6">
        <w:rPr>
          <w:b/>
          <w:sz w:val="24"/>
          <w:szCs w:val="24"/>
          <w:lang w:val="ro-RO"/>
        </w:rPr>
        <w:t xml:space="preserve"> </w:t>
      </w:r>
      <w:r w:rsidRPr="008E22A6">
        <w:rPr>
          <w:b/>
          <w:sz w:val="24"/>
          <w:szCs w:val="24"/>
          <w:lang w:val="ro-RO"/>
        </w:rPr>
        <w:t>DE</w:t>
      </w:r>
      <w:r w:rsidR="00032B46" w:rsidRPr="008E22A6">
        <w:rPr>
          <w:b/>
          <w:sz w:val="24"/>
          <w:szCs w:val="24"/>
          <w:lang w:val="ro-RO"/>
        </w:rPr>
        <w:t xml:space="preserve"> </w:t>
      </w:r>
      <w:r w:rsidRPr="008E22A6">
        <w:rPr>
          <w:b/>
          <w:sz w:val="24"/>
          <w:szCs w:val="24"/>
          <w:lang w:val="ro-RO"/>
        </w:rPr>
        <w:t>FUNDAMENTARE</w:t>
      </w:r>
    </w:p>
    <w:p w14:paraId="22879485" w14:textId="77777777" w:rsidR="00091BED" w:rsidRDefault="006933C3" w:rsidP="006E58E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E22A6">
        <w:rPr>
          <w:b/>
          <w:sz w:val="24"/>
          <w:szCs w:val="24"/>
          <w:lang w:val="ro-RO"/>
        </w:rPr>
        <w:t>la</w:t>
      </w:r>
      <w:r w:rsidR="00032B46" w:rsidRPr="008E22A6">
        <w:rPr>
          <w:b/>
          <w:sz w:val="24"/>
          <w:szCs w:val="24"/>
          <w:lang w:val="ro-RO"/>
        </w:rPr>
        <w:t xml:space="preserve"> </w:t>
      </w:r>
      <w:r w:rsidRPr="008E22A6">
        <w:rPr>
          <w:b/>
          <w:sz w:val="24"/>
          <w:szCs w:val="24"/>
          <w:lang w:val="ro-RO"/>
        </w:rPr>
        <w:t>proiectul</w:t>
      </w:r>
      <w:r w:rsidR="00032B46" w:rsidRPr="008E22A6">
        <w:rPr>
          <w:b/>
          <w:sz w:val="24"/>
          <w:szCs w:val="24"/>
          <w:lang w:val="ro-RO"/>
        </w:rPr>
        <w:t xml:space="preserve"> </w:t>
      </w:r>
      <w:r w:rsidR="009435C6" w:rsidRPr="008E22A6">
        <w:rPr>
          <w:b/>
          <w:sz w:val="24"/>
          <w:szCs w:val="24"/>
          <w:lang w:val="ro-RO"/>
        </w:rPr>
        <w:t>H</w:t>
      </w:r>
      <w:r w:rsidR="006E58E7" w:rsidRPr="008E22A6">
        <w:rPr>
          <w:b/>
          <w:sz w:val="24"/>
          <w:szCs w:val="24"/>
          <w:lang w:val="ro-RO"/>
        </w:rPr>
        <w:t xml:space="preserve">otărârii Guvernului cu privire la organizarea și desfășurarea </w:t>
      </w:r>
    </w:p>
    <w:p w14:paraId="581CF8BF" w14:textId="09732CBA" w:rsidR="008B4BE6" w:rsidRPr="008E22A6" w:rsidRDefault="006E58E7" w:rsidP="006E58E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E22A6">
        <w:rPr>
          <w:b/>
          <w:sz w:val="24"/>
          <w:szCs w:val="24"/>
          <w:lang w:val="ro-RO"/>
        </w:rPr>
        <w:t>Ciclului I al Inventarului Forestier Național</w:t>
      </w:r>
    </w:p>
    <w:p w14:paraId="27E83F1B" w14:textId="77777777" w:rsidR="006E58E7" w:rsidRPr="008E22A6" w:rsidRDefault="006E58E7" w:rsidP="006E58E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9356" w:type="dxa"/>
        <w:tblInd w:w="-1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6"/>
      </w:tblGrid>
      <w:tr w:rsidR="006D3EB7" w:rsidRPr="008E22A6" w14:paraId="287A4E29" w14:textId="77777777" w:rsidTr="00DE009A">
        <w:tc>
          <w:tcPr>
            <w:tcW w:w="935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E22A6" w:rsidRDefault="0036135C" w:rsidP="002721D2">
            <w:pPr>
              <w:rPr>
                <w:rFonts w:ascii="Times New Roman" w:hAnsi="Times New Roman"/>
                <w:b/>
                <w:bCs/>
                <w:sz w:val="24"/>
                <w:szCs w:val="24"/>
                <w:lang w:val="ro-RO"/>
              </w:rPr>
            </w:pPr>
            <w:r w:rsidRPr="008E22A6">
              <w:rPr>
                <w:rFonts w:ascii="Times New Roman" w:hAnsi="Times New Roman"/>
                <w:b/>
                <w:bCs/>
                <w:sz w:val="24"/>
                <w:szCs w:val="24"/>
                <w:lang w:val="ro-RO"/>
              </w:rPr>
              <w:t>1.</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Denumirea</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sau</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numele</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autorului</w:t>
            </w:r>
            <w:r w:rsidR="00032B46" w:rsidRPr="008E22A6">
              <w:rPr>
                <w:rFonts w:ascii="Times New Roman" w:hAnsi="Times New Roman"/>
                <w:b/>
                <w:bCs/>
                <w:sz w:val="24"/>
                <w:szCs w:val="24"/>
                <w:lang w:val="ro-RO"/>
              </w:rPr>
              <w:t xml:space="preserve"> </w:t>
            </w:r>
            <w:r w:rsidR="00863417" w:rsidRPr="008E22A6">
              <w:rPr>
                <w:rFonts w:ascii="Times New Roman" w:hAnsi="Times New Roman"/>
                <w:b/>
                <w:bCs/>
                <w:sz w:val="24"/>
                <w:szCs w:val="24"/>
                <w:lang w:val="ro-RO"/>
              </w:rPr>
              <w:t>ș</w:t>
            </w:r>
            <w:r w:rsidR="006933C3" w:rsidRPr="008E22A6">
              <w:rPr>
                <w:rFonts w:ascii="Times New Roman" w:hAnsi="Times New Roman"/>
                <w:b/>
                <w:bCs/>
                <w:sz w:val="24"/>
                <w:szCs w:val="24"/>
                <w:lang w:val="ro-RO"/>
              </w:rPr>
              <w:t>i,</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după</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caz,</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a</w:t>
            </w:r>
            <w:r w:rsidR="00E94FA8" w:rsidRPr="008E22A6">
              <w:rPr>
                <w:rFonts w:ascii="Times New Roman" w:hAnsi="Times New Roman"/>
                <w:b/>
                <w:bCs/>
                <w:sz w:val="24"/>
                <w:szCs w:val="24"/>
                <w:lang w:val="ro-RO"/>
              </w:rPr>
              <w:t>/al</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participan</w:t>
            </w:r>
            <w:r w:rsidR="00863417" w:rsidRPr="008E22A6">
              <w:rPr>
                <w:rFonts w:ascii="Times New Roman" w:hAnsi="Times New Roman"/>
                <w:b/>
                <w:bCs/>
                <w:sz w:val="24"/>
                <w:szCs w:val="24"/>
                <w:lang w:val="ro-RO"/>
              </w:rPr>
              <w:t>ț</w:t>
            </w:r>
            <w:r w:rsidR="006933C3" w:rsidRPr="008E22A6">
              <w:rPr>
                <w:rFonts w:ascii="Times New Roman" w:hAnsi="Times New Roman"/>
                <w:b/>
                <w:bCs/>
                <w:sz w:val="24"/>
                <w:szCs w:val="24"/>
                <w:lang w:val="ro-RO"/>
              </w:rPr>
              <w:t>ilor</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la</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elaborarea</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proiectului</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006933C3" w:rsidRPr="008E22A6">
              <w:rPr>
                <w:rFonts w:ascii="Times New Roman" w:hAnsi="Times New Roman"/>
                <w:b/>
                <w:bCs/>
                <w:sz w:val="24"/>
                <w:szCs w:val="24"/>
                <w:lang w:val="ro-RO"/>
              </w:rPr>
              <w:t>normativ</w:t>
            </w:r>
          </w:p>
        </w:tc>
      </w:tr>
      <w:tr w:rsidR="006D3EB7" w:rsidRPr="008E22A6" w14:paraId="07E4E789"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C185D7" w14:textId="5C5AAC82" w:rsidR="008B4BE6" w:rsidRPr="008E22A6" w:rsidRDefault="00032B46" w:rsidP="00F37ED4">
            <w:pPr>
              <w:rPr>
                <w:rFonts w:ascii="Times New Roman" w:hAnsi="Times New Roman"/>
                <w:sz w:val="24"/>
                <w:szCs w:val="24"/>
                <w:lang w:val="ro-RO"/>
              </w:rPr>
            </w:pPr>
            <w:r w:rsidRPr="008E22A6">
              <w:rPr>
                <w:rFonts w:ascii="Times New Roman" w:hAnsi="Times New Roman"/>
                <w:sz w:val="24"/>
                <w:szCs w:val="24"/>
                <w:lang w:val="ro-RO"/>
              </w:rPr>
              <w:t xml:space="preserve"> </w:t>
            </w:r>
            <w:r w:rsidR="006E58E7" w:rsidRPr="008E22A6">
              <w:rPr>
                <w:rFonts w:ascii="Times New Roman" w:hAnsi="Times New Roman"/>
                <w:sz w:val="24"/>
                <w:szCs w:val="24"/>
                <w:lang w:val="ro-RO"/>
              </w:rPr>
              <w:t xml:space="preserve">Proiectul hotărârii Guvernului cu privire la organizarea și desfășurarea Ciclului I al Inventarului Forestier Național </w:t>
            </w:r>
            <w:r w:rsidR="00093096" w:rsidRPr="008E22A6">
              <w:rPr>
                <w:rFonts w:ascii="Times New Roman" w:hAnsi="Times New Roman"/>
                <w:sz w:val="24"/>
                <w:szCs w:val="24"/>
                <w:lang w:val="ro-RO"/>
              </w:rPr>
              <w:t xml:space="preserve">(IFN) </w:t>
            </w:r>
            <w:r w:rsidR="006E58E7" w:rsidRPr="008E22A6">
              <w:rPr>
                <w:rFonts w:ascii="Times New Roman" w:hAnsi="Times New Roman"/>
                <w:sz w:val="24"/>
                <w:szCs w:val="24"/>
                <w:lang w:val="ro-RO"/>
              </w:rPr>
              <w:t>este elaborat de către Ministerul Mediului.</w:t>
            </w:r>
          </w:p>
          <w:p w14:paraId="77155182" w14:textId="2BBBAAAA" w:rsidR="006E58E7" w:rsidRPr="008E22A6" w:rsidRDefault="006E58E7" w:rsidP="00F37ED4">
            <w:pPr>
              <w:rPr>
                <w:rFonts w:ascii="Times New Roman" w:hAnsi="Times New Roman"/>
                <w:sz w:val="24"/>
                <w:szCs w:val="24"/>
                <w:lang w:val="ro-RO"/>
              </w:rPr>
            </w:pPr>
            <w:r w:rsidRPr="008E22A6">
              <w:rPr>
                <w:rFonts w:ascii="Times New Roman" w:hAnsi="Times New Roman"/>
                <w:sz w:val="24"/>
                <w:szCs w:val="24"/>
                <w:lang w:val="ro-RO"/>
              </w:rPr>
              <w:t>La elaborarea proiectului a fost consultat</w:t>
            </w:r>
            <w:r w:rsidR="008E22A6" w:rsidRPr="008E22A6">
              <w:rPr>
                <w:rFonts w:ascii="Times New Roman" w:hAnsi="Times New Roman"/>
                <w:sz w:val="24"/>
                <w:szCs w:val="24"/>
                <w:lang w:val="ro-RO"/>
              </w:rPr>
              <w:t>ă</w:t>
            </w:r>
            <w:r w:rsidRPr="008E22A6">
              <w:rPr>
                <w:rFonts w:ascii="Times New Roman" w:hAnsi="Times New Roman"/>
                <w:sz w:val="24"/>
                <w:szCs w:val="24"/>
                <w:lang w:val="ro-RO"/>
              </w:rPr>
              <w:t xml:space="preserve"> instituți</w:t>
            </w:r>
            <w:r w:rsidR="008E22A6" w:rsidRPr="008E22A6">
              <w:rPr>
                <w:rFonts w:ascii="Times New Roman" w:hAnsi="Times New Roman"/>
                <w:sz w:val="24"/>
                <w:szCs w:val="24"/>
                <w:lang w:val="ro-RO"/>
              </w:rPr>
              <w:t xml:space="preserve">a </w:t>
            </w:r>
            <w:r w:rsidRPr="008E22A6">
              <w:rPr>
                <w:rFonts w:ascii="Times New Roman" w:hAnsi="Times New Roman"/>
                <w:sz w:val="24"/>
                <w:szCs w:val="24"/>
                <w:lang w:val="ro-RO"/>
              </w:rPr>
              <w:t>din subordine</w:t>
            </w:r>
            <w:r w:rsidR="009435C6" w:rsidRPr="008E22A6">
              <w:rPr>
                <w:rFonts w:ascii="Times New Roman" w:hAnsi="Times New Roman"/>
                <w:sz w:val="24"/>
                <w:szCs w:val="24"/>
              </w:rPr>
              <w:t xml:space="preserve"> </w:t>
            </w:r>
            <w:r w:rsidRPr="008E22A6">
              <w:rPr>
                <w:rFonts w:ascii="Times New Roman" w:hAnsi="Times New Roman"/>
                <w:sz w:val="24"/>
                <w:szCs w:val="24"/>
                <w:lang w:val="ro-RO"/>
              </w:rPr>
              <w:t>Agenția „Moldsilva”</w:t>
            </w:r>
            <w:r w:rsidR="008E22A6" w:rsidRPr="008E22A6">
              <w:rPr>
                <w:rFonts w:ascii="Times New Roman" w:hAnsi="Times New Roman"/>
                <w:sz w:val="24"/>
                <w:szCs w:val="24"/>
                <w:lang w:val="ro-RO"/>
              </w:rPr>
              <w:t>.</w:t>
            </w:r>
          </w:p>
        </w:tc>
      </w:tr>
      <w:tr w:rsidR="006D3EB7" w:rsidRPr="008E22A6" w14:paraId="54985D5B"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t>2.</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Condi</w:t>
            </w:r>
            <w:r w:rsidR="00863417" w:rsidRPr="008E22A6">
              <w:rPr>
                <w:rFonts w:ascii="Times New Roman" w:hAnsi="Times New Roman"/>
                <w:b/>
                <w:bCs/>
                <w:sz w:val="24"/>
                <w:szCs w:val="24"/>
                <w:lang w:val="ro-RO"/>
              </w:rPr>
              <w:t>ț</w:t>
            </w:r>
            <w:r w:rsidRPr="008E22A6">
              <w:rPr>
                <w:rFonts w:ascii="Times New Roman" w:hAnsi="Times New Roman"/>
                <w:b/>
                <w:bCs/>
                <w:sz w:val="24"/>
                <w:szCs w:val="24"/>
                <w:lang w:val="ro-RO"/>
              </w:rPr>
              <w:t>iile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au</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impus</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elaborarea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proiectului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normativ</w:t>
            </w:r>
          </w:p>
        </w:tc>
      </w:tr>
      <w:tr w:rsidR="006D3EB7" w:rsidRPr="008E22A6" w14:paraId="4F79667C"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E1B9F5"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t>2.1.</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Temeiul</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legal</w:t>
            </w:r>
            <w:r w:rsidR="00825DC9" w:rsidRPr="008E22A6">
              <w:rPr>
                <w:rFonts w:ascii="Times New Roman" w:hAnsi="Times New Roman"/>
                <w:b/>
                <w:bCs/>
                <w:i/>
                <w:iCs/>
                <w:sz w:val="24"/>
                <w:szCs w:val="24"/>
                <w:lang w:val="ro-RO"/>
              </w:rPr>
              <w:t xml:space="preserve"> sau</w:t>
            </w:r>
            <w:r w:rsidRPr="008E22A6">
              <w:rPr>
                <w:rFonts w:ascii="Times New Roman" w:hAnsi="Times New Roman"/>
                <w:b/>
                <w:bCs/>
                <w:i/>
                <w:iCs/>
                <w:sz w:val="24"/>
                <w:szCs w:val="24"/>
                <w:lang w:val="ro-RO"/>
              </w:rPr>
              <w:t>,</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după</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caz</w:t>
            </w:r>
            <w:r w:rsidR="00825DC9" w:rsidRPr="008E22A6">
              <w:rPr>
                <w:rFonts w:ascii="Times New Roman" w:hAnsi="Times New Roman"/>
                <w:b/>
                <w:bCs/>
                <w:i/>
                <w:iCs/>
                <w:sz w:val="24"/>
                <w:szCs w:val="24"/>
                <w:lang w:val="ro-RO"/>
              </w:rPr>
              <w:t>,</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sursa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proiectului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actului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normativ</w:t>
            </w:r>
          </w:p>
          <w:p w14:paraId="6362BF55" w14:textId="6A22C35E" w:rsidR="00093096" w:rsidRPr="008E22A6" w:rsidRDefault="00093096" w:rsidP="007D7FA9">
            <w:pPr>
              <w:rPr>
                <w:rFonts w:ascii="Times New Roman" w:hAnsi="Times New Roman"/>
                <w:sz w:val="24"/>
                <w:szCs w:val="24"/>
                <w:lang w:val="ro-RO"/>
              </w:rPr>
            </w:pPr>
            <w:r w:rsidRPr="008E22A6">
              <w:rPr>
                <w:rFonts w:ascii="Times New Roman" w:hAnsi="Times New Roman"/>
                <w:sz w:val="24"/>
                <w:szCs w:val="24"/>
                <w:lang w:val="ro-RO"/>
              </w:rPr>
              <w:t>Temeiul legal pentru instituirea și realizarea IFN este prevăzut de art. 61 din Codul silvic nr. 69/2024, care stabilește definiția IFN, caracterul continu</w:t>
            </w:r>
            <w:r w:rsidR="006D7CCA">
              <w:rPr>
                <w:rFonts w:ascii="Times New Roman" w:hAnsi="Times New Roman"/>
                <w:sz w:val="24"/>
                <w:szCs w:val="24"/>
                <w:lang w:val="ro-RO"/>
              </w:rPr>
              <w:t>u</w:t>
            </w:r>
            <w:r w:rsidRPr="008E22A6">
              <w:rPr>
                <w:rFonts w:ascii="Times New Roman" w:hAnsi="Times New Roman"/>
                <w:sz w:val="24"/>
                <w:szCs w:val="24"/>
                <w:lang w:val="ro-RO"/>
              </w:rPr>
              <w:t xml:space="preserve">/periodic, componentele metodologice (date de teren, fotogrammetrie, analize de laborator, prelucrare statistică), sarcinile principale și faptul că metodologia se aprobă de autoritatea publică centrală de mediu. </w:t>
            </w:r>
          </w:p>
          <w:p w14:paraId="2E2152FC" w14:textId="1E98A56F" w:rsidR="00093096" w:rsidRPr="008E22A6" w:rsidRDefault="00093096" w:rsidP="00093096">
            <w:pPr>
              <w:rPr>
                <w:rFonts w:ascii="Times New Roman" w:hAnsi="Times New Roman"/>
                <w:sz w:val="24"/>
                <w:szCs w:val="24"/>
                <w:lang w:val="ro-RO"/>
              </w:rPr>
            </w:pPr>
            <w:r w:rsidRPr="008E22A6">
              <w:rPr>
                <w:rFonts w:ascii="Times New Roman" w:hAnsi="Times New Roman"/>
                <w:sz w:val="24"/>
                <w:szCs w:val="24"/>
                <w:lang w:val="ro-RO"/>
              </w:rPr>
              <w:t xml:space="preserve">Totodată, dezvoltarea IFN se circumscrie angajamentelor Republicii Moldova în contextul cooperării cu </w:t>
            </w:r>
            <w:r w:rsidR="00E53E29" w:rsidRPr="008E22A6">
              <w:rPr>
                <w:rFonts w:ascii="Times New Roman" w:hAnsi="Times New Roman"/>
                <w:sz w:val="24"/>
                <w:szCs w:val="24"/>
                <w:lang w:val="ro-RO"/>
              </w:rPr>
              <w:t>Comisia</w:t>
            </w:r>
            <w:r w:rsidRPr="008E22A6">
              <w:rPr>
                <w:rFonts w:ascii="Times New Roman" w:hAnsi="Times New Roman"/>
                <w:sz w:val="24"/>
                <w:szCs w:val="24"/>
                <w:lang w:val="ro-RO"/>
              </w:rPr>
              <w:t xml:space="preserve"> Europeană, inclusiv necesității de a asigura date comparabile, actualizate și verificabile pentru politici publice, raportări și evaluarea progresului în domeniul mediului și schimbărilor climatice (inclusiv raportări aferente indicatorilor de gestionare durabilă și altor obligații internaționale).</w:t>
            </w:r>
          </w:p>
        </w:tc>
      </w:tr>
      <w:tr w:rsidR="006D3EB7" w:rsidRPr="008E22A6" w14:paraId="6F56D62C" w14:textId="77777777" w:rsidTr="00DE009A">
        <w:trPr>
          <w:trHeight w:val="3383"/>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9D2292"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t>2.2.</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Descrierea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situa</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iei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actuale</w:t>
            </w:r>
            <w:r w:rsidR="00032B46" w:rsidRPr="008E22A6">
              <w:rPr>
                <w:rFonts w:ascii="Times New Roman" w:hAnsi="Times New Roman"/>
                <w:b/>
                <w:bCs/>
                <w:i/>
                <w:iCs/>
                <w:sz w:val="24"/>
                <w:szCs w:val="24"/>
                <w:lang w:val="ro-RO"/>
              </w:rPr>
              <w:t xml:space="preserve"> </w:t>
            </w:r>
            <w:r w:rsidR="00863417" w:rsidRPr="008E22A6">
              <w:rPr>
                <w:rFonts w:ascii="Times New Roman" w:hAnsi="Times New Roman"/>
                <w:b/>
                <w:bCs/>
                <w:i/>
                <w:iCs/>
                <w:sz w:val="24"/>
                <w:szCs w:val="24"/>
                <w:lang w:val="ro-RO"/>
              </w:rPr>
              <w:t>ș</w:t>
            </w:r>
            <w:r w:rsidRPr="008E22A6">
              <w:rPr>
                <w:rFonts w:ascii="Times New Roman" w:hAnsi="Times New Roman"/>
                <w:b/>
                <w:bCs/>
                <w:i/>
                <w:iCs/>
                <w:sz w:val="24"/>
                <w:szCs w:val="24"/>
                <w:lang w:val="ro-RO"/>
              </w:rPr>
              <w:t>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problemelor</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care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impun</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interven</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ia,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inclusiv</w:t>
            </w:r>
            <w:r w:rsidR="00032B46" w:rsidRPr="008E22A6">
              <w:rPr>
                <w:rFonts w:ascii="Times New Roman" w:hAnsi="Times New Roman"/>
                <w:b/>
                <w:bCs/>
                <w:i/>
                <w:iCs/>
                <w:sz w:val="24"/>
                <w:szCs w:val="24"/>
                <w:lang w:val="ro-RO"/>
              </w:rPr>
              <w:t xml:space="preserve"> </w:t>
            </w:r>
            <w:r w:rsidR="005C7769" w:rsidRPr="008E22A6">
              <w:rPr>
                <w:rFonts w:ascii="Times New Roman" w:hAnsi="Times New Roman"/>
                <w:b/>
                <w:bCs/>
                <w:i/>
                <w:iCs/>
                <w:sz w:val="24"/>
                <w:szCs w:val="24"/>
                <w:lang w:val="ro-RO"/>
              </w:rPr>
              <w:t xml:space="preserve">a </w:t>
            </w:r>
            <w:r w:rsidRPr="008E22A6">
              <w:rPr>
                <w:rFonts w:ascii="Times New Roman" w:hAnsi="Times New Roman"/>
                <w:b/>
                <w:bCs/>
                <w:i/>
                <w:iCs/>
                <w:sz w:val="24"/>
                <w:szCs w:val="24"/>
                <w:lang w:val="ro-RO"/>
              </w:rPr>
              <w:t>cadrul</w:t>
            </w:r>
            <w:r w:rsidR="005C7769" w:rsidRPr="008E22A6">
              <w:rPr>
                <w:rFonts w:ascii="Times New Roman" w:hAnsi="Times New Roman"/>
                <w:b/>
                <w:bCs/>
                <w:i/>
                <w:iCs/>
                <w:sz w:val="24"/>
                <w:szCs w:val="24"/>
                <w:lang w:val="ro-RO"/>
              </w:rPr>
              <w:t>ui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normativ</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aplicabil</w:t>
            </w:r>
            <w:r w:rsidR="00032B46" w:rsidRPr="008E22A6">
              <w:rPr>
                <w:rFonts w:ascii="Times New Roman" w:hAnsi="Times New Roman"/>
                <w:b/>
                <w:bCs/>
                <w:i/>
                <w:iCs/>
                <w:sz w:val="24"/>
                <w:szCs w:val="24"/>
                <w:lang w:val="ro-RO"/>
              </w:rPr>
              <w:t xml:space="preserve"> </w:t>
            </w:r>
            <w:r w:rsidR="00863417" w:rsidRPr="008E22A6">
              <w:rPr>
                <w:rFonts w:ascii="Times New Roman" w:hAnsi="Times New Roman"/>
                <w:b/>
                <w:bCs/>
                <w:i/>
                <w:iCs/>
                <w:sz w:val="24"/>
                <w:szCs w:val="24"/>
                <w:lang w:val="ro-RO"/>
              </w:rPr>
              <w:t>ș</w:t>
            </w:r>
            <w:r w:rsidRPr="008E22A6">
              <w:rPr>
                <w:rFonts w:ascii="Times New Roman" w:hAnsi="Times New Roman"/>
                <w:b/>
                <w:bCs/>
                <w:i/>
                <w:iCs/>
                <w:sz w:val="24"/>
                <w:szCs w:val="24"/>
                <w:lang w:val="ro-RO"/>
              </w:rPr>
              <w:t>i</w:t>
            </w:r>
            <w:r w:rsidR="00032B46" w:rsidRPr="008E22A6">
              <w:rPr>
                <w:rFonts w:ascii="Times New Roman" w:hAnsi="Times New Roman"/>
                <w:b/>
                <w:bCs/>
                <w:i/>
                <w:iCs/>
                <w:sz w:val="24"/>
                <w:szCs w:val="24"/>
                <w:lang w:val="ro-RO"/>
              </w:rPr>
              <w:t xml:space="preserve"> </w:t>
            </w:r>
            <w:r w:rsidR="005C7769" w:rsidRPr="008E22A6">
              <w:rPr>
                <w:rFonts w:ascii="Times New Roman" w:hAnsi="Times New Roman"/>
                <w:b/>
                <w:bCs/>
                <w:i/>
                <w:iCs/>
                <w:sz w:val="24"/>
                <w:szCs w:val="24"/>
                <w:lang w:val="ro-RO"/>
              </w:rPr>
              <w:t xml:space="preserve">a </w:t>
            </w:r>
            <w:r w:rsidRPr="008E22A6">
              <w:rPr>
                <w:rFonts w:ascii="Times New Roman" w:hAnsi="Times New Roman"/>
                <w:b/>
                <w:bCs/>
                <w:i/>
                <w:iCs/>
                <w:sz w:val="24"/>
                <w:szCs w:val="24"/>
                <w:lang w:val="ro-RO"/>
              </w:rPr>
              <w:t>deficien</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el</w:t>
            </w:r>
            <w:r w:rsidR="005C7769" w:rsidRPr="008E22A6">
              <w:rPr>
                <w:rFonts w:ascii="Times New Roman" w:hAnsi="Times New Roman"/>
                <w:b/>
                <w:bCs/>
                <w:i/>
                <w:iCs/>
                <w:sz w:val="24"/>
                <w:szCs w:val="24"/>
                <w:lang w:val="ro-RO"/>
              </w:rPr>
              <w:t>or</w:t>
            </w:r>
            <w:r w:rsidRPr="008E22A6">
              <w:rPr>
                <w:rFonts w:ascii="Times New Roman" w:hAnsi="Times New Roman"/>
                <w:b/>
                <w:bCs/>
                <w:i/>
                <w:iCs/>
                <w:sz w:val="24"/>
                <w:szCs w:val="24"/>
                <w:lang w:val="ro-RO"/>
              </w:rPr>
              <w:t>/lacunel</w:t>
            </w:r>
            <w:r w:rsidR="005C7769" w:rsidRPr="008E22A6">
              <w:rPr>
                <w:rFonts w:ascii="Times New Roman" w:hAnsi="Times New Roman"/>
                <w:b/>
                <w:bCs/>
                <w:i/>
                <w:iCs/>
                <w:sz w:val="24"/>
                <w:szCs w:val="24"/>
                <w:lang w:val="ro-RO"/>
              </w:rPr>
              <w:t>or</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normative</w:t>
            </w:r>
          </w:p>
          <w:p w14:paraId="5B562FCA" w14:textId="75361D5C" w:rsidR="00951F15" w:rsidRPr="008E22A6" w:rsidRDefault="00951F15" w:rsidP="00951F15">
            <w:pPr>
              <w:rPr>
                <w:rFonts w:ascii="Times New Roman" w:hAnsi="Times New Roman"/>
                <w:sz w:val="24"/>
                <w:szCs w:val="24"/>
                <w:lang w:val="ro-RO"/>
              </w:rPr>
            </w:pPr>
            <w:r w:rsidRPr="008E22A6">
              <w:rPr>
                <w:rFonts w:ascii="Times New Roman" w:hAnsi="Times New Roman"/>
                <w:sz w:val="24"/>
                <w:szCs w:val="24"/>
                <w:lang w:val="ro-RO"/>
              </w:rPr>
              <w:t>IFN reprezintă principalul instrument de evaluare a resurselor forestiere ale unei țări, având drept sarcină colectarea, gestionarea și analiza la nivel național a informațiilor privind resursele forestiere, publicarea rezultatelor și elaborarea de studii/scenarii necesare, cu precădere, proceselor de elaborare a politicii forestiere și cooperării intersectoriale. În același timp, IFN constituie principalul furnizor de date pentru raportarea indicatorilor de gestionare durabilă a pădurilor și pentru raportările internaționale din domeniul schimbărilor climatice și biodiversității.</w:t>
            </w:r>
          </w:p>
          <w:p w14:paraId="47E88FB1" w14:textId="689E8BCD" w:rsidR="00951F15" w:rsidRPr="008E22A6" w:rsidRDefault="00951F15" w:rsidP="00A97013">
            <w:pPr>
              <w:rPr>
                <w:rFonts w:ascii="Times New Roman" w:hAnsi="Times New Roman"/>
                <w:sz w:val="24"/>
                <w:szCs w:val="24"/>
                <w:lang w:val="ro-RO"/>
              </w:rPr>
            </w:pPr>
            <w:r w:rsidRPr="008E22A6">
              <w:rPr>
                <w:rFonts w:ascii="Times New Roman" w:hAnsi="Times New Roman"/>
                <w:sz w:val="24"/>
                <w:szCs w:val="24"/>
                <w:lang w:val="ro-RO"/>
              </w:rPr>
              <w:t>În prezent, în Republica Moldova, datele privind resursele forestiere sunt preponderent fragmentate și provin din surse și metodologii diferite, cu acoperire neuniformă și periodicitate variabilă, ceea ce limitează capacitatea autorităților de a avea o imagine unitară, actualizată și comparabilă în timp asupra stării și evoluției vegetației forestiere la nivel național. Lipsa unui IFN operațional reduce posibilitatea de a evalua coerent dinamica resurselor forestiere (inclusiv tendințe privind structura, regenerarea, starea de sănătate, lemnul mort, solurile forestiere etc.), precum și de a fundamenta măsuri de politici publice pe baza unor estimări statistice robuste și repetabile.</w:t>
            </w:r>
          </w:p>
          <w:p w14:paraId="2733301E" w14:textId="25662000" w:rsidR="00951F15" w:rsidRPr="008E22A6" w:rsidRDefault="00951F15" w:rsidP="00A97013">
            <w:pPr>
              <w:rPr>
                <w:rFonts w:ascii="Times New Roman" w:hAnsi="Times New Roman"/>
                <w:sz w:val="24"/>
                <w:szCs w:val="24"/>
                <w:lang w:val="ro-RO"/>
              </w:rPr>
            </w:pPr>
            <w:r w:rsidRPr="008E22A6">
              <w:rPr>
                <w:rFonts w:ascii="Times New Roman" w:hAnsi="Times New Roman"/>
                <w:sz w:val="24"/>
                <w:szCs w:val="24"/>
                <w:lang w:val="ro-RO"/>
              </w:rPr>
              <w:t xml:space="preserve">Experiența statelor europene arată că necesitatea unui IFN este strâns legată de obligațiile de raportare către organismele internaționale și de alinierea la standardele europene de inventariere, ceea ce nu poate fi asigurat decât prin realizarea unui inventar forestier național modern, bazat pe metode evoluate de inventariere, colectare și prelucrare a datelor privind vegetația forestieră. </w:t>
            </w:r>
          </w:p>
          <w:p w14:paraId="79C134D6" w14:textId="59E66263" w:rsidR="00951F15" w:rsidRPr="008E22A6" w:rsidRDefault="00951F15" w:rsidP="00951F15">
            <w:pPr>
              <w:rPr>
                <w:rFonts w:ascii="Times New Roman" w:hAnsi="Times New Roman"/>
                <w:sz w:val="24"/>
                <w:szCs w:val="24"/>
                <w:lang w:val="ro-RO"/>
              </w:rPr>
            </w:pPr>
            <w:r w:rsidRPr="008E22A6">
              <w:rPr>
                <w:rFonts w:ascii="Times New Roman" w:hAnsi="Times New Roman"/>
                <w:sz w:val="24"/>
                <w:szCs w:val="24"/>
                <w:lang w:val="ro-RO"/>
              </w:rPr>
              <w:t xml:space="preserve">În particular, un IFN este instrumentul care asigură date pentru raportări asumate în cadrul proceselor și convențiilor internaționale relevante (ex. Forest Europe/MCPFE, UNFCCC/Protocolul de la Kyoto, CBD, precum și evaluările FRA-FAO). </w:t>
            </w:r>
          </w:p>
          <w:p w14:paraId="002D794C" w14:textId="77777777" w:rsidR="00951F15" w:rsidRPr="008E22A6" w:rsidRDefault="00951F15" w:rsidP="00951F15">
            <w:pPr>
              <w:rPr>
                <w:rFonts w:ascii="Times New Roman" w:hAnsi="Times New Roman"/>
                <w:sz w:val="24"/>
                <w:szCs w:val="24"/>
                <w:lang w:val="ro-RO"/>
              </w:rPr>
            </w:pPr>
            <w:r w:rsidRPr="008E22A6">
              <w:rPr>
                <w:rFonts w:ascii="Times New Roman" w:hAnsi="Times New Roman"/>
                <w:sz w:val="24"/>
                <w:szCs w:val="24"/>
                <w:lang w:val="ro-RO"/>
              </w:rPr>
              <w:t>În plus, IFN presupune o activitate complexă, de la culegerea datelor de teren (despre arbori, arborete, lemn mort, soluri forestiere etc.) la utilizarea teledetecției/</w:t>
            </w:r>
            <w:proofErr w:type="spellStart"/>
            <w:r w:rsidRPr="008E22A6">
              <w:rPr>
                <w:rFonts w:ascii="Times New Roman" w:hAnsi="Times New Roman"/>
                <w:sz w:val="24"/>
                <w:szCs w:val="24"/>
                <w:lang w:val="ro-RO"/>
              </w:rPr>
              <w:t>fotointerpretării</w:t>
            </w:r>
            <w:proofErr w:type="spellEnd"/>
            <w:r w:rsidRPr="008E22A6">
              <w:rPr>
                <w:rFonts w:ascii="Times New Roman" w:hAnsi="Times New Roman"/>
                <w:sz w:val="24"/>
                <w:szCs w:val="24"/>
                <w:lang w:val="ro-RO"/>
              </w:rPr>
              <w:t xml:space="preserve">, analize de laborator și prelucrarea statistică a unui volum mare de date, ceea ce impune un cadru organizatoric clar, responsabilități instituționale și proceduri standardizate. Practicile europene relevă și necesitatea utilizării suprafețelor de probă permanente, care permit obținerea de informații credibile privind schimbările în timp ale vegetației forestiere și constituirea unei baze </w:t>
            </w:r>
            <w:r w:rsidRPr="008E22A6">
              <w:rPr>
                <w:rFonts w:ascii="Times New Roman" w:hAnsi="Times New Roman"/>
                <w:sz w:val="24"/>
                <w:szCs w:val="24"/>
                <w:lang w:val="ro-RO"/>
              </w:rPr>
              <w:lastRenderedPageBreak/>
              <w:t xml:space="preserve">de date valoroase pentru studii, cercetări și predicții utilizabile în deciziile de gestionare durabilă a pădurilor. </w:t>
            </w:r>
          </w:p>
          <w:p w14:paraId="2B949C30" w14:textId="77777777" w:rsidR="0069530C" w:rsidRPr="008E22A6" w:rsidRDefault="00951F15" w:rsidP="00951F15">
            <w:pPr>
              <w:rPr>
                <w:rFonts w:ascii="Times New Roman" w:hAnsi="Times New Roman"/>
                <w:sz w:val="24"/>
                <w:szCs w:val="24"/>
                <w:lang w:val="ro-RO"/>
              </w:rPr>
            </w:pPr>
            <w:r w:rsidRPr="008E22A6">
              <w:rPr>
                <w:rFonts w:ascii="Times New Roman" w:hAnsi="Times New Roman"/>
                <w:sz w:val="24"/>
                <w:szCs w:val="24"/>
                <w:lang w:val="ro-RO"/>
              </w:rPr>
              <w:t>Prin urmare, intervenția normativă este necesară pentru a stabili organizarea, responsabilitățile și mecanismele de realizare a Ciclului I al IFN în Republica Moldova, astfel încât țara să dispună de un sistem național funcțional de evaluare și raportare a resurselor forestiere, aliniat la standardele europene.</w:t>
            </w:r>
          </w:p>
          <w:p w14:paraId="440AD9EB" w14:textId="6CFDFF98" w:rsidR="00EA06D2" w:rsidRPr="008E22A6" w:rsidRDefault="00EA06D2" w:rsidP="00951F15">
            <w:pPr>
              <w:rPr>
                <w:rFonts w:ascii="Times New Roman" w:hAnsi="Times New Roman"/>
                <w:sz w:val="24"/>
                <w:szCs w:val="24"/>
                <w:lang w:val="ro-RO"/>
              </w:rPr>
            </w:pPr>
            <w:r w:rsidRPr="008E22A6">
              <w:rPr>
                <w:rFonts w:ascii="Times New Roman" w:hAnsi="Times New Roman"/>
                <w:sz w:val="24"/>
                <w:szCs w:val="24"/>
                <w:lang w:val="ro-RO"/>
              </w:rPr>
              <w:t>Prin prezenta hotărâre se asigură cadrul necesar realizării lucrărilor IFN pe întreg teritoriul țării, inclusiv prin stabilirea obligației proprietarilor/deținătorilor de terenuri de a permite accesul echipelor de inventariere la amplasamentele suprafețelor de probă, în vederea efectuării măsurătorilor și colectării datelor.</w:t>
            </w:r>
          </w:p>
        </w:tc>
      </w:tr>
      <w:tr w:rsidR="006D3EB7" w:rsidRPr="008E22A6" w14:paraId="595D390F"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lastRenderedPageBreak/>
              <w:t>3.</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Obiectivele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urmărite</w:t>
            </w:r>
            <w:r w:rsidR="00032B46" w:rsidRPr="008E22A6">
              <w:rPr>
                <w:rFonts w:ascii="Times New Roman" w:hAnsi="Times New Roman"/>
                <w:b/>
                <w:bCs/>
                <w:sz w:val="24"/>
                <w:szCs w:val="24"/>
                <w:lang w:val="ro-RO"/>
              </w:rPr>
              <w:t xml:space="preserve"> </w:t>
            </w:r>
            <w:r w:rsidR="00863417" w:rsidRPr="008E22A6">
              <w:rPr>
                <w:rFonts w:ascii="Times New Roman" w:hAnsi="Times New Roman"/>
                <w:b/>
                <w:bCs/>
                <w:sz w:val="24"/>
                <w:szCs w:val="24"/>
                <w:lang w:val="ro-RO"/>
              </w:rPr>
              <w:t>ș</w:t>
            </w:r>
            <w:r w:rsidRPr="008E22A6">
              <w:rPr>
                <w:rFonts w:ascii="Times New Roman" w:hAnsi="Times New Roman"/>
                <w:b/>
                <w:bCs/>
                <w:sz w:val="24"/>
                <w:szCs w:val="24"/>
                <w:lang w:val="ro-RO"/>
              </w:rPr>
              <w:t>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solu</w:t>
            </w:r>
            <w:r w:rsidR="00863417" w:rsidRPr="008E22A6">
              <w:rPr>
                <w:rFonts w:ascii="Times New Roman" w:hAnsi="Times New Roman"/>
                <w:b/>
                <w:bCs/>
                <w:sz w:val="24"/>
                <w:szCs w:val="24"/>
                <w:lang w:val="ro-RO"/>
              </w:rPr>
              <w:t>ț</w:t>
            </w:r>
            <w:r w:rsidRPr="008E22A6">
              <w:rPr>
                <w:rFonts w:ascii="Times New Roman" w:hAnsi="Times New Roman"/>
                <w:b/>
                <w:bCs/>
                <w:sz w:val="24"/>
                <w:szCs w:val="24"/>
                <w:lang w:val="ro-RO"/>
              </w:rPr>
              <w:t>iile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propuse</w:t>
            </w:r>
          </w:p>
        </w:tc>
      </w:tr>
      <w:tr w:rsidR="006D3EB7" w:rsidRPr="008E22A6" w14:paraId="256ADACA"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BD3CD7" w14:textId="77777777" w:rsidR="00D927DB" w:rsidRPr="008E22A6" w:rsidRDefault="00D927DB"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t>3.1.</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Principalele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prevederi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ale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proiectului</w:t>
            </w:r>
            <w:r w:rsidR="00032B46" w:rsidRPr="008E22A6">
              <w:rPr>
                <w:rFonts w:ascii="Times New Roman" w:hAnsi="Times New Roman"/>
                <w:b/>
                <w:bCs/>
                <w:i/>
                <w:iCs/>
                <w:sz w:val="24"/>
                <w:szCs w:val="24"/>
                <w:lang w:val="ro-RO"/>
              </w:rPr>
              <w:t xml:space="preserve"> </w:t>
            </w:r>
            <w:r w:rsidR="00863417" w:rsidRPr="008E22A6">
              <w:rPr>
                <w:rFonts w:ascii="Times New Roman" w:hAnsi="Times New Roman"/>
                <w:b/>
                <w:bCs/>
                <w:i/>
                <w:iCs/>
                <w:sz w:val="24"/>
                <w:szCs w:val="24"/>
                <w:lang w:val="ro-RO"/>
              </w:rPr>
              <w:t>ș</w:t>
            </w:r>
            <w:r w:rsidRPr="008E22A6">
              <w:rPr>
                <w:rFonts w:ascii="Times New Roman" w:hAnsi="Times New Roman"/>
                <w:b/>
                <w:bCs/>
                <w:i/>
                <w:iCs/>
                <w:sz w:val="24"/>
                <w:szCs w:val="24"/>
                <w:lang w:val="ro-RO"/>
              </w:rPr>
              <w:t>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eviden</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ierea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elementelor</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noi</w:t>
            </w:r>
          </w:p>
          <w:p w14:paraId="60E35017" w14:textId="4C2E92CE" w:rsidR="00385A36" w:rsidRPr="008E22A6" w:rsidRDefault="00385A36" w:rsidP="00385A36">
            <w:pPr>
              <w:rPr>
                <w:rFonts w:ascii="Times New Roman" w:hAnsi="Times New Roman"/>
                <w:sz w:val="24"/>
                <w:szCs w:val="24"/>
                <w:lang w:val="ro-RO"/>
              </w:rPr>
            </w:pPr>
            <w:r w:rsidRPr="008E22A6">
              <w:rPr>
                <w:rFonts w:ascii="Times New Roman" w:hAnsi="Times New Roman"/>
                <w:sz w:val="24"/>
                <w:szCs w:val="24"/>
                <w:lang w:val="ro-RO"/>
              </w:rPr>
              <w:t>Obiectivul general al proiectului constă în organizarea și desfășurarea Ciclului I al Inventarului Forestier Național, ca instrument național de evaluare a resurselor forestiere, în vederea obținerii de informații actualizate privind starea și evoluția vegetației forestiere pe întreg teritoriul Republicii Moldova.</w:t>
            </w:r>
          </w:p>
          <w:p w14:paraId="746966F0" w14:textId="31C2D2DC" w:rsidR="00385A36" w:rsidRPr="008E22A6" w:rsidRDefault="00385A36" w:rsidP="00385A36">
            <w:pPr>
              <w:rPr>
                <w:rFonts w:ascii="Times New Roman" w:hAnsi="Times New Roman"/>
                <w:sz w:val="24"/>
                <w:szCs w:val="24"/>
                <w:lang w:val="ro-RO"/>
              </w:rPr>
            </w:pPr>
            <w:r w:rsidRPr="008E22A6">
              <w:rPr>
                <w:rFonts w:ascii="Times New Roman" w:hAnsi="Times New Roman"/>
                <w:sz w:val="24"/>
                <w:szCs w:val="24"/>
                <w:lang w:val="ro-RO"/>
              </w:rPr>
              <w:t>Proiectul hotărârii Guvernului prevede, în principal:</w:t>
            </w:r>
          </w:p>
          <w:p w14:paraId="11EC3BA9" w14:textId="1A201C96" w:rsidR="00385A36" w:rsidRPr="008E22A6" w:rsidRDefault="00385A36" w:rsidP="00385A36">
            <w:pPr>
              <w:pStyle w:val="Listparagraf"/>
              <w:numPr>
                <w:ilvl w:val="0"/>
                <w:numId w:val="44"/>
              </w:numPr>
              <w:ind w:left="747"/>
              <w:rPr>
                <w:rFonts w:ascii="Times New Roman" w:hAnsi="Times New Roman"/>
                <w:sz w:val="24"/>
                <w:szCs w:val="24"/>
                <w:lang w:val="ro-RO"/>
              </w:rPr>
            </w:pPr>
            <w:r w:rsidRPr="008E22A6">
              <w:rPr>
                <w:rFonts w:ascii="Times New Roman" w:hAnsi="Times New Roman"/>
                <w:sz w:val="24"/>
                <w:szCs w:val="24"/>
                <w:lang w:val="ro-RO"/>
              </w:rPr>
              <w:t>aprobarea organizării și desfășurării Ciclului I al IFN, inclusiv stabilirea etapelor de implementare (pregătire metodologică și logistică; colectare date; prelucrare, validare și raportare);</w:t>
            </w:r>
          </w:p>
          <w:p w14:paraId="1E83BFD0" w14:textId="5CF57816" w:rsidR="00385A36" w:rsidRPr="008E22A6" w:rsidRDefault="00385A36" w:rsidP="00385A36">
            <w:pPr>
              <w:pStyle w:val="Listparagraf"/>
              <w:numPr>
                <w:ilvl w:val="0"/>
                <w:numId w:val="44"/>
              </w:numPr>
              <w:ind w:left="747"/>
              <w:rPr>
                <w:rFonts w:ascii="Times New Roman" w:hAnsi="Times New Roman"/>
                <w:sz w:val="24"/>
                <w:szCs w:val="24"/>
                <w:lang w:val="ro-RO"/>
              </w:rPr>
            </w:pPr>
            <w:r w:rsidRPr="008E22A6">
              <w:rPr>
                <w:rFonts w:ascii="Times New Roman" w:hAnsi="Times New Roman"/>
                <w:sz w:val="24"/>
                <w:szCs w:val="24"/>
                <w:lang w:val="ro-RO"/>
              </w:rPr>
              <w:t>stabilirea cadrului instituțional de coordonare și cooperare interinstituțională, inclusiv responsabilități privind planificarea, colectarea datelor, managementul bazei de date și publicarea rezultatelor;</w:t>
            </w:r>
          </w:p>
          <w:p w14:paraId="388C1FCC" w14:textId="500CDCC7" w:rsidR="00385A36" w:rsidRPr="008E22A6" w:rsidRDefault="00385A36" w:rsidP="00385A36">
            <w:pPr>
              <w:pStyle w:val="Listparagraf"/>
              <w:numPr>
                <w:ilvl w:val="0"/>
                <w:numId w:val="44"/>
              </w:numPr>
              <w:ind w:left="747"/>
              <w:rPr>
                <w:rFonts w:ascii="Times New Roman" w:hAnsi="Times New Roman"/>
                <w:sz w:val="24"/>
                <w:szCs w:val="24"/>
                <w:lang w:val="ro-RO"/>
              </w:rPr>
            </w:pPr>
            <w:r w:rsidRPr="008E22A6">
              <w:rPr>
                <w:rFonts w:ascii="Times New Roman" w:hAnsi="Times New Roman"/>
                <w:sz w:val="24"/>
                <w:szCs w:val="24"/>
                <w:lang w:val="ro-RO"/>
              </w:rPr>
              <w:t>asigurarea condițiilor necesare realizării lucrărilor IFN pe întreg teritoriul țării, inclusiv prin stabilirea obligației proprietarilor/deținătorilor de terenuri de a permite accesul echipelor de inventariere la amplasamentele suprafețelor de probă, în vederea efectuării măsurătorilor și colectării datelor;</w:t>
            </w:r>
          </w:p>
          <w:p w14:paraId="627637D7" w14:textId="08378393" w:rsidR="00385A36" w:rsidRPr="008E22A6" w:rsidRDefault="00385A36" w:rsidP="00385A36">
            <w:pPr>
              <w:pStyle w:val="Listparagraf"/>
              <w:numPr>
                <w:ilvl w:val="0"/>
                <w:numId w:val="44"/>
              </w:numPr>
              <w:ind w:left="747"/>
              <w:rPr>
                <w:rFonts w:ascii="Times New Roman" w:hAnsi="Times New Roman"/>
                <w:sz w:val="24"/>
                <w:szCs w:val="24"/>
                <w:lang w:val="ro-RO"/>
              </w:rPr>
            </w:pPr>
            <w:r w:rsidRPr="008E22A6">
              <w:rPr>
                <w:rFonts w:ascii="Times New Roman" w:hAnsi="Times New Roman"/>
                <w:sz w:val="24"/>
                <w:szCs w:val="24"/>
                <w:lang w:val="ro-RO"/>
              </w:rPr>
              <w:t>stabilirea obligației de elaborare și publicare a rezultatelor (sinteze/rapoarte), în scopul utilizării acestora în elaborarea politicilor publice, raportări și cooperare intersectorială.</w:t>
            </w:r>
          </w:p>
          <w:p w14:paraId="0E4919AE" w14:textId="6C491EC6" w:rsidR="00385A36" w:rsidRPr="008E22A6" w:rsidRDefault="00385A36" w:rsidP="00385A36">
            <w:pPr>
              <w:rPr>
                <w:rFonts w:ascii="Times New Roman" w:hAnsi="Times New Roman"/>
                <w:sz w:val="24"/>
                <w:szCs w:val="24"/>
                <w:lang w:val="ro-RO"/>
              </w:rPr>
            </w:pPr>
            <w:r w:rsidRPr="008E22A6">
              <w:rPr>
                <w:rFonts w:ascii="Times New Roman" w:hAnsi="Times New Roman"/>
                <w:sz w:val="24"/>
                <w:szCs w:val="24"/>
                <w:lang w:val="ro-RO"/>
              </w:rPr>
              <w:t>Rezultatele scontate sunt: instituirea unui mecanism național funcțional de evaluare a resurselor forestiere, crearea unei baze de date coerente și comparabile în timp și disponibilitatea unor rapoarte naționale periodice relevante pentru managementul durabil al pădurilor.</w:t>
            </w:r>
          </w:p>
        </w:tc>
      </w:tr>
      <w:tr w:rsidR="006D3EB7" w:rsidRPr="008E22A6" w14:paraId="322ED771" w14:textId="77777777" w:rsidTr="00DE009A">
        <w:trPr>
          <w:trHeight w:val="3749"/>
        </w:trPr>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2576D" w14:textId="77777777" w:rsidR="00F32380" w:rsidRPr="008E22A6" w:rsidRDefault="00F32380" w:rsidP="008710BA">
            <w:pPr>
              <w:rPr>
                <w:rFonts w:ascii="Times New Roman" w:hAnsi="Times New Roman"/>
                <w:b/>
                <w:bCs/>
                <w:i/>
                <w:iCs/>
                <w:sz w:val="24"/>
                <w:szCs w:val="24"/>
                <w:lang w:val="ro-RO"/>
              </w:rPr>
            </w:pPr>
            <w:r w:rsidRPr="008E22A6">
              <w:rPr>
                <w:rFonts w:ascii="Times New Roman" w:hAnsi="Times New Roman"/>
                <w:b/>
                <w:bCs/>
                <w:i/>
                <w:iCs/>
                <w:sz w:val="24"/>
                <w:szCs w:val="24"/>
                <w:lang w:val="ro-RO"/>
              </w:rPr>
              <w:t xml:space="preserve">3.2. Opțiunile alternative analizate și motivele pentru care acestea nu au fost luate în considerare </w:t>
            </w:r>
          </w:p>
          <w:p w14:paraId="602072DB" w14:textId="77BDDC88" w:rsidR="008C1194" w:rsidRPr="008E22A6" w:rsidRDefault="008C1194" w:rsidP="008710BA">
            <w:pPr>
              <w:rPr>
                <w:rFonts w:ascii="Times New Roman" w:hAnsi="Times New Roman"/>
                <w:sz w:val="24"/>
                <w:szCs w:val="24"/>
                <w:lang w:val="ro-RO"/>
              </w:rPr>
            </w:pPr>
            <w:r w:rsidRPr="008E22A6">
              <w:rPr>
                <w:rFonts w:ascii="Times New Roman" w:hAnsi="Times New Roman"/>
                <w:sz w:val="24"/>
                <w:szCs w:val="24"/>
                <w:lang w:val="ro-RO"/>
              </w:rPr>
              <w:t>Au fost analizate următoarele opțiuni:</w:t>
            </w:r>
          </w:p>
          <w:p w14:paraId="57E31D0A" w14:textId="77777777" w:rsidR="008C1194" w:rsidRPr="008E22A6" w:rsidRDefault="008C1194" w:rsidP="008C1194">
            <w:pPr>
              <w:rPr>
                <w:rFonts w:ascii="Times New Roman" w:hAnsi="Times New Roman"/>
                <w:sz w:val="24"/>
                <w:szCs w:val="24"/>
                <w:lang w:val="ro-RO"/>
              </w:rPr>
            </w:pPr>
            <w:r w:rsidRPr="008E22A6">
              <w:rPr>
                <w:rFonts w:ascii="Times New Roman" w:hAnsi="Times New Roman"/>
                <w:i/>
                <w:iCs/>
                <w:sz w:val="24"/>
                <w:szCs w:val="24"/>
                <w:lang w:val="ro-RO"/>
              </w:rPr>
              <w:t>Opțiunea 1</w:t>
            </w:r>
            <w:r w:rsidRPr="008E22A6">
              <w:rPr>
                <w:rFonts w:ascii="Times New Roman" w:hAnsi="Times New Roman"/>
                <w:sz w:val="24"/>
                <w:szCs w:val="24"/>
                <w:lang w:val="ro-RO"/>
              </w:rPr>
              <w:t xml:space="preserve"> – menținerea situației actuale (fără intervenție normativă):</w:t>
            </w:r>
          </w:p>
          <w:p w14:paraId="6314D8CE" w14:textId="713F7D1A" w:rsidR="008C1194" w:rsidRPr="008E22A6" w:rsidRDefault="008C1194" w:rsidP="009511E1">
            <w:pPr>
              <w:rPr>
                <w:rFonts w:ascii="Times New Roman" w:hAnsi="Times New Roman"/>
                <w:sz w:val="24"/>
                <w:szCs w:val="24"/>
                <w:lang w:val="ro-RO"/>
              </w:rPr>
            </w:pPr>
            <w:r w:rsidRPr="008E22A6">
              <w:rPr>
                <w:rFonts w:ascii="Times New Roman" w:hAnsi="Times New Roman"/>
                <w:sz w:val="24"/>
                <w:szCs w:val="24"/>
                <w:lang w:val="ro-RO"/>
              </w:rPr>
              <w:t>Această opțiune implică riscul menținerii fragmentării datelor, al lipsei unei imagini unitare la nivel național și al imposibilității realizării unui inventar statistic periodic, comparabil și verificabil, în condițiile art. 61 din Codul silvic.</w:t>
            </w:r>
            <w:r w:rsidR="008710BA" w:rsidRPr="008E22A6">
              <w:rPr>
                <w:rFonts w:ascii="Times New Roman" w:hAnsi="Times New Roman"/>
                <w:sz w:val="24"/>
                <w:szCs w:val="24"/>
                <w:lang w:val="ro-RO"/>
              </w:rPr>
              <w:t xml:space="preserve"> Totodată această opțiune ar duce la neîndeplinirea angajamentelor Republicii Moldova </w:t>
            </w:r>
            <w:r w:rsidR="00E53E29" w:rsidRPr="008E22A6">
              <w:rPr>
                <w:rFonts w:ascii="Times New Roman" w:hAnsi="Times New Roman"/>
                <w:sz w:val="24"/>
                <w:szCs w:val="24"/>
                <w:lang w:val="ro-RO"/>
              </w:rPr>
              <w:t>f</w:t>
            </w:r>
            <w:r w:rsidR="0055798F" w:rsidRPr="008E22A6">
              <w:rPr>
                <w:rFonts w:ascii="Times New Roman" w:hAnsi="Times New Roman"/>
                <w:sz w:val="24"/>
                <w:szCs w:val="24"/>
                <w:lang w:val="ro-RO"/>
              </w:rPr>
              <w:t>a</w:t>
            </w:r>
            <w:r w:rsidR="00E53E29" w:rsidRPr="008E22A6">
              <w:rPr>
                <w:rFonts w:ascii="Times New Roman" w:hAnsi="Times New Roman"/>
                <w:sz w:val="24"/>
                <w:szCs w:val="24"/>
                <w:lang w:val="ro-RO"/>
              </w:rPr>
              <w:t>ță</w:t>
            </w:r>
            <w:r w:rsidR="008710BA" w:rsidRPr="008E22A6">
              <w:rPr>
                <w:rFonts w:ascii="Times New Roman" w:hAnsi="Times New Roman"/>
                <w:sz w:val="24"/>
                <w:szCs w:val="24"/>
                <w:lang w:val="ro-RO"/>
              </w:rPr>
              <w:t xml:space="preserve"> de </w:t>
            </w:r>
            <w:r w:rsidR="00E53E29" w:rsidRPr="008E22A6">
              <w:rPr>
                <w:rFonts w:ascii="Times New Roman" w:hAnsi="Times New Roman"/>
                <w:sz w:val="24"/>
                <w:szCs w:val="24"/>
                <w:lang w:val="ro-RO"/>
              </w:rPr>
              <w:t>Comisia Europeană.</w:t>
            </w:r>
          </w:p>
          <w:p w14:paraId="31CE4B47" w14:textId="77777777" w:rsidR="008C1194" w:rsidRPr="008E22A6" w:rsidRDefault="008C1194" w:rsidP="008C1194">
            <w:pPr>
              <w:rPr>
                <w:rFonts w:ascii="Times New Roman" w:hAnsi="Times New Roman"/>
                <w:sz w:val="24"/>
                <w:szCs w:val="24"/>
                <w:lang w:val="ro-RO"/>
              </w:rPr>
            </w:pPr>
            <w:r w:rsidRPr="008E22A6">
              <w:rPr>
                <w:rFonts w:ascii="Times New Roman" w:hAnsi="Times New Roman"/>
                <w:i/>
                <w:iCs/>
                <w:sz w:val="24"/>
                <w:szCs w:val="24"/>
                <w:lang w:val="ro-RO"/>
              </w:rPr>
              <w:t>Opțiunea 2</w:t>
            </w:r>
            <w:r w:rsidRPr="008E22A6">
              <w:rPr>
                <w:rFonts w:ascii="Times New Roman" w:hAnsi="Times New Roman"/>
                <w:sz w:val="24"/>
                <w:szCs w:val="24"/>
                <w:lang w:val="ro-RO"/>
              </w:rPr>
              <w:t xml:space="preserve"> – reglementare prin acte administrative interne (ordine/instrucțiuni) fără hotărâre de Guvern:</w:t>
            </w:r>
          </w:p>
          <w:p w14:paraId="6862D268" w14:textId="522AA09C" w:rsidR="008B4BE6" w:rsidRPr="008E22A6" w:rsidRDefault="008C1194" w:rsidP="008C1194">
            <w:pPr>
              <w:rPr>
                <w:rFonts w:ascii="Times New Roman" w:hAnsi="Times New Roman"/>
                <w:sz w:val="24"/>
                <w:szCs w:val="24"/>
                <w:lang w:val="ro-RO"/>
              </w:rPr>
            </w:pPr>
            <w:r w:rsidRPr="008E22A6">
              <w:rPr>
                <w:rFonts w:ascii="Times New Roman" w:hAnsi="Times New Roman"/>
                <w:sz w:val="24"/>
                <w:szCs w:val="24"/>
                <w:lang w:val="ro-RO"/>
              </w:rPr>
              <w:t>Nu asigură un cadru suficient de clar și uniform pentru cooperare interinstituțională, pentru aplicare la nivel național (inclusiv pe terenuri cu diferite forme de proprietate) și pentru stabilirea responsabilităților cu efect general.</w:t>
            </w:r>
            <w:r w:rsidR="00032B46" w:rsidRPr="008E22A6">
              <w:rPr>
                <w:rFonts w:ascii="Times New Roman" w:hAnsi="Times New Roman"/>
                <w:sz w:val="24"/>
                <w:szCs w:val="24"/>
                <w:lang w:val="ro-RO"/>
              </w:rPr>
              <w:t xml:space="preserve"> </w:t>
            </w:r>
          </w:p>
        </w:tc>
      </w:tr>
      <w:tr w:rsidR="006D3EB7" w:rsidRPr="008E22A6" w14:paraId="64CCC468" w14:textId="77777777" w:rsidTr="00DE009A">
        <w:trPr>
          <w:trHeight w:val="381"/>
        </w:trPr>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t>4.</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Analiza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impactului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de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reglementare</w:t>
            </w:r>
            <w:r w:rsidR="00032B46" w:rsidRPr="008E22A6">
              <w:rPr>
                <w:rFonts w:ascii="Times New Roman" w:hAnsi="Times New Roman"/>
                <w:b/>
                <w:bCs/>
                <w:sz w:val="24"/>
                <w:szCs w:val="24"/>
                <w:lang w:val="ro-RO"/>
              </w:rPr>
              <w:t xml:space="preserve"> </w:t>
            </w:r>
          </w:p>
        </w:tc>
      </w:tr>
      <w:tr w:rsidR="006D3EB7" w:rsidRPr="008E22A6" w14:paraId="07121640"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84366" w14:textId="77777777" w:rsidR="008B4BE6" w:rsidRPr="008E22A6" w:rsidRDefault="006933C3" w:rsidP="003F4F94">
            <w:pPr>
              <w:ind w:firstLine="1030"/>
              <w:rPr>
                <w:rFonts w:ascii="Times New Roman" w:hAnsi="Times New Roman"/>
                <w:b/>
                <w:bCs/>
                <w:i/>
                <w:iCs/>
                <w:sz w:val="24"/>
                <w:szCs w:val="24"/>
                <w:lang w:val="ro-RO"/>
              </w:rPr>
            </w:pPr>
            <w:r w:rsidRPr="008E22A6">
              <w:rPr>
                <w:rFonts w:ascii="Times New Roman" w:hAnsi="Times New Roman"/>
                <w:b/>
                <w:bCs/>
                <w:i/>
                <w:iCs/>
                <w:sz w:val="24"/>
                <w:szCs w:val="24"/>
                <w:lang w:val="ro-RO"/>
              </w:rPr>
              <w:t>4.1.</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Impactul</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asupra</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sectorului</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public</w:t>
            </w:r>
          </w:p>
          <w:p w14:paraId="23B72C87" w14:textId="77777777" w:rsidR="006B3119" w:rsidRPr="008E22A6" w:rsidRDefault="006B3119" w:rsidP="003F4F94">
            <w:pPr>
              <w:ind w:firstLine="1030"/>
              <w:rPr>
                <w:rFonts w:ascii="Times New Roman" w:hAnsi="Times New Roman"/>
                <w:sz w:val="24"/>
                <w:szCs w:val="24"/>
                <w:lang w:val="ro-RO"/>
              </w:rPr>
            </w:pPr>
            <w:r w:rsidRPr="008E22A6">
              <w:rPr>
                <w:rFonts w:ascii="Times New Roman" w:hAnsi="Times New Roman"/>
                <w:sz w:val="24"/>
                <w:szCs w:val="24"/>
                <w:lang w:val="ro-RO"/>
              </w:rPr>
              <w:t xml:space="preserve">Proiectul are impact direct asupra sectorului public prin: </w:t>
            </w:r>
          </w:p>
          <w:p w14:paraId="5D35A358" w14:textId="0CDABFCA" w:rsidR="006B3119" w:rsidRPr="008E22A6" w:rsidRDefault="00B8442D" w:rsidP="00B8442D">
            <w:pPr>
              <w:pStyle w:val="Listparagraf"/>
              <w:numPr>
                <w:ilvl w:val="0"/>
                <w:numId w:val="46"/>
              </w:numPr>
              <w:ind w:left="605" w:firstLine="142"/>
              <w:rPr>
                <w:rFonts w:ascii="Times New Roman" w:hAnsi="Times New Roman"/>
                <w:sz w:val="24"/>
                <w:szCs w:val="24"/>
                <w:lang w:val="ro-RO"/>
              </w:rPr>
            </w:pPr>
            <w:r w:rsidRPr="008E22A6">
              <w:rPr>
                <w:rFonts w:ascii="Times New Roman" w:hAnsi="Times New Roman"/>
                <w:sz w:val="24"/>
                <w:szCs w:val="24"/>
                <w:lang w:val="ro-RO"/>
              </w:rPr>
              <w:lastRenderedPageBreak/>
              <w:t>I</w:t>
            </w:r>
            <w:r w:rsidR="006B3119" w:rsidRPr="008E22A6">
              <w:rPr>
                <w:rFonts w:ascii="Times New Roman" w:hAnsi="Times New Roman"/>
                <w:sz w:val="24"/>
                <w:szCs w:val="24"/>
                <w:lang w:val="ro-RO"/>
              </w:rPr>
              <w:t>nstituirea unui mecanism național de colectare și gestionare a datelor IFN;</w:t>
            </w:r>
          </w:p>
          <w:p w14:paraId="3C051C0D" w14:textId="755C5610" w:rsidR="006B3119" w:rsidRPr="008E22A6" w:rsidRDefault="00B8442D" w:rsidP="00B8442D">
            <w:pPr>
              <w:pStyle w:val="Listparagraf"/>
              <w:numPr>
                <w:ilvl w:val="0"/>
                <w:numId w:val="46"/>
              </w:numPr>
              <w:ind w:left="605" w:firstLine="142"/>
              <w:rPr>
                <w:rFonts w:ascii="Times New Roman" w:hAnsi="Times New Roman"/>
                <w:sz w:val="24"/>
                <w:szCs w:val="24"/>
                <w:lang w:val="ro-RO"/>
              </w:rPr>
            </w:pPr>
            <w:r w:rsidRPr="008E22A6">
              <w:rPr>
                <w:rFonts w:ascii="Times New Roman" w:hAnsi="Times New Roman"/>
                <w:sz w:val="24"/>
                <w:szCs w:val="24"/>
                <w:lang w:val="ro-RO"/>
              </w:rPr>
              <w:t>C</w:t>
            </w:r>
            <w:r w:rsidR="006B3119" w:rsidRPr="008E22A6">
              <w:rPr>
                <w:rFonts w:ascii="Times New Roman" w:hAnsi="Times New Roman"/>
                <w:sz w:val="24"/>
                <w:szCs w:val="24"/>
                <w:lang w:val="ro-RO"/>
              </w:rPr>
              <w:t>larificarea responsabilităților instituționale și a cooperării interinstituționale;</w:t>
            </w:r>
          </w:p>
          <w:p w14:paraId="3AFC95F8" w14:textId="2FCA8D09" w:rsidR="006B3119" w:rsidRPr="008E22A6" w:rsidRDefault="00B8442D" w:rsidP="00B8442D">
            <w:pPr>
              <w:pStyle w:val="Listparagraf"/>
              <w:numPr>
                <w:ilvl w:val="0"/>
                <w:numId w:val="46"/>
              </w:numPr>
              <w:ind w:left="605" w:firstLine="142"/>
              <w:rPr>
                <w:rFonts w:ascii="Times New Roman" w:hAnsi="Times New Roman"/>
                <w:sz w:val="24"/>
                <w:szCs w:val="24"/>
                <w:lang w:val="ro-RO"/>
              </w:rPr>
            </w:pPr>
            <w:r w:rsidRPr="008E22A6">
              <w:rPr>
                <w:rFonts w:ascii="Times New Roman" w:hAnsi="Times New Roman"/>
                <w:sz w:val="24"/>
                <w:szCs w:val="24"/>
                <w:lang w:val="ro-RO"/>
              </w:rPr>
              <w:t>N</w:t>
            </w:r>
            <w:r w:rsidR="006B3119" w:rsidRPr="008E22A6">
              <w:rPr>
                <w:rFonts w:ascii="Times New Roman" w:hAnsi="Times New Roman"/>
                <w:sz w:val="24"/>
                <w:szCs w:val="24"/>
                <w:lang w:val="ro-RO"/>
              </w:rPr>
              <w:t>ecesitatea mobilizării resurselor umane și logistice pentru lucrările de teren, prelucrarea statistică și raportarea rezultatelor. Proiectul nu presupune reforme structurale, ci operaționalizează implementarea prevederilor art. 61 din Codul silvic în cadrul competențelor existente.</w:t>
            </w:r>
          </w:p>
        </w:tc>
      </w:tr>
      <w:tr w:rsidR="006D3EB7" w:rsidRPr="008E22A6" w14:paraId="44F24487"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E89443"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lastRenderedPageBreak/>
              <w:t>4.2.</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Impactul</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financiar</w:t>
            </w:r>
            <w:r w:rsidR="00032B46" w:rsidRPr="008E22A6">
              <w:rPr>
                <w:rFonts w:ascii="Times New Roman" w:hAnsi="Times New Roman"/>
                <w:b/>
                <w:bCs/>
                <w:i/>
                <w:iCs/>
                <w:sz w:val="24"/>
                <w:szCs w:val="24"/>
                <w:lang w:val="ro-RO"/>
              </w:rPr>
              <w:t xml:space="preserve"> </w:t>
            </w:r>
            <w:r w:rsidR="00863417" w:rsidRPr="008E22A6">
              <w:rPr>
                <w:rFonts w:ascii="Times New Roman" w:hAnsi="Times New Roman"/>
                <w:b/>
                <w:bCs/>
                <w:i/>
                <w:iCs/>
                <w:sz w:val="24"/>
                <w:szCs w:val="24"/>
                <w:lang w:val="ro-RO"/>
              </w:rPr>
              <w:t>ș</w:t>
            </w:r>
            <w:r w:rsidR="00CA2822" w:rsidRPr="008E22A6">
              <w:rPr>
                <w:rFonts w:ascii="Times New Roman" w:hAnsi="Times New Roman"/>
                <w:b/>
                <w:bCs/>
                <w:i/>
                <w:iCs/>
                <w:sz w:val="24"/>
                <w:szCs w:val="24"/>
                <w:lang w:val="ro-RO"/>
              </w:rPr>
              <w:t>i</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argumentarea</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costurilor</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estimative</w:t>
            </w:r>
          </w:p>
          <w:p w14:paraId="2A972CCE" w14:textId="01CB1055" w:rsidR="00FA29A9" w:rsidRDefault="00E70D09" w:rsidP="00687052">
            <w:pPr>
              <w:rPr>
                <w:rFonts w:ascii="Times New Roman" w:hAnsi="Times New Roman"/>
                <w:sz w:val="24"/>
                <w:szCs w:val="24"/>
                <w:lang w:val="ro-RO"/>
              </w:rPr>
            </w:pPr>
            <w:r w:rsidRPr="00E70D09">
              <w:rPr>
                <w:rFonts w:ascii="Times New Roman" w:hAnsi="Times New Roman"/>
                <w:sz w:val="24"/>
                <w:szCs w:val="24"/>
                <w:lang w:val="ro-RO"/>
              </w:rPr>
              <w:t>Nu generează cheltuieli bugetare suplimentare neacoperite</w:t>
            </w:r>
            <w:r w:rsidRPr="00E70D09">
              <w:rPr>
                <w:rFonts w:ascii="Times New Roman" w:hAnsi="Times New Roman"/>
                <w:sz w:val="24"/>
                <w:szCs w:val="24"/>
                <w:lang w:val="ro-RO"/>
              </w:rPr>
              <w:t xml:space="preserve">. </w:t>
            </w:r>
            <w:r w:rsidR="00A560A0" w:rsidRPr="00E70D09">
              <w:rPr>
                <w:rFonts w:ascii="Times New Roman" w:hAnsi="Times New Roman"/>
                <w:sz w:val="24"/>
                <w:szCs w:val="24"/>
                <w:lang w:val="ro-RO"/>
              </w:rPr>
              <w:t>Implementarea Ciclului I al Inventarului Forestier Național (IFN) implică costuri</w:t>
            </w:r>
            <w:r w:rsidR="00A560A0" w:rsidRPr="008E22A6">
              <w:rPr>
                <w:rFonts w:ascii="Times New Roman" w:hAnsi="Times New Roman"/>
                <w:sz w:val="24"/>
                <w:szCs w:val="24"/>
                <w:lang w:val="ro-RO"/>
              </w:rPr>
              <w:t xml:space="preserve"> estimate la </w:t>
            </w:r>
            <w:r w:rsidR="00FA29A9">
              <w:rPr>
                <w:rFonts w:ascii="Times New Roman" w:hAnsi="Times New Roman"/>
                <w:sz w:val="24"/>
                <w:szCs w:val="24"/>
                <w:lang w:val="ro-RO"/>
              </w:rPr>
              <w:t>2 612 500</w:t>
            </w:r>
            <w:r w:rsidR="00A560A0" w:rsidRPr="008E22A6">
              <w:rPr>
                <w:rFonts w:ascii="Times New Roman" w:hAnsi="Times New Roman"/>
                <w:sz w:val="24"/>
                <w:szCs w:val="24"/>
                <w:lang w:val="ro-RO"/>
              </w:rPr>
              <w:t xml:space="preserve"> euro pentru perioada 2026–2030, care acoperă consultări tehnice și inițierea procedurilor de instituire a IFN, instruiri și schimb de experiență, salarizarea personalului IFN, dotări tehnice (hardware/software, echipamente de teren, automobile) și cheltuieli operaționale (transport, diurne etc.). </w:t>
            </w:r>
          </w:p>
          <w:p w14:paraId="79701259" w14:textId="049EB26E"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Distribuția anuală estimativă a costurilor este:</w:t>
            </w:r>
          </w:p>
          <w:p w14:paraId="6228E938" w14:textId="75AFBACE"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 xml:space="preserve">2026 – </w:t>
            </w:r>
            <w:r w:rsidR="00FA29A9">
              <w:rPr>
                <w:rFonts w:ascii="Times New Roman" w:hAnsi="Times New Roman"/>
                <w:sz w:val="24"/>
                <w:szCs w:val="24"/>
                <w:lang w:val="ro-RO"/>
              </w:rPr>
              <w:t>582 440</w:t>
            </w:r>
            <w:r w:rsidRPr="008E22A6">
              <w:rPr>
                <w:rFonts w:ascii="Times New Roman" w:hAnsi="Times New Roman"/>
                <w:sz w:val="24"/>
                <w:szCs w:val="24"/>
                <w:lang w:val="ro-RO"/>
              </w:rPr>
              <w:t xml:space="preserve"> euro</w:t>
            </w:r>
          </w:p>
          <w:p w14:paraId="39C989B7" w14:textId="0A374F1F"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 xml:space="preserve">2027 – </w:t>
            </w:r>
            <w:r w:rsidR="00FA29A9">
              <w:rPr>
                <w:rFonts w:ascii="Times New Roman" w:hAnsi="Times New Roman"/>
                <w:sz w:val="24"/>
                <w:szCs w:val="24"/>
                <w:lang w:val="ro-RO"/>
              </w:rPr>
              <w:t>855 560</w:t>
            </w:r>
            <w:r w:rsidRPr="008E22A6">
              <w:rPr>
                <w:rFonts w:ascii="Times New Roman" w:hAnsi="Times New Roman"/>
                <w:sz w:val="24"/>
                <w:szCs w:val="24"/>
                <w:lang w:val="ro-RO"/>
              </w:rPr>
              <w:t xml:space="preserve"> euro</w:t>
            </w:r>
          </w:p>
          <w:p w14:paraId="53F0356B" w14:textId="7E5D4864"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 xml:space="preserve">2028 – </w:t>
            </w:r>
            <w:r w:rsidR="00FA29A9">
              <w:rPr>
                <w:rFonts w:ascii="Times New Roman" w:hAnsi="Times New Roman"/>
                <w:sz w:val="24"/>
                <w:szCs w:val="24"/>
                <w:lang w:val="ro-RO"/>
              </w:rPr>
              <w:t>454</w:t>
            </w:r>
            <w:r w:rsidRPr="008E22A6">
              <w:rPr>
                <w:rFonts w:ascii="Times New Roman" w:hAnsi="Times New Roman"/>
                <w:sz w:val="24"/>
                <w:szCs w:val="24"/>
                <w:lang w:val="ro-RO"/>
              </w:rPr>
              <w:t xml:space="preserve"> 000 euro</w:t>
            </w:r>
          </w:p>
          <w:p w14:paraId="06C4BC1D" w14:textId="088CFC54"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 xml:space="preserve">2029 – </w:t>
            </w:r>
            <w:r w:rsidR="00FA29A9">
              <w:rPr>
                <w:rFonts w:ascii="Times New Roman" w:hAnsi="Times New Roman"/>
                <w:sz w:val="24"/>
                <w:szCs w:val="24"/>
                <w:lang w:val="ro-RO"/>
              </w:rPr>
              <w:t xml:space="preserve">454 </w:t>
            </w:r>
            <w:r w:rsidRPr="008E22A6">
              <w:rPr>
                <w:rFonts w:ascii="Times New Roman" w:hAnsi="Times New Roman"/>
                <w:sz w:val="24"/>
                <w:szCs w:val="24"/>
                <w:lang w:val="ro-RO"/>
              </w:rPr>
              <w:t>000 euro</w:t>
            </w:r>
          </w:p>
          <w:p w14:paraId="4B97D945" w14:textId="74092716" w:rsidR="00A560A0" w:rsidRPr="008E22A6" w:rsidRDefault="00A560A0" w:rsidP="00687052">
            <w:pPr>
              <w:rPr>
                <w:rFonts w:ascii="Times New Roman" w:hAnsi="Times New Roman"/>
                <w:sz w:val="24"/>
                <w:szCs w:val="24"/>
                <w:lang w:val="ro-RO"/>
              </w:rPr>
            </w:pPr>
            <w:r w:rsidRPr="008E22A6">
              <w:rPr>
                <w:rFonts w:ascii="Times New Roman" w:hAnsi="Times New Roman"/>
                <w:sz w:val="24"/>
                <w:szCs w:val="24"/>
                <w:lang w:val="ro-RO"/>
              </w:rPr>
              <w:t xml:space="preserve">2030 – </w:t>
            </w:r>
            <w:r w:rsidR="00FA29A9">
              <w:rPr>
                <w:rFonts w:ascii="Times New Roman" w:hAnsi="Times New Roman"/>
                <w:sz w:val="24"/>
                <w:szCs w:val="24"/>
                <w:lang w:val="ro-RO"/>
              </w:rPr>
              <w:t>266 500</w:t>
            </w:r>
            <w:r w:rsidRPr="008E22A6">
              <w:rPr>
                <w:rFonts w:ascii="Times New Roman" w:hAnsi="Times New Roman"/>
                <w:sz w:val="24"/>
                <w:szCs w:val="24"/>
                <w:lang w:val="ro-RO"/>
              </w:rPr>
              <w:t xml:space="preserve"> euro</w:t>
            </w:r>
          </w:p>
          <w:p w14:paraId="7C5C728C" w14:textId="2E80BF3F" w:rsidR="00B52C94" w:rsidRPr="00B52C94" w:rsidRDefault="00B52C94" w:rsidP="00B52C94">
            <w:pPr>
              <w:rPr>
                <w:rFonts w:ascii="Times New Roman" w:hAnsi="Times New Roman"/>
                <w:sz w:val="24"/>
                <w:szCs w:val="24"/>
                <w:lang w:val="ro-RO"/>
              </w:rPr>
            </w:pPr>
            <w:r w:rsidRPr="00B52C94">
              <w:rPr>
                <w:rFonts w:ascii="Times New Roman" w:hAnsi="Times New Roman"/>
                <w:sz w:val="24"/>
                <w:szCs w:val="24"/>
                <w:lang w:val="ro-RO"/>
              </w:rPr>
              <w:t>Nivelul mai ridicat al cheltuielilor în anii 2026–2027 este determinat de activitățile de instituționalizare, elaborarea metodologiei integrate, instruirea personalului și realizarea dotărilor tehnice necesare demarării colectării datelor. În perioada 202</w:t>
            </w:r>
            <w:r>
              <w:rPr>
                <w:rFonts w:ascii="Times New Roman" w:hAnsi="Times New Roman"/>
                <w:sz w:val="24"/>
                <w:szCs w:val="24"/>
                <w:lang w:val="ro-RO"/>
              </w:rPr>
              <w:t>6</w:t>
            </w:r>
            <w:r w:rsidRPr="00B52C94">
              <w:rPr>
                <w:rFonts w:ascii="Times New Roman" w:hAnsi="Times New Roman"/>
                <w:sz w:val="24"/>
                <w:szCs w:val="24"/>
                <w:lang w:val="ro-RO"/>
              </w:rPr>
              <w:t>–2029 predomină costurile aferente activităților de teren și prelucrării datelor, iar în anul 2030 se concentrează activitățile de validare finală și elaborare a raportului național IFN.</w:t>
            </w:r>
          </w:p>
          <w:p w14:paraId="08C318B9" w14:textId="58C7785B" w:rsidR="00963B69" w:rsidRPr="00963B69" w:rsidRDefault="00963B69" w:rsidP="00963B69">
            <w:pPr>
              <w:rPr>
                <w:rFonts w:ascii="Times New Roman" w:hAnsi="Times New Roman"/>
                <w:sz w:val="24"/>
                <w:szCs w:val="24"/>
                <w:lang w:val="ro-RO"/>
              </w:rPr>
            </w:pPr>
            <w:r w:rsidRPr="00963B69">
              <w:rPr>
                <w:rFonts w:ascii="Times New Roman" w:hAnsi="Times New Roman"/>
                <w:sz w:val="24"/>
                <w:szCs w:val="24"/>
                <w:lang w:val="ro-RO"/>
              </w:rPr>
              <w:t xml:space="preserve">Finanțarea proiectului este asigurată </w:t>
            </w:r>
            <w:r>
              <w:rPr>
                <w:rFonts w:ascii="Times New Roman" w:hAnsi="Times New Roman"/>
                <w:sz w:val="24"/>
                <w:szCs w:val="24"/>
                <w:lang w:val="ro-RO"/>
              </w:rPr>
              <w:t>din</w:t>
            </w:r>
            <w:r w:rsidRPr="00963B69">
              <w:rPr>
                <w:rFonts w:ascii="Times New Roman" w:hAnsi="Times New Roman"/>
                <w:sz w:val="24"/>
                <w:szCs w:val="24"/>
                <w:lang w:val="ro-RO"/>
              </w:rPr>
              <w:t xml:space="preserve"> surse externe și contribuții naționale, după cum urmează:</w:t>
            </w:r>
          </w:p>
          <w:p w14:paraId="4890B898" w14:textId="16648E1D" w:rsidR="00963B69" w:rsidRPr="00963B69" w:rsidRDefault="00963B69" w:rsidP="00963B69">
            <w:pPr>
              <w:pStyle w:val="Listparagraf"/>
              <w:numPr>
                <w:ilvl w:val="0"/>
                <w:numId w:val="51"/>
              </w:numPr>
              <w:ind w:left="0" w:firstLine="454"/>
              <w:rPr>
                <w:rFonts w:ascii="Times New Roman" w:hAnsi="Times New Roman"/>
                <w:sz w:val="24"/>
                <w:szCs w:val="24"/>
                <w:lang w:val="ro-RO"/>
              </w:rPr>
            </w:pPr>
            <w:r w:rsidRPr="00963B69">
              <w:rPr>
                <w:rFonts w:ascii="Times New Roman" w:hAnsi="Times New Roman"/>
                <w:sz w:val="24"/>
                <w:szCs w:val="24"/>
                <w:lang w:val="ro-RO"/>
              </w:rPr>
              <w:t>Contribuția Guvernului României – aproximativ 1 615 000 euro, acordată în baza Acordului dintre Guvernul României și Guvernul Republicii Moldova privind implementarea programului de asistență tehnică și financiară în baza unui ajutor financiar nerambursabil, semnat la data de 11 februarie 2022, în suma totală de 100 000 000 euro.</w:t>
            </w:r>
          </w:p>
          <w:p w14:paraId="5A9E4346" w14:textId="2AAC9905" w:rsidR="00963B69" w:rsidRPr="00963B69" w:rsidRDefault="00963B69" w:rsidP="00963B69">
            <w:pPr>
              <w:pStyle w:val="Listparagraf"/>
              <w:numPr>
                <w:ilvl w:val="0"/>
                <w:numId w:val="51"/>
              </w:numPr>
              <w:ind w:left="0" w:firstLine="454"/>
              <w:rPr>
                <w:rFonts w:ascii="Times New Roman" w:hAnsi="Times New Roman"/>
                <w:sz w:val="24"/>
                <w:szCs w:val="24"/>
                <w:lang w:val="ro-RO"/>
              </w:rPr>
            </w:pPr>
            <w:r w:rsidRPr="00963B69">
              <w:rPr>
                <w:rFonts w:ascii="Times New Roman" w:hAnsi="Times New Roman"/>
                <w:sz w:val="24"/>
                <w:szCs w:val="24"/>
                <w:lang w:val="ro-RO"/>
              </w:rPr>
              <w:t>Contribuția Guvernului Republicii Moldova – aproximativ 650 940 euro, reprezentând cofinanțare națională pentru cheltuieli cu personalul implicat, operațiuni de teren și alte activități corelate implementării IFN, în limita alocațiilor aprobate anual în bugetul de stat.</w:t>
            </w:r>
          </w:p>
          <w:p w14:paraId="67CD355A" w14:textId="66D37096" w:rsidR="00963B69" w:rsidRPr="00963B69" w:rsidRDefault="00963B69" w:rsidP="00963B69">
            <w:pPr>
              <w:pStyle w:val="Listparagraf"/>
              <w:numPr>
                <w:ilvl w:val="0"/>
                <w:numId w:val="51"/>
              </w:numPr>
              <w:ind w:left="0" w:firstLine="454"/>
              <w:rPr>
                <w:rFonts w:ascii="Times New Roman" w:hAnsi="Times New Roman"/>
                <w:sz w:val="24"/>
                <w:szCs w:val="24"/>
                <w:lang w:val="ro-RO"/>
              </w:rPr>
            </w:pPr>
            <w:r w:rsidRPr="00963B69">
              <w:rPr>
                <w:rFonts w:ascii="Times New Roman" w:hAnsi="Times New Roman"/>
                <w:sz w:val="24"/>
                <w:szCs w:val="24"/>
                <w:lang w:val="ro-RO"/>
              </w:rPr>
              <w:t>Sprijinul Băncii Europene de Investiții (BEI) – aproximativ 346 560 euro, destinat în principal achiziției dotărilor tehnice (hardware, software, mijloace de transport) necesare realizării inventarului, corelat cu Contractul de finanțare dintre Republica Moldova și Banca Europeană de Investiții pentru Programul de Dezvoltare a Pădurilor din Moldova, semnat la data de 17 septembrie 2024, în suma totală de 200 000 000 euro.</w:t>
            </w:r>
          </w:p>
          <w:p w14:paraId="13BFECF6" w14:textId="4684AF10" w:rsidR="0076561C" w:rsidRPr="008E22A6" w:rsidRDefault="00963B69" w:rsidP="00963B69">
            <w:pPr>
              <w:rPr>
                <w:rFonts w:ascii="Times New Roman" w:hAnsi="Times New Roman"/>
                <w:sz w:val="24"/>
                <w:szCs w:val="24"/>
                <w:lang w:val="ro-RO"/>
              </w:rPr>
            </w:pPr>
            <w:r w:rsidRPr="00963B69">
              <w:rPr>
                <w:rFonts w:ascii="Times New Roman" w:hAnsi="Times New Roman"/>
                <w:sz w:val="24"/>
                <w:szCs w:val="24"/>
                <w:lang w:val="ro-RO"/>
              </w:rPr>
              <w:t>Estimările financiare sunt exprimate în euro, iar în procesul de planificare bugetară acestea vor fi corelate cu alocațiile în moneda națională, conform cursului oficial aplicabil perioadei de bugetare și execuție.</w:t>
            </w:r>
          </w:p>
        </w:tc>
      </w:tr>
      <w:tr w:rsidR="006D3EB7" w:rsidRPr="008E22A6" w14:paraId="02E2B551"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B8516A"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t>4.3.</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Impactul</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asupra</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sectorului</w:t>
            </w:r>
            <w:r w:rsidR="00032B46" w:rsidRPr="008E22A6">
              <w:rPr>
                <w:rFonts w:ascii="Times New Roman" w:hAnsi="Times New Roman"/>
                <w:b/>
                <w:bCs/>
                <w:i/>
                <w:iCs/>
                <w:sz w:val="24"/>
                <w:szCs w:val="24"/>
                <w:lang w:val="ro-RO"/>
              </w:rPr>
              <w:t xml:space="preserve"> </w:t>
            </w:r>
            <w:r w:rsidR="00CA2822" w:rsidRPr="008E22A6">
              <w:rPr>
                <w:rFonts w:ascii="Times New Roman" w:hAnsi="Times New Roman"/>
                <w:b/>
                <w:bCs/>
                <w:i/>
                <w:iCs/>
                <w:sz w:val="24"/>
                <w:szCs w:val="24"/>
                <w:lang w:val="ro-RO"/>
              </w:rPr>
              <w:t>privat</w:t>
            </w:r>
          </w:p>
          <w:p w14:paraId="176E709B" w14:textId="465E9CA5" w:rsidR="00F3677E" w:rsidRPr="008E22A6" w:rsidRDefault="00CD3AF5" w:rsidP="00452C6C">
            <w:pPr>
              <w:rPr>
                <w:rFonts w:ascii="Times New Roman" w:hAnsi="Times New Roman"/>
                <w:sz w:val="24"/>
                <w:szCs w:val="24"/>
                <w:lang w:val="ro-RO"/>
              </w:rPr>
            </w:pPr>
            <w:r w:rsidRPr="008E22A6">
              <w:rPr>
                <w:rFonts w:ascii="Times New Roman" w:hAnsi="Times New Roman"/>
                <w:sz w:val="24"/>
                <w:szCs w:val="24"/>
                <w:lang w:val="ro-RO"/>
              </w:rPr>
              <w:t>Impact direct redus. Proiectul nu introduce taxe și nu instituie obligații de conformare pentru agenți economici. Impactul indirect este pozitiv prin creșterea transparenței și a calității datelor publice privind resursele forestiere, utile pentru planificare și inițiative de mediu.</w:t>
            </w:r>
          </w:p>
        </w:tc>
      </w:tr>
      <w:tr w:rsidR="009F2936" w:rsidRPr="008E22A6" w14:paraId="76DD287B"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F6C43" w14:textId="77777777" w:rsidR="009F2936" w:rsidRPr="008E22A6" w:rsidRDefault="009F2936" w:rsidP="009F2936">
            <w:pPr>
              <w:rPr>
                <w:rFonts w:ascii="Times New Roman" w:hAnsi="Times New Roman"/>
                <w:b/>
                <w:bCs/>
                <w:i/>
                <w:iCs/>
                <w:sz w:val="24"/>
                <w:szCs w:val="24"/>
                <w:lang w:val="ro-RO"/>
              </w:rPr>
            </w:pPr>
            <w:r w:rsidRPr="008E22A6">
              <w:rPr>
                <w:rFonts w:ascii="Times New Roman" w:hAnsi="Times New Roman"/>
                <w:b/>
                <w:bCs/>
                <w:i/>
                <w:iCs/>
                <w:sz w:val="24"/>
                <w:szCs w:val="24"/>
                <w:lang w:val="ro-RO"/>
              </w:rPr>
              <w:t>4.4. Impactul social</w:t>
            </w:r>
          </w:p>
          <w:p w14:paraId="253491DF" w14:textId="77777777" w:rsidR="00E431CA" w:rsidRDefault="00E9499C" w:rsidP="00E431CA">
            <w:pPr>
              <w:rPr>
                <w:rFonts w:ascii="Times New Roman" w:hAnsi="Times New Roman"/>
                <w:b/>
                <w:bCs/>
                <w:i/>
                <w:iCs/>
                <w:sz w:val="24"/>
                <w:szCs w:val="24"/>
                <w:lang w:val="ro-RO"/>
              </w:rPr>
            </w:pPr>
            <w:r w:rsidRPr="008E22A6">
              <w:rPr>
                <w:rFonts w:ascii="Times New Roman" w:hAnsi="Times New Roman"/>
                <w:sz w:val="24"/>
                <w:szCs w:val="24"/>
                <w:lang w:val="ro-RO"/>
              </w:rPr>
              <w:t>Impactul social este preponderent pozitiv, prin îmbunătățirea calității deciziilor publice bazate pe date, creșterea transparenței privind resursele forestiere și susținerea politicilor de gestionare durabilă a pădurilor. Proiectul nu generează efecte negative semnificative asupra grupurilor sociale și nu afectează accesul la servicii publice.</w:t>
            </w:r>
            <w:r w:rsidR="00E431CA" w:rsidRPr="008E22A6">
              <w:rPr>
                <w:rFonts w:ascii="Times New Roman" w:hAnsi="Times New Roman"/>
                <w:b/>
                <w:bCs/>
                <w:i/>
                <w:iCs/>
                <w:sz w:val="24"/>
                <w:szCs w:val="24"/>
                <w:lang w:val="ro-RO"/>
              </w:rPr>
              <w:t xml:space="preserve"> </w:t>
            </w:r>
          </w:p>
          <w:p w14:paraId="668638C8" w14:textId="185F906E" w:rsidR="00E431CA" w:rsidRPr="008E22A6" w:rsidRDefault="00E431CA" w:rsidP="00E431CA">
            <w:pPr>
              <w:rPr>
                <w:rFonts w:ascii="Times New Roman" w:hAnsi="Times New Roman"/>
                <w:b/>
                <w:bCs/>
                <w:i/>
                <w:iCs/>
                <w:sz w:val="24"/>
                <w:szCs w:val="24"/>
                <w:lang w:val="ro-RO"/>
              </w:rPr>
            </w:pPr>
            <w:r w:rsidRPr="008E22A6">
              <w:rPr>
                <w:rFonts w:ascii="Times New Roman" w:hAnsi="Times New Roman"/>
                <w:b/>
                <w:bCs/>
                <w:i/>
                <w:iCs/>
                <w:sz w:val="24"/>
                <w:szCs w:val="24"/>
                <w:lang w:val="ro-RO"/>
              </w:rPr>
              <w:t>4.4.1. Impactul asupra datelor cu caracter personal</w:t>
            </w:r>
          </w:p>
          <w:p w14:paraId="67294B14" w14:textId="77777777" w:rsidR="00E431CA" w:rsidRDefault="00E431CA" w:rsidP="00E431CA">
            <w:pPr>
              <w:rPr>
                <w:rFonts w:ascii="Times New Roman" w:hAnsi="Times New Roman"/>
                <w:b/>
                <w:bCs/>
                <w:i/>
                <w:iCs/>
                <w:sz w:val="24"/>
                <w:szCs w:val="24"/>
                <w:lang w:val="ro-RO"/>
              </w:rPr>
            </w:pPr>
            <w:r w:rsidRPr="008E22A6">
              <w:rPr>
                <w:rFonts w:ascii="Times New Roman" w:hAnsi="Times New Roman"/>
                <w:sz w:val="24"/>
                <w:szCs w:val="24"/>
                <w:lang w:val="ro-RO"/>
              </w:rPr>
              <w:t xml:space="preserve">Proiectul nu vizează prelucrarea sistematică a datelor cu caracter personal, datele IFN fiind preponderent </w:t>
            </w:r>
            <w:proofErr w:type="spellStart"/>
            <w:r w:rsidRPr="008E22A6">
              <w:rPr>
                <w:rFonts w:ascii="Times New Roman" w:hAnsi="Times New Roman"/>
                <w:sz w:val="24"/>
                <w:szCs w:val="24"/>
                <w:lang w:val="ro-RO"/>
              </w:rPr>
              <w:t>biogeofizice</w:t>
            </w:r>
            <w:proofErr w:type="spellEnd"/>
            <w:r w:rsidRPr="008E22A6">
              <w:rPr>
                <w:rFonts w:ascii="Times New Roman" w:hAnsi="Times New Roman"/>
                <w:sz w:val="24"/>
                <w:szCs w:val="24"/>
                <w:lang w:val="ro-RO"/>
              </w:rPr>
              <w:t xml:space="preserve">/statistice. Eventuale date personale (de contact/identificare în </w:t>
            </w:r>
            <w:r w:rsidRPr="008E22A6">
              <w:rPr>
                <w:rFonts w:ascii="Times New Roman" w:hAnsi="Times New Roman"/>
                <w:sz w:val="24"/>
                <w:szCs w:val="24"/>
                <w:lang w:val="ro-RO"/>
              </w:rPr>
              <w:lastRenderedPageBreak/>
              <w:t>scop administrativ) vor fi prelucrate strict în limitele necesare implementării, cu respectarea cadrului legal privind protecția datelor cu caracter personal și aplicarea măsurilor de securitate și acces limitat.</w:t>
            </w:r>
            <w:r w:rsidRPr="008E22A6">
              <w:rPr>
                <w:rFonts w:ascii="Times New Roman" w:hAnsi="Times New Roman"/>
                <w:b/>
                <w:bCs/>
                <w:i/>
                <w:iCs/>
                <w:sz w:val="24"/>
                <w:szCs w:val="24"/>
                <w:lang w:val="ro-RO"/>
              </w:rPr>
              <w:t xml:space="preserve"> </w:t>
            </w:r>
          </w:p>
          <w:p w14:paraId="2F673FE2" w14:textId="49FF6DEF" w:rsidR="00E431CA" w:rsidRPr="008E22A6" w:rsidRDefault="00E431CA" w:rsidP="00E431CA">
            <w:pPr>
              <w:rPr>
                <w:rFonts w:ascii="Times New Roman" w:hAnsi="Times New Roman"/>
                <w:b/>
                <w:bCs/>
                <w:i/>
                <w:iCs/>
                <w:sz w:val="24"/>
                <w:szCs w:val="24"/>
                <w:lang w:val="ro-RO"/>
              </w:rPr>
            </w:pPr>
            <w:r w:rsidRPr="008E22A6">
              <w:rPr>
                <w:rFonts w:ascii="Times New Roman" w:hAnsi="Times New Roman"/>
                <w:b/>
                <w:bCs/>
                <w:i/>
                <w:iCs/>
                <w:sz w:val="24"/>
                <w:szCs w:val="24"/>
                <w:lang w:val="ro-RO"/>
              </w:rPr>
              <w:t>4.4.2. Impactul asupra echității și egalității de gen</w:t>
            </w:r>
          </w:p>
          <w:p w14:paraId="18224C7D" w14:textId="270A8F67" w:rsidR="009F2936" w:rsidRPr="008E22A6" w:rsidRDefault="00E431CA" w:rsidP="00E431CA">
            <w:pPr>
              <w:rPr>
                <w:rFonts w:ascii="Times New Roman" w:hAnsi="Times New Roman"/>
                <w:sz w:val="24"/>
                <w:szCs w:val="24"/>
                <w:lang w:val="ro-RO"/>
              </w:rPr>
            </w:pPr>
            <w:r w:rsidRPr="008E22A6">
              <w:rPr>
                <w:rFonts w:ascii="Times New Roman" w:hAnsi="Times New Roman"/>
                <w:sz w:val="24"/>
                <w:szCs w:val="24"/>
                <w:lang w:val="ro-RO"/>
              </w:rPr>
              <w:t>Nu este aplicabil. Proiectul nu conține prevederi care să genereze efecte diferențiate în funcție de gen și nu instituie criterii discriminatorii.</w:t>
            </w:r>
          </w:p>
        </w:tc>
      </w:tr>
      <w:tr w:rsidR="006D3EB7" w:rsidRPr="008E22A6" w14:paraId="5A26B0A1"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DBF0B"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lastRenderedPageBreak/>
              <w:t>4.</w:t>
            </w:r>
            <w:r w:rsidR="00CA2822" w:rsidRPr="008E22A6">
              <w:rPr>
                <w:rFonts w:ascii="Times New Roman" w:hAnsi="Times New Roman"/>
                <w:b/>
                <w:bCs/>
                <w:i/>
                <w:iCs/>
                <w:sz w:val="24"/>
                <w:szCs w:val="24"/>
                <w:lang w:val="ro-RO"/>
              </w:rPr>
              <w:t>5</w:t>
            </w:r>
            <w:r w:rsidRPr="008E22A6">
              <w:rPr>
                <w:rFonts w:ascii="Times New Roman" w:hAnsi="Times New Roman"/>
                <w:b/>
                <w:bCs/>
                <w:i/>
                <w:iCs/>
                <w:sz w:val="24"/>
                <w:szCs w:val="24"/>
                <w:lang w:val="ro-RO"/>
              </w:rPr>
              <w:t>.</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Impactul</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asupra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mediului</w:t>
            </w:r>
          </w:p>
          <w:p w14:paraId="0907CF33" w14:textId="77777777" w:rsidR="00F60B3D" w:rsidRPr="008E22A6" w:rsidRDefault="00F60B3D" w:rsidP="00F60B3D">
            <w:pPr>
              <w:rPr>
                <w:rFonts w:ascii="Times New Roman" w:hAnsi="Times New Roman"/>
                <w:sz w:val="24"/>
                <w:szCs w:val="24"/>
                <w:lang w:val="ro-RO"/>
              </w:rPr>
            </w:pPr>
            <w:r w:rsidRPr="008E22A6">
              <w:rPr>
                <w:rFonts w:ascii="Times New Roman" w:hAnsi="Times New Roman"/>
                <w:sz w:val="24"/>
                <w:szCs w:val="24"/>
                <w:lang w:val="ro-RO"/>
              </w:rPr>
              <w:t>Implementarea Ciclului I al IFN are un impact pozitiv indirect asupra mediului, prin faptul că pune la dispoziție date obiective, comparabile și verificabile privind starea și evoluția resurselor forestiere. IFN va furniza informații statistice privind structura și compoziția arboretelor, regenerarea, starea de sănătate, lemnul mort, solurile forestiere și alți indicatori relevanți, care permit fundamentarea politicilor de gestionare durabilă, prevenirea degradării și orientarea intervențiilor (inclusiv măsuri de restaurare, adaptare la schimbările climatice și conservarea biodiversității).</w:t>
            </w:r>
          </w:p>
          <w:p w14:paraId="0BA47E92" w14:textId="77777777" w:rsidR="00F60B3D" w:rsidRPr="008E22A6" w:rsidRDefault="00F60B3D" w:rsidP="00F60B3D">
            <w:pPr>
              <w:rPr>
                <w:rFonts w:ascii="Times New Roman" w:hAnsi="Times New Roman"/>
                <w:sz w:val="24"/>
                <w:szCs w:val="24"/>
                <w:lang w:val="ro-RO"/>
              </w:rPr>
            </w:pPr>
            <w:r w:rsidRPr="008E22A6">
              <w:rPr>
                <w:rFonts w:ascii="Times New Roman" w:hAnsi="Times New Roman"/>
                <w:sz w:val="24"/>
                <w:szCs w:val="24"/>
                <w:lang w:val="ro-RO"/>
              </w:rPr>
              <w:t>Proiectul nu autorizează activități de exploatare forestieră, conversii de terenuri sau alte intervenții fizice cu impact semnificativ asupra mediului, ci reglementează organizarea colectării și analizării datelor. Impactul direct al activităților de teren este limitat și temporar (deplasări, instalarea/identificarea suprafețelor de probă, măsurători), fiind gestionat prin proceduri standardizate și bune practici, astfel încât nu se anticipează efecte negative semnificative asupra habitatelor.</w:t>
            </w:r>
          </w:p>
          <w:p w14:paraId="1ED48608" w14:textId="40984C81" w:rsidR="00F60B3D" w:rsidRPr="008E22A6" w:rsidRDefault="00F60B3D" w:rsidP="00F60B3D">
            <w:pPr>
              <w:rPr>
                <w:rFonts w:ascii="Times New Roman" w:hAnsi="Times New Roman"/>
                <w:b/>
                <w:bCs/>
                <w:sz w:val="24"/>
                <w:szCs w:val="24"/>
                <w:lang w:val="ro-RO"/>
              </w:rPr>
            </w:pPr>
            <w:r w:rsidRPr="008E22A6">
              <w:rPr>
                <w:rFonts w:ascii="Times New Roman" w:hAnsi="Times New Roman"/>
                <w:sz w:val="24"/>
                <w:szCs w:val="24"/>
                <w:lang w:val="ro-RO"/>
              </w:rPr>
              <w:t>Prin rezultatele IFN se consolidează capacitatea de raportare și monitorizare a indicatorilor de mediu (inclusiv cei privind carbonul, biodiversitatea și starea ecosistemelor), contribuind la îmbunătățirea planificării și a luării deciziilor bazate pe date.</w:t>
            </w:r>
          </w:p>
        </w:tc>
      </w:tr>
      <w:tr w:rsidR="006D3EB7" w:rsidRPr="008E22A6" w14:paraId="42A0201F"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029D4" w14:textId="77777777" w:rsidR="008B4BE6" w:rsidRPr="008E22A6" w:rsidRDefault="006933C3" w:rsidP="00452C6C">
            <w:pPr>
              <w:rPr>
                <w:rFonts w:ascii="Times New Roman" w:hAnsi="Times New Roman"/>
                <w:b/>
                <w:bCs/>
                <w:i/>
                <w:iCs/>
                <w:sz w:val="24"/>
                <w:szCs w:val="24"/>
                <w:lang w:val="ro-RO"/>
              </w:rPr>
            </w:pPr>
            <w:r w:rsidRPr="008E22A6">
              <w:rPr>
                <w:rFonts w:ascii="Times New Roman" w:hAnsi="Times New Roman"/>
                <w:b/>
                <w:bCs/>
                <w:i/>
                <w:iCs/>
                <w:sz w:val="24"/>
                <w:szCs w:val="24"/>
                <w:lang w:val="ro-RO"/>
              </w:rPr>
              <w:t>4.</w:t>
            </w:r>
            <w:r w:rsidR="00CA2822" w:rsidRPr="008E22A6">
              <w:rPr>
                <w:rFonts w:ascii="Times New Roman" w:hAnsi="Times New Roman"/>
                <w:b/>
                <w:bCs/>
                <w:i/>
                <w:iCs/>
                <w:sz w:val="24"/>
                <w:szCs w:val="24"/>
                <w:lang w:val="ro-RO"/>
              </w:rPr>
              <w:t>6</w:t>
            </w:r>
            <w:r w:rsidRPr="008E22A6">
              <w:rPr>
                <w:rFonts w:ascii="Times New Roman" w:hAnsi="Times New Roman"/>
                <w:b/>
                <w:bCs/>
                <w:i/>
                <w:iCs/>
                <w:sz w:val="24"/>
                <w:szCs w:val="24"/>
                <w:lang w:val="ro-RO"/>
              </w:rPr>
              <w:t>.</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Alte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impacturi</w:t>
            </w:r>
            <w:r w:rsidR="00032B46" w:rsidRPr="008E22A6">
              <w:rPr>
                <w:rFonts w:ascii="Times New Roman" w:hAnsi="Times New Roman"/>
                <w:b/>
                <w:bCs/>
                <w:i/>
                <w:iCs/>
                <w:sz w:val="24"/>
                <w:szCs w:val="24"/>
                <w:lang w:val="ro-RO"/>
              </w:rPr>
              <w:t xml:space="preserve"> </w:t>
            </w:r>
            <w:r w:rsidR="00863417" w:rsidRPr="008E22A6">
              <w:rPr>
                <w:rFonts w:ascii="Times New Roman" w:hAnsi="Times New Roman"/>
                <w:b/>
                <w:bCs/>
                <w:i/>
                <w:iCs/>
                <w:sz w:val="24"/>
                <w:szCs w:val="24"/>
                <w:lang w:val="ro-RO"/>
              </w:rPr>
              <w:t>ș</w:t>
            </w:r>
            <w:r w:rsidRPr="008E22A6">
              <w:rPr>
                <w:rFonts w:ascii="Times New Roman" w:hAnsi="Times New Roman"/>
                <w:b/>
                <w:bCs/>
                <w:i/>
                <w:iCs/>
                <w:sz w:val="24"/>
                <w:szCs w:val="24"/>
                <w:lang w:val="ro-RO"/>
              </w:rPr>
              <w:t>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informa</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ii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relevante</w:t>
            </w:r>
          </w:p>
          <w:p w14:paraId="5F53E7E4" w14:textId="77777777" w:rsidR="0040673B" w:rsidRPr="008E22A6" w:rsidRDefault="0040673B" w:rsidP="0040673B">
            <w:pPr>
              <w:rPr>
                <w:rFonts w:ascii="Times New Roman" w:hAnsi="Times New Roman"/>
                <w:sz w:val="24"/>
                <w:szCs w:val="24"/>
                <w:lang w:val="ro-RO"/>
              </w:rPr>
            </w:pPr>
            <w:r w:rsidRPr="008E22A6">
              <w:rPr>
                <w:rFonts w:ascii="Times New Roman" w:hAnsi="Times New Roman"/>
                <w:sz w:val="24"/>
                <w:szCs w:val="24"/>
                <w:lang w:val="ro-RO"/>
              </w:rPr>
              <w:t>Proiectul generează efecte pozitive asupra calității guvernanței și a transparenței în sectorul forestier, prin instituirea unui sistem național unitar de colectare și gestionare a datelor și prin publicarea periodică a rezultatelor (sinteze/rapoarte).</w:t>
            </w:r>
          </w:p>
          <w:p w14:paraId="30F3FF67" w14:textId="77777777" w:rsidR="0040673B" w:rsidRPr="008E22A6" w:rsidRDefault="0040673B" w:rsidP="0040673B">
            <w:pPr>
              <w:rPr>
                <w:rFonts w:ascii="Times New Roman" w:hAnsi="Times New Roman"/>
                <w:sz w:val="24"/>
                <w:szCs w:val="24"/>
                <w:lang w:val="ro-RO"/>
              </w:rPr>
            </w:pPr>
            <w:r w:rsidRPr="008E22A6">
              <w:rPr>
                <w:rFonts w:ascii="Times New Roman" w:hAnsi="Times New Roman"/>
                <w:sz w:val="24"/>
                <w:szCs w:val="24"/>
                <w:lang w:val="ro-RO"/>
              </w:rPr>
              <w:t>De asemenea, proiectul are impact pozitiv asupra digitalizării și modernizării proceselor instituționale (bază de date, fluxuri de validare și control al calității, utilizarea teledetecției/</w:t>
            </w:r>
            <w:proofErr w:type="spellStart"/>
            <w:r w:rsidRPr="008E22A6">
              <w:rPr>
                <w:rFonts w:ascii="Times New Roman" w:hAnsi="Times New Roman"/>
                <w:sz w:val="24"/>
                <w:szCs w:val="24"/>
                <w:lang w:val="ro-RO"/>
              </w:rPr>
              <w:t>fotointerpretării</w:t>
            </w:r>
            <w:proofErr w:type="spellEnd"/>
            <w:r w:rsidRPr="008E22A6">
              <w:rPr>
                <w:rFonts w:ascii="Times New Roman" w:hAnsi="Times New Roman"/>
                <w:sz w:val="24"/>
                <w:szCs w:val="24"/>
                <w:lang w:val="ro-RO"/>
              </w:rPr>
              <w:t xml:space="preserve"> și a instrumentelor statistice), precum și asupra consolidării capacităților profesionale (instruiri, schimb de experiență, standardizare metodologică).</w:t>
            </w:r>
          </w:p>
          <w:p w14:paraId="033FD377" w14:textId="1B99E9A3" w:rsidR="0040673B" w:rsidRPr="008E22A6" w:rsidRDefault="0040673B" w:rsidP="0040673B">
            <w:pPr>
              <w:rPr>
                <w:rFonts w:ascii="Times New Roman" w:hAnsi="Times New Roman"/>
                <w:sz w:val="24"/>
                <w:szCs w:val="24"/>
                <w:lang w:val="ro-RO"/>
              </w:rPr>
            </w:pPr>
            <w:r w:rsidRPr="008E22A6">
              <w:rPr>
                <w:rFonts w:ascii="Times New Roman" w:hAnsi="Times New Roman"/>
                <w:sz w:val="24"/>
                <w:szCs w:val="24"/>
                <w:lang w:val="ro-RO"/>
              </w:rPr>
              <w:t>Pe termen mediu și lung, existența unui IFN funcțional poate reduce costurile generate de lipsa datelor (decizii nefundamentate, raportări incomplete, duplicări de colectare a datelor) și crește eficiența utilizării resurselor publice în planificarea intervențiilor din sector.</w:t>
            </w:r>
          </w:p>
        </w:tc>
      </w:tr>
      <w:tr w:rsidR="006D3EB7" w:rsidRPr="008E22A6" w14:paraId="3227BD3A"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E22A6" w:rsidRDefault="006933C3" w:rsidP="007C53A1">
            <w:pPr>
              <w:rPr>
                <w:rFonts w:ascii="Times New Roman" w:hAnsi="Times New Roman"/>
                <w:b/>
                <w:bCs/>
                <w:sz w:val="24"/>
                <w:szCs w:val="24"/>
                <w:lang w:val="ro-RO"/>
              </w:rPr>
            </w:pPr>
            <w:r w:rsidRPr="008E22A6">
              <w:rPr>
                <w:rFonts w:ascii="Times New Roman" w:hAnsi="Times New Roman"/>
                <w:b/>
                <w:bCs/>
                <w:sz w:val="24"/>
                <w:szCs w:val="24"/>
                <w:lang w:val="ro-RO"/>
              </w:rPr>
              <w:t>5.</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Compatibilitatea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proiectului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normativ</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cu</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legisla</w:t>
            </w:r>
            <w:r w:rsidR="00863417" w:rsidRPr="008E22A6">
              <w:rPr>
                <w:rFonts w:ascii="Times New Roman" w:hAnsi="Times New Roman"/>
                <w:b/>
                <w:bCs/>
                <w:sz w:val="24"/>
                <w:szCs w:val="24"/>
                <w:lang w:val="ro-RO"/>
              </w:rPr>
              <w:t>ț</w:t>
            </w:r>
            <w:r w:rsidRPr="008E22A6">
              <w:rPr>
                <w:rFonts w:ascii="Times New Roman" w:hAnsi="Times New Roman"/>
                <w:b/>
                <w:bCs/>
                <w:sz w:val="24"/>
                <w:szCs w:val="24"/>
                <w:lang w:val="ro-RO"/>
              </w:rPr>
              <w:t>ia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UE</w:t>
            </w:r>
            <w:r w:rsidR="00032B46" w:rsidRPr="008E22A6">
              <w:rPr>
                <w:rFonts w:ascii="Times New Roman" w:hAnsi="Times New Roman"/>
                <w:b/>
                <w:bCs/>
                <w:sz w:val="24"/>
                <w:szCs w:val="24"/>
                <w:lang w:val="ro-RO"/>
              </w:rPr>
              <w:t xml:space="preserve"> </w:t>
            </w:r>
          </w:p>
        </w:tc>
      </w:tr>
      <w:tr w:rsidR="006D3EB7" w:rsidRPr="008E22A6" w14:paraId="564B5E4C"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B94C86" w14:textId="77777777" w:rsidR="008B4BE6" w:rsidRPr="008E22A6" w:rsidRDefault="006933C3" w:rsidP="007C53A1">
            <w:pPr>
              <w:rPr>
                <w:rFonts w:ascii="Times New Roman" w:hAnsi="Times New Roman"/>
                <w:b/>
                <w:bCs/>
                <w:i/>
                <w:iCs/>
                <w:sz w:val="24"/>
                <w:szCs w:val="24"/>
                <w:lang w:val="ro-RO"/>
              </w:rPr>
            </w:pPr>
            <w:r w:rsidRPr="008E22A6">
              <w:rPr>
                <w:rFonts w:ascii="Times New Roman" w:hAnsi="Times New Roman"/>
                <w:b/>
                <w:bCs/>
                <w:i/>
                <w:iCs/>
                <w:sz w:val="24"/>
                <w:szCs w:val="24"/>
                <w:lang w:val="ro-RO"/>
              </w:rPr>
              <w:t>5.1.</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Măsuri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normative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necesare</w:t>
            </w:r>
            <w:r w:rsidR="00032B46" w:rsidRPr="008E22A6">
              <w:rPr>
                <w:rFonts w:ascii="Times New Roman" w:hAnsi="Times New Roman"/>
                <w:b/>
                <w:bCs/>
                <w:i/>
                <w:iCs/>
                <w:sz w:val="24"/>
                <w:szCs w:val="24"/>
                <w:lang w:val="ro-RO"/>
              </w:rPr>
              <w:t xml:space="preserve"> </w:t>
            </w:r>
            <w:r w:rsidR="006E0A2E" w:rsidRPr="008E22A6">
              <w:rPr>
                <w:rFonts w:ascii="Times New Roman" w:hAnsi="Times New Roman"/>
                <w:b/>
                <w:bCs/>
                <w:i/>
                <w:iCs/>
                <w:sz w:val="24"/>
                <w:szCs w:val="24"/>
                <w:lang w:val="ro-RO"/>
              </w:rPr>
              <w:t xml:space="preserve">pentru </w:t>
            </w:r>
            <w:r w:rsidRPr="008E22A6">
              <w:rPr>
                <w:rFonts w:ascii="Times New Roman" w:hAnsi="Times New Roman"/>
                <w:b/>
                <w:bCs/>
                <w:i/>
                <w:iCs/>
                <w:sz w:val="24"/>
                <w:szCs w:val="24"/>
                <w:lang w:val="ro-RO"/>
              </w:rPr>
              <w:t>transpuner</w:t>
            </w:r>
            <w:r w:rsidR="006E0A2E" w:rsidRPr="008E22A6">
              <w:rPr>
                <w:rFonts w:ascii="Times New Roman" w:hAnsi="Times New Roman"/>
                <w:b/>
                <w:bCs/>
                <w:i/>
                <w:iCs/>
                <w:sz w:val="24"/>
                <w:szCs w:val="24"/>
                <w:lang w:val="ro-RO"/>
              </w:rPr>
              <w:t>ea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actelor</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juridice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ale</w:t>
            </w:r>
            <w:r w:rsidR="00032B46" w:rsidRPr="008E22A6">
              <w:rPr>
                <w:rFonts w:ascii="Times New Roman" w:hAnsi="Times New Roman"/>
                <w:b/>
                <w:bCs/>
                <w:i/>
                <w:iCs/>
                <w:sz w:val="24"/>
                <w:szCs w:val="24"/>
                <w:lang w:val="ro-RO"/>
              </w:rPr>
              <w:t xml:space="preserve"> </w:t>
            </w:r>
            <w:r w:rsidR="007C53A1" w:rsidRPr="008E22A6">
              <w:rPr>
                <w:rFonts w:ascii="Times New Roman" w:hAnsi="Times New Roman"/>
                <w:b/>
                <w:bCs/>
                <w:i/>
                <w:iCs/>
                <w:sz w:val="24"/>
                <w:szCs w:val="24"/>
                <w:lang w:val="ro-RO"/>
              </w:rPr>
              <w:t>UE</w:t>
            </w:r>
            <w:r w:rsidR="00825DC9" w:rsidRPr="008E22A6">
              <w:rPr>
                <w:rFonts w:ascii="Times New Roman" w:hAnsi="Times New Roman"/>
                <w:b/>
                <w:bCs/>
                <w:i/>
                <w:iCs/>
                <w:sz w:val="24"/>
                <w:szCs w:val="24"/>
                <w:lang w:val="ro-RO"/>
              </w:rPr>
              <w:t xml:space="preserve"> în legislația națională</w:t>
            </w:r>
          </w:p>
          <w:p w14:paraId="5EC5689E" w14:textId="4955F4B7" w:rsidR="0040673B" w:rsidRPr="008E22A6" w:rsidRDefault="0040673B" w:rsidP="007C53A1">
            <w:pPr>
              <w:rPr>
                <w:rFonts w:ascii="Times New Roman" w:hAnsi="Times New Roman"/>
                <w:sz w:val="24"/>
                <w:szCs w:val="24"/>
                <w:lang w:val="ro-RO"/>
              </w:rPr>
            </w:pPr>
            <w:r w:rsidRPr="008E22A6">
              <w:rPr>
                <w:rFonts w:ascii="Times New Roman" w:hAnsi="Times New Roman"/>
                <w:sz w:val="24"/>
                <w:szCs w:val="24"/>
                <w:lang w:val="ro-RO"/>
              </w:rPr>
              <w:t xml:space="preserve">Nu este aplicabil. Proiectul hotărârii Guvernului nu urmărește transpunerea directă a unui act juridic al Uniunii Europene, </w:t>
            </w:r>
            <w:r w:rsidR="005A236C">
              <w:rPr>
                <w:rFonts w:ascii="Times New Roman" w:hAnsi="Times New Roman"/>
                <w:sz w:val="24"/>
                <w:szCs w:val="24"/>
                <w:lang w:val="ro-RO"/>
              </w:rPr>
              <w:t>dar</w:t>
            </w:r>
            <w:r w:rsidRPr="008E22A6">
              <w:rPr>
                <w:rFonts w:ascii="Times New Roman" w:hAnsi="Times New Roman"/>
                <w:sz w:val="24"/>
                <w:szCs w:val="24"/>
                <w:lang w:val="ro-RO"/>
              </w:rPr>
              <w:t xml:space="preserve"> instituie cadrul organizatoric și operațional pentru realizarea Ciclului I al IFN, în temeiul legislației naționale (art. 61 din Codul silvic nr. 69/2024).</w:t>
            </w:r>
          </w:p>
        </w:tc>
      </w:tr>
      <w:tr w:rsidR="006D3EB7" w:rsidRPr="008E22A6" w14:paraId="1541F0CB"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C1AB62" w14:textId="77777777" w:rsidR="003C3DB4" w:rsidRPr="008E22A6" w:rsidRDefault="006933C3" w:rsidP="007C53A1">
            <w:pPr>
              <w:rPr>
                <w:rFonts w:ascii="Times New Roman" w:hAnsi="Times New Roman"/>
                <w:b/>
                <w:bCs/>
                <w:i/>
                <w:iCs/>
                <w:sz w:val="24"/>
                <w:szCs w:val="24"/>
                <w:lang w:val="ro-RO"/>
              </w:rPr>
            </w:pPr>
            <w:r w:rsidRPr="008E22A6">
              <w:rPr>
                <w:rFonts w:ascii="Times New Roman" w:hAnsi="Times New Roman"/>
                <w:b/>
                <w:bCs/>
                <w:i/>
                <w:iCs/>
                <w:sz w:val="24"/>
                <w:szCs w:val="24"/>
                <w:lang w:val="ro-RO"/>
              </w:rPr>
              <w:t>5.2.</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Măsuri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normative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care</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urmăresc</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crearea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cadrului</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juridic</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intern</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necesar</w:t>
            </w:r>
            <w:r w:rsidR="00032B46" w:rsidRPr="008E22A6">
              <w:rPr>
                <w:rFonts w:ascii="Times New Roman" w:hAnsi="Times New Roman"/>
                <w:b/>
                <w:bCs/>
                <w:i/>
                <w:iCs/>
                <w:sz w:val="24"/>
                <w:szCs w:val="24"/>
                <w:lang w:val="ro-RO"/>
              </w:rPr>
              <w:t xml:space="preserve"> </w:t>
            </w:r>
            <w:r w:rsidR="006E0A2E" w:rsidRPr="008E22A6">
              <w:rPr>
                <w:rFonts w:ascii="Times New Roman" w:hAnsi="Times New Roman"/>
                <w:b/>
                <w:bCs/>
                <w:i/>
                <w:iCs/>
                <w:sz w:val="24"/>
                <w:szCs w:val="24"/>
                <w:lang w:val="ro-RO"/>
              </w:rPr>
              <w:t xml:space="preserve">pentru </w:t>
            </w:r>
            <w:r w:rsidRPr="008E22A6">
              <w:rPr>
                <w:rFonts w:ascii="Times New Roman" w:hAnsi="Times New Roman"/>
                <w:b/>
                <w:bCs/>
                <w:i/>
                <w:iCs/>
                <w:sz w:val="24"/>
                <w:szCs w:val="24"/>
                <w:lang w:val="ro-RO"/>
              </w:rPr>
              <w:t>implement</w:t>
            </w:r>
            <w:r w:rsidR="006E0A2E" w:rsidRPr="008E22A6">
              <w:rPr>
                <w:rFonts w:ascii="Times New Roman" w:hAnsi="Times New Roman"/>
                <w:b/>
                <w:bCs/>
                <w:i/>
                <w:iCs/>
                <w:sz w:val="24"/>
                <w:szCs w:val="24"/>
                <w:lang w:val="ro-RO"/>
              </w:rPr>
              <w:t>area</w:t>
            </w:r>
            <w:r w:rsidR="00032B46" w:rsidRPr="008E22A6">
              <w:rPr>
                <w:rFonts w:ascii="Times New Roman" w:hAnsi="Times New Roman"/>
                <w:b/>
                <w:bCs/>
                <w:i/>
                <w:iCs/>
                <w:sz w:val="24"/>
                <w:szCs w:val="24"/>
                <w:lang w:val="ro-RO"/>
              </w:rPr>
              <w:t xml:space="preserve"> </w:t>
            </w:r>
            <w:r w:rsidRPr="008E22A6">
              <w:rPr>
                <w:rFonts w:ascii="Times New Roman" w:hAnsi="Times New Roman"/>
                <w:b/>
                <w:bCs/>
                <w:i/>
                <w:iCs/>
                <w:sz w:val="24"/>
                <w:szCs w:val="24"/>
                <w:lang w:val="ro-RO"/>
              </w:rPr>
              <w:t>legisla</w:t>
            </w:r>
            <w:r w:rsidR="00863417" w:rsidRPr="008E22A6">
              <w:rPr>
                <w:rFonts w:ascii="Times New Roman" w:hAnsi="Times New Roman"/>
                <w:b/>
                <w:bCs/>
                <w:i/>
                <w:iCs/>
                <w:sz w:val="24"/>
                <w:szCs w:val="24"/>
                <w:lang w:val="ro-RO"/>
              </w:rPr>
              <w:t>ț</w:t>
            </w:r>
            <w:r w:rsidRPr="008E22A6">
              <w:rPr>
                <w:rFonts w:ascii="Times New Roman" w:hAnsi="Times New Roman"/>
                <w:b/>
                <w:bCs/>
                <w:i/>
                <w:iCs/>
                <w:sz w:val="24"/>
                <w:szCs w:val="24"/>
                <w:lang w:val="ro-RO"/>
              </w:rPr>
              <w:t>iei</w:t>
            </w:r>
            <w:r w:rsidR="00032B46" w:rsidRPr="008E22A6">
              <w:rPr>
                <w:rFonts w:ascii="Times New Roman" w:hAnsi="Times New Roman"/>
                <w:b/>
                <w:bCs/>
                <w:i/>
                <w:iCs/>
                <w:sz w:val="24"/>
                <w:szCs w:val="24"/>
                <w:lang w:val="ro-RO"/>
              </w:rPr>
              <w:t xml:space="preserve"> </w:t>
            </w:r>
            <w:r w:rsidR="007C53A1" w:rsidRPr="008E22A6">
              <w:rPr>
                <w:rFonts w:ascii="Times New Roman" w:hAnsi="Times New Roman"/>
                <w:b/>
                <w:bCs/>
                <w:i/>
                <w:iCs/>
                <w:sz w:val="24"/>
                <w:szCs w:val="24"/>
                <w:lang w:val="ro-RO"/>
              </w:rPr>
              <w:t>UE</w:t>
            </w:r>
          </w:p>
          <w:p w14:paraId="246D6ED7" w14:textId="379D90D8" w:rsidR="0040673B" w:rsidRPr="008E22A6" w:rsidRDefault="0040673B" w:rsidP="007C53A1">
            <w:pPr>
              <w:rPr>
                <w:rFonts w:ascii="Times New Roman" w:hAnsi="Times New Roman"/>
                <w:sz w:val="24"/>
                <w:szCs w:val="24"/>
                <w:lang w:val="ro-RO"/>
              </w:rPr>
            </w:pPr>
            <w:r w:rsidRPr="008E22A6">
              <w:rPr>
                <w:rFonts w:ascii="Times New Roman" w:hAnsi="Times New Roman"/>
                <w:sz w:val="24"/>
                <w:szCs w:val="24"/>
                <w:lang w:val="ro-RO"/>
              </w:rPr>
              <w:t>Proiectul contribuie la crearea cadrului intern necesar pentru asigurarea datelor comparabile, actualizate și verificabile privind resursele forestiere, în acord cu practicile și standardele aplicate în statele europene și cu cerințele de monitorizare și raportare în contextul cooperării Republicii Moldova cu Uniunea Europeană. Prin instituirea IFN, se consolidează capacitatea națională de a furniza date pentru politici publice și pentru raportările relevante privind gestionarea durabilă a pădurilor, schimbările climatice și biodiversitatea.</w:t>
            </w:r>
          </w:p>
        </w:tc>
      </w:tr>
      <w:tr w:rsidR="006D3EB7" w:rsidRPr="008E22A6" w14:paraId="338B3440"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t>6.</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Avizarea</w:t>
            </w:r>
            <w:r w:rsidR="00032B46" w:rsidRPr="008E22A6">
              <w:rPr>
                <w:rFonts w:ascii="Times New Roman" w:hAnsi="Times New Roman"/>
                <w:b/>
                <w:bCs/>
                <w:sz w:val="24"/>
                <w:szCs w:val="24"/>
                <w:lang w:val="ro-RO"/>
              </w:rPr>
              <w:t xml:space="preserve"> </w:t>
            </w:r>
            <w:r w:rsidR="00863417" w:rsidRPr="008E22A6">
              <w:rPr>
                <w:rFonts w:ascii="Times New Roman" w:hAnsi="Times New Roman"/>
                <w:b/>
                <w:bCs/>
                <w:sz w:val="24"/>
                <w:szCs w:val="24"/>
                <w:lang w:val="ro-RO"/>
              </w:rPr>
              <w:t>ș</w:t>
            </w:r>
            <w:r w:rsidRPr="008E22A6">
              <w:rPr>
                <w:rFonts w:ascii="Times New Roman" w:hAnsi="Times New Roman"/>
                <w:b/>
                <w:bCs/>
                <w:sz w:val="24"/>
                <w:szCs w:val="24"/>
                <w:lang w:val="ro-RO"/>
              </w:rPr>
              <w:t>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consultarea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publică</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proiectului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normativ</w:t>
            </w:r>
          </w:p>
        </w:tc>
      </w:tr>
      <w:tr w:rsidR="006D3EB7" w:rsidRPr="008E22A6" w14:paraId="4E687F27"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EEE924" w14:textId="2BA44A69" w:rsidR="003C55AB" w:rsidRPr="008E22A6" w:rsidRDefault="003C55AB" w:rsidP="003C55AB">
            <w:pPr>
              <w:rPr>
                <w:rFonts w:ascii="Times New Roman" w:hAnsi="Times New Roman"/>
                <w:sz w:val="24"/>
                <w:szCs w:val="24"/>
                <w:lang w:val="ro-RO"/>
              </w:rPr>
            </w:pPr>
            <w:r w:rsidRPr="008E22A6">
              <w:rPr>
                <w:rFonts w:ascii="Times New Roman" w:hAnsi="Times New Roman"/>
                <w:sz w:val="24"/>
                <w:szCs w:val="24"/>
                <w:lang w:val="ro-RO"/>
              </w:rPr>
              <w:t>În scopul consultării publice, în data de 2</w:t>
            </w:r>
            <w:r w:rsidR="004C73E9">
              <w:rPr>
                <w:rFonts w:ascii="Times New Roman" w:hAnsi="Times New Roman"/>
                <w:sz w:val="24"/>
                <w:szCs w:val="24"/>
                <w:lang w:val="ro-RO"/>
              </w:rPr>
              <w:t>1</w:t>
            </w:r>
            <w:r w:rsidRPr="008E22A6">
              <w:rPr>
                <w:rFonts w:ascii="Times New Roman" w:hAnsi="Times New Roman"/>
                <w:sz w:val="24"/>
                <w:szCs w:val="24"/>
                <w:lang w:val="ro-RO"/>
              </w:rPr>
              <w:t>.</w:t>
            </w:r>
            <w:r w:rsidR="004C73E9">
              <w:rPr>
                <w:rFonts w:ascii="Times New Roman" w:hAnsi="Times New Roman"/>
                <w:sz w:val="24"/>
                <w:szCs w:val="24"/>
                <w:lang w:val="ro-RO"/>
              </w:rPr>
              <w:t>01</w:t>
            </w:r>
            <w:r w:rsidRPr="008E22A6">
              <w:rPr>
                <w:rFonts w:ascii="Times New Roman" w:hAnsi="Times New Roman"/>
                <w:sz w:val="24"/>
                <w:szCs w:val="24"/>
                <w:lang w:val="ro-RO"/>
              </w:rPr>
              <w:t>.202</w:t>
            </w:r>
            <w:r w:rsidR="004C73E9">
              <w:rPr>
                <w:rFonts w:ascii="Times New Roman" w:hAnsi="Times New Roman"/>
                <w:sz w:val="24"/>
                <w:szCs w:val="24"/>
                <w:lang w:val="ro-RO"/>
              </w:rPr>
              <w:t>6</w:t>
            </w:r>
            <w:r w:rsidRPr="008E22A6">
              <w:rPr>
                <w:rFonts w:ascii="Times New Roman" w:hAnsi="Times New Roman"/>
                <w:sz w:val="24"/>
                <w:szCs w:val="24"/>
                <w:lang w:val="ro-RO"/>
              </w:rPr>
              <w:t xml:space="preserve"> a fost plasat pe pagina</w:t>
            </w:r>
          </w:p>
          <w:p w14:paraId="46234559" w14:textId="77777777" w:rsidR="003C55AB" w:rsidRPr="008E22A6" w:rsidRDefault="003C55AB" w:rsidP="003C55AB">
            <w:pPr>
              <w:rPr>
                <w:rFonts w:ascii="Times New Roman" w:hAnsi="Times New Roman"/>
                <w:sz w:val="24"/>
                <w:szCs w:val="24"/>
                <w:lang w:val="ro-RO"/>
              </w:rPr>
            </w:pPr>
            <w:r w:rsidRPr="008E22A6">
              <w:rPr>
                <w:rFonts w:ascii="Times New Roman" w:hAnsi="Times New Roman"/>
                <w:sz w:val="24"/>
                <w:szCs w:val="24"/>
                <w:lang w:val="ro-RO"/>
              </w:rPr>
              <w:t>Particip.gov.md anunțul privind inițierea elaborării proiectului la adresă:</w:t>
            </w:r>
          </w:p>
          <w:p w14:paraId="12D7A0DC" w14:textId="583144E5" w:rsidR="003C55AB" w:rsidRPr="008E22A6" w:rsidRDefault="003C55AB" w:rsidP="003C55AB">
            <w:pPr>
              <w:rPr>
                <w:rFonts w:ascii="Times New Roman" w:hAnsi="Times New Roman"/>
                <w:sz w:val="24"/>
                <w:szCs w:val="24"/>
                <w:lang w:val="ro-RO"/>
              </w:rPr>
            </w:pPr>
            <w:hyperlink r:id="rId11" w:history="1">
              <w:r w:rsidRPr="008E22A6">
                <w:rPr>
                  <w:rStyle w:val="Hyperlink"/>
                  <w:rFonts w:ascii="Times New Roman" w:hAnsi="Times New Roman"/>
                  <w:sz w:val="24"/>
                  <w:szCs w:val="24"/>
                  <w:lang w:val="ro-RO"/>
                </w:rPr>
                <w:t>https://particip.gov.md/ro/document/stages/*/15904</w:t>
              </w:r>
            </w:hyperlink>
          </w:p>
          <w:p w14:paraId="739CB0E5" w14:textId="63C8364A" w:rsidR="0040673B" w:rsidRPr="008E22A6" w:rsidRDefault="0040673B" w:rsidP="003C55AB">
            <w:pPr>
              <w:rPr>
                <w:rFonts w:ascii="Times New Roman" w:hAnsi="Times New Roman"/>
                <w:sz w:val="24"/>
                <w:szCs w:val="24"/>
                <w:lang w:val="ro-RO"/>
              </w:rPr>
            </w:pPr>
            <w:r w:rsidRPr="008E22A6">
              <w:rPr>
                <w:rFonts w:ascii="Times New Roman" w:hAnsi="Times New Roman"/>
                <w:sz w:val="24"/>
                <w:szCs w:val="24"/>
                <w:lang w:val="ro-RO"/>
              </w:rPr>
              <w:lastRenderedPageBreak/>
              <w:t>Proiectul hotărârii Guvernului va fi supus procedurii de avizare interinstituțională, în conformitate cu prevederile Legii nr. 100/2017 cu privire la actele normative și cu regulile interne aplicabile procesului de coordonare și avizare.</w:t>
            </w:r>
          </w:p>
          <w:p w14:paraId="5D3B3208" w14:textId="77777777" w:rsidR="0040673B" w:rsidRPr="008E22A6" w:rsidRDefault="0040673B" w:rsidP="0040673B">
            <w:pPr>
              <w:rPr>
                <w:rFonts w:ascii="Times New Roman" w:hAnsi="Times New Roman"/>
                <w:sz w:val="24"/>
                <w:szCs w:val="24"/>
                <w:lang w:val="ro-RO"/>
              </w:rPr>
            </w:pPr>
            <w:r w:rsidRPr="008E22A6">
              <w:rPr>
                <w:rFonts w:ascii="Times New Roman" w:hAnsi="Times New Roman"/>
                <w:sz w:val="24"/>
                <w:szCs w:val="24"/>
                <w:lang w:val="ro-RO"/>
              </w:rPr>
              <w:t>Consultarea publică a proiectului va fi realizată în condițiile Legii nr. 239/2008 privind transparența în procesul decizional, prin publicarea anunțului privind inițierea elaborării proiectului, plasarea proiectului și a notei de fundamentare pe pagina web oficială și/sau pe platforma guvernamentală de consultare, precum și prin recepționarea propunerilor și recomandărilor din partea părților interesate (autorități publice, APL, societatea civilă, mediul academic, asociații profesionale).</w:t>
            </w:r>
          </w:p>
          <w:p w14:paraId="7E6045F3" w14:textId="42FB4C06" w:rsidR="008B4BE6" w:rsidRPr="008E22A6" w:rsidRDefault="0040673B" w:rsidP="0040673B">
            <w:pPr>
              <w:rPr>
                <w:rFonts w:ascii="Times New Roman" w:hAnsi="Times New Roman"/>
                <w:sz w:val="24"/>
                <w:szCs w:val="24"/>
                <w:lang w:val="ro-RO"/>
              </w:rPr>
            </w:pPr>
            <w:r w:rsidRPr="008E22A6">
              <w:rPr>
                <w:rFonts w:ascii="Times New Roman" w:hAnsi="Times New Roman"/>
                <w:sz w:val="24"/>
                <w:szCs w:val="24"/>
                <w:lang w:val="ro-RO"/>
              </w:rPr>
              <w:t>La finalizarea consultării, va fi întocmită sinteza obiecțiilor și propunerilor recepționate și modul de încorporare a acestora în textul proiectului.</w:t>
            </w:r>
          </w:p>
        </w:tc>
      </w:tr>
      <w:tr w:rsidR="006D3EB7" w:rsidRPr="008E22A6" w14:paraId="2C469418"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lastRenderedPageBreak/>
              <w:t>7.</w:t>
            </w:r>
            <w:r w:rsidR="00032B46" w:rsidRPr="008E22A6">
              <w:rPr>
                <w:rFonts w:ascii="Times New Roman" w:hAnsi="Times New Roman"/>
                <w:b/>
                <w:bCs/>
                <w:sz w:val="24"/>
                <w:szCs w:val="24"/>
                <w:lang w:val="ro-RO"/>
              </w:rPr>
              <w:t xml:space="preserve"> </w:t>
            </w:r>
            <w:r w:rsidR="00A95A2D" w:rsidRPr="008E22A6">
              <w:rPr>
                <w:rFonts w:ascii="Times New Roman" w:hAnsi="Times New Roman"/>
                <w:b/>
                <w:bCs/>
                <w:sz w:val="24"/>
                <w:szCs w:val="24"/>
                <w:lang w:val="ro-RO"/>
              </w:rPr>
              <w:t>C</w:t>
            </w:r>
            <w:r w:rsidRPr="008E22A6">
              <w:rPr>
                <w:rFonts w:ascii="Times New Roman" w:hAnsi="Times New Roman"/>
                <w:b/>
                <w:bCs/>
                <w:sz w:val="24"/>
                <w:szCs w:val="24"/>
                <w:lang w:val="ro-RO"/>
              </w:rPr>
              <w:t>oncluziile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expertizelor</w:t>
            </w:r>
          </w:p>
        </w:tc>
      </w:tr>
      <w:tr w:rsidR="006D3EB7" w:rsidRPr="008E22A6" w14:paraId="26F8D433"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DF0B48D" w:rsidR="008B4BE6" w:rsidRPr="008E22A6" w:rsidRDefault="00032B46" w:rsidP="00F37ED4">
            <w:pPr>
              <w:rPr>
                <w:rFonts w:ascii="Times New Roman" w:hAnsi="Times New Roman"/>
                <w:sz w:val="24"/>
                <w:szCs w:val="24"/>
                <w:lang w:val="ro-RO"/>
              </w:rPr>
            </w:pPr>
            <w:r w:rsidRPr="008E22A6">
              <w:rPr>
                <w:rFonts w:ascii="Times New Roman" w:hAnsi="Times New Roman"/>
                <w:sz w:val="24"/>
                <w:szCs w:val="24"/>
                <w:lang w:val="ro-RO"/>
              </w:rPr>
              <w:t xml:space="preserve"> </w:t>
            </w:r>
            <w:r w:rsidR="009435C6" w:rsidRPr="008E22A6">
              <w:rPr>
                <w:rFonts w:ascii="Times New Roman" w:hAnsi="Times New Roman"/>
                <w:sz w:val="24"/>
                <w:szCs w:val="24"/>
                <w:lang w:val="ro-RO"/>
              </w:rPr>
              <w:t>Proiectul hotărârii Guvernului urmează a fi supus expertizelor obligatorii, conform cadrului normativ aplicabil, inclusiv expertizei juridice și expertizei anticorupție. Concluziile expertizelor și recomandările acceptate vor fi integrate în textul proiectului și reflectate în dosarul de promovare, iar recomandările neacceptate vor fi motivate.</w:t>
            </w:r>
          </w:p>
        </w:tc>
      </w:tr>
      <w:tr w:rsidR="006D3EB7" w:rsidRPr="008E22A6" w14:paraId="723ACED3"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E22A6" w:rsidRDefault="006933C3" w:rsidP="00452C6C">
            <w:pPr>
              <w:rPr>
                <w:rFonts w:ascii="Times New Roman" w:hAnsi="Times New Roman"/>
                <w:b/>
                <w:bCs/>
                <w:sz w:val="24"/>
                <w:szCs w:val="24"/>
                <w:lang w:val="ro-RO"/>
              </w:rPr>
            </w:pPr>
            <w:r w:rsidRPr="008E22A6">
              <w:rPr>
                <w:rFonts w:ascii="Times New Roman" w:hAnsi="Times New Roman"/>
                <w:b/>
                <w:bCs/>
                <w:sz w:val="24"/>
                <w:szCs w:val="24"/>
                <w:lang w:val="ro-RO"/>
              </w:rPr>
              <w:t>8.</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Modul</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de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încorporare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în</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cadrul</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normativ</w:t>
            </w:r>
            <w:r w:rsidR="00032B46" w:rsidRPr="008E22A6">
              <w:rPr>
                <w:rFonts w:ascii="Times New Roman" w:hAnsi="Times New Roman"/>
                <w:b/>
                <w:bCs/>
                <w:sz w:val="24"/>
                <w:szCs w:val="24"/>
                <w:lang w:val="ro-RO"/>
              </w:rPr>
              <w:t xml:space="preserve"> </w:t>
            </w:r>
            <w:r w:rsidR="007C53A1" w:rsidRPr="008E22A6">
              <w:rPr>
                <w:rFonts w:ascii="Times New Roman" w:hAnsi="Times New Roman"/>
                <w:b/>
                <w:bCs/>
                <w:sz w:val="24"/>
                <w:szCs w:val="24"/>
                <w:lang w:val="ro-RO"/>
              </w:rPr>
              <w:t>existent</w:t>
            </w:r>
          </w:p>
        </w:tc>
      </w:tr>
      <w:tr w:rsidR="006D3EB7" w:rsidRPr="008E22A6" w14:paraId="627B30F2"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3BD2624" w:rsidR="008B4BE6" w:rsidRPr="008E22A6" w:rsidRDefault="00032B46" w:rsidP="00F37ED4">
            <w:pPr>
              <w:rPr>
                <w:rFonts w:ascii="Times New Roman" w:hAnsi="Times New Roman"/>
                <w:sz w:val="24"/>
                <w:szCs w:val="24"/>
                <w:lang w:val="ro-RO"/>
              </w:rPr>
            </w:pPr>
            <w:r w:rsidRPr="008E22A6">
              <w:rPr>
                <w:rFonts w:ascii="Times New Roman" w:hAnsi="Times New Roman"/>
                <w:sz w:val="24"/>
                <w:szCs w:val="24"/>
                <w:lang w:val="ro-RO"/>
              </w:rPr>
              <w:t xml:space="preserve"> </w:t>
            </w:r>
            <w:r w:rsidR="00F71E37" w:rsidRPr="008E22A6">
              <w:rPr>
                <w:rFonts w:ascii="Times New Roman" w:hAnsi="Times New Roman"/>
                <w:sz w:val="24"/>
                <w:szCs w:val="24"/>
                <w:lang w:val="ro-RO"/>
              </w:rPr>
              <w:t>Proiectul de hotărâre se încorporează în cadrul normativ existent prin operaționalizarea prevederilor art. 61 din Codul silvic nr. 69/2024, care instituie Inventarul Forestier Național și stabilește principiile și componentele metodologice ale acestuia. Adoptarea hotărârii nu presupune, la această etapă, modificarea sau abrogarea altor acte normative. Pentru implementare, după caz, vor fi elaborate/aprobate acte subsecvente cu caracter tehnic (metodologie, instrucțiuni/proceduri), în limitele competențelor autorității administrației publice centrale în domeniul mediului.</w:t>
            </w:r>
          </w:p>
        </w:tc>
      </w:tr>
      <w:tr w:rsidR="006D3EB7" w:rsidRPr="008E22A6" w14:paraId="5FD6247A" w14:textId="77777777" w:rsidTr="00DE009A">
        <w:tc>
          <w:tcPr>
            <w:tcW w:w="935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E22A6" w:rsidRDefault="006933C3" w:rsidP="00F37ED4">
            <w:pPr>
              <w:rPr>
                <w:rFonts w:ascii="Times New Roman" w:hAnsi="Times New Roman"/>
                <w:b/>
                <w:bCs/>
                <w:sz w:val="24"/>
                <w:szCs w:val="24"/>
                <w:lang w:val="ro-RO"/>
              </w:rPr>
            </w:pPr>
            <w:r w:rsidRPr="008E22A6">
              <w:rPr>
                <w:rFonts w:ascii="Times New Roman" w:hAnsi="Times New Roman"/>
                <w:b/>
                <w:bCs/>
                <w:sz w:val="24"/>
                <w:szCs w:val="24"/>
                <w:lang w:val="ro-RO"/>
              </w:rPr>
              <w:t>9.</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Măsuri</w:t>
            </w:r>
            <w:r w:rsidR="0036135C" w:rsidRPr="008E22A6">
              <w:rPr>
                <w:rFonts w:ascii="Times New Roman" w:hAnsi="Times New Roman"/>
                <w:b/>
                <w:bCs/>
                <w:sz w:val="24"/>
                <w:szCs w:val="24"/>
                <w:lang w:val="ro-RO"/>
              </w:rPr>
              <w:t>le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necesare</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pentru</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implementarea</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prevederilor</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proiectului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actului</w:t>
            </w:r>
            <w:r w:rsidR="00032B46" w:rsidRPr="008E22A6">
              <w:rPr>
                <w:rFonts w:ascii="Times New Roman" w:hAnsi="Times New Roman"/>
                <w:b/>
                <w:bCs/>
                <w:sz w:val="24"/>
                <w:szCs w:val="24"/>
                <w:lang w:val="ro-RO"/>
              </w:rPr>
              <w:t xml:space="preserve"> </w:t>
            </w:r>
            <w:r w:rsidRPr="008E22A6">
              <w:rPr>
                <w:rFonts w:ascii="Times New Roman" w:hAnsi="Times New Roman"/>
                <w:b/>
                <w:bCs/>
                <w:sz w:val="24"/>
                <w:szCs w:val="24"/>
                <w:lang w:val="ro-RO"/>
              </w:rPr>
              <w:t>normativ</w:t>
            </w:r>
          </w:p>
        </w:tc>
      </w:tr>
      <w:tr w:rsidR="006D3EB7" w:rsidRPr="008E22A6" w14:paraId="494CA73F" w14:textId="77777777" w:rsidTr="00DE009A">
        <w:tc>
          <w:tcPr>
            <w:tcW w:w="935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546448D8" w:rsidR="008B4BE6" w:rsidRPr="008E22A6" w:rsidRDefault="00032B46" w:rsidP="00F37ED4">
            <w:pPr>
              <w:rPr>
                <w:rFonts w:ascii="Times New Roman" w:hAnsi="Times New Roman"/>
                <w:b/>
                <w:bCs/>
                <w:sz w:val="24"/>
                <w:szCs w:val="24"/>
                <w:lang w:val="ro-RO"/>
              </w:rPr>
            </w:pPr>
            <w:r w:rsidRPr="008E22A6">
              <w:rPr>
                <w:rFonts w:ascii="Times New Roman" w:hAnsi="Times New Roman"/>
                <w:sz w:val="24"/>
                <w:szCs w:val="24"/>
                <w:lang w:val="ro-RO"/>
              </w:rPr>
              <w:t xml:space="preserve"> </w:t>
            </w:r>
            <w:r w:rsidR="00BB2C72" w:rsidRPr="008E22A6">
              <w:rPr>
                <w:rFonts w:ascii="Times New Roman" w:hAnsi="Times New Roman"/>
                <w:sz w:val="24"/>
                <w:szCs w:val="24"/>
                <w:lang w:val="ro-RO"/>
              </w:rPr>
              <w:t>Implementarea hotărârii se va realiza etapizat, pentru perioada 2026–2030, prin: pregătirea metodologică și logistică, colectarea datelor în teren și prin metode de teledetecție/</w:t>
            </w:r>
            <w:proofErr w:type="spellStart"/>
            <w:r w:rsidR="00BB2C72" w:rsidRPr="008E22A6">
              <w:rPr>
                <w:rFonts w:ascii="Times New Roman" w:hAnsi="Times New Roman"/>
                <w:sz w:val="24"/>
                <w:szCs w:val="24"/>
                <w:lang w:val="ro-RO"/>
              </w:rPr>
              <w:t>fotointerpretare</w:t>
            </w:r>
            <w:proofErr w:type="spellEnd"/>
            <w:r w:rsidR="00BB2C72" w:rsidRPr="008E22A6">
              <w:rPr>
                <w:rFonts w:ascii="Times New Roman" w:hAnsi="Times New Roman"/>
                <w:sz w:val="24"/>
                <w:szCs w:val="24"/>
                <w:lang w:val="ro-RO"/>
              </w:rPr>
              <w:t>, prelucrarea, controlul calității, validarea și gestionarea bazei de date, elaborarea și publicarea rezultatelor (sinteze/rapoarte). Ministerul Mediului va asigura coordonarea generală și monitorizarea implementării, iar instituțiile responsabile desemnate prin hotărâre vor realiza activitățile tehnice de inventariere, gestionare a datelor și raportare, în cooperare interinstituțională. Implementarea va fi posibilă inclusiv prin aplicarea obligației proprietarilor/deținătorilor de terenuri de a permite accesul echipelor IFN la suprafețele de probă, în vederea efectuării măsurătorilor și colectării datelor. Resursele necesare (umane, materiale și financiare) vor fi asigurate din surse externe/parteneri de dezvoltare și din bugetul de stat, în limita alocațiilor aprobate. Monitorizarea realizării hotărârii se va efectua prin indicatori operaționali, precum: metodologia aprobată, numărul suprafețelor de probă instalate/măsurate, volumul datelor colectate și validate, funcționalitatea bazei de date și publicarea la termen a rapoartelor/sintezelor IFN.</w:t>
            </w:r>
          </w:p>
        </w:tc>
      </w:tr>
    </w:tbl>
    <w:p w14:paraId="2755AA8B" w14:textId="77777777" w:rsidR="00D2564E" w:rsidRPr="008E22A6" w:rsidRDefault="00D2564E" w:rsidP="005535FB">
      <w:pPr>
        <w:pBdr>
          <w:top w:val="none" w:sz="4" w:space="0" w:color="000000"/>
          <w:left w:val="none" w:sz="4" w:space="0" w:color="000000"/>
          <w:bottom w:val="none" w:sz="4" w:space="0" w:color="000000"/>
          <w:right w:val="none" w:sz="4" w:space="0" w:color="000000"/>
        </w:pBdr>
        <w:tabs>
          <w:tab w:val="left" w:pos="884"/>
          <w:tab w:val="left" w:pos="1196"/>
        </w:tabs>
        <w:rPr>
          <w:b/>
          <w:bCs/>
          <w:sz w:val="24"/>
          <w:szCs w:val="24"/>
          <w:lang w:val="ro-RO"/>
        </w:rPr>
      </w:pPr>
    </w:p>
    <w:p w14:paraId="0FF27363" w14:textId="77777777" w:rsidR="003B2E17" w:rsidRPr="008E22A6" w:rsidRDefault="003B2E17" w:rsidP="005535FB">
      <w:pPr>
        <w:pBdr>
          <w:top w:val="none" w:sz="4" w:space="0" w:color="000000"/>
          <w:left w:val="none" w:sz="4" w:space="0" w:color="000000"/>
          <w:bottom w:val="none" w:sz="4" w:space="0" w:color="000000"/>
          <w:right w:val="none" w:sz="4" w:space="0" w:color="000000"/>
        </w:pBdr>
        <w:tabs>
          <w:tab w:val="left" w:pos="884"/>
          <w:tab w:val="left" w:pos="1196"/>
        </w:tabs>
        <w:rPr>
          <w:b/>
          <w:bCs/>
          <w:sz w:val="24"/>
          <w:szCs w:val="24"/>
          <w:lang w:val="ro-RO"/>
        </w:rPr>
      </w:pPr>
    </w:p>
    <w:p w14:paraId="6C5979B8" w14:textId="4880CFE0" w:rsidR="008B4BE6" w:rsidRPr="008E22A6" w:rsidRDefault="00D2564E" w:rsidP="00D2564E">
      <w:pPr>
        <w:pBdr>
          <w:top w:val="none" w:sz="4" w:space="0" w:color="000000"/>
          <w:left w:val="none" w:sz="4" w:space="0" w:color="000000"/>
          <w:bottom w:val="none" w:sz="4" w:space="0" w:color="000000"/>
          <w:right w:val="none" w:sz="4" w:space="0" w:color="000000"/>
        </w:pBdr>
        <w:tabs>
          <w:tab w:val="left" w:pos="0"/>
        </w:tabs>
        <w:ind w:firstLine="0"/>
        <w:jc w:val="center"/>
        <w:rPr>
          <w:b/>
          <w:bCs/>
          <w:sz w:val="32"/>
          <w:szCs w:val="32"/>
          <w:lang w:val="ro-RO"/>
        </w:rPr>
      </w:pPr>
      <w:r w:rsidRPr="008E22A6">
        <w:rPr>
          <w:b/>
          <w:bCs/>
          <w:sz w:val="32"/>
          <w:szCs w:val="32"/>
          <w:lang w:val="ro-RO"/>
        </w:rPr>
        <w:t>Ministru                                                               Gheorghe HAJDER</w:t>
      </w:r>
    </w:p>
    <w:p w14:paraId="32AA5AC8" w14:textId="77777777" w:rsidR="003B2E17" w:rsidRPr="008E22A6" w:rsidRDefault="003B2E17" w:rsidP="00D2564E">
      <w:pPr>
        <w:rPr>
          <w:b/>
          <w:bCs/>
          <w:sz w:val="32"/>
          <w:szCs w:val="32"/>
          <w:lang w:val="ro-RO"/>
        </w:rPr>
      </w:pPr>
    </w:p>
    <w:p w14:paraId="35525FDF" w14:textId="77777777" w:rsidR="003B2E17" w:rsidRPr="008E22A6" w:rsidRDefault="003B2E17" w:rsidP="00D2564E">
      <w:pPr>
        <w:rPr>
          <w:b/>
          <w:bCs/>
          <w:sz w:val="32"/>
          <w:szCs w:val="32"/>
          <w:lang w:val="ro-RO"/>
        </w:rPr>
      </w:pPr>
    </w:p>
    <w:p w14:paraId="289E7C3A" w14:textId="319E759C" w:rsidR="00D2564E" w:rsidRPr="008E22A6" w:rsidRDefault="00D2564E" w:rsidP="003C55AB">
      <w:pPr>
        <w:ind w:firstLine="142"/>
        <w:jc w:val="left"/>
        <w:rPr>
          <w:lang w:val="ro-RO"/>
        </w:rPr>
      </w:pPr>
      <w:r w:rsidRPr="008E22A6">
        <w:rPr>
          <w:lang w:val="ro-RO"/>
        </w:rPr>
        <w:t xml:space="preserve">Ex.: </w:t>
      </w:r>
      <w:r w:rsidR="003B2E17" w:rsidRPr="008E22A6">
        <w:rPr>
          <w:lang w:val="ro-RO"/>
        </w:rPr>
        <w:t>Adrian Scutelnic</w:t>
      </w:r>
    </w:p>
    <w:p w14:paraId="631078C9" w14:textId="5AE1FB11" w:rsidR="00D2564E" w:rsidRPr="008E22A6" w:rsidRDefault="00D2564E" w:rsidP="003C55AB">
      <w:pPr>
        <w:ind w:firstLine="142"/>
        <w:jc w:val="left"/>
        <w:rPr>
          <w:lang w:val="ro-RO"/>
        </w:rPr>
      </w:pPr>
      <w:r w:rsidRPr="008E22A6">
        <w:rPr>
          <w:lang w:val="ro-RO"/>
        </w:rPr>
        <w:t xml:space="preserve">e-mail: </w:t>
      </w:r>
      <w:r w:rsidR="003B2E17" w:rsidRPr="008E22A6">
        <w:rPr>
          <w:lang w:val="ro-RO"/>
        </w:rPr>
        <w:t>adrian</w:t>
      </w:r>
      <w:r w:rsidRPr="008E22A6">
        <w:rPr>
          <w:lang w:val="ro-RO"/>
        </w:rPr>
        <w:t>.</w:t>
      </w:r>
      <w:r w:rsidR="003B2E17" w:rsidRPr="008E22A6">
        <w:rPr>
          <w:lang w:val="ro-RO"/>
        </w:rPr>
        <w:t>scutelnic</w:t>
      </w:r>
      <w:r w:rsidRPr="008E22A6">
        <w:rPr>
          <w:lang w:val="ro-RO"/>
        </w:rPr>
        <w:t>@mediu.gov.md</w:t>
      </w:r>
    </w:p>
    <w:p w14:paraId="158A5AC7" w14:textId="6BBAE141" w:rsidR="00D2564E" w:rsidRPr="008E22A6" w:rsidRDefault="00D2564E" w:rsidP="003C55AB">
      <w:pPr>
        <w:ind w:firstLine="142"/>
        <w:jc w:val="left"/>
        <w:rPr>
          <w:lang w:val="ro-RO"/>
        </w:rPr>
      </w:pPr>
      <w:r w:rsidRPr="008E22A6">
        <w:rPr>
          <w:lang w:val="ro-RO"/>
        </w:rPr>
        <w:t xml:space="preserve">tel. 022 204 </w:t>
      </w:r>
      <w:r w:rsidR="003B2E17" w:rsidRPr="008E22A6">
        <w:rPr>
          <w:lang w:val="ro-RO"/>
        </w:rPr>
        <w:t>573</w:t>
      </w:r>
    </w:p>
    <w:sectPr w:rsidR="00D2564E" w:rsidRPr="008E22A6" w:rsidSect="00DE009A">
      <w:headerReference w:type="default" r:id="rId12"/>
      <w:headerReference w:type="first" r:id="rId13"/>
      <w:pgSz w:w="11907" w:h="16840"/>
      <w:pgMar w:top="851"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A6F6" w14:textId="77777777" w:rsidR="00AB240C" w:rsidRDefault="00AB240C">
      <w:r>
        <w:separator/>
      </w:r>
    </w:p>
  </w:endnote>
  <w:endnote w:type="continuationSeparator" w:id="0">
    <w:p w14:paraId="2F5BE4AF" w14:textId="77777777" w:rsidR="00AB240C" w:rsidRDefault="00AB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D961" w14:textId="77777777" w:rsidR="00AB240C" w:rsidRDefault="00AB240C">
      <w:r>
        <w:separator/>
      </w:r>
    </w:p>
  </w:footnote>
  <w:footnote w:type="continuationSeparator" w:id="0">
    <w:p w14:paraId="75B4EFDD" w14:textId="77777777" w:rsidR="00AB240C" w:rsidRDefault="00AB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28D"/>
    <w:multiLevelType w:val="hybridMultilevel"/>
    <w:tmpl w:val="D7CE8D8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3D78"/>
    <w:multiLevelType w:val="hybridMultilevel"/>
    <w:tmpl w:val="19B0DF62"/>
    <w:lvl w:ilvl="0" w:tplc="7CCE78B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6585651"/>
    <w:multiLevelType w:val="hybridMultilevel"/>
    <w:tmpl w:val="C9D20792"/>
    <w:lvl w:ilvl="0" w:tplc="9404024E">
      <w:start w:val="2030"/>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7"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B4A0E"/>
    <w:multiLevelType w:val="hybridMultilevel"/>
    <w:tmpl w:val="AB9AB052"/>
    <w:lvl w:ilvl="0" w:tplc="0418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0"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1"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2"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3"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4" w15:restartNumberingAfterBreak="0">
    <w:nsid w:val="28411053"/>
    <w:multiLevelType w:val="hybridMultilevel"/>
    <w:tmpl w:val="E25C61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7"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0"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1" w15:restartNumberingAfterBreak="0">
    <w:nsid w:val="361F7B83"/>
    <w:multiLevelType w:val="hybridMultilevel"/>
    <w:tmpl w:val="53F656B4"/>
    <w:lvl w:ilvl="0" w:tplc="9404024E">
      <w:start w:val="203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3" w15:restartNumberingAfterBreak="0">
    <w:nsid w:val="3E9937FF"/>
    <w:multiLevelType w:val="hybridMultilevel"/>
    <w:tmpl w:val="F32EEA38"/>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5"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6"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7"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9"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0"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1"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2"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3"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4"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5"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6"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7"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8"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9"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0"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2"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3"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4"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5" w15:restartNumberingAfterBreak="0">
    <w:nsid w:val="6ACD1A87"/>
    <w:multiLevelType w:val="hybridMultilevel"/>
    <w:tmpl w:val="D45209FA"/>
    <w:lvl w:ilvl="0" w:tplc="9404024E">
      <w:start w:val="2030"/>
      <w:numFmt w:val="bullet"/>
      <w:lvlText w:val="-"/>
      <w:lvlJc w:val="left"/>
      <w:pPr>
        <w:ind w:left="1429" w:hanging="360"/>
      </w:pPr>
      <w:rPr>
        <w:rFonts w:ascii="Times New Roman" w:eastAsia="Calibr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6"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7"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9"/>
  </w:num>
  <w:num w:numId="2" w16cid:durableId="1323851714">
    <w:abstractNumId w:val="41"/>
  </w:num>
  <w:num w:numId="3" w16cid:durableId="594750452">
    <w:abstractNumId w:val="19"/>
  </w:num>
  <w:num w:numId="4" w16cid:durableId="1526989174">
    <w:abstractNumId w:val="34"/>
  </w:num>
  <w:num w:numId="5" w16cid:durableId="925456384">
    <w:abstractNumId w:val="22"/>
  </w:num>
  <w:num w:numId="6" w16cid:durableId="663360110">
    <w:abstractNumId w:val="16"/>
  </w:num>
  <w:num w:numId="7" w16cid:durableId="1853182272">
    <w:abstractNumId w:val="9"/>
  </w:num>
  <w:num w:numId="8" w16cid:durableId="1993874537">
    <w:abstractNumId w:val="10"/>
  </w:num>
  <w:num w:numId="9" w16cid:durableId="1640304103">
    <w:abstractNumId w:val="31"/>
  </w:num>
  <w:num w:numId="10" w16cid:durableId="1302880857">
    <w:abstractNumId w:val="5"/>
  </w:num>
  <w:num w:numId="11" w16cid:durableId="1470592266">
    <w:abstractNumId w:val="30"/>
  </w:num>
  <w:num w:numId="12" w16cid:durableId="457839630">
    <w:abstractNumId w:val="4"/>
  </w:num>
  <w:num w:numId="13" w16cid:durableId="1020930612">
    <w:abstractNumId w:val="43"/>
  </w:num>
  <w:num w:numId="14" w16cid:durableId="1878009290">
    <w:abstractNumId w:val="24"/>
  </w:num>
  <w:num w:numId="15" w16cid:durableId="2117209104">
    <w:abstractNumId w:val="25"/>
  </w:num>
  <w:num w:numId="16" w16cid:durableId="1952779917">
    <w:abstractNumId w:val="38"/>
  </w:num>
  <w:num w:numId="17" w16cid:durableId="1408574950">
    <w:abstractNumId w:val="35"/>
  </w:num>
  <w:num w:numId="18" w16cid:durableId="1968923309">
    <w:abstractNumId w:val="29"/>
  </w:num>
  <w:num w:numId="19" w16cid:durableId="1667633368">
    <w:abstractNumId w:val="26"/>
  </w:num>
  <w:num w:numId="20" w16cid:durableId="8794587">
    <w:abstractNumId w:val="12"/>
  </w:num>
  <w:num w:numId="21" w16cid:durableId="2065106446">
    <w:abstractNumId w:val="37"/>
  </w:num>
  <w:num w:numId="22" w16cid:durableId="1469712425">
    <w:abstractNumId w:val="7"/>
  </w:num>
  <w:num w:numId="23" w16cid:durableId="297998034">
    <w:abstractNumId w:val="18"/>
  </w:num>
  <w:num w:numId="24" w16cid:durableId="1812210843">
    <w:abstractNumId w:val="15"/>
  </w:num>
  <w:num w:numId="25" w16cid:durableId="904296324">
    <w:abstractNumId w:val="27"/>
  </w:num>
  <w:num w:numId="26" w16cid:durableId="1167862662">
    <w:abstractNumId w:val="40"/>
  </w:num>
  <w:num w:numId="27" w16cid:durableId="909340302">
    <w:abstractNumId w:val="32"/>
  </w:num>
  <w:num w:numId="28" w16cid:durableId="1701055366">
    <w:abstractNumId w:val="46"/>
    <w:lvlOverride w:ilvl="0">
      <w:startOverride w:val="1"/>
    </w:lvlOverride>
  </w:num>
  <w:num w:numId="29" w16cid:durableId="1770079760">
    <w:abstractNumId w:val="28"/>
  </w:num>
  <w:num w:numId="30" w16cid:durableId="47340274">
    <w:abstractNumId w:val="11"/>
  </w:num>
  <w:num w:numId="31" w16cid:durableId="1170103769">
    <w:abstractNumId w:val="44"/>
  </w:num>
  <w:num w:numId="32" w16cid:durableId="1871456820">
    <w:abstractNumId w:val="46"/>
  </w:num>
  <w:num w:numId="33" w16cid:durableId="1356421649">
    <w:abstractNumId w:val="17"/>
  </w:num>
  <w:num w:numId="34" w16cid:durableId="1922399981">
    <w:abstractNumId w:val="48"/>
  </w:num>
  <w:num w:numId="35" w16cid:durableId="979916733">
    <w:abstractNumId w:val="47"/>
  </w:num>
  <w:num w:numId="36" w16cid:durableId="297344932">
    <w:abstractNumId w:val="1"/>
  </w:num>
  <w:num w:numId="37" w16cid:durableId="852719779">
    <w:abstractNumId w:val="13"/>
  </w:num>
  <w:num w:numId="38" w16cid:durableId="791940004">
    <w:abstractNumId w:val="36"/>
  </w:num>
  <w:num w:numId="39" w16cid:durableId="2068449498">
    <w:abstractNumId w:val="20"/>
  </w:num>
  <w:num w:numId="40" w16cid:durableId="1771198625">
    <w:abstractNumId w:val="42"/>
  </w:num>
  <w:num w:numId="41" w16cid:durableId="1472093176">
    <w:abstractNumId w:val="33"/>
  </w:num>
  <w:num w:numId="42" w16cid:durableId="1429962546">
    <w:abstractNumId w:val="3"/>
  </w:num>
  <w:num w:numId="43" w16cid:durableId="2093620381">
    <w:abstractNumId w:val="49"/>
  </w:num>
  <w:num w:numId="44" w16cid:durableId="1718747816">
    <w:abstractNumId w:val="0"/>
  </w:num>
  <w:num w:numId="45" w16cid:durableId="750470323">
    <w:abstractNumId w:val="2"/>
  </w:num>
  <w:num w:numId="46" w16cid:durableId="1021856551">
    <w:abstractNumId w:val="8"/>
  </w:num>
  <w:num w:numId="47" w16cid:durableId="18434808">
    <w:abstractNumId w:val="23"/>
  </w:num>
  <w:num w:numId="48" w16cid:durableId="1530070322">
    <w:abstractNumId w:val="14"/>
  </w:num>
  <w:num w:numId="49" w16cid:durableId="2015182433">
    <w:abstractNumId w:val="6"/>
  </w:num>
  <w:num w:numId="50" w16cid:durableId="2011717752">
    <w:abstractNumId w:val="21"/>
  </w:num>
  <w:num w:numId="51" w16cid:durableId="50837669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91BED"/>
    <w:rsid w:val="00093096"/>
    <w:rsid w:val="000A6BA5"/>
    <w:rsid w:val="000B3D87"/>
    <w:rsid w:val="000B50EE"/>
    <w:rsid w:val="000C041B"/>
    <w:rsid w:val="000C2AB4"/>
    <w:rsid w:val="000D35C8"/>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5D14"/>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27AD"/>
    <w:rsid w:val="00385A36"/>
    <w:rsid w:val="00385C9B"/>
    <w:rsid w:val="003872BA"/>
    <w:rsid w:val="00387D77"/>
    <w:rsid w:val="003922EF"/>
    <w:rsid w:val="00394A57"/>
    <w:rsid w:val="00397415"/>
    <w:rsid w:val="003A2CB2"/>
    <w:rsid w:val="003A4D1C"/>
    <w:rsid w:val="003B257A"/>
    <w:rsid w:val="003B2E17"/>
    <w:rsid w:val="003B7521"/>
    <w:rsid w:val="003B79A8"/>
    <w:rsid w:val="003C0C4D"/>
    <w:rsid w:val="003C11CC"/>
    <w:rsid w:val="003C3DB4"/>
    <w:rsid w:val="003C3EB9"/>
    <w:rsid w:val="003C55AB"/>
    <w:rsid w:val="003D39E8"/>
    <w:rsid w:val="003D5E8B"/>
    <w:rsid w:val="003E3748"/>
    <w:rsid w:val="003E4DA7"/>
    <w:rsid w:val="003F0CD8"/>
    <w:rsid w:val="003F4F94"/>
    <w:rsid w:val="00405019"/>
    <w:rsid w:val="0040673B"/>
    <w:rsid w:val="00406BA9"/>
    <w:rsid w:val="00410C9A"/>
    <w:rsid w:val="00421AB5"/>
    <w:rsid w:val="00424212"/>
    <w:rsid w:val="00424CF9"/>
    <w:rsid w:val="0043208D"/>
    <w:rsid w:val="004333B4"/>
    <w:rsid w:val="00434203"/>
    <w:rsid w:val="0044061F"/>
    <w:rsid w:val="00452C3E"/>
    <w:rsid w:val="00452C6C"/>
    <w:rsid w:val="0045451B"/>
    <w:rsid w:val="00464294"/>
    <w:rsid w:val="004735CE"/>
    <w:rsid w:val="00474658"/>
    <w:rsid w:val="0047797E"/>
    <w:rsid w:val="00497F06"/>
    <w:rsid w:val="004A3757"/>
    <w:rsid w:val="004B1283"/>
    <w:rsid w:val="004C6034"/>
    <w:rsid w:val="004C73E9"/>
    <w:rsid w:val="004D3941"/>
    <w:rsid w:val="004E2421"/>
    <w:rsid w:val="004E27BC"/>
    <w:rsid w:val="004E5CCB"/>
    <w:rsid w:val="004E6489"/>
    <w:rsid w:val="004E6662"/>
    <w:rsid w:val="004F568A"/>
    <w:rsid w:val="005020EC"/>
    <w:rsid w:val="00516555"/>
    <w:rsid w:val="005256CF"/>
    <w:rsid w:val="00537FD8"/>
    <w:rsid w:val="00542C43"/>
    <w:rsid w:val="00551299"/>
    <w:rsid w:val="005535FB"/>
    <w:rsid w:val="00555DF5"/>
    <w:rsid w:val="0055798F"/>
    <w:rsid w:val="00572006"/>
    <w:rsid w:val="00573E74"/>
    <w:rsid w:val="0057790F"/>
    <w:rsid w:val="005821E5"/>
    <w:rsid w:val="00582470"/>
    <w:rsid w:val="00594DE5"/>
    <w:rsid w:val="005A12D7"/>
    <w:rsid w:val="005A236C"/>
    <w:rsid w:val="005A29D6"/>
    <w:rsid w:val="005B0C92"/>
    <w:rsid w:val="005B7E20"/>
    <w:rsid w:val="005C1D42"/>
    <w:rsid w:val="005C412B"/>
    <w:rsid w:val="005C4835"/>
    <w:rsid w:val="005C5A53"/>
    <w:rsid w:val="005C7769"/>
    <w:rsid w:val="005D5F1D"/>
    <w:rsid w:val="005E1B64"/>
    <w:rsid w:val="005E37E8"/>
    <w:rsid w:val="005F0F53"/>
    <w:rsid w:val="005F584A"/>
    <w:rsid w:val="00602CC4"/>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87052"/>
    <w:rsid w:val="00691790"/>
    <w:rsid w:val="006933C3"/>
    <w:rsid w:val="0069530C"/>
    <w:rsid w:val="006956E6"/>
    <w:rsid w:val="00697045"/>
    <w:rsid w:val="006A27BD"/>
    <w:rsid w:val="006A337B"/>
    <w:rsid w:val="006A4E08"/>
    <w:rsid w:val="006A57D6"/>
    <w:rsid w:val="006A58BC"/>
    <w:rsid w:val="006B3119"/>
    <w:rsid w:val="006C40C7"/>
    <w:rsid w:val="006D3EB7"/>
    <w:rsid w:val="006D7B49"/>
    <w:rsid w:val="006D7CCA"/>
    <w:rsid w:val="006E0A2E"/>
    <w:rsid w:val="006E1269"/>
    <w:rsid w:val="006E58E7"/>
    <w:rsid w:val="006E7D38"/>
    <w:rsid w:val="006F0870"/>
    <w:rsid w:val="006F43CA"/>
    <w:rsid w:val="006F7EF4"/>
    <w:rsid w:val="007026DD"/>
    <w:rsid w:val="00702770"/>
    <w:rsid w:val="0070387B"/>
    <w:rsid w:val="00703FCE"/>
    <w:rsid w:val="00707B68"/>
    <w:rsid w:val="007126C4"/>
    <w:rsid w:val="007258CF"/>
    <w:rsid w:val="00737731"/>
    <w:rsid w:val="00740210"/>
    <w:rsid w:val="007411D5"/>
    <w:rsid w:val="00756648"/>
    <w:rsid w:val="0076561C"/>
    <w:rsid w:val="007724CE"/>
    <w:rsid w:val="00780C21"/>
    <w:rsid w:val="0079167D"/>
    <w:rsid w:val="007A0931"/>
    <w:rsid w:val="007A4309"/>
    <w:rsid w:val="007B627D"/>
    <w:rsid w:val="007B6E7F"/>
    <w:rsid w:val="007C53A1"/>
    <w:rsid w:val="007C58BD"/>
    <w:rsid w:val="007C5D4B"/>
    <w:rsid w:val="007D00B1"/>
    <w:rsid w:val="007D0E36"/>
    <w:rsid w:val="007D7FA9"/>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10BA"/>
    <w:rsid w:val="0087296A"/>
    <w:rsid w:val="00876262"/>
    <w:rsid w:val="00891049"/>
    <w:rsid w:val="00897403"/>
    <w:rsid w:val="008A40C0"/>
    <w:rsid w:val="008A5923"/>
    <w:rsid w:val="008B1120"/>
    <w:rsid w:val="008B1AA1"/>
    <w:rsid w:val="008B1BFF"/>
    <w:rsid w:val="008B4BE6"/>
    <w:rsid w:val="008C1194"/>
    <w:rsid w:val="008C2DD5"/>
    <w:rsid w:val="008E22A6"/>
    <w:rsid w:val="008E4D23"/>
    <w:rsid w:val="008F12A1"/>
    <w:rsid w:val="008F3624"/>
    <w:rsid w:val="008F73D1"/>
    <w:rsid w:val="008F7485"/>
    <w:rsid w:val="009002CA"/>
    <w:rsid w:val="00903AF9"/>
    <w:rsid w:val="0090579F"/>
    <w:rsid w:val="009143C9"/>
    <w:rsid w:val="00915A40"/>
    <w:rsid w:val="009201C9"/>
    <w:rsid w:val="00930424"/>
    <w:rsid w:val="00942BCB"/>
    <w:rsid w:val="00942F03"/>
    <w:rsid w:val="009435C6"/>
    <w:rsid w:val="009511E1"/>
    <w:rsid w:val="00951F15"/>
    <w:rsid w:val="00953155"/>
    <w:rsid w:val="00961B81"/>
    <w:rsid w:val="00962ED5"/>
    <w:rsid w:val="00963B69"/>
    <w:rsid w:val="00971561"/>
    <w:rsid w:val="009761DA"/>
    <w:rsid w:val="0098084F"/>
    <w:rsid w:val="009858FE"/>
    <w:rsid w:val="009860EA"/>
    <w:rsid w:val="00990719"/>
    <w:rsid w:val="0099315C"/>
    <w:rsid w:val="009A4C14"/>
    <w:rsid w:val="009C02E5"/>
    <w:rsid w:val="009C0E0E"/>
    <w:rsid w:val="009C26E3"/>
    <w:rsid w:val="009C6DD1"/>
    <w:rsid w:val="009C7CD6"/>
    <w:rsid w:val="009D2789"/>
    <w:rsid w:val="009D4C0F"/>
    <w:rsid w:val="009D7C44"/>
    <w:rsid w:val="009E7B86"/>
    <w:rsid w:val="009F293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560A0"/>
    <w:rsid w:val="00A60B97"/>
    <w:rsid w:val="00A71E51"/>
    <w:rsid w:val="00A764E4"/>
    <w:rsid w:val="00A77F56"/>
    <w:rsid w:val="00A92C52"/>
    <w:rsid w:val="00A954D1"/>
    <w:rsid w:val="00A95A2D"/>
    <w:rsid w:val="00A97013"/>
    <w:rsid w:val="00AA34B1"/>
    <w:rsid w:val="00AA719D"/>
    <w:rsid w:val="00AB06B2"/>
    <w:rsid w:val="00AB1C3D"/>
    <w:rsid w:val="00AB240C"/>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52C94"/>
    <w:rsid w:val="00B6145A"/>
    <w:rsid w:val="00B61570"/>
    <w:rsid w:val="00B6585E"/>
    <w:rsid w:val="00B72578"/>
    <w:rsid w:val="00B744FB"/>
    <w:rsid w:val="00B7456F"/>
    <w:rsid w:val="00B773B4"/>
    <w:rsid w:val="00B8442D"/>
    <w:rsid w:val="00B84A8E"/>
    <w:rsid w:val="00B85252"/>
    <w:rsid w:val="00B92D67"/>
    <w:rsid w:val="00B9396E"/>
    <w:rsid w:val="00B952D8"/>
    <w:rsid w:val="00B9615A"/>
    <w:rsid w:val="00BA1CBE"/>
    <w:rsid w:val="00BA3831"/>
    <w:rsid w:val="00BA500B"/>
    <w:rsid w:val="00BA5B5B"/>
    <w:rsid w:val="00BB008B"/>
    <w:rsid w:val="00BB0093"/>
    <w:rsid w:val="00BB2181"/>
    <w:rsid w:val="00BB2C72"/>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AF5"/>
    <w:rsid w:val="00CD3E6A"/>
    <w:rsid w:val="00CE190D"/>
    <w:rsid w:val="00CE1C4A"/>
    <w:rsid w:val="00CE224F"/>
    <w:rsid w:val="00CF1BF6"/>
    <w:rsid w:val="00CF6CCE"/>
    <w:rsid w:val="00D00C36"/>
    <w:rsid w:val="00D0145D"/>
    <w:rsid w:val="00D02424"/>
    <w:rsid w:val="00D07A16"/>
    <w:rsid w:val="00D12DE0"/>
    <w:rsid w:val="00D14E81"/>
    <w:rsid w:val="00D1647F"/>
    <w:rsid w:val="00D16C96"/>
    <w:rsid w:val="00D20F95"/>
    <w:rsid w:val="00D2470F"/>
    <w:rsid w:val="00D2564E"/>
    <w:rsid w:val="00D25FB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09A"/>
    <w:rsid w:val="00DE06EE"/>
    <w:rsid w:val="00DF0141"/>
    <w:rsid w:val="00DF0807"/>
    <w:rsid w:val="00DF513B"/>
    <w:rsid w:val="00DF71E8"/>
    <w:rsid w:val="00E0352C"/>
    <w:rsid w:val="00E07BB2"/>
    <w:rsid w:val="00E11E1A"/>
    <w:rsid w:val="00E12C95"/>
    <w:rsid w:val="00E14566"/>
    <w:rsid w:val="00E14911"/>
    <w:rsid w:val="00E20C1B"/>
    <w:rsid w:val="00E22660"/>
    <w:rsid w:val="00E232E0"/>
    <w:rsid w:val="00E23A5B"/>
    <w:rsid w:val="00E3030C"/>
    <w:rsid w:val="00E32EAF"/>
    <w:rsid w:val="00E34BF8"/>
    <w:rsid w:val="00E431CA"/>
    <w:rsid w:val="00E44F7F"/>
    <w:rsid w:val="00E50CC8"/>
    <w:rsid w:val="00E51FE8"/>
    <w:rsid w:val="00E5244F"/>
    <w:rsid w:val="00E53E29"/>
    <w:rsid w:val="00E55E57"/>
    <w:rsid w:val="00E56249"/>
    <w:rsid w:val="00E67ACE"/>
    <w:rsid w:val="00E67BA7"/>
    <w:rsid w:val="00E70D09"/>
    <w:rsid w:val="00E757FD"/>
    <w:rsid w:val="00E84140"/>
    <w:rsid w:val="00E93D69"/>
    <w:rsid w:val="00E9499C"/>
    <w:rsid w:val="00E94FA8"/>
    <w:rsid w:val="00EA06D2"/>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2380"/>
    <w:rsid w:val="00F3677E"/>
    <w:rsid w:val="00F376E3"/>
    <w:rsid w:val="00F37ED4"/>
    <w:rsid w:val="00F40A46"/>
    <w:rsid w:val="00F41D12"/>
    <w:rsid w:val="00F45235"/>
    <w:rsid w:val="00F50B3C"/>
    <w:rsid w:val="00F5592A"/>
    <w:rsid w:val="00F57E9D"/>
    <w:rsid w:val="00F60B3D"/>
    <w:rsid w:val="00F66E1A"/>
    <w:rsid w:val="00F71E37"/>
    <w:rsid w:val="00F71EBB"/>
    <w:rsid w:val="00F728DA"/>
    <w:rsid w:val="00F8554D"/>
    <w:rsid w:val="00FA29A9"/>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4C7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90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5</Pages>
  <Words>2794</Words>
  <Characters>16209</Characters>
  <Application>Microsoft Office Word</Application>
  <DocSecurity>0</DocSecurity>
  <Lines>135</Lines>
  <Paragraphs>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în domeniul forestier și cinegetic</cp:lastModifiedBy>
  <cp:revision>72</cp:revision>
  <cp:lastPrinted>2024-03-11T11:21:00Z</cp:lastPrinted>
  <dcterms:created xsi:type="dcterms:W3CDTF">2024-03-25T08:15:00Z</dcterms:created>
  <dcterms:modified xsi:type="dcterms:W3CDTF">2026-02-20T07:17:00Z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