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theme/themeOverride1.xml" ContentType="application/vnd.openxmlformats-officedocument.themeOverride+xml"/>
  <Override PartName="/word/charts/chart15.xml" ContentType="application/vnd.openxmlformats-officedocument.drawingml.chart+xml"/>
  <Override PartName="/word/theme/themeOverride2.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8.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9.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0.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1.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2.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3.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4.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5.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6.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7.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8.xml" ContentType="application/vnd.openxmlformats-officedocument.drawingml.chart+xml"/>
  <Override PartName="/word/charts/style46.xml" ContentType="application/vnd.ms-office.chartstyle+xml"/>
  <Override PartName="/word/charts/colors4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4975378" w:displacedByCustomXml="next"/>
    <w:bookmarkEnd w:id="0" w:displacedByCustomXml="next"/>
    <w:bookmarkStart w:id="1" w:name="OLE_LINK1" w:displacedByCustomXml="next"/>
    <w:sdt>
      <w:sdtPr>
        <w:rPr>
          <w:rFonts w:ascii="Times New Roman" w:eastAsia="Times New Roman" w:hAnsi="Times New Roman" w:cs="Times New Roman"/>
          <w:b w:val="0"/>
          <w:caps w:val="0"/>
          <w:color w:val="auto"/>
          <w:spacing w:val="0"/>
          <w:kern w:val="0"/>
          <w:sz w:val="24"/>
          <w:szCs w:val="24"/>
          <w:lang w:eastAsia="en-GB"/>
        </w:rPr>
        <w:id w:val="1186711873"/>
        <w:docPartObj>
          <w:docPartGallery w:val="Cover Pages"/>
          <w:docPartUnique/>
        </w:docPartObj>
      </w:sdtPr>
      <w:sdtContent>
        <w:p w14:paraId="2AF39562" w14:textId="2630D5F9" w:rsidR="00A52A76" w:rsidRPr="00CD2ADD" w:rsidRDefault="00A52A76" w:rsidP="0011496F">
          <w:pPr>
            <w:pStyle w:val="PersonalName"/>
            <w:jc w:val="right"/>
            <w:rPr>
              <w:rFonts w:ascii="Times New Roman" w:hAnsi="Times New Roman" w:cs="Times New Roman"/>
              <w:b w:val="0"/>
              <w:bCs/>
              <w:i/>
              <w:iCs/>
              <w:sz w:val="24"/>
              <w:szCs w:val="24"/>
            </w:rPr>
          </w:pPr>
          <w:r w:rsidRPr="00CD2ADD">
            <w:rPr>
              <w:rFonts w:ascii="Times New Roman" w:hAnsi="Times New Roman" w:cs="Times New Roman"/>
              <w:b w:val="0"/>
              <w:bCs/>
              <w:i/>
              <w:iCs/>
              <w:caps w:val="0"/>
              <w:sz w:val="24"/>
              <w:szCs w:val="24"/>
            </w:rPr>
            <w:t>Proiect</w:t>
          </w:r>
        </w:p>
        <w:p w14:paraId="63C09A05" w14:textId="5C14F478" w:rsidR="00C63F27" w:rsidRPr="00CD2ADD" w:rsidRDefault="00C63F27" w:rsidP="00D76F0C">
          <w:pPr>
            <w:pStyle w:val="p1"/>
            <w:jc w:val="center"/>
            <w:rPr>
              <w:b/>
              <w:bCs/>
              <w:sz w:val="24"/>
              <w:szCs w:val="24"/>
            </w:rPr>
          </w:pPr>
          <w:r w:rsidRPr="00CD2ADD">
            <w:rPr>
              <w:b/>
              <w:bCs/>
              <w:sz w:val="24"/>
              <w:szCs w:val="24"/>
            </w:rPr>
            <w:t>GUVERNUL REPUBLICII MOLDOVA</w:t>
          </w:r>
        </w:p>
        <w:p w14:paraId="4B30B7DC" w14:textId="77777777" w:rsidR="002C0B9F" w:rsidRPr="00CD2ADD" w:rsidRDefault="002C0B9F" w:rsidP="00D76F0C">
          <w:pPr>
            <w:pStyle w:val="p1"/>
            <w:jc w:val="center"/>
            <w:rPr>
              <w:sz w:val="24"/>
              <w:szCs w:val="24"/>
            </w:rPr>
          </w:pPr>
        </w:p>
        <w:p w14:paraId="6EE18B81" w14:textId="77777777" w:rsidR="00C63F27" w:rsidRPr="00CD2ADD" w:rsidRDefault="00C63F27" w:rsidP="00D76F0C">
          <w:pPr>
            <w:pStyle w:val="p1"/>
            <w:jc w:val="center"/>
            <w:rPr>
              <w:b/>
              <w:bCs/>
              <w:sz w:val="24"/>
              <w:szCs w:val="24"/>
            </w:rPr>
          </w:pPr>
          <w:r w:rsidRPr="00CD2ADD">
            <w:rPr>
              <w:rStyle w:val="Heading1Char"/>
              <w:rFonts w:ascii="Times New Roman" w:hAnsi="Times New Roman" w:cs="Times New Roman"/>
              <w:b/>
              <w:bCs w:val="0"/>
              <w:color w:val="000000" w:themeColor="text1"/>
              <w:sz w:val="24"/>
              <w:szCs w:val="24"/>
            </w:rPr>
            <w:t xml:space="preserve">HOTĂRÂRE </w:t>
          </w:r>
          <w:r w:rsidRPr="00CD2ADD">
            <w:rPr>
              <w:b/>
              <w:bCs/>
              <w:sz w:val="24"/>
              <w:szCs w:val="24"/>
            </w:rPr>
            <w:t>nr. ____</w:t>
          </w:r>
        </w:p>
        <w:p w14:paraId="52E772B9" w14:textId="77777777" w:rsidR="002C0B9F" w:rsidRPr="00CD2ADD" w:rsidRDefault="002C0B9F" w:rsidP="00D76F0C">
          <w:pPr>
            <w:pStyle w:val="p1"/>
            <w:jc w:val="center"/>
            <w:rPr>
              <w:sz w:val="24"/>
              <w:szCs w:val="24"/>
            </w:rPr>
          </w:pPr>
        </w:p>
        <w:p w14:paraId="5DB1BDF6" w14:textId="32D80266" w:rsidR="00C63F27" w:rsidRPr="00CD2ADD" w:rsidRDefault="00C63F27" w:rsidP="00D76F0C">
          <w:pPr>
            <w:pStyle w:val="p1"/>
            <w:jc w:val="center"/>
            <w:rPr>
              <w:sz w:val="24"/>
              <w:szCs w:val="24"/>
            </w:rPr>
          </w:pPr>
          <w:r w:rsidRPr="00CD2ADD">
            <w:rPr>
              <w:b/>
              <w:bCs/>
              <w:sz w:val="24"/>
              <w:szCs w:val="24"/>
            </w:rPr>
            <w:t>din _________________ 202</w:t>
          </w:r>
          <w:r w:rsidR="00595010">
            <w:rPr>
              <w:b/>
              <w:bCs/>
              <w:sz w:val="24"/>
              <w:szCs w:val="24"/>
            </w:rPr>
            <w:t>6</w:t>
          </w:r>
        </w:p>
        <w:p w14:paraId="06D16801" w14:textId="77777777" w:rsidR="00C63F27" w:rsidRPr="00CD2ADD" w:rsidRDefault="00C63F27" w:rsidP="00D76F0C">
          <w:pPr>
            <w:pStyle w:val="p1"/>
            <w:jc w:val="center"/>
            <w:rPr>
              <w:b/>
              <w:bCs/>
              <w:sz w:val="24"/>
              <w:szCs w:val="24"/>
            </w:rPr>
          </w:pPr>
          <w:r w:rsidRPr="00CD2ADD">
            <w:rPr>
              <w:b/>
              <w:bCs/>
              <w:sz w:val="24"/>
              <w:szCs w:val="24"/>
            </w:rPr>
            <w:t>Chișinău</w:t>
          </w:r>
        </w:p>
        <w:p w14:paraId="06AE0270" w14:textId="77777777" w:rsidR="002C0B9F" w:rsidRPr="00CD2ADD" w:rsidRDefault="002C0B9F" w:rsidP="00D76F0C">
          <w:pPr>
            <w:pStyle w:val="p1"/>
            <w:jc w:val="center"/>
            <w:rPr>
              <w:sz w:val="24"/>
              <w:szCs w:val="24"/>
            </w:rPr>
          </w:pPr>
        </w:p>
        <w:p w14:paraId="2E64E8F5" w14:textId="0D054614" w:rsidR="00C63F27" w:rsidRPr="00CD2ADD" w:rsidRDefault="00C63F27" w:rsidP="00F744AB">
          <w:pPr>
            <w:pStyle w:val="p1"/>
            <w:jc w:val="center"/>
            <w:rPr>
              <w:b/>
              <w:bCs/>
              <w:sz w:val="24"/>
              <w:szCs w:val="24"/>
            </w:rPr>
          </w:pPr>
          <w:r w:rsidRPr="00CD2ADD">
            <w:rPr>
              <w:b/>
              <w:bCs/>
              <w:sz w:val="24"/>
              <w:szCs w:val="24"/>
            </w:rPr>
            <w:t xml:space="preserve">cu privire la aprobarea Programului </w:t>
          </w:r>
          <w:r w:rsidR="00424090" w:rsidRPr="00CD2ADD">
            <w:rPr>
              <w:b/>
              <w:bCs/>
              <w:sz w:val="24"/>
              <w:szCs w:val="24"/>
            </w:rPr>
            <w:t>național</w:t>
          </w:r>
          <w:r w:rsidRPr="00CD2ADD">
            <w:rPr>
              <w:b/>
              <w:bCs/>
              <w:sz w:val="24"/>
              <w:szCs w:val="24"/>
            </w:rPr>
            <w:t xml:space="preserve"> de reducere a riscurilor de dezastre naturale</w:t>
          </w:r>
          <w:r w:rsidR="00F744AB">
            <w:rPr>
              <w:b/>
              <w:bCs/>
              <w:sz w:val="24"/>
              <w:szCs w:val="24"/>
            </w:rPr>
            <w:t xml:space="preserve"> </w:t>
          </w:r>
          <w:r w:rsidRPr="00CD2ADD">
            <w:rPr>
              <w:b/>
              <w:bCs/>
              <w:sz w:val="24"/>
              <w:szCs w:val="24"/>
            </w:rPr>
            <w:t>pentru anii 2026-2030</w:t>
          </w:r>
        </w:p>
        <w:p w14:paraId="075FAB31" w14:textId="77777777" w:rsidR="00C63F27" w:rsidRPr="00CD2ADD" w:rsidRDefault="00C63F27" w:rsidP="00C63F27">
          <w:pPr>
            <w:pStyle w:val="p1"/>
            <w:rPr>
              <w:b/>
              <w:bCs/>
              <w:sz w:val="24"/>
              <w:szCs w:val="24"/>
            </w:rPr>
          </w:pPr>
        </w:p>
        <w:p w14:paraId="326A2058" w14:textId="13AF6156" w:rsidR="00C63F27" w:rsidRPr="00CD2ADD" w:rsidRDefault="00C63F27" w:rsidP="002C0B9F">
          <w:pPr>
            <w:pStyle w:val="p1"/>
            <w:ind w:firstLine="360"/>
            <w:jc w:val="both"/>
            <w:rPr>
              <w:sz w:val="24"/>
              <w:szCs w:val="24"/>
            </w:rPr>
          </w:pPr>
          <w:r w:rsidRPr="00CD2ADD">
            <w:rPr>
              <w:sz w:val="24"/>
              <w:szCs w:val="24"/>
            </w:rPr>
            <w:t>În temeiul art. 5 lit. a) și art. 6 lit. h) din Legea nr. 136/2017 cu privire la</w:t>
          </w:r>
          <w:r w:rsidR="00D76F0C" w:rsidRPr="00CD2ADD">
            <w:rPr>
              <w:sz w:val="24"/>
              <w:szCs w:val="24"/>
            </w:rPr>
            <w:t xml:space="preserve"> </w:t>
          </w:r>
          <w:r w:rsidRPr="00CD2ADD">
            <w:rPr>
              <w:sz w:val="24"/>
              <w:szCs w:val="24"/>
            </w:rPr>
            <w:t>Guvern (Monitorul Oficial al</w:t>
          </w:r>
          <w:r w:rsidR="00D76F0C" w:rsidRPr="00CD2ADD">
            <w:rPr>
              <w:sz w:val="24"/>
              <w:szCs w:val="24"/>
            </w:rPr>
            <w:t xml:space="preserve"> </w:t>
          </w:r>
          <w:r w:rsidRPr="00CD2ADD">
            <w:rPr>
              <w:sz w:val="24"/>
              <w:szCs w:val="24"/>
            </w:rPr>
            <w:t>Republicii Moldova, 2017, nr. 252, art. 412), cu</w:t>
          </w:r>
          <w:r w:rsidR="00D76F0C" w:rsidRPr="00CD2ADD">
            <w:rPr>
              <w:sz w:val="24"/>
              <w:szCs w:val="24"/>
            </w:rPr>
            <w:t xml:space="preserve"> </w:t>
          </w:r>
          <w:r w:rsidRPr="00CD2ADD">
            <w:rPr>
              <w:sz w:val="24"/>
              <w:szCs w:val="24"/>
            </w:rPr>
            <w:t>modificările ulterioare, Guvernul HOTĂRĂȘTE:</w:t>
          </w:r>
        </w:p>
        <w:p w14:paraId="1BABACC2" w14:textId="1E224CE3" w:rsidR="00C63F27" w:rsidRPr="00CD2ADD" w:rsidRDefault="00C63F27" w:rsidP="002C0B9F">
          <w:pPr>
            <w:pStyle w:val="p1"/>
            <w:ind w:firstLine="360"/>
            <w:jc w:val="both"/>
            <w:rPr>
              <w:sz w:val="24"/>
              <w:szCs w:val="24"/>
            </w:rPr>
          </w:pPr>
          <w:r w:rsidRPr="00CD2ADD">
            <w:rPr>
              <w:b/>
              <w:bCs/>
              <w:sz w:val="24"/>
              <w:szCs w:val="24"/>
            </w:rPr>
            <w:t>1.</w:t>
          </w:r>
          <w:r w:rsidRPr="00CD2ADD">
            <w:rPr>
              <w:rStyle w:val="s1"/>
              <w:rFonts w:ascii="Times New Roman" w:eastAsiaTheme="majorEastAsia" w:hAnsi="Times New Roman" w:cs="Times New Roman"/>
              <w:b/>
              <w:bCs/>
              <w:sz w:val="24"/>
              <w:szCs w:val="24"/>
            </w:rPr>
            <w:t xml:space="preserve"> </w:t>
          </w:r>
          <w:r w:rsidRPr="00CD2ADD">
            <w:rPr>
              <w:sz w:val="24"/>
              <w:szCs w:val="24"/>
            </w:rPr>
            <w:t xml:space="preserve">Se aprobă Programul </w:t>
          </w:r>
          <w:r w:rsidR="00424090" w:rsidRPr="00CD2ADD">
            <w:rPr>
              <w:sz w:val="24"/>
              <w:szCs w:val="24"/>
            </w:rPr>
            <w:t>național</w:t>
          </w:r>
          <w:r w:rsidR="00D76F0C" w:rsidRPr="00CD2ADD">
            <w:rPr>
              <w:sz w:val="24"/>
              <w:szCs w:val="24"/>
            </w:rPr>
            <w:t xml:space="preserve"> de reducere a riscurilor de dezastre naturale</w:t>
          </w:r>
          <w:r w:rsidR="00921FCB" w:rsidRPr="00CD2ADD">
            <w:rPr>
              <w:sz w:val="24"/>
              <w:szCs w:val="24"/>
            </w:rPr>
            <w:t xml:space="preserve"> pentru</w:t>
          </w:r>
          <w:r w:rsidR="00D76F0C" w:rsidRPr="00CD2ADD">
            <w:rPr>
              <w:sz w:val="24"/>
              <w:szCs w:val="24"/>
            </w:rPr>
            <w:t xml:space="preserve"> anii 2026-2030</w:t>
          </w:r>
          <w:r w:rsidRPr="00CD2ADD">
            <w:rPr>
              <w:sz w:val="24"/>
              <w:szCs w:val="24"/>
            </w:rPr>
            <w:t>, conform anexei.</w:t>
          </w:r>
        </w:p>
        <w:p w14:paraId="1540F08E" w14:textId="77777777" w:rsidR="00D76F0C" w:rsidRPr="00CD2ADD" w:rsidRDefault="00C63F27" w:rsidP="002C0B9F">
          <w:pPr>
            <w:pStyle w:val="p1"/>
            <w:ind w:firstLine="360"/>
            <w:jc w:val="both"/>
            <w:rPr>
              <w:sz w:val="24"/>
              <w:szCs w:val="24"/>
            </w:rPr>
          </w:pPr>
          <w:r w:rsidRPr="00CD2ADD">
            <w:rPr>
              <w:b/>
              <w:bCs/>
              <w:sz w:val="24"/>
              <w:szCs w:val="24"/>
            </w:rPr>
            <w:t>2.</w:t>
          </w:r>
          <w:r w:rsidRPr="00CD2ADD">
            <w:rPr>
              <w:rStyle w:val="s1"/>
              <w:rFonts w:ascii="Times New Roman" w:eastAsiaTheme="majorEastAsia" w:hAnsi="Times New Roman" w:cs="Times New Roman"/>
              <w:b/>
              <w:bCs/>
              <w:sz w:val="24"/>
              <w:szCs w:val="24"/>
            </w:rPr>
            <w:t xml:space="preserve"> </w:t>
          </w:r>
          <w:r w:rsidRPr="00CD2ADD">
            <w:rPr>
              <w:sz w:val="24"/>
              <w:szCs w:val="24"/>
            </w:rPr>
            <w:t>Autoritățile și instituțiile publice responsabile</w:t>
          </w:r>
          <w:r w:rsidR="00D76F0C" w:rsidRPr="00CD2ADD">
            <w:rPr>
              <w:sz w:val="24"/>
              <w:szCs w:val="24"/>
            </w:rPr>
            <w:t xml:space="preserve"> : </w:t>
          </w:r>
        </w:p>
        <w:p w14:paraId="180ECF6B" w14:textId="2F49E26A" w:rsidR="00D76F0C" w:rsidRPr="00CD2ADD" w:rsidRDefault="00C63F27">
          <w:pPr>
            <w:pStyle w:val="p1"/>
            <w:numPr>
              <w:ilvl w:val="0"/>
              <w:numId w:val="22"/>
            </w:numPr>
            <w:ind w:left="0" w:firstLine="360"/>
            <w:jc w:val="both"/>
            <w:rPr>
              <w:sz w:val="24"/>
              <w:szCs w:val="24"/>
            </w:rPr>
          </w:pPr>
          <w:r w:rsidRPr="00CD2ADD">
            <w:rPr>
              <w:sz w:val="24"/>
              <w:szCs w:val="24"/>
            </w:rPr>
            <w:t>vor realiza acțiunile incluse în Planul de acțiuni privind implementarea</w:t>
          </w:r>
          <w:r w:rsidR="00D76F0C" w:rsidRPr="00CD2ADD">
            <w:rPr>
              <w:sz w:val="24"/>
              <w:szCs w:val="24"/>
            </w:rPr>
            <w:t xml:space="preserve"> Programul </w:t>
          </w:r>
          <w:r w:rsidR="00424090" w:rsidRPr="00CD2ADD">
            <w:rPr>
              <w:sz w:val="24"/>
              <w:szCs w:val="24"/>
            </w:rPr>
            <w:t>național</w:t>
          </w:r>
          <w:r w:rsidR="00D76F0C" w:rsidRPr="00CD2ADD">
            <w:rPr>
              <w:sz w:val="24"/>
              <w:szCs w:val="24"/>
            </w:rPr>
            <w:t xml:space="preserve"> de reducere a riscurilor de dezastre naturale pentru anii 2026-2030</w:t>
          </w:r>
          <w:r w:rsidRPr="00CD2ADD">
            <w:rPr>
              <w:sz w:val="24"/>
              <w:szCs w:val="24"/>
            </w:rPr>
            <w:t>;</w:t>
          </w:r>
          <w:r w:rsidR="00D76F0C" w:rsidRPr="00CD2ADD">
            <w:rPr>
              <w:sz w:val="24"/>
              <w:szCs w:val="24"/>
            </w:rPr>
            <w:t xml:space="preserve"> </w:t>
          </w:r>
        </w:p>
        <w:p w14:paraId="0F797677" w14:textId="77777777" w:rsidR="002C0B9F" w:rsidRPr="00CD2ADD" w:rsidRDefault="00C63F27">
          <w:pPr>
            <w:pStyle w:val="p1"/>
            <w:numPr>
              <w:ilvl w:val="0"/>
              <w:numId w:val="22"/>
            </w:numPr>
            <w:jc w:val="both"/>
            <w:rPr>
              <w:sz w:val="24"/>
              <w:szCs w:val="24"/>
            </w:rPr>
          </w:pPr>
          <w:r w:rsidRPr="00CD2ADD">
            <w:rPr>
              <w:sz w:val="24"/>
              <w:szCs w:val="24"/>
            </w:rPr>
            <w:t xml:space="preserve">vor prezenta anual Ministerului </w:t>
          </w:r>
          <w:r w:rsidR="00D76F0C" w:rsidRPr="00CD2ADD">
            <w:rPr>
              <w:sz w:val="24"/>
              <w:szCs w:val="24"/>
            </w:rPr>
            <w:t>Mediului</w:t>
          </w:r>
          <w:r w:rsidRPr="00CD2ADD">
            <w:rPr>
              <w:sz w:val="24"/>
              <w:szCs w:val="24"/>
            </w:rPr>
            <w:t>, până la 10 februarie</w:t>
          </w:r>
          <w:r w:rsidR="00D76F0C" w:rsidRPr="00CD2ADD">
            <w:rPr>
              <w:sz w:val="24"/>
              <w:szCs w:val="24"/>
            </w:rPr>
            <w:t xml:space="preserve">, </w:t>
          </w:r>
          <w:r w:rsidRPr="00CD2ADD">
            <w:rPr>
              <w:sz w:val="24"/>
              <w:szCs w:val="24"/>
            </w:rPr>
            <w:t>precum și la solicitare, rapoarte</w:t>
          </w:r>
        </w:p>
        <w:p w14:paraId="769B383A" w14:textId="64E3BA93" w:rsidR="00C63F27" w:rsidRPr="00CD2ADD" w:rsidRDefault="00C63F27" w:rsidP="002C0B9F">
          <w:pPr>
            <w:pStyle w:val="p1"/>
            <w:jc w:val="both"/>
            <w:rPr>
              <w:sz w:val="24"/>
              <w:szCs w:val="24"/>
            </w:rPr>
          </w:pPr>
          <w:r w:rsidRPr="00CD2ADD">
            <w:rPr>
              <w:sz w:val="24"/>
              <w:szCs w:val="24"/>
            </w:rPr>
            <w:t>privind gradul de realizare a acțiunilor incluse în</w:t>
          </w:r>
          <w:r w:rsidR="00D76F0C" w:rsidRPr="00CD2ADD">
            <w:rPr>
              <w:sz w:val="24"/>
              <w:szCs w:val="24"/>
            </w:rPr>
            <w:t xml:space="preserve"> </w:t>
          </w:r>
          <w:r w:rsidRPr="00CD2ADD">
            <w:rPr>
              <w:sz w:val="24"/>
              <w:szCs w:val="24"/>
            </w:rPr>
            <w:t>Planul nominalizat.</w:t>
          </w:r>
        </w:p>
        <w:p w14:paraId="3BC9126A" w14:textId="71738068" w:rsidR="00C63F27" w:rsidRPr="00CD2ADD" w:rsidRDefault="00C63F27" w:rsidP="002C0B9F">
          <w:pPr>
            <w:pStyle w:val="p1"/>
            <w:ind w:firstLine="360"/>
            <w:jc w:val="both"/>
            <w:rPr>
              <w:sz w:val="24"/>
              <w:szCs w:val="24"/>
            </w:rPr>
          </w:pPr>
          <w:r w:rsidRPr="00CD2ADD">
            <w:rPr>
              <w:b/>
              <w:bCs/>
              <w:sz w:val="24"/>
              <w:szCs w:val="24"/>
            </w:rPr>
            <w:t>3.</w:t>
          </w:r>
          <w:r w:rsidRPr="00CD2ADD">
            <w:rPr>
              <w:sz w:val="24"/>
              <w:szCs w:val="24"/>
            </w:rPr>
            <w:t xml:space="preserve"> Ministerul </w:t>
          </w:r>
          <w:r w:rsidR="00D76F0C" w:rsidRPr="00CD2ADD">
            <w:rPr>
              <w:sz w:val="24"/>
              <w:szCs w:val="24"/>
            </w:rPr>
            <w:t>Mediului</w:t>
          </w:r>
          <w:r w:rsidRPr="00CD2ADD">
            <w:rPr>
              <w:sz w:val="24"/>
              <w:szCs w:val="24"/>
            </w:rPr>
            <w:t xml:space="preserve"> va prezenta Guvernului:</w:t>
          </w:r>
        </w:p>
        <w:p w14:paraId="36690105" w14:textId="77777777" w:rsidR="00D76F0C" w:rsidRPr="00CD2ADD" w:rsidRDefault="00C63F27">
          <w:pPr>
            <w:pStyle w:val="p1"/>
            <w:numPr>
              <w:ilvl w:val="0"/>
              <w:numId w:val="21"/>
            </w:numPr>
            <w:jc w:val="both"/>
            <w:rPr>
              <w:sz w:val="24"/>
              <w:szCs w:val="24"/>
            </w:rPr>
          </w:pPr>
          <w:r w:rsidRPr="00CD2ADD">
            <w:rPr>
              <w:sz w:val="24"/>
              <w:szCs w:val="24"/>
            </w:rPr>
            <w:t>anual, până la data de 25 februarie, raportul de progres privind</w:t>
          </w:r>
          <w:r w:rsidR="00D76F0C" w:rsidRPr="00CD2ADD">
            <w:rPr>
              <w:sz w:val="24"/>
              <w:szCs w:val="24"/>
            </w:rPr>
            <w:t xml:space="preserve"> </w:t>
          </w:r>
          <w:r w:rsidRPr="00CD2ADD">
            <w:rPr>
              <w:sz w:val="24"/>
              <w:szCs w:val="24"/>
            </w:rPr>
            <w:t>implementarea Programului menționat;</w:t>
          </w:r>
        </w:p>
        <w:p w14:paraId="4D2A542D" w14:textId="77777777" w:rsidR="00D76F0C" w:rsidRPr="00CD2ADD" w:rsidRDefault="00C63F27">
          <w:pPr>
            <w:pStyle w:val="p1"/>
            <w:numPr>
              <w:ilvl w:val="0"/>
              <w:numId w:val="21"/>
            </w:numPr>
            <w:jc w:val="both"/>
            <w:rPr>
              <w:sz w:val="24"/>
              <w:szCs w:val="24"/>
            </w:rPr>
          </w:pPr>
          <w:r w:rsidRPr="00CD2ADD">
            <w:rPr>
              <w:sz w:val="24"/>
              <w:szCs w:val="24"/>
            </w:rPr>
            <w:t>până la data de 15 aprilie 2029, raportul de evaluare intermediară pentru 3</w:t>
          </w:r>
          <w:r w:rsidR="00D76F0C" w:rsidRPr="00CD2ADD">
            <w:rPr>
              <w:sz w:val="24"/>
              <w:szCs w:val="24"/>
            </w:rPr>
            <w:t xml:space="preserve"> </w:t>
          </w:r>
          <w:r w:rsidRPr="00CD2ADD">
            <w:rPr>
              <w:sz w:val="24"/>
              <w:szCs w:val="24"/>
            </w:rPr>
            <w:t>ani;</w:t>
          </w:r>
        </w:p>
        <w:p w14:paraId="7439ACE9" w14:textId="3577BA14" w:rsidR="00C63F27" w:rsidRPr="00CD2ADD" w:rsidRDefault="00C63F27">
          <w:pPr>
            <w:pStyle w:val="p1"/>
            <w:numPr>
              <w:ilvl w:val="0"/>
              <w:numId w:val="21"/>
            </w:numPr>
            <w:jc w:val="both"/>
            <w:rPr>
              <w:sz w:val="24"/>
              <w:szCs w:val="24"/>
            </w:rPr>
          </w:pPr>
          <w:r w:rsidRPr="00CD2ADD">
            <w:rPr>
              <w:sz w:val="24"/>
              <w:szCs w:val="24"/>
            </w:rPr>
            <w:t>până la data de 15 aprilie 2031, raportul de evaluare finală.</w:t>
          </w:r>
        </w:p>
        <w:p w14:paraId="63AB6592" w14:textId="77777777" w:rsidR="00C63F27" w:rsidRPr="00CD2ADD" w:rsidRDefault="00C63F27" w:rsidP="002C0B9F">
          <w:pPr>
            <w:pStyle w:val="p1"/>
            <w:ind w:firstLine="360"/>
            <w:jc w:val="both"/>
            <w:rPr>
              <w:sz w:val="24"/>
              <w:szCs w:val="24"/>
            </w:rPr>
          </w:pPr>
          <w:r w:rsidRPr="00CD2ADD">
            <w:rPr>
              <w:b/>
              <w:bCs/>
              <w:sz w:val="24"/>
              <w:szCs w:val="24"/>
            </w:rPr>
            <w:t>4.</w:t>
          </w:r>
          <w:r w:rsidRPr="00CD2ADD">
            <w:rPr>
              <w:sz w:val="24"/>
              <w:szCs w:val="24"/>
            </w:rPr>
            <w:t xml:space="preserve"> Finanțarea acțiunilor prevăzute în Planul de acțiuni privind implementarea</w:t>
          </w:r>
        </w:p>
        <w:p w14:paraId="2B2EE7FE" w14:textId="76B398F1" w:rsidR="00C63F27" w:rsidRPr="00CD2ADD" w:rsidRDefault="00D76F0C" w:rsidP="002C0B9F">
          <w:pPr>
            <w:pStyle w:val="p1"/>
            <w:jc w:val="both"/>
            <w:rPr>
              <w:sz w:val="24"/>
              <w:szCs w:val="24"/>
            </w:rPr>
          </w:pPr>
          <w:r w:rsidRPr="00CD2ADD">
            <w:rPr>
              <w:sz w:val="24"/>
              <w:szCs w:val="24"/>
            </w:rPr>
            <w:t xml:space="preserve">de reducere a riscurilor de dezastre naturale pentru anii 2026-2030 </w:t>
          </w:r>
          <w:r w:rsidR="00C63F27" w:rsidRPr="00CD2ADD">
            <w:rPr>
              <w:sz w:val="24"/>
              <w:szCs w:val="24"/>
            </w:rPr>
            <w:t>se va efectua din contul și în limitele alocațiilor</w:t>
          </w:r>
          <w:r w:rsidRPr="00CD2ADD">
            <w:rPr>
              <w:sz w:val="24"/>
              <w:szCs w:val="24"/>
            </w:rPr>
            <w:t xml:space="preserve"> </w:t>
          </w:r>
          <w:r w:rsidR="00C63F27" w:rsidRPr="00CD2ADD">
            <w:rPr>
              <w:sz w:val="24"/>
              <w:szCs w:val="24"/>
            </w:rPr>
            <w:t>aprobate în aceste scopuri în bugetele autorităților implicate, precum și din alte surse,</w:t>
          </w:r>
          <w:r w:rsidRPr="00CD2ADD">
            <w:rPr>
              <w:sz w:val="24"/>
              <w:szCs w:val="24"/>
            </w:rPr>
            <w:t xml:space="preserve"> </w:t>
          </w:r>
          <w:r w:rsidR="00C63F27" w:rsidRPr="00CD2ADD">
            <w:rPr>
              <w:sz w:val="24"/>
              <w:szCs w:val="24"/>
            </w:rPr>
            <w:t>conform cadrului normativ.</w:t>
          </w:r>
        </w:p>
        <w:p w14:paraId="0D21EC3C" w14:textId="6E0DE5AB" w:rsidR="00C63F27" w:rsidRPr="00CD2ADD" w:rsidRDefault="00C63F27" w:rsidP="0011496F">
          <w:pPr>
            <w:pStyle w:val="p1"/>
            <w:ind w:firstLine="426"/>
            <w:jc w:val="both"/>
            <w:rPr>
              <w:sz w:val="24"/>
              <w:szCs w:val="24"/>
            </w:rPr>
          </w:pPr>
          <w:r w:rsidRPr="00CD2ADD">
            <w:rPr>
              <w:b/>
              <w:bCs/>
              <w:sz w:val="24"/>
              <w:szCs w:val="24"/>
            </w:rPr>
            <w:t>5.</w:t>
          </w:r>
          <w:r w:rsidRPr="00CD2ADD">
            <w:rPr>
              <w:sz w:val="24"/>
              <w:szCs w:val="24"/>
            </w:rPr>
            <w:t xml:space="preserve"> Controlul asupra executării prezentei hotărâri se pune în sarcina Ministerului</w:t>
          </w:r>
          <w:r w:rsidR="00D76F0C" w:rsidRPr="00CD2ADD">
            <w:rPr>
              <w:sz w:val="24"/>
              <w:szCs w:val="24"/>
            </w:rPr>
            <w:t xml:space="preserve"> Mediului. </w:t>
          </w:r>
        </w:p>
        <w:p w14:paraId="2EEEA7F7" w14:textId="77777777" w:rsidR="005A7D93" w:rsidRPr="00CD2ADD" w:rsidRDefault="005A7D93" w:rsidP="0011496F">
          <w:pPr>
            <w:pStyle w:val="p1"/>
            <w:ind w:firstLine="426"/>
            <w:jc w:val="both"/>
            <w:rPr>
              <w:sz w:val="24"/>
              <w:szCs w:val="24"/>
            </w:rPr>
          </w:pPr>
        </w:p>
        <w:p w14:paraId="0344C28C" w14:textId="77777777" w:rsidR="005A7D93" w:rsidRPr="00CD2ADD" w:rsidRDefault="005A7D93" w:rsidP="0011496F">
          <w:pPr>
            <w:pStyle w:val="p1"/>
            <w:ind w:firstLine="426"/>
            <w:jc w:val="both"/>
            <w:rPr>
              <w:sz w:val="24"/>
              <w:szCs w:val="24"/>
            </w:rPr>
          </w:pPr>
        </w:p>
        <w:p w14:paraId="5DB0B322" w14:textId="77777777" w:rsidR="0011496F" w:rsidRPr="00CD2ADD" w:rsidRDefault="0011496F" w:rsidP="00C63F27">
          <w:pPr>
            <w:pStyle w:val="p1"/>
            <w:rPr>
              <w:sz w:val="24"/>
              <w:szCs w:val="24"/>
            </w:rPr>
          </w:pPr>
        </w:p>
        <w:p w14:paraId="6A49269F" w14:textId="447655FE" w:rsidR="00C63F27" w:rsidRPr="00CD2ADD" w:rsidRDefault="00C63F27" w:rsidP="00C63F27">
          <w:pPr>
            <w:pStyle w:val="p1"/>
            <w:rPr>
              <w:sz w:val="24"/>
              <w:szCs w:val="24"/>
            </w:rPr>
          </w:pPr>
          <w:r w:rsidRPr="00CD2ADD">
            <w:rPr>
              <w:b/>
              <w:bCs/>
              <w:sz w:val="24"/>
              <w:szCs w:val="24"/>
            </w:rPr>
            <w:t xml:space="preserve">PRIM-MINISTRU </w:t>
          </w:r>
          <w:r w:rsidR="002C0B9F" w:rsidRPr="00CD2ADD">
            <w:rPr>
              <w:b/>
              <w:bCs/>
              <w:sz w:val="24"/>
              <w:szCs w:val="24"/>
            </w:rPr>
            <w:t xml:space="preserve">                                                    </w:t>
          </w:r>
          <w:r w:rsidR="005A7D93" w:rsidRPr="00CD2ADD">
            <w:rPr>
              <w:b/>
              <w:bCs/>
              <w:sz w:val="24"/>
              <w:szCs w:val="24"/>
            </w:rPr>
            <w:t xml:space="preserve">                       </w:t>
          </w:r>
          <w:r w:rsidR="002C0B9F" w:rsidRPr="00CD2ADD">
            <w:rPr>
              <w:b/>
              <w:bCs/>
              <w:sz w:val="24"/>
              <w:szCs w:val="24"/>
            </w:rPr>
            <w:t xml:space="preserve">           </w:t>
          </w:r>
          <w:r w:rsidR="00424090" w:rsidRPr="00CD2ADD">
            <w:rPr>
              <w:b/>
              <w:bCs/>
              <w:sz w:val="24"/>
              <w:szCs w:val="24"/>
            </w:rPr>
            <w:t>Alexandru MUNTEANU</w:t>
          </w:r>
        </w:p>
        <w:p w14:paraId="47F461D9" w14:textId="77777777" w:rsidR="00C63F27" w:rsidRPr="00CD2ADD" w:rsidRDefault="00C63F27" w:rsidP="00C63F27">
          <w:pPr>
            <w:pStyle w:val="p1"/>
            <w:rPr>
              <w:b/>
              <w:bCs/>
              <w:sz w:val="24"/>
              <w:szCs w:val="24"/>
            </w:rPr>
          </w:pPr>
        </w:p>
        <w:p w14:paraId="135B98D3" w14:textId="78AAB526" w:rsidR="00C63F27" w:rsidRPr="00CD2ADD" w:rsidRDefault="00C63F27" w:rsidP="00C63F27">
          <w:pPr>
            <w:pStyle w:val="p1"/>
            <w:rPr>
              <w:sz w:val="24"/>
              <w:szCs w:val="24"/>
            </w:rPr>
          </w:pPr>
          <w:r w:rsidRPr="00CD2ADD">
            <w:rPr>
              <w:b/>
              <w:bCs/>
              <w:sz w:val="24"/>
              <w:szCs w:val="24"/>
            </w:rPr>
            <w:t>Contrasemnează:</w:t>
          </w:r>
        </w:p>
        <w:p w14:paraId="30FCBB28" w14:textId="77777777" w:rsidR="00D76F0C" w:rsidRPr="00CD2ADD" w:rsidRDefault="00D76F0C" w:rsidP="00C63F27">
          <w:pPr>
            <w:pStyle w:val="p1"/>
            <w:rPr>
              <w:b/>
              <w:bCs/>
              <w:sz w:val="24"/>
              <w:szCs w:val="24"/>
            </w:rPr>
          </w:pPr>
        </w:p>
        <w:p w14:paraId="78B78DC1" w14:textId="41CB82E4" w:rsidR="002963E3" w:rsidRPr="00CD2ADD" w:rsidRDefault="002963E3" w:rsidP="00C63F27">
          <w:pPr>
            <w:pStyle w:val="p1"/>
            <w:rPr>
              <w:b/>
              <w:bCs/>
              <w:sz w:val="24"/>
              <w:szCs w:val="24"/>
            </w:rPr>
          </w:pPr>
          <w:r w:rsidRPr="00CD2ADD">
            <w:rPr>
              <w:b/>
              <w:bCs/>
              <w:sz w:val="24"/>
              <w:szCs w:val="24"/>
            </w:rPr>
            <w:t xml:space="preserve">Ministrul mediului </w:t>
          </w:r>
          <w:r w:rsidR="002C0B9F" w:rsidRPr="00CD2ADD">
            <w:rPr>
              <w:b/>
              <w:bCs/>
              <w:sz w:val="24"/>
              <w:szCs w:val="24"/>
            </w:rPr>
            <w:t xml:space="preserve">                                                                </w:t>
          </w:r>
          <w:r w:rsidR="005A7D93" w:rsidRPr="00CD2ADD">
            <w:rPr>
              <w:b/>
              <w:bCs/>
              <w:sz w:val="24"/>
              <w:szCs w:val="24"/>
            </w:rPr>
            <w:t xml:space="preserve">                       </w:t>
          </w:r>
          <w:r w:rsidR="002C0B9F" w:rsidRPr="00CD2ADD">
            <w:rPr>
              <w:b/>
              <w:bCs/>
              <w:sz w:val="24"/>
              <w:szCs w:val="24"/>
            </w:rPr>
            <w:t xml:space="preserve">       </w:t>
          </w:r>
          <w:r w:rsidR="00D173CD" w:rsidRPr="00CD2ADD">
            <w:rPr>
              <w:b/>
              <w:bCs/>
              <w:sz w:val="24"/>
              <w:szCs w:val="24"/>
            </w:rPr>
            <w:t>Gheorghe HAJDER</w:t>
          </w:r>
        </w:p>
        <w:p w14:paraId="1C5E14C8" w14:textId="77777777" w:rsidR="002963E3" w:rsidRPr="00CD2ADD" w:rsidRDefault="002963E3" w:rsidP="00C63F27">
          <w:pPr>
            <w:pStyle w:val="p1"/>
            <w:rPr>
              <w:b/>
              <w:bCs/>
              <w:sz w:val="24"/>
              <w:szCs w:val="24"/>
            </w:rPr>
          </w:pPr>
        </w:p>
        <w:p w14:paraId="6768ED4F" w14:textId="715C6F58" w:rsidR="001A4732" w:rsidRPr="00CD2ADD" w:rsidRDefault="001A4732" w:rsidP="001A4732">
          <w:pPr>
            <w:pStyle w:val="p1"/>
            <w:rPr>
              <w:b/>
              <w:bCs/>
              <w:sz w:val="24"/>
              <w:szCs w:val="24"/>
            </w:rPr>
          </w:pPr>
          <w:r w:rsidRPr="00CD2ADD">
            <w:rPr>
              <w:b/>
              <w:bCs/>
              <w:sz w:val="24"/>
              <w:szCs w:val="24"/>
            </w:rPr>
            <w:t xml:space="preserve">Ministrul sănătății </w:t>
          </w:r>
          <w:r w:rsidR="002C0B9F" w:rsidRPr="00CD2ADD">
            <w:rPr>
              <w:b/>
              <w:bCs/>
              <w:sz w:val="24"/>
              <w:szCs w:val="24"/>
            </w:rPr>
            <w:t xml:space="preserve">                                                                  </w:t>
          </w:r>
          <w:r w:rsidR="005A7D93" w:rsidRPr="00CD2ADD">
            <w:rPr>
              <w:b/>
              <w:bCs/>
              <w:sz w:val="24"/>
              <w:szCs w:val="24"/>
            </w:rPr>
            <w:t xml:space="preserve">                        </w:t>
          </w:r>
          <w:r w:rsidR="002C0B9F" w:rsidRPr="00CD2ADD">
            <w:rPr>
              <w:b/>
              <w:bCs/>
              <w:sz w:val="24"/>
              <w:szCs w:val="24"/>
            </w:rPr>
            <w:t xml:space="preserve">      </w:t>
          </w:r>
          <w:r w:rsidRPr="00CD2ADD">
            <w:rPr>
              <w:b/>
              <w:bCs/>
              <w:sz w:val="24"/>
              <w:szCs w:val="24"/>
            </w:rPr>
            <w:t>Ala NEMERENCO</w:t>
          </w:r>
        </w:p>
        <w:p w14:paraId="02E520F4" w14:textId="77777777" w:rsidR="001A4732" w:rsidRPr="00CD2ADD" w:rsidRDefault="001A4732" w:rsidP="00C63F27">
          <w:pPr>
            <w:pStyle w:val="p1"/>
            <w:rPr>
              <w:b/>
              <w:bCs/>
              <w:sz w:val="24"/>
              <w:szCs w:val="24"/>
            </w:rPr>
          </w:pPr>
        </w:p>
        <w:p w14:paraId="5B362A24" w14:textId="77777777" w:rsidR="002C0B9F" w:rsidRPr="00CD2ADD" w:rsidRDefault="00C63F27" w:rsidP="00C63F27">
          <w:pPr>
            <w:pStyle w:val="p1"/>
            <w:rPr>
              <w:b/>
              <w:bCs/>
              <w:sz w:val="24"/>
              <w:szCs w:val="24"/>
            </w:rPr>
          </w:pPr>
          <w:r w:rsidRPr="00CD2ADD">
            <w:rPr>
              <w:b/>
              <w:bCs/>
              <w:sz w:val="24"/>
              <w:szCs w:val="24"/>
            </w:rPr>
            <w:t>Viceprim-ministru</w:t>
          </w:r>
          <w:r w:rsidR="002C0B9F" w:rsidRPr="00CD2ADD">
            <w:rPr>
              <w:b/>
              <w:bCs/>
              <w:sz w:val="24"/>
              <w:szCs w:val="24"/>
            </w:rPr>
            <w:t xml:space="preserve">, </w:t>
          </w:r>
        </w:p>
        <w:p w14:paraId="1905EC98" w14:textId="77777777" w:rsidR="002C0B9F" w:rsidRPr="00CD2ADD" w:rsidRDefault="002C0B9F" w:rsidP="00C63F27">
          <w:pPr>
            <w:pStyle w:val="p1"/>
            <w:rPr>
              <w:sz w:val="24"/>
              <w:szCs w:val="24"/>
            </w:rPr>
          </w:pPr>
          <w:r w:rsidRPr="00CD2ADD">
            <w:rPr>
              <w:b/>
              <w:bCs/>
              <w:sz w:val="24"/>
              <w:szCs w:val="24"/>
            </w:rPr>
            <w:t>m</w:t>
          </w:r>
          <w:r w:rsidR="00C63F27" w:rsidRPr="00CD2ADD">
            <w:rPr>
              <w:b/>
              <w:bCs/>
              <w:sz w:val="24"/>
              <w:szCs w:val="24"/>
            </w:rPr>
            <w:t>inistrul infrastructurii</w:t>
          </w:r>
          <w:r w:rsidR="00C63F27" w:rsidRPr="00CD2ADD">
            <w:rPr>
              <w:sz w:val="24"/>
              <w:szCs w:val="24"/>
            </w:rPr>
            <w:t xml:space="preserve"> </w:t>
          </w:r>
        </w:p>
        <w:p w14:paraId="4DB724B0" w14:textId="1C10CB08" w:rsidR="00C63F27" w:rsidRPr="00CD2ADD" w:rsidRDefault="00C63F27" w:rsidP="00C63F27">
          <w:pPr>
            <w:pStyle w:val="p1"/>
            <w:rPr>
              <w:b/>
              <w:bCs/>
              <w:sz w:val="24"/>
              <w:szCs w:val="24"/>
            </w:rPr>
          </w:pPr>
          <w:r w:rsidRPr="00CD2ADD">
            <w:rPr>
              <w:b/>
              <w:bCs/>
              <w:sz w:val="24"/>
              <w:szCs w:val="24"/>
            </w:rPr>
            <w:t>și dezvoltării regionale</w:t>
          </w:r>
          <w:r w:rsidR="002C0B9F" w:rsidRPr="00CD2ADD">
            <w:rPr>
              <w:b/>
              <w:bCs/>
              <w:sz w:val="24"/>
              <w:szCs w:val="24"/>
            </w:rPr>
            <w:t xml:space="preserve">                                                                </w:t>
          </w:r>
          <w:r w:rsidR="005A7D93" w:rsidRPr="00CD2ADD">
            <w:rPr>
              <w:b/>
              <w:bCs/>
              <w:sz w:val="24"/>
              <w:szCs w:val="24"/>
            </w:rPr>
            <w:t xml:space="preserve">                       </w:t>
          </w:r>
          <w:r w:rsidR="002C0B9F" w:rsidRPr="00CD2ADD">
            <w:rPr>
              <w:b/>
              <w:bCs/>
              <w:sz w:val="24"/>
              <w:szCs w:val="24"/>
            </w:rPr>
            <w:t xml:space="preserve">      </w:t>
          </w:r>
          <w:r w:rsidRPr="00CD2ADD">
            <w:rPr>
              <w:b/>
              <w:bCs/>
              <w:sz w:val="24"/>
              <w:szCs w:val="24"/>
            </w:rPr>
            <w:t>Vladimir BOLEA</w:t>
          </w:r>
        </w:p>
        <w:p w14:paraId="6E567B77" w14:textId="77777777" w:rsidR="00D76F0C" w:rsidRPr="00CD2ADD" w:rsidRDefault="00D76F0C" w:rsidP="00C63F27">
          <w:pPr>
            <w:pStyle w:val="p1"/>
            <w:rPr>
              <w:b/>
              <w:bCs/>
              <w:sz w:val="24"/>
              <w:szCs w:val="24"/>
            </w:rPr>
          </w:pPr>
        </w:p>
        <w:p w14:paraId="758E6602" w14:textId="36A9625C" w:rsidR="00ED0B63" w:rsidRPr="00CD2ADD" w:rsidRDefault="00C63F27" w:rsidP="00ED0B63">
          <w:pPr>
            <w:pStyle w:val="p1"/>
            <w:rPr>
              <w:b/>
              <w:bCs/>
              <w:sz w:val="24"/>
              <w:szCs w:val="24"/>
            </w:rPr>
          </w:pPr>
          <w:r w:rsidRPr="00CD2ADD">
            <w:rPr>
              <w:b/>
              <w:bCs/>
              <w:sz w:val="24"/>
              <w:szCs w:val="24"/>
            </w:rPr>
            <w:t>Ministrul afacerilor interne</w:t>
          </w:r>
          <w:r w:rsidR="002C0B9F" w:rsidRPr="00CD2ADD">
            <w:rPr>
              <w:b/>
              <w:bCs/>
              <w:sz w:val="24"/>
              <w:szCs w:val="24"/>
            </w:rPr>
            <w:t xml:space="preserve">                                     </w:t>
          </w:r>
          <w:r w:rsidR="005A7D93" w:rsidRPr="00CD2ADD">
            <w:rPr>
              <w:b/>
              <w:bCs/>
              <w:sz w:val="24"/>
              <w:szCs w:val="24"/>
            </w:rPr>
            <w:t xml:space="preserve">                        </w:t>
          </w:r>
          <w:r w:rsidR="002C0B9F" w:rsidRPr="00CD2ADD">
            <w:rPr>
              <w:b/>
              <w:bCs/>
              <w:sz w:val="24"/>
              <w:szCs w:val="24"/>
            </w:rPr>
            <w:t xml:space="preserve">     </w:t>
          </w:r>
          <w:r w:rsidR="00ED0B63" w:rsidRPr="00CD2ADD">
            <w:rPr>
              <w:b/>
              <w:bCs/>
              <w:sz w:val="24"/>
              <w:szCs w:val="24"/>
            </w:rPr>
            <w:t>Daniela MISAIL-NICHITIN</w:t>
          </w:r>
        </w:p>
        <w:p w14:paraId="34A91A84" w14:textId="77777777" w:rsidR="00D76F0C" w:rsidRPr="00CD2ADD" w:rsidRDefault="00D76F0C" w:rsidP="00C63F27">
          <w:pPr>
            <w:pStyle w:val="p1"/>
            <w:rPr>
              <w:b/>
              <w:bCs/>
              <w:sz w:val="24"/>
              <w:szCs w:val="24"/>
            </w:rPr>
          </w:pPr>
        </w:p>
        <w:p w14:paraId="7AEC0878" w14:textId="7FE82B2E" w:rsidR="00C63F27" w:rsidRPr="00CD2ADD" w:rsidRDefault="00C63F27" w:rsidP="005A7D93">
          <w:pPr>
            <w:pStyle w:val="p1"/>
            <w:rPr>
              <w:b/>
              <w:bCs/>
              <w:sz w:val="24"/>
              <w:szCs w:val="24"/>
            </w:rPr>
          </w:pPr>
          <w:r w:rsidRPr="00CD2ADD">
            <w:rPr>
              <w:b/>
              <w:bCs/>
              <w:sz w:val="24"/>
              <w:szCs w:val="24"/>
            </w:rPr>
            <w:t xml:space="preserve">Ministrul educației și cercetării </w:t>
          </w:r>
          <w:r w:rsidR="002C0B9F" w:rsidRPr="00CD2ADD">
            <w:rPr>
              <w:b/>
              <w:bCs/>
              <w:sz w:val="24"/>
              <w:szCs w:val="24"/>
            </w:rPr>
            <w:t xml:space="preserve">                             </w:t>
          </w:r>
          <w:r w:rsidR="005A7D93" w:rsidRPr="00CD2ADD">
            <w:rPr>
              <w:b/>
              <w:bCs/>
              <w:sz w:val="24"/>
              <w:szCs w:val="24"/>
            </w:rPr>
            <w:t xml:space="preserve">                       </w:t>
          </w:r>
          <w:r w:rsidR="002C0B9F" w:rsidRPr="00CD2ADD">
            <w:rPr>
              <w:b/>
              <w:bCs/>
              <w:sz w:val="24"/>
              <w:szCs w:val="24"/>
            </w:rPr>
            <w:t xml:space="preserve">                             </w:t>
          </w:r>
          <w:r w:rsidRPr="00CD2ADD">
            <w:rPr>
              <w:b/>
              <w:bCs/>
              <w:sz w:val="24"/>
              <w:szCs w:val="24"/>
            </w:rPr>
            <w:t>Dan PERCIUN</w:t>
          </w:r>
        </w:p>
        <w:p w14:paraId="4D818552" w14:textId="77777777" w:rsidR="005A7D93" w:rsidRPr="00CD2ADD" w:rsidRDefault="005A7D93" w:rsidP="005A7D93">
          <w:pPr>
            <w:pStyle w:val="p1"/>
            <w:rPr>
              <w:b/>
              <w:bCs/>
              <w:sz w:val="24"/>
              <w:szCs w:val="24"/>
            </w:rPr>
          </w:pPr>
        </w:p>
        <w:p w14:paraId="497BF6CA" w14:textId="77777777" w:rsidR="00C63F27" w:rsidRPr="00CD2ADD" w:rsidRDefault="00C63F27">
          <w:pPr>
            <w:spacing w:after="200" w:line="276" w:lineRule="auto"/>
          </w:pPr>
          <w:r w:rsidRPr="00CD2ADD">
            <w:br w:type="page"/>
          </w:r>
        </w:p>
        <w:p w14:paraId="42F80628" w14:textId="4C0DD39C" w:rsidR="00A17DE1" w:rsidRPr="00CD2ADD" w:rsidRDefault="00A17DE1" w:rsidP="00A17DE1">
          <w:pPr>
            <w:spacing w:after="120"/>
            <w:jc w:val="right"/>
          </w:pPr>
          <w:r w:rsidRPr="00CD2ADD">
            <w:lastRenderedPageBreak/>
            <w:t>Aprobat</w:t>
          </w:r>
        </w:p>
        <w:p w14:paraId="56BF8C3F" w14:textId="03A9B8D3" w:rsidR="00822C2F" w:rsidRPr="00CD2ADD" w:rsidRDefault="00A17DE1" w:rsidP="00822C2F">
          <w:pPr>
            <w:spacing w:after="120"/>
            <w:jc w:val="right"/>
          </w:pPr>
          <w:r w:rsidRPr="00CD2ADD">
            <w:t xml:space="preserve">prin Hotărârea Guvernului nr.  </w:t>
          </w:r>
          <w:r w:rsidR="0011496F" w:rsidRPr="00CD2ADD">
            <w:t xml:space="preserve">   </w:t>
          </w:r>
          <w:r w:rsidRPr="00CD2ADD">
            <w:t>/202</w:t>
          </w:r>
          <w:r w:rsidR="00595010">
            <w:t>6</w:t>
          </w:r>
        </w:p>
        <w:p w14:paraId="3E4C7326" w14:textId="77777777" w:rsidR="00822C2F" w:rsidRPr="00CD2ADD" w:rsidRDefault="00822C2F" w:rsidP="00822C2F">
          <w:pPr>
            <w:spacing w:after="120"/>
            <w:jc w:val="right"/>
          </w:pPr>
        </w:p>
        <w:p w14:paraId="1D7277C3" w14:textId="77777777" w:rsidR="00822C2F" w:rsidRPr="00CD2ADD" w:rsidRDefault="0011496F" w:rsidP="00822C2F">
          <w:pPr>
            <w:jc w:val="center"/>
            <w:rPr>
              <w:b/>
              <w:bCs/>
            </w:rPr>
          </w:pPr>
          <w:r w:rsidRPr="00CD2ADD">
            <w:rPr>
              <w:b/>
              <w:bCs/>
            </w:rPr>
            <w:t>Programul național</w:t>
          </w:r>
        </w:p>
        <w:p w14:paraId="3C4522B4" w14:textId="77777777" w:rsidR="00822C2F" w:rsidRPr="00CD2ADD" w:rsidRDefault="0011496F" w:rsidP="00822C2F">
          <w:pPr>
            <w:jc w:val="center"/>
            <w:rPr>
              <w:b/>
              <w:bCs/>
            </w:rPr>
          </w:pPr>
          <w:r w:rsidRPr="00CD2ADD">
            <w:rPr>
              <w:b/>
              <w:bCs/>
            </w:rPr>
            <w:t>de reducere a riscurilor de dezastre naturale pentru anii 2026-2030</w:t>
          </w:r>
        </w:p>
        <w:p w14:paraId="4D7C20D8" w14:textId="01EC0BA8" w:rsidR="00822C2F" w:rsidRPr="00CD2ADD" w:rsidRDefault="00000000" w:rsidP="00851023">
          <w:pPr>
            <w:rPr>
              <w:b/>
              <w:bCs/>
            </w:rPr>
          </w:pPr>
        </w:p>
      </w:sdtContent>
    </w:sdt>
    <w:p w14:paraId="0AAF4B65" w14:textId="77777777" w:rsidR="00822C2F" w:rsidRPr="00CD2ADD" w:rsidRDefault="00AD2748" w:rsidP="00377660">
      <w:pPr>
        <w:pStyle w:val="Heading1"/>
        <w:spacing w:before="0"/>
        <w:jc w:val="center"/>
        <w:rPr>
          <w:rFonts w:ascii="Times New Roman" w:hAnsi="Times New Roman" w:cs="Times New Roman"/>
          <w:b/>
          <w:bCs w:val="0"/>
          <w:color w:val="000000" w:themeColor="text1"/>
          <w:sz w:val="24"/>
          <w:szCs w:val="24"/>
        </w:rPr>
      </w:pPr>
      <w:r w:rsidRPr="00CD2ADD">
        <w:rPr>
          <w:rFonts w:ascii="Times New Roman" w:hAnsi="Times New Roman" w:cs="Times New Roman"/>
          <w:b/>
          <w:bCs w:val="0"/>
          <w:color w:val="000000" w:themeColor="text1"/>
          <w:sz w:val="24"/>
          <w:szCs w:val="24"/>
        </w:rPr>
        <w:t>C</w:t>
      </w:r>
      <w:r w:rsidR="0011496F" w:rsidRPr="00CD2ADD">
        <w:rPr>
          <w:rFonts w:ascii="Times New Roman" w:hAnsi="Times New Roman" w:cs="Times New Roman"/>
          <w:b/>
          <w:bCs w:val="0"/>
          <w:color w:val="000000" w:themeColor="text1"/>
          <w:sz w:val="24"/>
          <w:szCs w:val="24"/>
        </w:rPr>
        <w:t xml:space="preserve">apitolul </w:t>
      </w:r>
      <w:r w:rsidRPr="00CD2ADD">
        <w:rPr>
          <w:rFonts w:ascii="Times New Roman" w:hAnsi="Times New Roman" w:cs="Times New Roman"/>
          <w:b/>
          <w:bCs w:val="0"/>
          <w:color w:val="000000" w:themeColor="text1"/>
          <w:sz w:val="24"/>
          <w:szCs w:val="24"/>
        </w:rPr>
        <w:t>I</w:t>
      </w:r>
    </w:p>
    <w:p w14:paraId="07D4F291" w14:textId="1D777424" w:rsidR="00C91228" w:rsidRPr="00CD2ADD" w:rsidRDefault="0011496F" w:rsidP="00377660">
      <w:pPr>
        <w:pStyle w:val="Heading1"/>
        <w:spacing w:before="0"/>
        <w:jc w:val="center"/>
        <w:rPr>
          <w:rFonts w:ascii="Times New Roman" w:hAnsi="Times New Roman" w:cs="Times New Roman"/>
          <w:b/>
          <w:bCs w:val="0"/>
          <w:color w:val="000000" w:themeColor="text1"/>
          <w:sz w:val="24"/>
          <w:szCs w:val="24"/>
        </w:rPr>
      </w:pPr>
      <w:r w:rsidRPr="00CD2ADD">
        <w:rPr>
          <w:rFonts w:ascii="Times New Roman" w:hAnsi="Times New Roman" w:cs="Times New Roman"/>
          <w:b/>
          <w:bCs w:val="0"/>
          <w:color w:val="000000" w:themeColor="text1"/>
          <w:sz w:val="24"/>
          <w:szCs w:val="24"/>
        </w:rPr>
        <w:t>I</w:t>
      </w:r>
      <w:r w:rsidR="00AD2748" w:rsidRPr="00CD2ADD">
        <w:rPr>
          <w:rFonts w:ascii="Times New Roman" w:hAnsi="Times New Roman" w:cs="Times New Roman"/>
          <w:b/>
          <w:bCs w:val="0"/>
          <w:color w:val="000000" w:themeColor="text1"/>
          <w:sz w:val="24"/>
          <w:szCs w:val="24"/>
        </w:rPr>
        <w:t>NTRODUCERE</w:t>
      </w:r>
    </w:p>
    <w:p w14:paraId="1D5E5D43" w14:textId="77777777" w:rsidR="00AD2748" w:rsidRPr="00CD2ADD" w:rsidRDefault="00AD2748" w:rsidP="00AD2748">
      <w:pPr>
        <w:rPr>
          <w:lang w:eastAsia="en-US"/>
        </w:rPr>
      </w:pPr>
    </w:p>
    <w:p w14:paraId="2E40A0D8" w14:textId="24C7A64B" w:rsidR="00CC468F" w:rsidRPr="00CD2ADD" w:rsidRDefault="00CC468F" w:rsidP="00FD2DEC">
      <w:pPr>
        <w:pStyle w:val="ListParagraph"/>
        <w:numPr>
          <w:ilvl w:val="0"/>
          <w:numId w:val="42"/>
        </w:numPr>
        <w:tabs>
          <w:tab w:val="left" w:pos="709"/>
        </w:tabs>
        <w:spacing w:after="0"/>
        <w:ind w:left="0" w:firstLine="426"/>
        <w:jc w:val="both"/>
        <w:rPr>
          <w:rFonts w:ascii="Times New Roman" w:hAnsi="Times New Roman" w:cs="Times New Roman"/>
          <w:b/>
          <w:bCs/>
          <w:color w:val="000000" w:themeColor="text1"/>
          <w:sz w:val="24"/>
          <w:szCs w:val="24"/>
        </w:rPr>
      </w:pPr>
      <w:r w:rsidRPr="00CD2ADD">
        <w:rPr>
          <w:rFonts w:ascii="Times New Roman" w:hAnsi="Times New Roman" w:cs="Times New Roman"/>
          <w:color w:val="000000" w:themeColor="text1"/>
          <w:sz w:val="24"/>
          <w:szCs w:val="24"/>
        </w:rPr>
        <w:t>Republica Moldova este situată în sud-estul Europei, la intersecția dintre bazinul Mării Negre și stepele est-europene. Are o suprafață de 33,8 mii km², cu o întindere de 339 km de la nord la sud și 155 km de la vest la est. Relieful este predominant deluros și de câmpie, ceea ce determină o distribuție teritorială neuniformă a riscurilor naturale. Rețeaua hidrografică include aproximativ 3.621 de râuri și pâraie, cu o lungime totală de circa 16.000 km, iar principalele cursuri de apă sunt Nistru (657 km), Prut (695 km), Răut (286 km), Bîc (155 km),</w:t>
      </w:r>
      <w:r w:rsidR="00B435DE" w:rsidRPr="00CD2ADD">
        <w:rPr>
          <w:rFonts w:ascii="Times New Roman" w:hAnsi="Times New Roman" w:cs="Times New Roman"/>
          <w:color w:val="000000" w:themeColor="text1"/>
          <w:sz w:val="24"/>
          <w:szCs w:val="24"/>
        </w:rPr>
        <w:t xml:space="preserve"> care</w:t>
      </w:r>
      <w:r w:rsidRPr="00CD2ADD">
        <w:rPr>
          <w:rFonts w:ascii="Times New Roman" w:hAnsi="Times New Roman" w:cs="Times New Roman"/>
          <w:color w:val="000000" w:themeColor="text1"/>
          <w:sz w:val="24"/>
          <w:szCs w:val="24"/>
        </w:rPr>
        <w:t xml:space="preserve"> joacă un rol esențial în alimentarea cu apă, irigații și conservarea biodiversității. Clima este temperat-continentală, influențată de masele de aer atlantice, mediteraneene și continentale. În ultimii </w:t>
      </w:r>
      <w:r w:rsidR="00893C63" w:rsidRPr="00CD2ADD">
        <w:rPr>
          <w:rFonts w:ascii="Times New Roman" w:hAnsi="Times New Roman" w:cs="Times New Roman"/>
          <w:color w:val="000000" w:themeColor="text1"/>
          <w:sz w:val="24"/>
          <w:szCs w:val="24"/>
        </w:rPr>
        <w:t>35 de</w:t>
      </w:r>
      <w:r w:rsidRPr="00CD2ADD">
        <w:rPr>
          <w:rFonts w:ascii="Times New Roman" w:hAnsi="Times New Roman" w:cs="Times New Roman"/>
          <w:color w:val="000000" w:themeColor="text1"/>
          <w:sz w:val="24"/>
          <w:szCs w:val="24"/>
        </w:rPr>
        <w:t xml:space="preserve"> ani, s-a înregistrat o creștere a temperaturii medii anuale de 1,2°C, iar anul 2024 a fost unul dintre cei mai călduroși din ultimele decen</w:t>
      </w:r>
      <w:r w:rsidR="00424090" w:rsidRPr="00CD2ADD">
        <w:rPr>
          <w:rFonts w:ascii="Times New Roman" w:hAnsi="Times New Roman" w:cs="Times New Roman"/>
          <w:color w:val="000000" w:themeColor="text1"/>
          <w:sz w:val="24"/>
          <w:szCs w:val="24"/>
        </w:rPr>
        <w:t xml:space="preserve">ii. </w:t>
      </w:r>
      <w:r w:rsidRPr="00CD2ADD">
        <w:rPr>
          <w:rFonts w:ascii="Times New Roman" w:hAnsi="Times New Roman" w:cs="Times New Roman"/>
          <w:color w:val="000000" w:themeColor="text1"/>
          <w:sz w:val="24"/>
          <w:szCs w:val="24"/>
        </w:rPr>
        <w:t>Aceste particularități naturale contribuie la o expunere ridicată la riscuri hidro-meteorologice</w:t>
      </w:r>
      <w:r w:rsidR="00424090" w:rsidRPr="00CD2ADD">
        <w:rPr>
          <w:rFonts w:ascii="Times New Roman" w:hAnsi="Times New Roman" w:cs="Times New Roman"/>
          <w:color w:val="000000" w:themeColor="text1"/>
          <w:sz w:val="24"/>
          <w:szCs w:val="24"/>
        </w:rPr>
        <w:t xml:space="preserve"> și geologice</w:t>
      </w:r>
      <w:r w:rsidRPr="00CD2ADD">
        <w:rPr>
          <w:rFonts w:ascii="Times New Roman" w:hAnsi="Times New Roman" w:cs="Times New Roman"/>
          <w:color w:val="000000" w:themeColor="text1"/>
          <w:sz w:val="24"/>
          <w:szCs w:val="24"/>
        </w:rPr>
        <w:t xml:space="preserve"> precum seceta, inundațiile, ploile torențiale, grindina de mari dimensiuni, valurile de căldură și alunecările de teren. În plus, intensificarea schimbărilor climatice amplifică riscurile biologico-sociale, inclusiv epidemiile și zoonozele, fenomene a căror incidență este influențată de modificarea habitatelor naturale, a regimului hidrologic și a migrației speciilor.</w:t>
      </w:r>
    </w:p>
    <w:p w14:paraId="19E812BA" w14:textId="005901A3" w:rsidR="003B25DA" w:rsidRPr="00CD2ADD" w:rsidRDefault="005B1C3C">
      <w:pPr>
        <w:pStyle w:val="ListParagraph"/>
        <w:numPr>
          <w:ilvl w:val="0"/>
          <w:numId w:val="42"/>
        </w:numPr>
        <w:spacing w:after="0"/>
        <w:ind w:left="0" w:firstLine="360"/>
        <w:jc w:val="both"/>
        <w:rPr>
          <w:rFonts w:ascii="Times New Roman" w:hAnsi="Times New Roman" w:cs="Times New Roman"/>
          <w:b/>
          <w:bCs/>
          <w:color w:val="000000" w:themeColor="text1"/>
          <w:sz w:val="24"/>
          <w:szCs w:val="24"/>
        </w:rPr>
      </w:pPr>
      <w:r w:rsidRPr="00CD2ADD">
        <w:rPr>
          <w:rFonts w:ascii="Times New Roman" w:hAnsi="Times New Roman" w:cs="Times New Roman"/>
          <w:color w:val="000000" w:themeColor="text1"/>
          <w:sz w:val="24"/>
          <w:szCs w:val="24"/>
        </w:rPr>
        <w:t>Analiza perioadei 2010</w:t>
      </w:r>
      <w:r w:rsidR="00B435DE" w:rsidRPr="00CD2ADD">
        <w:rPr>
          <w:rFonts w:ascii="Times New Roman" w:hAnsi="Times New Roman" w:cs="Times New Roman"/>
          <w:color w:val="000000" w:themeColor="text1"/>
          <w:sz w:val="24"/>
          <w:szCs w:val="24"/>
        </w:rPr>
        <w:t>-</w:t>
      </w:r>
      <w:r w:rsidRPr="00CD2ADD">
        <w:rPr>
          <w:rFonts w:ascii="Times New Roman" w:hAnsi="Times New Roman" w:cs="Times New Roman"/>
          <w:color w:val="000000" w:themeColor="text1"/>
          <w:sz w:val="24"/>
          <w:szCs w:val="24"/>
        </w:rPr>
        <w:t>2024 relevă o creștere constantă a frecvenței evenimentelor meteorologice extreme, amplificată de efectele schimbărilor climatice. În aceeași perioadă, pagubele economice directe depășesc 23 miliarde lei, iar numai în 2024 pierderile au fost estimate la 4,7 miliarde lei</w:t>
      </w:r>
      <w:r w:rsidR="00B435DE"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 xml:space="preserve">aproximativ 1,5% din PIB. Seceta generează peste 70% din aceste pierderi, urmată de ploi torențiale cu grindină, vânturi puternice și inundații. Aceste cifre subliniază necesitatea consolidării măsurilor preventive și a investițiilor strategice în infrastructuri și ecosisteme reziliente. </w:t>
      </w:r>
      <w:r w:rsidR="00CC468F" w:rsidRPr="00CD2ADD">
        <w:rPr>
          <w:rFonts w:ascii="Times New Roman" w:hAnsi="Times New Roman" w:cs="Times New Roman"/>
          <w:color w:val="000000" w:themeColor="text1"/>
          <w:sz w:val="24"/>
          <w:szCs w:val="24"/>
        </w:rPr>
        <w:t>În paralel, fenomenele hidro-meteorologice extreme afectează în mod recurent infrastructura agricolă și naturală, într-un context marcat de degradarea ecosistemelor-cheie (păduri, zone umede, soluri) și presiune ridicată asupra resurselor naturale. Această degradare sporește vulnerabilitatea teritorială și socială și contribuie la accentuarea mobilității umane în zonele expuse.</w:t>
      </w:r>
      <w:r w:rsidR="005D195B" w:rsidRPr="00CD2ADD">
        <w:rPr>
          <w:rFonts w:ascii="Times New Roman" w:hAnsi="Times New Roman" w:cs="Times New Roman"/>
          <w:color w:val="000000" w:themeColor="text1"/>
          <w:sz w:val="24"/>
          <w:szCs w:val="24"/>
        </w:rPr>
        <w:t xml:space="preserve"> </w:t>
      </w:r>
      <w:r w:rsidR="00CC468F" w:rsidRPr="00CD2ADD">
        <w:rPr>
          <w:rFonts w:ascii="Times New Roman" w:hAnsi="Times New Roman" w:cs="Times New Roman"/>
          <w:color w:val="000000" w:themeColor="text1"/>
          <w:sz w:val="24"/>
          <w:szCs w:val="24"/>
        </w:rPr>
        <w:t>Tendințele demografice amplifică aceste vulnerabilități. Migrația internațională și mobilitatea internă se concentrează în special în regiunile rurale afectate de riscuri climatice și lipsa oportunităților economice. Depopularea localităților din sudul și centrul țării slăbește capacitatea instituțională locală de a presta servicii publice și de a răspunde adecvat la dezastre, creând un cerc vicios între expunere la riscuri, vulnerabilitate socială și pierderi economice.</w:t>
      </w:r>
    </w:p>
    <w:p w14:paraId="62CA73AF" w14:textId="4E0DC158" w:rsidR="003B25DA" w:rsidRPr="00CD2ADD" w:rsidRDefault="005B1C3C">
      <w:pPr>
        <w:pStyle w:val="ListParagraph"/>
        <w:numPr>
          <w:ilvl w:val="0"/>
          <w:numId w:val="42"/>
        </w:numPr>
        <w:spacing w:after="0"/>
        <w:ind w:left="0" w:firstLine="360"/>
        <w:jc w:val="both"/>
        <w:rPr>
          <w:rFonts w:ascii="Times New Roman" w:hAnsi="Times New Roman" w:cs="Times New Roman"/>
          <w:b/>
          <w:bCs/>
          <w:color w:val="000000" w:themeColor="text1"/>
          <w:sz w:val="24"/>
          <w:szCs w:val="24"/>
        </w:rPr>
      </w:pPr>
      <w:r w:rsidRPr="00CD2ADD">
        <w:rPr>
          <w:rFonts w:ascii="Times New Roman" w:hAnsi="Times New Roman" w:cs="Times New Roman"/>
          <w:color w:val="000000" w:themeColor="text1"/>
          <w:sz w:val="24"/>
          <w:szCs w:val="24"/>
        </w:rPr>
        <w:t>În acest context, Programul Național de Reducere a Riscurilor de Dezastre Naturale 2026</w:t>
      </w:r>
      <w:r w:rsidR="00B435DE" w:rsidRPr="00CD2ADD">
        <w:rPr>
          <w:rFonts w:ascii="Times New Roman" w:hAnsi="Times New Roman" w:cs="Times New Roman"/>
          <w:color w:val="000000" w:themeColor="text1"/>
          <w:sz w:val="24"/>
          <w:szCs w:val="24"/>
        </w:rPr>
        <w:t>-</w:t>
      </w:r>
      <w:r w:rsidRPr="00CD2ADD">
        <w:rPr>
          <w:rFonts w:ascii="Times New Roman" w:hAnsi="Times New Roman" w:cs="Times New Roman"/>
          <w:color w:val="000000" w:themeColor="text1"/>
          <w:sz w:val="24"/>
          <w:szCs w:val="24"/>
        </w:rPr>
        <w:t>2030 (</w:t>
      </w:r>
      <w:r w:rsidR="00A06EFC" w:rsidRPr="00CD2ADD">
        <w:rPr>
          <w:rFonts w:ascii="Times New Roman" w:hAnsi="Times New Roman" w:cs="Times New Roman"/>
          <w:color w:val="000000" w:themeColor="text1"/>
          <w:sz w:val="24"/>
          <w:szCs w:val="24"/>
        </w:rPr>
        <w:t xml:space="preserve">în continuare - </w:t>
      </w:r>
      <w:r w:rsidRPr="00CD2ADD">
        <w:rPr>
          <w:rFonts w:ascii="Times New Roman" w:hAnsi="Times New Roman" w:cs="Times New Roman"/>
          <w:i/>
          <w:iCs/>
          <w:color w:val="000000" w:themeColor="text1"/>
          <w:sz w:val="24"/>
          <w:szCs w:val="24"/>
        </w:rPr>
        <w:t>PNRRD</w:t>
      </w:r>
      <w:r w:rsidR="00A13CD0" w:rsidRPr="00CD2ADD">
        <w:rPr>
          <w:rFonts w:ascii="Times New Roman" w:hAnsi="Times New Roman" w:cs="Times New Roman"/>
          <w:i/>
          <w:iCs/>
          <w:color w:val="000000" w:themeColor="text1"/>
          <w:sz w:val="24"/>
          <w:szCs w:val="24"/>
        </w:rPr>
        <w:t>N</w:t>
      </w:r>
      <w:r w:rsidR="000A2F1F" w:rsidRPr="00CD2ADD">
        <w:rPr>
          <w:rFonts w:ascii="Times New Roman" w:hAnsi="Times New Roman" w:cs="Times New Roman"/>
          <w:i/>
          <w:iCs/>
          <w:color w:val="000000" w:themeColor="text1"/>
          <w:sz w:val="24"/>
          <w:szCs w:val="24"/>
        </w:rPr>
        <w:t xml:space="preserve"> 2030</w:t>
      </w:r>
      <w:r w:rsidRPr="00CD2ADD">
        <w:rPr>
          <w:rFonts w:ascii="Times New Roman" w:hAnsi="Times New Roman" w:cs="Times New Roman"/>
          <w:color w:val="000000" w:themeColor="text1"/>
          <w:sz w:val="24"/>
          <w:szCs w:val="24"/>
        </w:rPr>
        <w:t>) are ca scop reducerea riscurilor naturale și biologico-sociale prin acțiuni preventive și investiții în reziliență ecologică, infrastructur</w:t>
      </w:r>
      <w:r w:rsidR="00873C93" w:rsidRPr="00CD2ADD">
        <w:rPr>
          <w:rFonts w:ascii="Times New Roman" w:hAnsi="Times New Roman" w:cs="Times New Roman"/>
          <w:color w:val="000000" w:themeColor="text1"/>
          <w:sz w:val="24"/>
          <w:szCs w:val="24"/>
        </w:rPr>
        <w:t>al</w:t>
      </w:r>
      <w:r w:rsidRPr="00CD2ADD">
        <w:rPr>
          <w:rFonts w:ascii="Times New Roman" w:hAnsi="Times New Roman" w:cs="Times New Roman"/>
          <w:color w:val="000000" w:themeColor="text1"/>
          <w:sz w:val="24"/>
          <w:szCs w:val="24"/>
        </w:rPr>
        <w:t>ă și socială.</w:t>
      </w:r>
      <w:r w:rsidR="00873C93" w:rsidRPr="00CD2ADD">
        <w:rPr>
          <w:rFonts w:ascii="Times New Roman" w:hAnsi="Times New Roman" w:cs="Times New Roman"/>
          <w:color w:val="000000" w:themeColor="text1"/>
          <w:sz w:val="24"/>
          <w:szCs w:val="24"/>
        </w:rPr>
        <w:t xml:space="preserve"> </w:t>
      </w:r>
      <w:r w:rsidR="00B435DE" w:rsidRPr="00CD2ADD">
        <w:rPr>
          <w:rFonts w:ascii="Times New Roman" w:hAnsi="Times New Roman" w:cs="Times New Roman"/>
          <w:color w:val="000000" w:themeColor="text1"/>
          <w:sz w:val="24"/>
          <w:szCs w:val="24"/>
        </w:rPr>
        <w:t xml:space="preserve">PNRRDN </w:t>
      </w:r>
      <w:r w:rsidR="000A2F1F" w:rsidRPr="00CD2ADD">
        <w:rPr>
          <w:rFonts w:ascii="Times New Roman" w:hAnsi="Times New Roman" w:cs="Times New Roman"/>
          <w:color w:val="000000" w:themeColor="text1"/>
          <w:sz w:val="24"/>
          <w:szCs w:val="24"/>
        </w:rPr>
        <w:t xml:space="preserve">2030 </w:t>
      </w:r>
      <w:r w:rsidR="00B435DE" w:rsidRPr="00CD2ADD">
        <w:rPr>
          <w:rFonts w:ascii="Times New Roman" w:hAnsi="Times New Roman" w:cs="Times New Roman"/>
          <w:color w:val="000000" w:themeColor="text1"/>
          <w:sz w:val="24"/>
          <w:szCs w:val="24"/>
        </w:rPr>
        <w:t>abordează aceste riscuri printr-o cooperare intersectorială între autoritățile din domeniile mediului, sănătății, agriculturii și siguranței alimentare</w:t>
      </w:r>
      <w:r w:rsidRPr="00CD2ADD">
        <w:rPr>
          <w:rFonts w:ascii="Times New Roman" w:hAnsi="Times New Roman" w:cs="Times New Roman"/>
          <w:color w:val="000000" w:themeColor="text1"/>
          <w:sz w:val="24"/>
          <w:szCs w:val="24"/>
        </w:rPr>
        <w:t xml:space="preserve">. </w:t>
      </w:r>
    </w:p>
    <w:p w14:paraId="0DF7A0DB" w14:textId="544DD8D2" w:rsidR="00FA1837" w:rsidRPr="00CD2ADD" w:rsidRDefault="00FA1837" w:rsidP="00FA1837">
      <w:pPr>
        <w:ind w:firstLine="360"/>
        <w:jc w:val="both"/>
        <w:rPr>
          <w:b/>
          <w:bCs/>
          <w:color w:val="000000" w:themeColor="text1"/>
        </w:rPr>
      </w:pPr>
      <w:r w:rsidRPr="00CD2ADD">
        <w:rPr>
          <w:color w:val="000000" w:themeColor="text1"/>
        </w:rPr>
        <w:t>Reducerea riscurilor de dezastre naturale trebuie abordată integrat, prin corelarea analizei de hazard, expunere și vulnerabilitate cu tendințele demografice, sociale și climatice. PNRRDN 2030 adoptă această abordare sistemică și multisectorială, fundamentată pe date și evidențe, pentru a preveni pierderile, a pregăti comunitățile și instituțiile și a promova o dezvoltare durabilă rezilientă la riscuri.</w:t>
      </w:r>
    </w:p>
    <w:p w14:paraId="57A81BC6" w14:textId="77777777" w:rsidR="00C621C0" w:rsidRPr="00CD2ADD" w:rsidRDefault="003B25DA">
      <w:pPr>
        <w:pStyle w:val="ListParagraph"/>
        <w:numPr>
          <w:ilvl w:val="0"/>
          <w:numId w:val="42"/>
        </w:numPr>
        <w:spacing w:after="0"/>
        <w:ind w:left="0" w:firstLine="360"/>
        <w:jc w:val="both"/>
        <w:rPr>
          <w:rFonts w:ascii="Times New Roman" w:hAnsi="Times New Roman" w:cs="Times New Roman"/>
          <w:b/>
          <w:bCs/>
          <w:color w:val="000000" w:themeColor="text1"/>
          <w:sz w:val="24"/>
          <w:szCs w:val="24"/>
        </w:rPr>
      </w:pPr>
      <w:r w:rsidRPr="00CD2ADD">
        <w:rPr>
          <w:rFonts w:ascii="Times New Roman" w:hAnsi="Times New Roman" w:cs="Times New Roman"/>
          <w:b/>
          <w:bCs/>
          <w:color w:val="000000"/>
          <w:sz w:val="24"/>
          <w:szCs w:val="24"/>
        </w:rPr>
        <w:t>Coeren</w:t>
      </w:r>
      <w:r w:rsidR="00455572" w:rsidRPr="00CD2ADD">
        <w:rPr>
          <w:rFonts w:ascii="Times New Roman" w:hAnsi="Times New Roman" w:cs="Times New Roman"/>
          <w:b/>
          <w:bCs/>
          <w:color w:val="000000"/>
          <w:sz w:val="24"/>
          <w:szCs w:val="24"/>
        </w:rPr>
        <w:t>ț</w:t>
      </w:r>
      <w:r w:rsidRPr="00CD2ADD">
        <w:rPr>
          <w:rFonts w:ascii="Times New Roman" w:hAnsi="Times New Roman" w:cs="Times New Roman"/>
          <w:b/>
          <w:bCs/>
          <w:color w:val="000000"/>
          <w:sz w:val="24"/>
          <w:szCs w:val="24"/>
        </w:rPr>
        <w:t xml:space="preserve">a cu politicile și cadrele </w:t>
      </w:r>
      <w:r w:rsidR="005D195B" w:rsidRPr="00CD2ADD">
        <w:rPr>
          <w:rFonts w:ascii="Times New Roman" w:hAnsi="Times New Roman" w:cs="Times New Roman"/>
          <w:b/>
          <w:bCs/>
          <w:color w:val="000000"/>
          <w:sz w:val="24"/>
          <w:szCs w:val="24"/>
        </w:rPr>
        <w:t>internaționale</w:t>
      </w:r>
    </w:p>
    <w:p w14:paraId="5CB3B0CA" w14:textId="3322C338" w:rsidR="00C621C0" w:rsidRPr="00CD2ADD" w:rsidRDefault="00C621C0" w:rsidP="00C621C0">
      <w:pPr>
        <w:ind w:firstLine="360"/>
        <w:jc w:val="both"/>
        <w:rPr>
          <w:b/>
          <w:bCs/>
          <w:color w:val="000000" w:themeColor="text1"/>
        </w:rPr>
      </w:pPr>
      <w:r w:rsidRPr="00CD2ADD">
        <w:rPr>
          <w:color w:val="000000" w:themeColor="text1"/>
        </w:rPr>
        <w:lastRenderedPageBreak/>
        <w:t>Elaborarea PNRRDN 2030 se realizează într-un context politic și strategic bine definit, caracterizat printr-o interconectare strânsă între angajamentele internaționale, inițiativele europene și documentele de planificare națională deja existente sau în curs de adoptare.</w:t>
      </w:r>
    </w:p>
    <w:p w14:paraId="2BCFE5EC" w14:textId="76A2F618" w:rsidR="00C621C0" w:rsidRPr="00CD2ADD" w:rsidRDefault="00C621C0" w:rsidP="00C621C0">
      <w:pPr>
        <w:ind w:firstLine="360"/>
        <w:jc w:val="both"/>
        <w:rPr>
          <w:b/>
          <w:bCs/>
          <w:color w:val="000000" w:themeColor="text1"/>
        </w:rPr>
      </w:pPr>
      <w:r w:rsidRPr="00CD2ADD">
        <w:rPr>
          <w:color w:val="000000" w:themeColor="text1"/>
        </w:rPr>
        <w:t xml:space="preserve">La nivel internațional, Republica Moldova aderă la prevederile Cadrului de la Sendai pentru Reducerea Riscurilor de Dezastre 2015–2030 (în continuare - </w:t>
      </w:r>
      <w:r w:rsidRPr="00CD2ADD">
        <w:rPr>
          <w:i/>
          <w:iCs/>
          <w:color w:val="000000" w:themeColor="text1"/>
        </w:rPr>
        <w:t>Cadrul de la Sendai</w:t>
      </w:r>
      <w:r w:rsidRPr="00CD2ADD">
        <w:rPr>
          <w:color w:val="000000" w:themeColor="text1"/>
        </w:rPr>
        <w:t>), acesta constituie documentul cheie de referință pentru integrarea reducerii riscurilor de dezastre naturale (RRDN) în politicile de dezvoltare. Acesta promovează o viziune bazată pe prevenție, pregătire, răspuns și reconstrucție precum și consolidarea capacităților instituționale și a comunităților, inclusiv prin integrarea dimensiunii sociale și a mobilității umane în analiza riscurilor, în conformitate cu recomandările Grupului operativ privind strămutarea din cadrul Comitetului Executiv al Mecanismului Internațional de la Varșovia pentru Pierderi și Daune, care subliniază importanța includerii legăturilor dintre mobilitatea umană și schimbările climatice în procesele naționale relevante de planificare privind schimbările climatice.</w:t>
      </w:r>
      <w:r w:rsidRPr="00CD2ADD">
        <w:rPr>
          <w:rStyle w:val="FootnoteReference"/>
          <w:color w:val="000000" w:themeColor="text1"/>
        </w:rPr>
        <w:footnoteReference w:id="2"/>
      </w:r>
    </w:p>
    <w:p w14:paraId="732A3873" w14:textId="33DBF2E5" w:rsidR="00C80AB2" w:rsidRPr="00CD2ADD" w:rsidRDefault="00873C93">
      <w:pPr>
        <w:pStyle w:val="ListParagraph"/>
        <w:numPr>
          <w:ilvl w:val="0"/>
          <w:numId w:val="42"/>
        </w:numPr>
        <w:spacing w:after="0"/>
        <w:ind w:left="0" w:firstLine="360"/>
        <w:jc w:val="both"/>
        <w:rPr>
          <w:rFonts w:ascii="Times New Roman" w:hAnsi="Times New Roman" w:cs="Times New Roman"/>
          <w:b/>
          <w:bCs/>
          <w:color w:val="000000" w:themeColor="text1"/>
          <w:sz w:val="24"/>
          <w:szCs w:val="24"/>
        </w:rPr>
      </w:pPr>
      <w:r w:rsidRPr="00CD2ADD">
        <w:rPr>
          <w:rFonts w:ascii="Times New Roman" w:hAnsi="Times New Roman" w:cs="Times New Roman"/>
          <w:color w:val="000000" w:themeColor="text1"/>
          <w:sz w:val="24"/>
          <w:szCs w:val="24"/>
        </w:rPr>
        <w:t xml:space="preserve">În plus, </w:t>
      </w:r>
      <w:r w:rsidR="00C80AB2" w:rsidRPr="00CD2ADD">
        <w:rPr>
          <w:rFonts w:ascii="Times New Roman" w:hAnsi="Times New Roman" w:cs="Times New Roman"/>
          <w:color w:val="000000" w:themeColor="text1"/>
          <w:sz w:val="24"/>
          <w:szCs w:val="24"/>
        </w:rPr>
        <w:t xml:space="preserve">Republica Moldova este parte </w:t>
      </w:r>
      <w:r w:rsidR="00F3554E" w:rsidRPr="00CD2ADD">
        <w:rPr>
          <w:rFonts w:ascii="Times New Roman" w:hAnsi="Times New Roman" w:cs="Times New Roman"/>
          <w:color w:val="000000" w:themeColor="text1"/>
          <w:sz w:val="24"/>
          <w:szCs w:val="24"/>
        </w:rPr>
        <w:t>și</w:t>
      </w:r>
      <w:r w:rsidRPr="00CD2ADD">
        <w:rPr>
          <w:rFonts w:ascii="Times New Roman" w:hAnsi="Times New Roman" w:cs="Times New Roman"/>
          <w:color w:val="000000" w:themeColor="text1"/>
          <w:sz w:val="24"/>
          <w:szCs w:val="24"/>
        </w:rPr>
        <w:t xml:space="preserve"> </w:t>
      </w:r>
      <w:r w:rsidR="00C80AB2" w:rsidRPr="00CD2ADD">
        <w:rPr>
          <w:rFonts w:ascii="Times New Roman" w:hAnsi="Times New Roman" w:cs="Times New Roman"/>
          <w:color w:val="000000" w:themeColor="text1"/>
          <w:sz w:val="24"/>
          <w:szCs w:val="24"/>
        </w:rPr>
        <w:t>a celor trei convenții de la Rio: Convenția-cadru a Națiunilor Unite privind Schimbările Climatice</w:t>
      </w:r>
      <w:r w:rsidR="00F433AE" w:rsidRPr="00CD2ADD">
        <w:rPr>
          <w:rFonts w:ascii="Times New Roman" w:hAnsi="Times New Roman" w:cs="Times New Roman"/>
          <w:color w:val="000000" w:themeColor="text1"/>
          <w:sz w:val="24"/>
          <w:szCs w:val="24"/>
        </w:rPr>
        <w:t xml:space="preserve"> (UNFCCC)</w:t>
      </w:r>
      <w:r w:rsidR="00C80AB2" w:rsidRPr="00CD2ADD">
        <w:rPr>
          <w:rFonts w:ascii="Times New Roman" w:hAnsi="Times New Roman" w:cs="Times New Roman"/>
          <w:color w:val="000000" w:themeColor="text1"/>
          <w:sz w:val="24"/>
          <w:szCs w:val="24"/>
        </w:rPr>
        <w:t>, Convenția privind Diversitatea Biologică</w:t>
      </w:r>
      <w:r w:rsidR="00F433AE" w:rsidRPr="00CD2ADD">
        <w:rPr>
          <w:rFonts w:ascii="Times New Roman" w:hAnsi="Times New Roman" w:cs="Times New Roman"/>
          <w:color w:val="000000" w:themeColor="text1"/>
          <w:sz w:val="24"/>
          <w:szCs w:val="24"/>
        </w:rPr>
        <w:t xml:space="preserve"> (CBD)</w:t>
      </w:r>
      <w:r w:rsidR="00C80AB2" w:rsidRPr="00CD2ADD">
        <w:rPr>
          <w:rFonts w:ascii="Times New Roman" w:hAnsi="Times New Roman" w:cs="Times New Roman"/>
          <w:color w:val="000000" w:themeColor="text1"/>
          <w:sz w:val="24"/>
          <w:szCs w:val="24"/>
        </w:rPr>
        <w:t xml:space="preserve"> </w:t>
      </w:r>
      <w:r w:rsidR="009C2F96" w:rsidRPr="00CD2ADD">
        <w:rPr>
          <w:rFonts w:ascii="Times New Roman" w:hAnsi="Times New Roman" w:cs="Times New Roman"/>
          <w:color w:val="000000" w:themeColor="text1"/>
          <w:sz w:val="24"/>
          <w:szCs w:val="24"/>
        </w:rPr>
        <w:t>și</w:t>
      </w:r>
      <w:r w:rsidR="00C80AB2" w:rsidRPr="00CD2ADD">
        <w:rPr>
          <w:rFonts w:ascii="Times New Roman" w:hAnsi="Times New Roman" w:cs="Times New Roman"/>
          <w:color w:val="000000" w:themeColor="text1"/>
          <w:sz w:val="24"/>
          <w:szCs w:val="24"/>
        </w:rPr>
        <w:t xml:space="preserve"> Convenția Națiunilor Unite pentru Combaterea Deșertificării</w:t>
      </w:r>
      <w:r w:rsidR="00F433AE" w:rsidRPr="00CD2ADD">
        <w:rPr>
          <w:rFonts w:ascii="Times New Roman" w:hAnsi="Times New Roman" w:cs="Times New Roman"/>
          <w:color w:val="000000" w:themeColor="text1"/>
          <w:sz w:val="24"/>
          <w:szCs w:val="24"/>
        </w:rPr>
        <w:t xml:space="preserve"> (UNCCD)</w:t>
      </w:r>
      <w:r w:rsidR="00C80AB2" w:rsidRPr="00CD2ADD">
        <w:rPr>
          <w:rFonts w:ascii="Times New Roman" w:hAnsi="Times New Roman" w:cs="Times New Roman"/>
          <w:color w:val="000000" w:themeColor="text1"/>
          <w:sz w:val="24"/>
          <w:szCs w:val="24"/>
        </w:rPr>
        <w:t>. Aceste convenții oferă un cadru strategic fundamental pentru combaterea schimbărilor climatice, protejarea ecosistemelor și gestionarea sustenabilă a solurilor. Instrumentele operaționale asociate acestora</w:t>
      </w:r>
      <w:r w:rsidR="009C2F96" w:rsidRPr="00CD2ADD">
        <w:rPr>
          <w:rFonts w:ascii="Times New Roman" w:hAnsi="Times New Roman" w:cs="Times New Roman"/>
          <w:color w:val="000000" w:themeColor="text1"/>
          <w:sz w:val="24"/>
          <w:szCs w:val="24"/>
        </w:rPr>
        <w:t xml:space="preserve">, </w:t>
      </w:r>
      <w:r w:rsidR="00C80AB2" w:rsidRPr="00CD2ADD">
        <w:rPr>
          <w:rFonts w:ascii="Times New Roman" w:hAnsi="Times New Roman" w:cs="Times New Roman"/>
          <w:color w:val="000000" w:themeColor="text1"/>
          <w:sz w:val="24"/>
          <w:szCs w:val="24"/>
        </w:rPr>
        <w:t xml:space="preserve">precum Contribuțiile Determinate la Nivel Național (NDC), Planul Național de Adaptare </w:t>
      </w:r>
      <w:r w:rsidR="00307B54" w:rsidRPr="00CD2ADD">
        <w:rPr>
          <w:rFonts w:ascii="Times New Roman" w:hAnsi="Times New Roman" w:cs="Times New Roman"/>
          <w:color w:val="000000" w:themeColor="text1"/>
          <w:sz w:val="24"/>
          <w:szCs w:val="24"/>
        </w:rPr>
        <w:t>la schimbările climatice</w:t>
      </w:r>
      <w:r w:rsidR="00046F48" w:rsidRPr="00CD2ADD">
        <w:rPr>
          <w:rFonts w:ascii="Times New Roman" w:hAnsi="Times New Roman" w:cs="Times New Roman"/>
          <w:color w:val="000000" w:themeColor="text1"/>
          <w:sz w:val="24"/>
          <w:szCs w:val="24"/>
        </w:rPr>
        <w:t xml:space="preserve"> </w:t>
      </w:r>
      <w:r w:rsidR="00C80AB2" w:rsidRPr="00CD2ADD">
        <w:rPr>
          <w:rFonts w:ascii="Times New Roman" w:hAnsi="Times New Roman" w:cs="Times New Roman"/>
          <w:color w:val="000000" w:themeColor="text1"/>
          <w:sz w:val="24"/>
          <w:szCs w:val="24"/>
        </w:rPr>
        <w:t xml:space="preserve">(NAP), </w:t>
      </w:r>
      <w:r w:rsidR="00307B54" w:rsidRPr="00CD2ADD">
        <w:rPr>
          <w:rFonts w:ascii="Times New Roman" w:hAnsi="Times New Roman" w:cs="Times New Roman"/>
          <w:color w:val="000000" w:themeColor="text1"/>
          <w:sz w:val="24"/>
          <w:szCs w:val="24"/>
        </w:rPr>
        <w:t xml:space="preserve">Strategia Națională </w:t>
      </w:r>
      <w:r w:rsidR="00F32AB2" w:rsidRPr="00CD2ADD">
        <w:rPr>
          <w:rFonts w:ascii="Times New Roman" w:hAnsi="Times New Roman" w:cs="Times New Roman"/>
          <w:color w:val="000000" w:themeColor="text1"/>
          <w:sz w:val="24"/>
          <w:szCs w:val="24"/>
        </w:rPr>
        <w:t>ș</w:t>
      </w:r>
      <w:r w:rsidR="00307B54" w:rsidRPr="00CD2ADD">
        <w:rPr>
          <w:rFonts w:ascii="Times New Roman" w:hAnsi="Times New Roman" w:cs="Times New Roman"/>
          <w:color w:val="000000" w:themeColor="text1"/>
          <w:sz w:val="24"/>
          <w:szCs w:val="24"/>
        </w:rPr>
        <w:t>i Planul National de Acțiune privind Conservarea Biodiversității</w:t>
      </w:r>
      <w:r w:rsidR="00307B54" w:rsidRPr="00CD2ADD" w:rsidDel="00307B54">
        <w:rPr>
          <w:rFonts w:ascii="Times New Roman" w:hAnsi="Times New Roman" w:cs="Times New Roman"/>
          <w:color w:val="000000" w:themeColor="text1"/>
          <w:sz w:val="24"/>
          <w:szCs w:val="24"/>
        </w:rPr>
        <w:t xml:space="preserve"> </w:t>
      </w:r>
      <w:r w:rsidR="00C80AB2" w:rsidRPr="00CD2ADD">
        <w:rPr>
          <w:rFonts w:ascii="Times New Roman" w:hAnsi="Times New Roman" w:cs="Times New Roman"/>
          <w:color w:val="000000" w:themeColor="text1"/>
          <w:sz w:val="24"/>
          <w:szCs w:val="24"/>
        </w:rPr>
        <w:t>(NBSAP) și obiectivele de neutralitate a degradării terenurilor (LDN)</w:t>
      </w:r>
      <w:r w:rsidR="00F3554E" w:rsidRPr="00CD2ADD">
        <w:rPr>
          <w:rFonts w:ascii="Times New Roman" w:hAnsi="Times New Roman" w:cs="Times New Roman"/>
          <w:color w:val="000000" w:themeColor="text1"/>
          <w:sz w:val="24"/>
          <w:szCs w:val="24"/>
        </w:rPr>
        <w:t>,</w:t>
      </w:r>
      <w:r w:rsidR="00C80AB2" w:rsidRPr="00CD2ADD">
        <w:rPr>
          <w:rFonts w:ascii="Times New Roman" w:hAnsi="Times New Roman" w:cs="Times New Roman"/>
          <w:color w:val="000000" w:themeColor="text1"/>
          <w:sz w:val="24"/>
          <w:szCs w:val="24"/>
        </w:rPr>
        <w:t xml:space="preserve"> susțin o abordare coerentă și integrată la nivel național</w:t>
      </w:r>
      <w:r w:rsidR="00F3554E" w:rsidRPr="00CD2ADD">
        <w:rPr>
          <w:rFonts w:ascii="Times New Roman" w:hAnsi="Times New Roman" w:cs="Times New Roman"/>
          <w:color w:val="000000" w:themeColor="text1"/>
          <w:sz w:val="24"/>
          <w:szCs w:val="24"/>
        </w:rPr>
        <w:t xml:space="preserve"> și</w:t>
      </w:r>
      <w:r w:rsidR="00046F48" w:rsidRPr="00CD2ADD">
        <w:rPr>
          <w:rFonts w:ascii="Times New Roman" w:hAnsi="Times New Roman" w:cs="Times New Roman"/>
          <w:color w:val="000000" w:themeColor="text1"/>
          <w:sz w:val="24"/>
          <w:szCs w:val="24"/>
        </w:rPr>
        <w:t xml:space="preserve"> sunt esențiale pentru combaterea </w:t>
      </w:r>
      <w:r w:rsidR="009C2F96" w:rsidRPr="00CD2ADD">
        <w:rPr>
          <w:rFonts w:ascii="Times New Roman" w:hAnsi="Times New Roman" w:cs="Times New Roman"/>
          <w:color w:val="000000" w:themeColor="text1"/>
          <w:sz w:val="24"/>
          <w:szCs w:val="24"/>
        </w:rPr>
        <w:t xml:space="preserve">riscurilor de dezastre </w:t>
      </w:r>
      <w:r w:rsidR="00F3554E" w:rsidRPr="00CD2ADD">
        <w:rPr>
          <w:rFonts w:ascii="Times New Roman" w:hAnsi="Times New Roman" w:cs="Times New Roman"/>
          <w:color w:val="000000" w:themeColor="text1"/>
          <w:sz w:val="24"/>
          <w:szCs w:val="24"/>
        </w:rPr>
        <w:t xml:space="preserve">naturale și </w:t>
      </w:r>
      <w:r w:rsidR="009C2F96" w:rsidRPr="00CD2ADD">
        <w:rPr>
          <w:rFonts w:ascii="Times New Roman" w:hAnsi="Times New Roman" w:cs="Times New Roman"/>
          <w:color w:val="000000" w:themeColor="text1"/>
          <w:sz w:val="24"/>
          <w:szCs w:val="24"/>
        </w:rPr>
        <w:t>climatice</w:t>
      </w:r>
      <w:r w:rsidR="00C80AB2" w:rsidRPr="00CD2ADD">
        <w:rPr>
          <w:rFonts w:ascii="Times New Roman" w:hAnsi="Times New Roman" w:cs="Times New Roman"/>
          <w:color w:val="000000" w:themeColor="text1"/>
          <w:sz w:val="24"/>
          <w:szCs w:val="24"/>
        </w:rPr>
        <w:t>.</w:t>
      </w:r>
    </w:p>
    <w:p w14:paraId="6F916F4F" w14:textId="135E2540" w:rsidR="001F0936" w:rsidRPr="00CD2ADD" w:rsidDel="009F018D" w:rsidRDefault="00205BFB" w:rsidP="00205BFB">
      <w:pPr>
        <w:pStyle w:val="ListParagraph"/>
        <w:spacing w:after="0"/>
        <w:ind w:left="360" w:firstLine="0"/>
        <w:jc w:val="center"/>
        <w:rPr>
          <w:rFonts w:ascii="Times New Roman" w:hAnsi="Times New Roman" w:cs="Times New Roman"/>
          <w:color w:val="000000" w:themeColor="text1"/>
          <w:sz w:val="24"/>
          <w:szCs w:val="24"/>
        </w:rPr>
      </w:pPr>
      <w:r w:rsidRPr="00CD2ADD" w:rsidDel="009F018D">
        <w:rPr>
          <w:rFonts w:ascii="Times New Roman" w:hAnsi="Times New Roman" w:cs="Times New Roman"/>
          <w:b/>
          <w:bCs/>
          <w:color w:val="000000" w:themeColor="text1"/>
          <w:sz w:val="24"/>
          <w:szCs w:val="24"/>
        </w:rPr>
        <w:t xml:space="preserve">Figura 1. </w:t>
      </w:r>
      <w:r w:rsidRPr="00CD2ADD" w:rsidDel="009F018D">
        <w:rPr>
          <w:rFonts w:ascii="Times New Roman" w:hAnsi="Times New Roman" w:cs="Times New Roman"/>
          <w:color w:val="000000" w:themeColor="text1"/>
          <w:sz w:val="24"/>
          <w:szCs w:val="24"/>
        </w:rPr>
        <w:t>Coerența cu cadrele internaționale și politicile naționale relevante</w:t>
      </w:r>
    </w:p>
    <w:p w14:paraId="16FD3BF5" w14:textId="0BF1D703" w:rsidR="005F669D" w:rsidRPr="00CD2ADD" w:rsidRDefault="00F32AB2" w:rsidP="005F669D">
      <w:pPr>
        <w:jc w:val="center"/>
        <w:rPr>
          <w:b/>
          <w:bCs/>
          <w:color w:val="000000" w:themeColor="text1"/>
        </w:rPr>
      </w:pPr>
      <w:r w:rsidRPr="00CD2ADD">
        <w:rPr>
          <w:rStyle w:val="Strong"/>
          <w:b/>
          <w:bCs w:val="0"/>
          <w:noProof/>
        </w:rPr>
        <w:drawing>
          <wp:inline distT="0" distB="0" distL="0" distR="0" wp14:anchorId="0F4DBDFA" wp14:editId="3AA7F193">
            <wp:extent cx="6197646" cy="3657600"/>
            <wp:effectExtent l="0" t="0" r="0" b="0"/>
            <wp:docPr id="1958041273" name="Picture 1" descr="A white and blue rectang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41273" name="Picture 1" descr="A white and blue rectangular object with text&#10;&#10;AI-generated content may be incorrect."/>
                    <pic:cNvPicPr/>
                  </pic:nvPicPr>
                  <pic:blipFill rotWithShape="1">
                    <a:blip r:embed="rId9" cstate="print">
                      <a:extLst>
                        <a:ext uri="{28A0092B-C50C-407E-A947-70E740481C1C}">
                          <a14:useLocalDpi xmlns:a14="http://schemas.microsoft.com/office/drawing/2010/main" val="0"/>
                        </a:ext>
                      </a:extLst>
                    </a:blip>
                    <a:srcRect l="8503" t="9068" r="6075" b="10268"/>
                    <a:stretch/>
                  </pic:blipFill>
                  <pic:spPr bwMode="auto">
                    <a:xfrm>
                      <a:off x="0" y="0"/>
                      <a:ext cx="6248112" cy="3687383"/>
                    </a:xfrm>
                    <a:prstGeom prst="rect">
                      <a:avLst/>
                    </a:prstGeom>
                    <a:ln>
                      <a:noFill/>
                    </a:ln>
                    <a:extLst>
                      <a:ext uri="{53640926-AAD7-44D8-BBD7-CCE9431645EC}">
                        <a14:shadowObscured xmlns:a14="http://schemas.microsoft.com/office/drawing/2010/main"/>
                      </a:ext>
                    </a:extLst>
                  </pic:spPr>
                </pic:pic>
              </a:graphicData>
            </a:graphic>
          </wp:inline>
        </w:drawing>
      </w:r>
    </w:p>
    <w:p w14:paraId="1CAB3E0D" w14:textId="77777777" w:rsidR="009F018D" w:rsidRPr="00CD2ADD" w:rsidRDefault="009F018D" w:rsidP="00416D7F">
      <w:pPr>
        <w:ind w:firstLine="360"/>
        <w:jc w:val="both"/>
        <w:rPr>
          <w:color w:val="000000" w:themeColor="text1"/>
        </w:rPr>
      </w:pPr>
    </w:p>
    <w:p w14:paraId="19B879DD" w14:textId="1FBC7A44" w:rsidR="00E661E6" w:rsidRPr="00CD2ADD" w:rsidRDefault="00E661E6" w:rsidP="00416D7F">
      <w:pPr>
        <w:ind w:firstLine="360"/>
        <w:jc w:val="both"/>
        <w:rPr>
          <w:b/>
          <w:bCs/>
          <w:color w:val="000000" w:themeColor="text1"/>
        </w:rPr>
      </w:pPr>
      <w:r w:rsidRPr="00CD2ADD">
        <w:rPr>
          <w:color w:val="000000" w:themeColor="text1"/>
        </w:rPr>
        <w:t xml:space="preserve">Mai mult, în cadrul Platformei Globale pentru Reducerea Riscului de Dezastre 2025, care a avut loc între 2–6 iunie a anului curent la Geneva, s-au reafirmat direcții strategice esențiale pentru </w:t>
      </w:r>
      <w:r w:rsidRPr="00CD2ADD">
        <w:rPr>
          <w:color w:val="000000" w:themeColor="text1"/>
        </w:rPr>
        <w:lastRenderedPageBreak/>
        <w:t xml:space="preserve">accelerarea implementării Cadrului de la Sendai până în 2030, multe dintre acestea fiind direct relevante pentru elaborarea și operaționalizarea PNRRD 2030 în Republica Moldova. S-a subliniat i) necesitatea unei </w:t>
      </w:r>
      <w:r w:rsidRPr="00CD2ADD">
        <w:rPr>
          <w:b/>
          <w:bCs/>
          <w:color w:val="000000" w:themeColor="text1"/>
        </w:rPr>
        <w:t>mai bune înțelegeri a riscului</w:t>
      </w:r>
      <w:r w:rsidRPr="00CD2ADD">
        <w:rPr>
          <w:color w:val="000000" w:themeColor="text1"/>
        </w:rPr>
        <w:t>, prin colectarea, analiza și utilizarea sistematică a datelor istorice și actuale, defalcate pe sexe, vârstă, dizabilități și venit, precum și prin extinderea utilizării instrumentelor digitale de urmărire și monitorizare (ex. Sendai Framework Monitor)</w:t>
      </w:r>
      <w:r w:rsidR="00B435DE" w:rsidRPr="00CD2ADD">
        <w:rPr>
          <w:color w:val="000000" w:themeColor="text1"/>
        </w:rPr>
        <w:t>;</w:t>
      </w:r>
      <w:r w:rsidRPr="00CD2ADD">
        <w:rPr>
          <w:color w:val="000000" w:themeColor="text1"/>
        </w:rPr>
        <w:t xml:space="preserve"> ii) S-a pledat pentru o </w:t>
      </w:r>
      <w:r w:rsidRPr="00CD2ADD">
        <w:rPr>
          <w:b/>
          <w:bCs/>
          <w:color w:val="000000" w:themeColor="text1"/>
        </w:rPr>
        <w:t>guvernanță integrată a riscurilor</w:t>
      </w:r>
      <w:r w:rsidRPr="00CD2ADD">
        <w:rPr>
          <w:color w:val="000000" w:themeColor="text1"/>
        </w:rPr>
        <w:t>, care presupune depășirea granițelor sectoriale și integrarea planificării RRD cu politici de adaptare la schimbările climatice și de protecție socială și de mediu, în paralel cu consolidarea cooperării regionale pentru gestionarea riscurilor emergente</w:t>
      </w:r>
      <w:r w:rsidR="00B435DE" w:rsidRPr="00CD2ADD">
        <w:rPr>
          <w:color w:val="000000" w:themeColor="text1"/>
        </w:rPr>
        <w:t>;</w:t>
      </w:r>
      <w:r w:rsidRPr="00CD2ADD">
        <w:rPr>
          <w:color w:val="000000" w:themeColor="text1"/>
        </w:rPr>
        <w:t xml:space="preserve"> iii) Un alt pilon evidențiat a fost </w:t>
      </w:r>
      <w:r w:rsidRPr="00CD2ADD">
        <w:rPr>
          <w:b/>
          <w:bCs/>
          <w:color w:val="000000" w:themeColor="text1"/>
        </w:rPr>
        <w:t>investiția în prevenție</w:t>
      </w:r>
      <w:r w:rsidRPr="00CD2ADD">
        <w:rPr>
          <w:color w:val="000000" w:themeColor="text1"/>
        </w:rPr>
        <w:t>, prin mobilizarea resurselor bugetare naționale, accesarea finanțărilor climatice și parteneriate cu sectorul privat, dar și prin integrarea principiului „investiție fundamentată pe riscuri” în toate deciziile publice și private,  inclusiv în educație, unde reziliența infrastructurii are efecte multiplicatoare</w:t>
      </w:r>
      <w:r w:rsidR="00B435DE" w:rsidRPr="00CD2ADD">
        <w:rPr>
          <w:color w:val="000000" w:themeColor="text1"/>
        </w:rPr>
        <w:t>;</w:t>
      </w:r>
      <w:r w:rsidRPr="00CD2ADD">
        <w:rPr>
          <w:color w:val="000000" w:themeColor="text1"/>
        </w:rPr>
        <w:t xml:space="preserve"> iv) În ceea ce privește </w:t>
      </w:r>
      <w:r w:rsidRPr="00CD2ADD">
        <w:rPr>
          <w:b/>
          <w:bCs/>
          <w:color w:val="000000" w:themeColor="text1"/>
        </w:rPr>
        <w:t>pregătirea și răspunsul,</w:t>
      </w:r>
      <w:r w:rsidRPr="00CD2ADD">
        <w:rPr>
          <w:color w:val="000000" w:themeColor="text1"/>
        </w:rPr>
        <w:t xml:space="preserve"> s-a reiterat importanța </w:t>
      </w:r>
      <w:r w:rsidRPr="00CD2ADD">
        <w:rPr>
          <w:i/>
          <w:iCs/>
          <w:color w:val="000000" w:themeColor="text1"/>
        </w:rPr>
        <w:t>sistemelor de avertizare timpurie multi-risc (MHEWS)</w:t>
      </w:r>
      <w:r w:rsidRPr="00CD2ADD">
        <w:rPr>
          <w:color w:val="000000" w:themeColor="text1"/>
        </w:rPr>
        <w:t>, în condițiile în care aproape jumătate din populația globului rămâne neacoperită; realizarea obiectivului „Early Warnings for All” până în 2027 necesită sprijin internațional și asumare instituțională internă, precum și investiții în acțiuni anticipative și plase de siguranță socială</w:t>
      </w:r>
      <w:r w:rsidR="00B435DE" w:rsidRPr="00CD2ADD">
        <w:rPr>
          <w:color w:val="000000" w:themeColor="text1"/>
        </w:rPr>
        <w:t>;</w:t>
      </w:r>
      <w:r w:rsidRPr="00CD2ADD">
        <w:rPr>
          <w:color w:val="000000" w:themeColor="text1"/>
        </w:rPr>
        <w:t xml:space="preserve"> v) Nu în ultimul rând, s-a accentuat </w:t>
      </w:r>
      <w:r w:rsidRPr="00CD2ADD">
        <w:rPr>
          <w:b/>
          <w:bCs/>
          <w:color w:val="000000" w:themeColor="text1"/>
        </w:rPr>
        <w:t>principiul incluziunii și reconstrucției durabile,</w:t>
      </w:r>
      <w:r w:rsidRPr="00CD2ADD">
        <w:rPr>
          <w:color w:val="000000" w:themeColor="text1"/>
        </w:rPr>
        <w:t xml:space="preserve"> reiterându-se angajamentul ca nimeni să nu fie lăsat în urmă. Guvernele sunt încurajate să aplice pe deplin Planul de Acțiune privind Genul, Apelurile Globale la Acțiune al Copiilor și Tinerilor, precum și recomandările privind incluziunea dizabilităților, iar procesul de reconstrucție post-dezastru („Build Back Better”) trebuie planificat în avans, într-o manieră participativă, incluzivă și adaptată contextului cultural local.</w:t>
      </w:r>
    </w:p>
    <w:p w14:paraId="656B6FC0" w14:textId="77777777" w:rsidR="00FA1837" w:rsidRPr="00CD2ADD" w:rsidRDefault="00FA1837">
      <w:pPr>
        <w:pStyle w:val="ListParagraph"/>
        <w:numPr>
          <w:ilvl w:val="0"/>
          <w:numId w:val="42"/>
        </w:numPr>
        <w:spacing w:after="0"/>
        <w:ind w:left="0" w:firstLine="284"/>
        <w:jc w:val="both"/>
        <w:rPr>
          <w:rFonts w:ascii="Times New Roman" w:hAnsi="Times New Roman" w:cs="Times New Roman"/>
          <w:b/>
          <w:bCs/>
          <w:color w:val="000000" w:themeColor="text1"/>
          <w:sz w:val="24"/>
          <w:szCs w:val="24"/>
        </w:rPr>
      </w:pPr>
      <w:r w:rsidRPr="00CD2ADD">
        <w:rPr>
          <w:rFonts w:ascii="Times New Roman" w:hAnsi="Times New Roman" w:cs="Times New Roman"/>
          <w:b/>
          <w:bCs/>
          <w:color w:val="000000" w:themeColor="text1"/>
          <w:sz w:val="24"/>
          <w:szCs w:val="24"/>
        </w:rPr>
        <w:t>Coerența cu politicile și cadrele de reglementare naționale</w:t>
      </w:r>
    </w:p>
    <w:p w14:paraId="28247491" w14:textId="61F42720" w:rsidR="00C621C0" w:rsidRPr="00CD2ADD" w:rsidRDefault="00C621C0" w:rsidP="00C621C0">
      <w:pPr>
        <w:ind w:firstLine="284"/>
        <w:jc w:val="both"/>
        <w:rPr>
          <w:b/>
          <w:bCs/>
          <w:color w:val="000000" w:themeColor="text1"/>
        </w:rPr>
      </w:pPr>
      <w:r w:rsidRPr="00CD2ADD">
        <w:rPr>
          <w:color w:val="000000" w:themeColor="text1"/>
        </w:rPr>
        <w:t xml:space="preserve">La nivel național, </w:t>
      </w:r>
      <w:r w:rsidRPr="00CD2ADD">
        <w:rPr>
          <w:b/>
          <w:bCs/>
          <w:color w:val="000000" w:themeColor="text1"/>
        </w:rPr>
        <w:t>Strategia Națională de Dezvoltare „Moldova Europeană 2030”</w:t>
      </w:r>
      <w:r w:rsidRPr="00CD2ADD">
        <w:rPr>
          <w:color w:val="000000" w:themeColor="text1"/>
        </w:rPr>
        <w:t xml:space="preserve"> oferă cadrul general de orientare a politicilor publice spre obiectivele de dezvoltare durabilă și reziliență. Obiectivul 10 al Strategiei: „Asigurarea dreptului fundamental la un mediu ambiant sănătos și sigur”, stabilește direcții-cheie privind protecția mediului, promovarea economiei verzi și combaterea schimbărilor climatice. Țintele aferente acestui obiectiv, inclusiv consolidarea rezilienței la schimbările climatice (ODD 13.1), combaterea degradării solurilor (ODD 15.3) și creșterea suprafețelor împădurite (ODD 15.2), sunt direct relevante pentru reducerea riscurilor de dezastre naturale și climatice. PNRRDN 2030 contribuie la realizarea acestor ținte printr-o abordare bazată pe prevenție, adaptare și reziliență, devenind un instrument operațional de implementare a priorităților Strategiei „Moldova Europeană 2030”.</w:t>
      </w:r>
    </w:p>
    <w:p w14:paraId="3146F384" w14:textId="005E7687" w:rsidR="00E86C02" w:rsidRPr="00CD2ADD" w:rsidRDefault="00E86C02">
      <w:pPr>
        <w:pStyle w:val="ListParagraph"/>
        <w:numPr>
          <w:ilvl w:val="0"/>
          <w:numId w:val="42"/>
        </w:numPr>
        <w:spacing w:after="0"/>
        <w:ind w:left="0" w:firstLine="284"/>
        <w:jc w:val="both"/>
        <w:rPr>
          <w:rFonts w:ascii="Times New Roman" w:hAnsi="Times New Roman" w:cs="Times New Roman"/>
          <w:b/>
          <w:bCs/>
          <w:color w:val="000000" w:themeColor="text1"/>
          <w:sz w:val="24"/>
          <w:szCs w:val="24"/>
        </w:rPr>
      </w:pPr>
      <w:r w:rsidRPr="00CD2ADD">
        <w:rPr>
          <w:rFonts w:ascii="Times New Roman" w:hAnsi="Times New Roman" w:cs="Times New Roman"/>
          <w:color w:val="000000" w:themeColor="text1"/>
          <w:sz w:val="24"/>
          <w:szCs w:val="24"/>
        </w:rPr>
        <w:t>PNRRDN 2030 este deplin aliniat</w:t>
      </w:r>
      <w:r w:rsidRPr="00CD2ADD">
        <w:rPr>
          <w:rFonts w:ascii="Times New Roman" w:hAnsi="Times New Roman" w:cs="Times New Roman"/>
          <w:b/>
          <w:bCs/>
          <w:color w:val="000000" w:themeColor="text1"/>
          <w:sz w:val="24"/>
          <w:szCs w:val="24"/>
        </w:rPr>
        <w:t xml:space="preserve"> </w:t>
      </w:r>
      <w:r w:rsidRPr="00CD2ADD">
        <w:rPr>
          <w:rFonts w:ascii="Times New Roman" w:hAnsi="Times New Roman" w:cs="Times New Roman"/>
          <w:color w:val="000000" w:themeColor="text1"/>
          <w:sz w:val="24"/>
          <w:szCs w:val="24"/>
        </w:rPr>
        <w:t xml:space="preserve">și cu cadrul național de monitorizare </w:t>
      </w:r>
      <w:r w:rsidR="00131C52" w:rsidRPr="00CD2ADD">
        <w:rPr>
          <w:rFonts w:ascii="Times New Roman" w:hAnsi="Times New Roman" w:cs="Times New Roman"/>
          <w:color w:val="000000" w:themeColor="text1"/>
          <w:sz w:val="24"/>
          <w:szCs w:val="24"/>
        </w:rPr>
        <w:t xml:space="preserve">a implementării </w:t>
      </w:r>
      <w:r w:rsidR="00305D97" w:rsidRPr="00CD2ADD">
        <w:rPr>
          <w:rFonts w:ascii="Times New Roman" w:hAnsi="Times New Roman" w:cs="Times New Roman"/>
          <w:color w:val="000000" w:themeColor="text1"/>
          <w:sz w:val="24"/>
          <w:szCs w:val="24"/>
        </w:rPr>
        <w:t xml:space="preserve">Agendei de Dezvoltare Durabilă 2030, </w:t>
      </w:r>
      <w:r w:rsidRPr="00CD2ADD">
        <w:rPr>
          <w:rFonts w:ascii="Times New Roman" w:hAnsi="Times New Roman" w:cs="Times New Roman"/>
          <w:color w:val="000000" w:themeColor="text1"/>
          <w:sz w:val="24"/>
          <w:szCs w:val="24"/>
        </w:rPr>
        <w:t>aprobat prin Hotărârea Guvernului nr. 953/2022, contribuind la obiectivele și țintele relevante pentru consolidarea rezilienței și dezvoltării durabile în Republica Moldova. Programul reflectă recunoașterea faptului că RRD este o condiție esențială pentru atingerea Obiectivelor de Dezvoltare Durabilă (ODD), iar implementarea acțiunilor de prevenire, adaptare și răspuns contribuie direct la protejarea vieților, ecosistemelor, economiei și infrastructurilor.</w:t>
      </w:r>
    </w:p>
    <w:p w14:paraId="086EBE38" w14:textId="4F574573" w:rsidR="00E86C02" w:rsidRPr="00CD2ADD" w:rsidRDefault="00E86C02">
      <w:pPr>
        <w:pStyle w:val="ListParagraph"/>
        <w:numPr>
          <w:ilvl w:val="0"/>
          <w:numId w:val="42"/>
        </w:numPr>
        <w:spacing w:after="0"/>
        <w:ind w:left="0" w:firstLine="284"/>
        <w:jc w:val="both"/>
        <w:rPr>
          <w:rFonts w:ascii="Times New Roman" w:hAnsi="Times New Roman" w:cs="Times New Roman"/>
          <w:b/>
          <w:bCs/>
          <w:color w:val="000000" w:themeColor="text1"/>
          <w:sz w:val="24"/>
          <w:szCs w:val="24"/>
        </w:rPr>
      </w:pPr>
      <w:r w:rsidRPr="00CD2ADD">
        <w:rPr>
          <w:rFonts w:ascii="Times New Roman" w:hAnsi="Times New Roman" w:cs="Times New Roman"/>
          <w:color w:val="000000" w:themeColor="text1"/>
          <w:sz w:val="24"/>
          <w:szCs w:val="24"/>
        </w:rPr>
        <w:t>PNRRDN</w:t>
      </w:r>
      <w:r w:rsidR="00305D97" w:rsidRPr="00CD2ADD">
        <w:rPr>
          <w:rFonts w:ascii="Times New Roman" w:hAnsi="Times New Roman" w:cs="Times New Roman"/>
          <w:color w:val="000000" w:themeColor="text1"/>
          <w:sz w:val="24"/>
          <w:szCs w:val="24"/>
        </w:rPr>
        <w:t xml:space="preserve"> 2030</w:t>
      </w:r>
      <w:r w:rsidRPr="00CD2ADD">
        <w:rPr>
          <w:rFonts w:ascii="Times New Roman" w:hAnsi="Times New Roman" w:cs="Times New Roman"/>
          <w:color w:val="000000" w:themeColor="text1"/>
          <w:sz w:val="24"/>
          <w:szCs w:val="24"/>
        </w:rPr>
        <w:t xml:space="preserve"> contribuie la ODD 1</w:t>
      </w:r>
      <w:r w:rsidR="005011EE" w:rsidRPr="00CD2ADD">
        <w:rPr>
          <w:rFonts w:ascii="Times New Roman" w:hAnsi="Times New Roman" w:cs="Times New Roman"/>
          <w:color w:val="000000" w:themeColor="text1"/>
          <w:sz w:val="24"/>
          <w:szCs w:val="24"/>
        </w:rPr>
        <w:t xml:space="preserve"> eradicarea sărăciei</w:t>
      </w:r>
      <w:r w:rsidRPr="00CD2ADD">
        <w:rPr>
          <w:rFonts w:ascii="Times New Roman" w:hAnsi="Times New Roman" w:cs="Times New Roman"/>
          <w:color w:val="000000" w:themeColor="text1"/>
          <w:sz w:val="24"/>
          <w:szCs w:val="24"/>
        </w:rPr>
        <w:t>, sprijinind ținta 1.5, prin acțiuni care vizează creșterea rezilienței gospodăriilor vulnerabile și reducerea expunerii acestora la șocuri climatice, sociale și economice. În domeniul sănătății</w:t>
      </w:r>
      <w:r w:rsidR="00CA4660"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ODD 3, ținta 3.d,</w:t>
      </w:r>
      <w:r w:rsidR="00CA4660"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Programul consolidează capacitățile sistemului medical de a gestiona riscuri biologico-sociale, asigurând continuitatea serviciilor esențiale, inclusiv în materie de sănătate publică și reproductivă. În sectorul apei</w:t>
      </w:r>
      <w:r w:rsidR="00CA4660"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ODD 6, țintele 6.3, 6.4, 6.5, 6.6, 6.a, Programul promovează protecția resurselor de apă, reducerea poluării, eficientizarea utilizării apei și consolidarea managementului integrat al resurselor hidrografice, inclusiv prin măsuri în bazinele hidrografice expuse riscurilor. Conform ODD 9</w:t>
      </w:r>
      <w:r w:rsidR="005011EE" w:rsidRPr="00CD2ADD">
        <w:rPr>
          <w:rFonts w:ascii="Times New Roman" w:hAnsi="Times New Roman" w:cs="Times New Roman"/>
          <w:color w:val="000000" w:themeColor="text1"/>
          <w:sz w:val="24"/>
          <w:szCs w:val="24"/>
        </w:rPr>
        <w:t xml:space="preserve"> industrie, inovație și infrastructura</w:t>
      </w:r>
      <w:r w:rsidRPr="00CD2ADD">
        <w:rPr>
          <w:rFonts w:ascii="Times New Roman" w:hAnsi="Times New Roman" w:cs="Times New Roman"/>
          <w:color w:val="000000" w:themeColor="text1"/>
          <w:sz w:val="24"/>
          <w:szCs w:val="24"/>
        </w:rPr>
        <w:t xml:space="preserve"> </w:t>
      </w:r>
      <w:r w:rsidR="00CA4660"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 xml:space="preserve">țintele 9.1 și 9.4, PNRRDN susține modernizarea și adaptarea infrastructurilor la hazarduri naturale și climatice, promovând standarde de construcție rezilientă și investiții în tehnologii sigure și eficiente. În același timp, în </w:t>
      </w:r>
      <w:r w:rsidR="00CA4660" w:rsidRPr="00CD2ADD">
        <w:rPr>
          <w:rFonts w:ascii="Times New Roman" w:hAnsi="Times New Roman" w:cs="Times New Roman"/>
          <w:color w:val="000000" w:themeColor="text1"/>
          <w:sz w:val="24"/>
          <w:szCs w:val="24"/>
        </w:rPr>
        <w:t xml:space="preserve">contextul </w:t>
      </w:r>
      <w:r w:rsidRPr="00CD2ADD">
        <w:rPr>
          <w:rFonts w:ascii="Times New Roman" w:hAnsi="Times New Roman" w:cs="Times New Roman"/>
          <w:color w:val="000000" w:themeColor="text1"/>
          <w:sz w:val="24"/>
          <w:szCs w:val="24"/>
        </w:rPr>
        <w:t xml:space="preserve"> ODD 11</w:t>
      </w:r>
      <w:r w:rsidR="00305D97" w:rsidRPr="00CD2ADD">
        <w:rPr>
          <w:rFonts w:ascii="Times New Roman" w:hAnsi="Times New Roman" w:cs="Times New Roman"/>
          <w:color w:val="000000" w:themeColor="text1"/>
          <w:sz w:val="24"/>
          <w:szCs w:val="24"/>
        </w:rPr>
        <w:t xml:space="preserve"> </w:t>
      </w:r>
      <w:r w:rsidR="005011EE" w:rsidRPr="00CD2ADD">
        <w:rPr>
          <w:rFonts w:ascii="Times New Roman" w:hAnsi="Times New Roman" w:cs="Times New Roman"/>
          <w:color w:val="000000" w:themeColor="text1"/>
          <w:sz w:val="24"/>
          <w:szCs w:val="24"/>
        </w:rPr>
        <w:t>orașe și comunități durabile</w:t>
      </w:r>
      <w:r w:rsidR="00CA4660"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 xml:space="preserve">țintele 11.5 și 11.b, Programul sprijină reducerea pierderilor umane și economice cauzate de dezastre și dezvoltarea </w:t>
      </w:r>
      <w:r w:rsidRPr="00CD2ADD">
        <w:rPr>
          <w:rFonts w:ascii="Times New Roman" w:hAnsi="Times New Roman" w:cs="Times New Roman"/>
          <w:color w:val="000000" w:themeColor="text1"/>
          <w:sz w:val="24"/>
          <w:szCs w:val="24"/>
        </w:rPr>
        <w:lastRenderedPageBreak/>
        <w:t>strategiilor locale de RRD, contribuind la orașe și comunități sigure,</w:t>
      </w:r>
      <w:r w:rsidR="000F1E7E"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reziliente și incluzive. În domeniul consumului și producției</w:t>
      </w:r>
      <w:r w:rsidR="00CA4660"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ODD 12, țintele 12.2, 12.4, 12.5, Programul promovează utilizarea durabilă a resurselor naturale și managementul ecologic al substanțelor și deșeurilor, prevenind riscurile legate de poluare și degradarea terenurilor. ODD 13</w:t>
      </w:r>
      <w:r w:rsidR="00CA4660"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țintele 13.1, 13.2, 13.3 este abordat prin integrarea schimbărilor climatice în planificarea sectorială, dezvoltarea sistemelor de avertizare timpurie multi-hazard și măsuri de creștere a capacității instituționale și de conștientizare publică. În ceea ce privește conservarea ecosistemelor ODD 15, țintele 15.1, 15.2, 15.3, 15.5, 15.9, Programul facilitează protejarea și restaurarea pădurilor, solurilor și ecosistemelor acvatice, promovând împădurirea, prevenirea deșertificării și integrarea valorii ecosistemelor în planificarea națională și locală. În final, în spiritul ODD 16</w:t>
      </w:r>
      <w:r w:rsidR="00ED339F"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țintele 16.6 și 16.7, PNRRDN întărește guvernanța bazată pe date, transparență și participare publică, sprijinind procese incluzive de planificare, coordonare interinstituțională și responsabilizare administrativă</w:t>
      </w:r>
      <w:r w:rsidR="005011EE" w:rsidRPr="00CD2ADD">
        <w:rPr>
          <w:rFonts w:ascii="Times New Roman" w:hAnsi="Times New Roman" w:cs="Times New Roman"/>
          <w:color w:val="000000" w:themeColor="text1"/>
          <w:sz w:val="24"/>
          <w:szCs w:val="24"/>
        </w:rPr>
        <w:t xml:space="preserve">. </w:t>
      </w:r>
      <w:r w:rsidR="00B74156"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 xml:space="preserve">Contribuțiile Programului la Agenda 2030 sunt reflectate în matricea de rezultate și monitorizare, utilizând indicatori naționali și indicatorii Cadrului Sendai </w:t>
      </w:r>
      <w:r w:rsidR="000F1E7E" w:rsidRPr="00CD2ADD">
        <w:rPr>
          <w:rFonts w:ascii="Times New Roman" w:hAnsi="Times New Roman" w:cs="Times New Roman"/>
          <w:color w:val="000000" w:themeColor="text1"/>
          <w:sz w:val="24"/>
          <w:szCs w:val="24"/>
        </w:rPr>
        <w:t xml:space="preserve">în limita posibilului, </w:t>
      </w:r>
      <w:r w:rsidRPr="00CD2ADD">
        <w:rPr>
          <w:rFonts w:ascii="Times New Roman" w:hAnsi="Times New Roman" w:cs="Times New Roman"/>
          <w:color w:val="000000" w:themeColor="text1"/>
          <w:sz w:val="24"/>
          <w:szCs w:val="24"/>
        </w:rPr>
        <w:t xml:space="preserve">asigurând astfel o raportare coerentă, anuală și comparabilă la </w:t>
      </w:r>
      <w:r w:rsidR="000F1E7E" w:rsidRPr="00CD2ADD">
        <w:rPr>
          <w:rFonts w:ascii="Times New Roman" w:hAnsi="Times New Roman" w:cs="Times New Roman"/>
          <w:color w:val="000000" w:themeColor="text1"/>
          <w:sz w:val="24"/>
          <w:szCs w:val="24"/>
        </w:rPr>
        <w:t xml:space="preserve">diferite </w:t>
      </w:r>
      <w:r w:rsidRPr="00CD2ADD">
        <w:rPr>
          <w:rFonts w:ascii="Times New Roman" w:hAnsi="Times New Roman" w:cs="Times New Roman"/>
          <w:color w:val="000000" w:themeColor="text1"/>
          <w:sz w:val="24"/>
          <w:szCs w:val="24"/>
        </w:rPr>
        <w:t>nivel</w:t>
      </w:r>
      <w:r w:rsidR="000F1E7E" w:rsidRPr="00CD2ADD">
        <w:rPr>
          <w:rFonts w:ascii="Times New Roman" w:hAnsi="Times New Roman" w:cs="Times New Roman"/>
          <w:color w:val="000000" w:themeColor="text1"/>
          <w:sz w:val="24"/>
          <w:szCs w:val="24"/>
        </w:rPr>
        <w:t>uri</w:t>
      </w:r>
      <w:r w:rsidR="000F1E7E" w:rsidRPr="00CD2ADD">
        <w:rPr>
          <w:rFonts w:ascii="Times New Roman" w:hAnsi="Times New Roman" w:cs="Times New Roman"/>
          <w:sz w:val="24"/>
          <w:szCs w:val="24"/>
        </w:rPr>
        <w:t xml:space="preserve">. </w:t>
      </w:r>
    </w:p>
    <w:p w14:paraId="041BFEC9" w14:textId="1532FD51" w:rsidR="00AB5789" w:rsidRPr="00CD2ADD" w:rsidRDefault="00036A2C">
      <w:pPr>
        <w:pStyle w:val="ListParagraph"/>
        <w:numPr>
          <w:ilvl w:val="0"/>
          <w:numId w:val="42"/>
        </w:numPr>
        <w:spacing w:after="0"/>
        <w:ind w:left="0" w:firstLine="284"/>
        <w:jc w:val="both"/>
        <w:rPr>
          <w:rFonts w:ascii="Times New Roman" w:hAnsi="Times New Roman" w:cs="Times New Roman"/>
          <w:b/>
          <w:bCs/>
          <w:color w:val="000000" w:themeColor="text1"/>
          <w:sz w:val="24"/>
          <w:szCs w:val="24"/>
        </w:rPr>
      </w:pPr>
      <w:r w:rsidRPr="00CD2ADD">
        <w:rPr>
          <w:rFonts w:ascii="Times New Roman" w:hAnsi="Times New Roman" w:cs="Times New Roman"/>
          <w:color w:val="000000" w:themeColor="text1"/>
          <w:sz w:val="24"/>
          <w:szCs w:val="24"/>
        </w:rPr>
        <w:t xml:space="preserve">Programul este aliniat cu obiectivele </w:t>
      </w:r>
      <w:r w:rsidRPr="00CD2ADD">
        <w:rPr>
          <w:rFonts w:ascii="Times New Roman" w:hAnsi="Times New Roman" w:cs="Times New Roman"/>
          <w:b/>
          <w:bCs/>
          <w:color w:val="000000" w:themeColor="text1"/>
          <w:sz w:val="24"/>
          <w:szCs w:val="24"/>
        </w:rPr>
        <w:t xml:space="preserve">Strategiei naționale </w:t>
      </w:r>
      <w:r w:rsidRPr="00CD2ADD">
        <w:rPr>
          <w:rFonts w:ascii="Times New Roman" w:eastAsia="Arial Unicode MS" w:hAnsi="Times New Roman" w:cs="Times New Roman"/>
          <w:b/>
          <w:bCs/>
          <w:color w:val="000000" w:themeColor="text1"/>
          <w:sz w:val="24"/>
          <w:szCs w:val="24"/>
          <w:u w:color="000000"/>
          <w:bdr w:val="nil"/>
        </w:rPr>
        <w:t xml:space="preserve">de reducere a riscurilor dezastrelor </w:t>
      </w:r>
      <w:r w:rsidRPr="00CD2ADD">
        <w:rPr>
          <w:rFonts w:ascii="Times New Roman" w:hAnsi="Times New Roman" w:cs="Times New Roman"/>
          <w:b/>
          <w:bCs/>
          <w:color w:val="000000" w:themeColor="text1"/>
          <w:sz w:val="24"/>
          <w:szCs w:val="24"/>
          <w:lang w:eastAsia="ru-RU"/>
        </w:rPr>
        <w:t>pentru perioada 2024-2030 (</w:t>
      </w:r>
      <w:r w:rsidRPr="00CD2ADD">
        <w:rPr>
          <w:rFonts w:ascii="Times New Roman" w:hAnsi="Times New Roman" w:cs="Times New Roman"/>
          <w:b/>
          <w:bCs/>
          <w:i/>
          <w:iCs/>
          <w:color w:val="000000" w:themeColor="text1"/>
          <w:sz w:val="24"/>
          <w:szCs w:val="24"/>
          <w:lang w:eastAsia="ru-RU"/>
        </w:rPr>
        <w:t>SNRRD 2024-2030</w:t>
      </w:r>
      <w:r w:rsidRPr="00CD2ADD">
        <w:rPr>
          <w:rFonts w:ascii="Times New Roman" w:hAnsi="Times New Roman" w:cs="Times New Roman"/>
          <w:color w:val="000000" w:themeColor="text1"/>
          <w:sz w:val="24"/>
          <w:szCs w:val="24"/>
          <w:lang w:eastAsia="ru-RU"/>
        </w:rPr>
        <w:t xml:space="preserve">), </w:t>
      </w:r>
      <w:r w:rsidRPr="00CD2ADD">
        <w:rPr>
          <w:rFonts w:ascii="Times New Roman" w:hAnsi="Times New Roman" w:cs="Times New Roman"/>
          <w:color w:val="000000" w:themeColor="text1"/>
          <w:sz w:val="24"/>
          <w:szCs w:val="24"/>
        </w:rPr>
        <w:t>aprobată prin Hotărârea Guvernului nr. 804/2024</w:t>
      </w:r>
      <w:r w:rsidR="00FE3D07" w:rsidRPr="00CD2ADD">
        <w:rPr>
          <w:rFonts w:ascii="Times New Roman" w:hAnsi="Times New Roman" w:cs="Times New Roman"/>
          <w:color w:val="000000" w:themeColor="text1"/>
          <w:sz w:val="24"/>
          <w:szCs w:val="24"/>
        </w:rPr>
        <w:t>. Programul</w:t>
      </w:r>
      <w:r w:rsidRPr="00CD2ADD">
        <w:rPr>
          <w:rFonts w:ascii="Times New Roman" w:hAnsi="Times New Roman" w:cs="Times New Roman"/>
          <w:color w:val="000000" w:themeColor="text1"/>
          <w:sz w:val="24"/>
          <w:szCs w:val="24"/>
        </w:rPr>
        <w:t xml:space="preserve"> contribuie</w:t>
      </w:r>
      <w:r w:rsidR="00FE3D07" w:rsidRPr="00CD2ADD">
        <w:rPr>
          <w:rFonts w:ascii="Times New Roman" w:hAnsi="Times New Roman" w:cs="Times New Roman"/>
          <w:color w:val="000000" w:themeColor="text1"/>
          <w:sz w:val="24"/>
          <w:szCs w:val="24"/>
        </w:rPr>
        <w:t xml:space="preserve"> de asemenea</w:t>
      </w:r>
      <w:r w:rsidRPr="00CD2ADD">
        <w:rPr>
          <w:rFonts w:ascii="Times New Roman" w:hAnsi="Times New Roman" w:cs="Times New Roman"/>
          <w:color w:val="000000" w:themeColor="text1"/>
          <w:sz w:val="24"/>
          <w:szCs w:val="24"/>
        </w:rPr>
        <w:t xml:space="preserve"> la atingerea obiectivelor din </w:t>
      </w:r>
      <w:r w:rsidRPr="00CD2ADD">
        <w:rPr>
          <w:rFonts w:ascii="Times New Roman" w:hAnsi="Times New Roman" w:cs="Times New Roman"/>
          <w:b/>
          <w:bCs/>
          <w:color w:val="000000" w:themeColor="text1"/>
          <w:sz w:val="24"/>
          <w:szCs w:val="24"/>
        </w:rPr>
        <w:t>Strategia de mediu</w:t>
      </w:r>
      <w:r w:rsidR="00FE3D07" w:rsidRPr="00CD2ADD">
        <w:rPr>
          <w:rFonts w:ascii="Times New Roman" w:hAnsi="Times New Roman" w:cs="Times New Roman"/>
          <w:b/>
          <w:bCs/>
          <w:color w:val="000000" w:themeColor="text1"/>
          <w:sz w:val="24"/>
          <w:szCs w:val="24"/>
        </w:rPr>
        <w:t xml:space="preserve"> aprobată prin Hotărârea Guvernului nr. 409/2004</w:t>
      </w:r>
      <w:r w:rsidRPr="00CD2ADD">
        <w:rPr>
          <w:rFonts w:ascii="Times New Roman" w:hAnsi="Times New Roman" w:cs="Times New Roman"/>
          <w:color w:val="000000" w:themeColor="text1"/>
          <w:sz w:val="24"/>
          <w:szCs w:val="24"/>
        </w:rPr>
        <w:t xml:space="preserve"> și </w:t>
      </w:r>
      <w:r w:rsidR="00FE3D07" w:rsidRPr="00CD2ADD">
        <w:rPr>
          <w:rFonts w:ascii="Times New Roman" w:hAnsi="Times New Roman" w:cs="Times New Roman"/>
          <w:color w:val="000000" w:themeColor="text1"/>
          <w:sz w:val="24"/>
          <w:szCs w:val="24"/>
        </w:rPr>
        <w:t xml:space="preserve">a celor </w:t>
      </w:r>
      <w:r w:rsidRPr="00CD2ADD">
        <w:rPr>
          <w:rFonts w:ascii="Times New Roman" w:hAnsi="Times New Roman" w:cs="Times New Roman"/>
          <w:color w:val="000000" w:themeColor="text1"/>
          <w:sz w:val="24"/>
          <w:szCs w:val="24"/>
        </w:rPr>
        <w:t xml:space="preserve">din </w:t>
      </w:r>
      <w:r w:rsidRPr="00CD2ADD">
        <w:rPr>
          <w:rFonts w:ascii="Times New Roman" w:hAnsi="Times New Roman" w:cs="Times New Roman"/>
          <w:b/>
          <w:bCs/>
          <w:color w:val="000000" w:themeColor="text1"/>
          <w:sz w:val="24"/>
          <w:szCs w:val="24"/>
        </w:rPr>
        <w:t>Programul național de adaptare la schimbările climatice până în 2030, aprobat prin Hotărârea Guvernului nr. 624/2023</w:t>
      </w:r>
      <w:r w:rsidRPr="00CD2ADD">
        <w:rPr>
          <w:rFonts w:ascii="Times New Roman" w:hAnsi="Times New Roman" w:cs="Times New Roman"/>
          <w:color w:val="000000" w:themeColor="text1"/>
          <w:sz w:val="24"/>
          <w:szCs w:val="24"/>
        </w:rPr>
        <w:t xml:space="preserve"> și integrează în mod transversal aspecte legate de protecția grupurilor vulnerabile, incluziunea socială</w:t>
      </w:r>
      <w:r w:rsidR="00FE3D07" w:rsidRPr="00CD2ADD">
        <w:rPr>
          <w:rFonts w:ascii="Times New Roman" w:hAnsi="Times New Roman" w:cs="Times New Roman"/>
          <w:color w:val="000000" w:themeColor="text1"/>
          <w:sz w:val="24"/>
          <w:szCs w:val="24"/>
        </w:rPr>
        <w:t>,</w:t>
      </w:r>
      <w:r w:rsidRPr="00CD2ADD">
        <w:rPr>
          <w:rFonts w:ascii="Times New Roman" w:hAnsi="Times New Roman" w:cs="Times New Roman"/>
          <w:color w:val="000000" w:themeColor="text1"/>
          <w:sz w:val="24"/>
          <w:szCs w:val="24"/>
        </w:rPr>
        <w:t xml:space="preserve"> migrație și strămutare. </w:t>
      </w:r>
      <w:bookmarkStart w:id="2" w:name="_Toc195539546"/>
      <w:r w:rsidR="00AB5789" w:rsidRPr="00CD2ADD">
        <w:rPr>
          <w:rFonts w:ascii="Times New Roman" w:hAnsi="Times New Roman" w:cs="Times New Roman"/>
          <w:color w:val="000000" w:themeColor="text1"/>
          <w:sz w:val="24"/>
          <w:szCs w:val="24"/>
        </w:rPr>
        <w:t>Sinergiile dintre aceste</w:t>
      </w:r>
      <w:r w:rsidR="00BA5AC1" w:rsidRPr="00CD2ADD">
        <w:rPr>
          <w:rFonts w:ascii="Times New Roman" w:hAnsi="Times New Roman" w:cs="Times New Roman"/>
          <w:color w:val="000000" w:themeColor="text1"/>
          <w:sz w:val="24"/>
          <w:szCs w:val="24"/>
        </w:rPr>
        <w:t xml:space="preserve"> documente strategice</w:t>
      </w:r>
      <w:r w:rsidR="00AB5789" w:rsidRPr="00CD2ADD">
        <w:rPr>
          <w:rFonts w:ascii="Times New Roman" w:hAnsi="Times New Roman" w:cs="Times New Roman"/>
          <w:color w:val="000000" w:themeColor="text1"/>
          <w:sz w:val="24"/>
          <w:szCs w:val="24"/>
        </w:rPr>
        <w:t xml:space="preserve"> </w:t>
      </w:r>
      <w:r w:rsidR="00BA5AC1" w:rsidRPr="00CD2ADD">
        <w:rPr>
          <w:rFonts w:ascii="Times New Roman" w:hAnsi="Times New Roman" w:cs="Times New Roman"/>
          <w:color w:val="000000" w:themeColor="text1"/>
          <w:sz w:val="24"/>
          <w:szCs w:val="24"/>
        </w:rPr>
        <w:t xml:space="preserve">au </w:t>
      </w:r>
      <w:r w:rsidR="00AB5789" w:rsidRPr="00CD2ADD">
        <w:rPr>
          <w:rFonts w:ascii="Times New Roman" w:hAnsi="Times New Roman" w:cs="Times New Roman"/>
          <w:color w:val="000000" w:themeColor="text1"/>
          <w:sz w:val="24"/>
          <w:szCs w:val="24"/>
        </w:rPr>
        <w:t>permi</w:t>
      </w:r>
      <w:r w:rsidR="00BA5AC1" w:rsidRPr="00CD2ADD">
        <w:rPr>
          <w:rFonts w:ascii="Times New Roman" w:hAnsi="Times New Roman" w:cs="Times New Roman"/>
          <w:color w:val="000000" w:themeColor="text1"/>
          <w:sz w:val="24"/>
          <w:szCs w:val="24"/>
        </w:rPr>
        <w:t>s</w:t>
      </w:r>
      <w:r w:rsidR="00AB5789" w:rsidRPr="00CD2ADD">
        <w:rPr>
          <w:rFonts w:ascii="Times New Roman" w:hAnsi="Times New Roman" w:cs="Times New Roman"/>
          <w:color w:val="000000" w:themeColor="text1"/>
          <w:sz w:val="24"/>
          <w:szCs w:val="24"/>
        </w:rPr>
        <w:t xml:space="preserve"> formularea de obiective generale și specifice coerente, precum și </w:t>
      </w:r>
      <w:r w:rsidR="008824C0" w:rsidRPr="00CD2ADD">
        <w:rPr>
          <w:rFonts w:ascii="Times New Roman" w:hAnsi="Times New Roman" w:cs="Times New Roman"/>
          <w:color w:val="000000" w:themeColor="text1"/>
          <w:sz w:val="24"/>
          <w:szCs w:val="24"/>
        </w:rPr>
        <w:t xml:space="preserve">propunerea </w:t>
      </w:r>
      <w:r w:rsidR="00AB5789" w:rsidRPr="00CD2ADD">
        <w:rPr>
          <w:rFonts w:ascii="Times New Roman" w:hAnsi="Times New Roman" w:cs="Times New Roman"/>
          <w:color w:val="000000" w:themeColor="text1"/>
          <w:sz w:val="24"/>
          <w:szCs w:val="24"/>
        </w:rPr>
        <w:t xml:space="preserve">unor măsuri concrete, corelate cu planurile sectoriale. </w:t>
      </w:r>
      <w:r w:rsidR="00897654" w:rsidRPr="00CD2ADD">
        <w:rPr>
          <w:rFonts w:ascii="Times New Roman" w:hAnsi="Times New Roman" w:cs="Times New Roman"/>
          <w:color w:val="000000" w:themeColor="text1"/>
          <w:sz w:val="24"/>
          <w:szCs w:val="24"/>
        </w:rPr>
        <w:t xml:space="preserve">Printre aceste </w:t>
      </w:r>
      <w:r w:rsidR="004A61C2" w:rsidRPr="00CD2ADD">
        <w:rPr>
          <w:rFonts w:ascii="Times New Roman" w:hAnsi="Times New Roman" w:cs="Times New Roman"/>
          <w:color w:val="000000" w:themeColor="text1"/>
          <w:sz w:val="24"/>
          <w:szCs w:val="24"/>
        </w:rPr>
        <w:t>documente de referință</w:t>
      </w:r>
      <w:r w:rsidR="00897654" w:rsidRPr="00CD2ADD">
        <w:rPr>
          <w:rFonts w:ascii="Times New Roman" w:hAnsi="Times New Roman" w:cs="Times New Roman"/>
          <w:color w:val="000000" w:themeColor="text1"/>
          <w:sz w:val="24"/>
          <w:szCs w:val="24"/>
        </w:rPr>
        <w:t xml:space="preserve"> se numără</w:t>
      </w:r>
      <w:r w:rsidR="004A61C2" w:rsidRPr="00CD2ADD">
        <w:rPr>
          <w:rFonts w:ascii="Times New Roman" w:hAnsi="Times New Roman" w:cs="Times New Roman"/>
          <w:color w:val="000000" w:themeColor="text1"/>
          <w:sz w:val="24"/>
          <w:szCs w:val="24"/>
        </w:rPr>
        <w:t xml:space="preserve"> </w:t>
      </w:r>
      <w:r w:rsidR="00897654" w:rsidRPr="00CD2ADD">
        <w:rPr>
          <w:rFonts w:ascii="Times New Roman" w:hAnsi="Times New Roman" w:cs="Times New Roman"/>
          <w:color w:val="000000" w:themeColor="text1"/>
          <w:sz w:val="24"/>
          <w:szCs w:val="24"/>
        </w:rPr>
        <w:t xml:space="preserve">și </w:t>
      </w:r>
      <w:r w:rsidR="004A61C2" w:rsidRPr="00CD2ADD">
        <w:rPr>
          <w:rFonts w:ascii="Times New Roman" w:hAnsi="Times New Roman" w:cs="Times New Roman"/>
          <w:b/>
          <w:bCs/>
          <w:color w:val="000000" w:themeColor="text1"/>
          <w:sz w:val="24"/>
          <w:szCs w:val="24"/>
        </w:rPr>
        <w:t>Planul de gestionare a riscului de inundații</w:t>
      </w:r>
      <w:r w:rsidR="004A61C2" w:rsidRPr="00CD2ADD">
        <w:rPr>
          <w:rFonts w:ascii="Times New Roman" w:hAnsi="Times New Roman" w:cs="Times New Roman"/>
          <w:color w:val="000000" w:themeColor="text1"/>
          <w:sz w:val="24"/>
          <w:szCs w:val="24"/>
        </w:rPr>
        <w:t xml:space="preserve"> pentru districtul </w:t>
      </w:r>
      <w:r w:rsidR="004A61C2" w:rsidRPr="00CD2ADD">
        <w:rPr>
          <w:rFonts w:ascii="Times New Roman" w:hAnsi="Times New Roman" w:cs="Times New Roman"/>
          <w:b/>
          <w:bCs/>
          <w:color w:val="000000" w:themeColor="text1"/>
          <w:sz w:val="24"/>
          <w:szCs w:val="24"/>
        </w:rPr>
        <w:t>bazinului hidrografic Nistru</w:t>
      </w:r>
      <w:r w:rsidR="004A61C2" w:rsidRPr="00CD2ADD">
        <w:rPr>
          <w:rFonts w:ascii="Times New Roman" w:hAnsi="Times New Roman" w:cs="Times New Roman"/>
          <w:color w:val="000000" w:themeColor="text1"/>
          <w:sz w:val="24"/>
          <w:szCs w:val="24"/>
        </w:rPr>
        <w:t xml:space="preserve"> pentru anii 2020-2025 si Planul de gestionare a riscului de inundații pentru districtul </w:t>
      </w:r>
      <w:r w:rsidR="004A61C2" w:rsidRPr="00CD2ADD">
        <w:rPr>
          <w:rFonts w:ascii="Times New Roman" w:hAnsi="Times New Roman" w:cs="Times New Roman"/>
          <w:b/>
          <w:bCs/>
          <w:color w:val="000000" w:themeColor="text1"/>
          <w:sz w:val="24"/>
          <w:szCs w:val="24"/>
        </w:rPr>
        <w:t>bazinului hidrografic Dunărea–Prut și Marea Neagră</w:t>
      </w:r>
      <w:r w:rsidR="004A61C2" w:rsidRPr="00CD2ADD">
        <w:rPr>
          <w:rFonts w:ascii="Times New Roman" w:hAnsi="Times New Roman" w:cs="Times New Roman"/>
          <w:color w:val="000000" w:themeColor="text1"/>
          <w:sz w:val="24"/>
          <w:szCs w:val="24"/>
        </w:rPr>
        <w:t xml:space="preserve">, </w:t>
      </w:r>
      <w:r w:rsidR="004A61C2" w:rsidRPr="00CD2ADD">
        <w:rPr>
          <w:rFonts w:ascii="Times New Roman" w:hAnsi="Times New Roman" w:cs="Times New Roman"/>
          <w:b/>
          <w:bCs/>
          <w:color w:val="000000" w:themeColor="text1"/>
          <w:sz w:val="24"/>
          <w:szCs w:val="24"/>
        </w:rPr>
        <w:t>aprobate prin HG nr. 562/2020</w:t>
      </w:r>
      <w:r w:rsidR="004A61C2" w:rsidRPr="00CD2ADD">
        <w:rPr>
          <w:rFonts w:ascii="Times New Roman" w:hAnsi="Times New Roman" w:cs="Times New Roman"/>
          <w:b/>
          <w:bCs/>
          <w:i/>
          <w:iCs/>
          <w:color w:val="000000" w:themeColor="text1"/>
          <w:sz w:val="24"/>
          <w:szCs w:val="24"/>
        </w:rPr>
        <w:t>.</w:t>
      </w:r>
      <w:r w:rsidR="004A61C2" w:rsidRPr="00CD2ADD">
        <w:rPr>
          <w:rFonts w:ascii="Times New Roman" w:hAnsi="Times New Roman" w:cs="Times New Roman"/>
          <w:b/>
          <w:bCs/>
          <w:color w:val="000000" w:themeColor="text1"/>
          <w:sz w:val="24"/>
          <w:szCs w:val="24"/>
        </w:rPr>
        <w:t xml:space="preserve"> </w:t>
      </w:r>
      <w:r w:rsidR="00BA5AC1" w:rsidRPr="00CD2ADD">
        <w:rPr>
          <w:rFonts w:ascii="Times New Roman" w:hAnsi="Times New Roman" w:cs="Times New Roman"/>
          <w:color w:val="000000" w:themeColor="text1"/>
          <w:sz w:val="24"/>
          <w:szCs w:val="24"/>
        </w:rPr>
        <w:t>Prin această viziune integrată, PNRRDN 2030 creează premisele pentru politici și investiții publice bazate pe risc, în concordanță cu angajamentele internaționale ale Republicii Moldova.</w:t>
      </w:r>
      <w:r w:rsidR="00603F79" w:rsidRPr="00CD2ADD">
        <w:rPr>
          <w:rFonts w:ascii="Times New Roman" w:hAnsi="Times New Roman" w:cs="Times New Roman"/>
          <w:color w:val="000000" w:themeColor="text1"/>
          <w:sz w:val="24"/>
          <w:szCs w:val="24"/>
        </w:rPr>
        <w:t xml:space="preserve"> </w:t>
      </w:r>
    </w:p>
    <w:p w14:paraId="410A0EE8" w14:textId="10139E79" w:rsidR="00AB5789" w:rsidRPr="00CD2ADD" w:rsidRDefault="008824C0">
      <w:pPr>
        <w:pStyle w:val="ListParagraph"/>
        <w:numPr>
          <w:ilvl w:val="0"/>
          <w:numId w:val="42"/>
        </w:numPr>
        <w:spacing w:after="0"/>
        <w:ind w:left="0" w:firstLine="284"/>
        <w:jc w:val="both"/>
        <w:rPr>
          <w:rFonts w:ascii="Times New Roman" w:hAnsi="Times New Roman" w:cs="Times New Roman"/>
          <w:b/>
          <w:bCs/>
          <w:color w:val="000000" w:themeColor="text1"/>
          <w:sz w:val="24"/>
          <w:szCs w:val="24"/>
        </w:rPr>
      </w:pPr>
      <w:r w:rsidRPr="00CD2ADD">
        <w:rPr>
          <w:rFonts w:ascii="Times New Roman" w:hAnsi="Times New Roman" w:cs="Times New Roman"/>
          <w:color w:val="000000" w:themeColor="text1"/>
          <w:sz w:val="24"/>
          <w:szCs w:val="24"/>
        </w:rPr>
        <w:t>Unul din</w:t>
      </w:r>
      <w:r w:rsidR="006B27DD" w:rsidRPr="00CD2ADD">
        <w:rPr>
          <w:rFonts w:ascii="Times New Roman" w:hAnsi="Times New Roman" w:cs="Times New Roman"/>
          <w:color w:val="000000" w:themeColor="text1"/>
          <w:sz w:val="24"/>
          <w:szCs w:val="24"/>
        </w:rPr>
        <w:t xml:space="preserve"> </w:t>
      </w:r>
      <w:r w:rsidR="00AB5789" w:rsidRPr="00CD2ADD">
        <w:rPr>
          <w:rFonts w:ascii="Times New Roman" w:hAnsi="Times New Roman" w:cs="Times New Roman"/>
          <w:color w:val="000000" w:themeColor="text1"/>
          <w:sz w:val="24"/>
          <w:szCs w:val="24"/>
        </w:rPr>
        <w:t>document</w:t>
      </w:r>
      <w:r w:rsidRPr="00CD2ADD">
        <w:rPr>
          <w:rFonts w:ascii="Times New Roman" w:hAnsi="Times New Roman" w:cs="Times New Roman"/>
          <w:color w:val="000000" w:themeColor="text1"/>
          <w:sz w:val="24"/>
          <w:szCs w:val="24"/>
        </w:rPr>
        <w:t>ele</w:t>
      </w:r>
      <w:r w:rsidR="00AB5789" w:rsidRPr="00CD2ADD">
        <w:rPr>
          <w:rFonts w:ascii="Times New Roman" w:hAnsi="Times New Roman" w:cs="Times New Roman"/>
          <w:color w:val="000000" w:themeColor="text1"/>
          <w:sz w:val="24"/>
          <w:szCs w:val="24"/>
        </w:rPr>
        <w:t>-cheie cu relevanță deosebită este P</w:t>
      </w:r>
      <w:r w:rsidR="004A61C2" w:rsidRPr="00CD2ADD">
        <w:rPr>
          <w:rFonts w:ascii="Times New Roman" w:hAnsi="Times New Roman" w:cs="Times New Roman"/>
          <w:color w:val="000000" w:themeColor="text1"/>
          <w:sz w:val="24"/>
          <w:szCs w:val="24"/>
        </w:rPr>
        <w:t>rogramului</w:t>
      </w:r>
      <w:r w:rsidR="00AB5789" w:rsidRPr="00CD2ADD">
        <w:rPr>
          <w:rFonts w:ascii="Times New Roman" w:hAnsi="Times New Roman" w:cs="Times New Roman"/>
          <w:color w:val="000000" w:themeColor="text1"/>
          <w:sz w:val="24"/>
          <w:szCs w:val="24"/>
        </w:rPr>
        <w:t xml:space="preserve"> Național de Adaptare la Schimbările Climatice (</w:t>
      </w:r>
      <w:r w:rsidR="004A61C2" w:rsidRPr="00CD2ADD">
        <w:rPr>
          <w:rFonts w:ascii="Times New Roman" w:hAnsi="Times New Roman" w:cs="Times New Roman"/>
          <w:color w:val="000000" w:themeColor="text1"/>
          <w:sz w:val="24"/>
          <w:szCs w:val="24"/>
        </w:rPr>
        <w:t>P</w:t>
      </w:r>
      <w:r w:rsidR="00AB5789" w:rsidRPr="00CD2ADD">
        <w:rPr>
          <w:rFonts w:ascii="Times New Roman" w:hAnsi="Times New Roman" w:cs="Times New Roman"/>
          <w:color w:val="000000" w:themeColor="text1"/>
          <w:sz w:val="24"/>
          <w:szCs w:val="24"/>
        </w:rPr>
        <w:t>NA</w:t>
      </w:r>
      <w:r w:rsidR="004A61C2" w:rsidRPr="00CD2ADD">
        <w:rPr>
          <w:rFonts w:ascii="Times New Roman" w:hAnsi="Times New Roman" w:cs="Times New Roman"/>
          <w:color w:val="000000" w:themeColor="text1"/>
          <w:sz w:val="24"/>
          <w:szCs w:val="24"/>
        </w:rPr>
        <w:t>SC</w:t>
      </w:r>
      <w:r w:rsidR="00AB5789" w:rsidRPr="00CD2ADD">
        <w:rPr>
          <w:rFonts w:ascii="Times New Roman" w:hAnsi="Times New Roman" w:cs="Times New Roman"/>
          <w:color w:val="000000" w:themeColor="text1"/>
          <w:sz w:val="24"/>
          <w:szCs w:val="24"/>
        </w:rPr>
        <w:t>),</w:t>
      </w:r>
      <w:r w:rsidR="004A61C2" w:rsidRPr="00CD2ADD">
        <w:rPr>
          <w:rFonts w:ascii="Times New Roman" w:hAnsi="Times New Roman" w:cs="Times New Roman"/>
          <w:color w:val="000000" w:themeColor="text1"/>
          <w:sz w:val="24"/>
          <w:szCs w:val="24"/>
        </w:rPr>
        <w:t xml:space="preserve"> </w:t>
      </w:r>
      <w:r w:rsidR="00AB5789" w:rsidRPr="00CD2ADD">
        <w:rPr>
          <w:rFonts w:ascii="Times New Roman" w:hAnsi="Times New Roman" w:cs="Times New Roman"/>
          <w:color w:val="000000" w:themeColor="text1"/>
          <w:sz w:val="24"/>
          <w:szCs w:val="24"/>
        </w:rPr>
        <w:t>care propune măsuri sectoriale și transversale de consolidare a rezilienței climatice</w:t>
      </w:r>
      <w:r w:rsidR="009352E3" w:rsidRPr="00CD2ADD">
        <w:rPr>
          <w:rFonts w:ascii="Times New Roman" w:hAnsi="Times New Roman" w:cs="Times New Roman"/>
          <w:color w:val="000000" w:themeColor="text1"/>
          <w:sz w:val="24"/>
          <w:szCs w:val="24"/>
        </w:rPr>
        <w:t xml:space="preserve">, inclusiv abordarea explicită a nexusului </w:t>
      </w:r>
      <w:r w:rsidR="00806EE0" w:rsidRPr="00CD2ADD">
        <w:rPr>
          <w:rFonts w:ascii="Times New Roman" w:hAnsi="Times New Roman" w:cs="Times New Roman"/>
          <w:color w:val="000000" w:themeColor="text1"/>
          <w:sz w:val="24"/>
          <w:szCs w:val="24"/>
        </w:rPr>
        <w:t>migrațiune-</w:t>
      </w:r>
      <w:r w:rsidR="009352E3" w:rsidRPr="00CD2ADD">
        <w:rPr>
          <w:rFonts w:ascii="Times New Roman" w:hAnsi="Times New Roman" w:cs="Times New Roman"/>
          <w:color w:val="000000" w:themeColor="text1"/>
          <w:sz w:val="24"/>
          <w:szCs w:val="24"/>
        </w:rPr>
        <w:t>mediu</w:t>
      </w:r>
      <w:r w:rsidR="00806EE0" w:rsidRPr="00CD2ADD">
        <w:rPr>
          <w:rFonts w:ascii="Times New Roman" w:hAnsi="Times New Roman" w:cs="Times New Roman"/>
          <w:color w:val="000000" w:themeColor="text1"/>
          <w:sz w:val="24"/>
          <w:szCs w:val="24"/>
        </w:rPr>
        <w:t>-</w:t>
      </w:r>
      <w:r w:rsidR="009352E3" w:rsidRPr="00CD2ADD">
        <w:rPr>
          <w:rFonts w:ascii="Times New Roman" w:hAnsi="Times New Roman" w:cs="Times New Roman"/>
          <w:color w:val="000000" w:themeColor="text1"/>
          <w:sz w:val="24"/>
          <w:szCs w:val="24"/>
        </w:rPr>
        <w:t>schimbări climatice</w:t>
      </w:r>
      <w:r w:rsidR="00AB5789" w:rsidRPr="00CD2ADD">
        <w:rPr>
          <w:rFonts w:ascii="Times New Roman" w:hAnsi="Times New Roman" w:cs="Times New Roman"/>
          <w:color w:val="000000" w:themeColor="text1"/>
          <w:sz w:val="24"/>
          <w:szCs w:val="24"/>
        </w:rPr>
        <w:t xml:space="preserve">. Interconexiunile dintre </w:t>
      </w:r>
      <w:r w:rsidR="00D3502B" w:rsidRPr="00CD2ADD">
        <w:rPr>
          <w:rFonts w:ascii="Times New Roman" w:hAnsi="Times New Roman" w:cs="Times New Roman"/>
          <w:color w:val="000000" w:themeColor="text1"/>
          <w:sz w:val="24"/>
          <w:szCs w:val="24"/>
        </w:rPr>
        <w:t>PNASC</w:t>
      </w:r>
      <w:r w:rsidR="00AB5789" w:rsidRPr="00CD2ADD">
        <w:rPr>
          <w:rFonts w:ascii="Times New Roman" w:hAnsi="Times New Roman" w:cs="Times New Roman"/>
          <w:color w:val="000000" w:themeColor="text1"/>
          <w:sz w:val="24"/>
          <w:szCs w:val="24"/>
        </w:rPr>
        <w:t xml:space="preserve"> și </w:t>
      </w:r>
      <w:r w:rsidR="006B27DD" w:rsidRPr="00CD2ADD">
        <w:rPr>
          <w:rFonts w:ascii="Times New Roman" w:hAnsi="Times New Roman" w:cs="Times New Roman"/>
          <w:color w:val="000000" w:themeColor="text1"/>
          <w:sz w:val="24"/>
          <w:szCs w:val="24"/>
        </w:rPr>
        <w:t>PNRRDN</w:t>
      </w:r>
      <w:r w:rsidR="00AB5789" w:rsidRPr="00CD2ADD">
        <w:rPr>
          <w:rFonts w:ascii="Times New Roman" w:hAnsi="Times New Roman" w:cs="Times New Roman"/>
          <w:color w:val="000000" w:themeColor="text1"/>
          <w:sz w:val="24"/>
          <w:szCs w:val="24"/>
        </w:rPr>
        <w:t xml:space="preserve"> </w:t>
      </w:r>
      <w:r w:rsidR="00E764B1" w:rsidRPr="00CD2ADD">
        <w:rPr>
          <w:rFonts w:ascii="Times New Roman" w:hAnsi="Times New Roman" w:cs="Times New Roman"/>
          <w:color w:val="000000" w:themeColor="text1"/>
          <w:sz w:val="24"/>
          <w:szCs w:val="24"/>
        </w:rPr>
        <w:t xml:space="preserve">2030 </w:t>
      </w:r>
      <w:r w:rsidR="00AB5789" w:rsidRPr="00CD2ADD">
        <w:rPr>
          <w:rFonts w:ascii="Times New Roman" w:hAnsi="Times New Roman" w:cs="Times New Roman"/>
          <w:color w:val="000000" w:themeColor="text1"/>
          <w:sz w:val="24"/>
          <w:szCs w:val="24"/>
        </w:rPr>
        <w:t xml:space="preserve">sunt multiple, întrucât ambele promovează: evaluarea riscurilor climatice și de mediu, integrarea adaptării </w:t>
      </w:r>
      <w:r w:rsidR="006B27DD" w:rsidRPr="00CD2ADD">
        <w:rPr>
          <w:rFonts w:ascii="Times New Roman" w:hAnsi="Times New Roman" w:cs="Times New Roman"/>
          <w:sz w:val="24"/>
          <w:szCs w:val="24"/>
        </w:rPr>
        <w:t>și</w:t>
      </w:r>
      <w:r w:rsidR="00AB5789" w:rsidRPr="00CD2ADD">
        <w:rPr>
          <w:rFonts w:ascii="Times New Roman" w:hAnsi="Times New Roman" w:cs="Times New Roman"/>
          <w:color w:val="000000" w:themeColor="text1"/>
          <w:sz w:val="24"/>
          <w:szCs w:val="24"/>
        </w:rPr>
        <w:t xml:space="preserve"> a rezilienței în planificarea sectorială, protejarea grupurilor vulnerabile, elaborarea de mecanisme de coordonare și finanțare multisectorială.</w:t>
      </w:r>
    </w:p>
    <w:p w14:paraId="4BAA4EFA" w14:textId="0CEDB000" w:rsidR="008D7538" w:rsidRPr="00CD2ADD" w:rsidRDefault="00AB5789">
      <w:pPr>
        <w:pStyle w:val="ListParagraph"/>
        <w:numPr>
          <w:ilvl w:val="0"/>
          <w:numId w:val="42"/>
        </w:numPr>
        <w:spacing w:after="0"/>
        <w:ind w:left="0" w:firstLine="284"/>
        <w:jc w:val="both"/>
        <w:rPr>
          <w:rFonts w:ascii="Times New Roman" w:hAnsi="Times New Roman" w:cs="Times New Roman"/>
          <w:b/>
          <w:bCs/>
          <w:color w:val="000000" w:themeColor="text1"/>
          <w:sz w:val="24"/>
          <w:szCs w:val="24"/>
        </w:rPr>
      </w:pPr>
      <w:r w:rsidRPr="00CD2ADD">
        <w:rPr>
          <w:rFonts w:ascii="Times New Roman" w:hAnsi="Times New Roman" w:cs="Times New Roman"/>
          <w:color w:val="000000" w:themeColor="text1"/>
          <w:sz w:val="24"/>
          <w:szCs w:val="24"/>
        </w:rPr>
        <w:t xml:space="preserve">Astfel, </w:t>
      </w:r>
      <w:r w:rsidR="006B27DD" w:rsidRPr="00CD2ADD">
        <w:rPr>
          <w:rFonts w:ascii="Times New Roman" w:hAnsi="Times New Roman" w:cs="Times New Roman"/>
          <w:color w:val="000000" w:themeColor="text1"/>
          <w:sz w:val="24"/>
          <w:szCs w:val="24"/>
        </w:rPr>
        <w:t>PNRRDN</w:t>
      </w:r>
      <w:r w:rsidRPr="00CD2ADD">
        <w:rPr>
          <w:rFonts w:ascii="Times New Roman" w:hAnsi="Times New Roman" w:cs="Times New Roman"/>
          <w:color w:val="000000" w:themeColor="text1"/>
          <w:sz w:val="24"/>
          <w:szCs w:val="24"/>
        </w:rPr>
        <w:t xml:space="preserve"> </w:t>
      </w:r>
      <w:r w:rsidR="00E764B1" w:rsidRPr="00CD2ADD">
        <w:rPr>
          <w:rFonts w:ascii="Times New Roman" w:hAnsi="Times New Roman" w:cs="Times New Roman"/>
          <w:color w:val="000000" w:themeColor="text1"/>
          <w:sz w:val="24"/>
          <w:szCs w:val="24"/>
        </w:rPr>
        <w:t xml:space="preserve">2030 </w:t>
      </w:r>
      <w:r w:rsidRPr="00CD2ADD">
        <w:rPr>
          <w:rFonts w:ascii="Times New Roman" w:hAnsi="Times New Roman" w:cs="Times New Roman"/>
          <w:color w:val="000000" w:themeColor="text1"/>
          <w:sz w:val="24"/>
          <w:szCs w:val="24"/>
        </w:rPr>
        <w:t xml:space="preserve">nu doar că se aliniază cadrului existent, dar devine și un instrument catalizator pentru operaționalizarea politicilor naționale și internaționale în materie de climă, reducerea </w:t>
      </w:r>
      <w:r w:rsidR="0078549F" w:rsidRPr="00CD2ADD">
        <w:rPr>
          <w:rFonts w:ascii="Times New Roman" w:hAnsi="Times New Roman" w:cs="Times New Roman"/>
          <w:color w:val="000000" w:themeColor="text1"/>
          <w:sz w:val="24"/>
          <w:szCs w:val="24"/>
        </w:rPr>
        <w:t>ș</w:t>
      </w:r>
      <w:r w:rsidRPr="00CD2ADD">
        <w:rPr>
          <w:rFonts w:ascii="Times New Roman" w:hAnsi="Times New Roman" w:cs="Times New Roman"/>
          <w:color w:val="000000" w:themeColor="text1"/>
          <w:sz w:val="24"/>
          <w:szCs w:val="24"/>
        </w:rPr>
        <w:t xml:space="preserve">i gestionarea riscului de dezastre </w:t>
      </w:r>
      <w:r w:rsidR="005A12B2" w:rsidRPr="00CD2ADD">
        <w:rPr>
          <w:rFonts w:ascii="Times New Roman" w:hAnsi="Times New Roman" w:cs="Times New Roman"/>
          <w:color w:val="000000" w:themeColor="text1"/>
          <w:sz w:val="24"/>
          <w:szCs w:val="24"/>
        </w:rPr>
        <w:t xml:space="preserve">naturale </w:t>
      </w:r>
      <w:r w:rsidRPr="00CD2ADD">
        <w:rPr>
          <w:rFonts w:ascii="Times New Roman" w:hAnsi="Times New Roman" w:cs="Times New Roman"/>
          <w:color w:val="000000" w:themeColor="text1"/>
          <w:sz w:val="24"/>
          <w:szCs w:val="24"/>
        </w:rPr>
        <w:t xml:space="preserve">și </w:t>
      </w:r>
      <w:r w:rsidR="005A12B2" w:rsidRPr="00CD2ADD">
        <w:rPr>
          <w:rFonts w:ascii="Times New Roman" w:hAnsi="Times New Roman" w:cs="Times New Roman"/>
          <w:color w:val="000000" w:themeColor="text1"/>
          <w:sz w:val="24"/>
          <w:szCs w:val="24"/>
        </w:rPr>
        <w:t xml:space="preserve">de creștere </w:t>
      </w:r>
      <w:r w:rsidRPr="00CD2ADD">
        <w:rPr>
          <w:rFonts w:ascii="Times New Roman" w:hAnsi="Times New Roman" w:cs="Times New Roman"/>
          <w:color w:val="000000" w:themeColor="text1"/>
          <w:sz w:val="24"/>
          <w:szCs w:val="24"/>
        </w:rPr>
        <w:t>a rezilienței</w:t>
      </w:r>
      <w:r w:rsidR="009352E3" w:rsidRPr="00CD2ADD">
        <w:rPr>
          <w:rFonts w:ascii="Times New Roman" w:hAnsi="Times New Roman" w:cs="Times New Roman"/>
          <w:color w:val="000000" w:themeColor="text1"/>
          <w:sz w:val="24"/>
          <w:szCs w:val="24"/>
        </w:rPr>
        <w:t>, inclusiv prin abordarea vulnerabilităților generate de și asociate mobilității umane în contextul schimbărilor climatice și al riscurilor naturale</w:t>
      </w:r>
      <w:r w:rsidRPr="00CD2ADD">
        <w:rPr>
          <w:rFonts w:ascii="Times New Roman" w:hAnsi="Times New Roman" w:cs="Times New Roman"/>
          <w:color w:val="000000" w:themeColor="text1"/>
          <w:sz w:val="24"/>
          <w:szCs w:val="24"/>
        </w:rPr>
        <w:t>.</w:t>
      </w:r>
      <w:bookmarkEnd w:id="2"/>
    </w:p>
    <w:p w14:paraId="67FB6C46" w14:textId="411A9ACD" w:rsidR="00137276" w:rsidRPr="00CD2ADD" w:rsidRDefault="00296885">
      <w:pPr>
        <w:pStyle w:val="ListParagraph"/>
        <w:numPr>
          <w:ilvl w:val="0"/>
          <w:numId w:val="42"/>
        </w:numPr>
        <w:spacing w:after="0"/>
        <w:ind w:left="0" w:firstLine="284"/>
        <w:jc w:val="both"/>
        <w:rPr>
          <w:rFonts w:ascii="Times New Roman" w:hAnsi="Times New Roman" w:cs="Times New Roman"/>
          <w:b/>
          <w:bCs/>
          <w:color w:val="000000" w:themeColor="text1"/>
          <w:sz w:val="24"/>
          <w:szCs w:val="24"/>
        </w:rPr>
      </w:pPr>
      <w:r w:rsidRPr="00CD2ADD">
        <w:rPr>
          <w:rFonts w:ascii="Times New Roman" w:hAnsi="Times New Roman" w:cs="Times New Roman"/>
          <w:bCs/>
          <w:color w:val="000000" w:themeColor="text1"/>
          <w:sz w:val="24"/>
          <w:szCs w:val="24"/>
        </w:rPr>
        <w:t xml:space="preserve">Din perspectiva egalității de gen </w:t>
      </w:r>
      <w:r w:rsidR="008D7538" w:rsidRPr="00CD2ADD">
        <w:rPr>
          <w:rFonts w:ascii="Times New Roman" w:eastAsiaTheme="majorEastAsia" w:hAnsi="Times New Roman" w:cs="Times New Roman"/>
          <w:bCs/>
          <w:color w:val="000000" w:themeColor="text1"/>
          <w:spacing w:val="20"/>
          <w:sz w:val="24"/>
          <w:szCs w:val="24"/>
        </w:rPr>
        <w:t>și</w:t>
      </w:r>
      <w:r w:rsidR="008D7538"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bCs/>
          <w:color w:val="000000" w:themeColor="text1"/>
          <w:sz w:val="24"/>
          <w:szCs w:val="24"/>
        </w:rPr>
        <w:t>a dreptului la sănătate sexual</w:t>
      </w:r>
      <w:r w:rsidR="00175C38" w:rsidRPr="00CD2ADD">
        <w:rPr>
          <w:rFonts w:ascii="Times New Roman" w:hAnsi="Times New Roman" w:cs="Times New Roman"/>
          <w:bCs/>
          <w:color w:val="000000" w:themeColor="text1"/>
          <w:sz w:val="24"/>
          <w:szCs w:val="24"/>
        </w:rPr>
        <w:t>ă</w:t>
      </w:r>
      <w:r w:rsidRPr="00CD2ADD">
        <w:rPr>
          <w:rFonts w:ascii="Times New Roman" w:hAnsi="Times New Roman" w:cs="Times New Roman"/>
          <w:bCs/>
          <w:color w:val="000000" w:themeColor="text1"/>
          <w:sz w:val="24"/>
          <w:szCs w:val="24"/>
        </w:rPr>
        <w:t xml:space="preserve"> </w:t>
      </w:r>
      <w:r w:rsidR="008D7538" w:rsidRPr="00CD2ADD">
        <w:rPr>
          <w:rFonts w:ascii="Times New Roman" w:eastAsiaTheme="majorEastAsia" w:hAnsi="Times New Roman" w:cs="Times New Roman"/>
          <w:bCs/>
          <w:color w:val="000000" w:themeColor="text1"/>
          <w:spacing w:val="20"/>
          <w:sz w:val="24"/>
          <w:szCs w:val="24"/>
        </w:rPr>
        <w:t>și</w:t>
      </w:r>
      <w:r w:rsidRPr="00CD2ADD">
        <w:rPr>
          <w:rFonts w:ascii="Times New Roman" w:hAnsi="Times New Roman" w:cs="Times New Roman"/>
          <w:bCs/>
          <w:color w:val="000000" w:themeColor="text1"/>
          <w:sz w:val="24"/>
          <w:szCs w:val="24"/>
        </w:rPr>
        <w:t xml:space="preserve"> reproductiv</w:t>
      </w:r>
      <w:r w:rsidR="00175C38" w:rsidRPr="00CD2ADD">
        <w:rPr>
          <w:rFonts w:ascii="Times New Roman" w:hAnsi="Times New Roman" w:cs="Times New Roman"/>
          <w:bCs/>
          <w:color w:val="000000" w:themeColor="text1"/>
          <w:sz w:val="24"/>
          <w:szCs w:val="24"/>
        </w:rPr>
        <w:t>ă</w:t>
      </w:r>
      <w:r w:rsidRPr="00CD2ADD">
        <w:rPr>
          <w:rFonts w:ascii="Times New Roman" w:hAnsi="Times New Roman" w:cs="Times New Roman"/>
          <w:bCs/>
          <w:color w:val="000000" w:themeColor="text1"/>
          <w:sz w:val="24"/>
          <w:szCs w:val="24"/>
        </w:rPr>
        <w:t xml:space="preserve"> se remarcă ca </w:t>
      </w:r>
      <w:r w:rsidRPr="00CD2ADD">
        <w:rPr>
          <w:rFonts w:ascii="Times New Roman" w:hAnsi="Times New Roman" w:cs="Times New Roman"/>
          <w:color w:val="000000" w:themeColor="text1"/>
          <w:sz w:val="24"/>
          <w:szCs w:val="24"/>
        </w:rPr>
        <w:t>s</w:t>
      </w:r>
      <w:r w:rsidR="001457A7" w:rsidRPr="00CD2ADD">
        <w:rPr>
          <w:rFonts w:ascii="Times New Roman" w:hAnsi="Times New Roman" w:cs="Times New Roman"/>
          <w:color w:val="000000" w:themeColor="text1"/>
          <w:sz w:val="24"/>
          <w:szCs w:val="24"/>
        </w:rPr>
        <w:t xml:space="preserve">chimbările climatice și dezastrele afectează în mod disproporționat femeile, tinerele fete, persoanele cu dizabilități și femeile în vârstă. Aceste grupuri se confruntă cu bariere sistemice în accesarea serviciilor de sănătate sexuală și reproductivă (SRHR), care sunt agravate în perioade de </w:t>
      </w:r>
      <w:r w:rsidR="00763389" w:rsidRPr="00CD2ADD">
        <w:rPr>
          <w:rFonts w:ascii="Times New Roman" w:hAnsi="Times New Roman" w:cs="Times New Roman"/>
          <w:color w:val="000000" w:themeColor="text1"/>
          <w:sz w:val="24"/>
          <w:szCs w:val="24"/>
        </w:rPr>
        <w:t>dezastre naturale</w:t>
      </w:r>
      <w:r w:rsidR="001457A7" w:rsidRPr="00CD2ADD">
        <w:rPr>
          <w:rFonts w:ascii="Times New Roman" w:hAnsi="Times New Roman" w:cs="Times New Roman"/>
          <w:color w:val="000000" w:themeColor="text1"/>
          <w:sz w:val="24"/>
          <w:szCs w:val="24"/>
        </w:rPr>
        <w:t>.</w:t>
      </w:r>
      <w:r w:rsidR="005947E9" w:rsidRPr="00CD2ADD">
        <w:rPr>
          <w:rFonts w:ascii="Times New Roman" w:hAnsi="Times New Roman" w:cs="Times New Roman"/>
          <w:color w:val="000000" w:themeColor="text1"/>
          <w:sz w:val="24"/>
          <w:szCs w:val="24"/>
        </w:rPr>
        <w:t xml:space="preserve"> </w:t>
      </w:r>
      <w:r w:rsidR="001457A7" w:rsidRPr="00CD2ADD">
        <w:rPr>
          <w:rFonts w:ascii="Times New Roman" w:hAnsi="Times New Roman" w:cs="Times New Roman"/>
          <w:color w:val="000000" w:themeColor="text1"/>
          <w:sz w:val="24"/>
          <w:szCs w:val="24"/>
        </w:rPr>
        <w:t xml:space="preserve">Este esențial ca sistemele de sănătate, protecție și intervenție să fie adaptate pentru a răspunde acestor nevoi, inclusiv prin integrarea Pachetului Minim de Servicii (MISP) în primele 48h de la </w:t>
      </w:r>
      <w:r w:rsidR="00763389" w:rsidRPr="00CD2ADD">
        <w:rPr>
          <w:rFonts w:ascii="Times New Roman" w:hAnsi="Times New Roman" w:cs="Times New Roman"/>
          <w:color w:val="000000" w:themeColor="text1"/>
          <w:sz w:val="24"/>
          <w:szCs w:val="24"/>
        </w:rPr>
        <w:t>un dezastru</w:t>
      </w:r>
      <w:r w:rsidR="001457A7" w:rsidRPr="00CD2ADD">
        <w:rPr>
          <w:rFonts w:ascii="Times New Roman" w:hAnsi="Times New Roman" w:cs="Times New Roman"/>
          <w:color w:val="000000" w:themeColor="text1"/>
          <w:sz w:val="24"/>
          <w:szCs w:val="24"/>
        </w:rPr>
        <w:t>, formarea personalului implicat și dotarea centrelor medicale.</w:t>
      </w:r>
      <w:r w:rsidR="005947E9" w:rsidRPr="00CD2ADD">
        <w:rPr>
          <w:rFonts w:ascii="Times New Roman" w:hAnsi="Times New Roman" w:cs="Times New Roman"/>
          <w:color w:val="000000" w:themeColor="text1"/>
          <w:sz w:val="24"/>
          <w:szCs w:val="24"/>
        </w:rPr>
        <w:t xml:space="preserve"> </w:t>
      </w:r>
      <w:r w:rsidR="001457A7" w:rsidRPr="00CD2ADD">
        <w:rPr>
          <w:rFonts w:ascii="Times New Roman" w:hAnsi="Times New Roman" w:cs="Times New Roman"/>
          <w:color w:val="000000" w:themeColor="text1"/>
          <w:sz w:val="24"/>
          <w:szCs w:val="24"/>
        </w:rPr>
        <w:t>În paralel, sunt necesare măsuri pentru prevenirea și combaterea violenței bazate pe gen (GBV), alocări financiare echitabile, participarea tinerilor la procesele decizionale și colectarea de date dezagregate pentru a asigura politici bazate pe dovezi și echitate</w:t>
      </w:r>
      <w:r w:rsidR="005947E9" w:rsidRPr="00CD2ADD">
        <w:rPr>
          <w:rFonts w:ascii="Times New Roman" w:hAnsi="Times New Roman" w:cs="Times New Roman"/>
          <w:color w:val="000000" w:themeColor="text1"/>
          <w:sz w:val="24"/>
          <w:szCs w:val="24"/>
        </w:rPr>
        <w:t xml:space="preserve">. </w:t>
      </w:r>
      <w:r w:rsidR="001457A7" w:rsidRPr="00CD2ADD">
        <w:rPr>
          <w:rFonts w:ascii="Times New Roman" w:hAnsi="Times New Roman" w:cs="Times New Roman"/>
          <w:color w:val="000000" w:themeColor="text1"/>
          <w:sz w:val="24"/>
          <w:szCs w:val="24"/>
        </w:rPr>
        <w:t>Aceste recomandări sunt în conformitate cu S</w:t>
      </w:r>
      <w:r w:rsidR="00E764B1" w:rsidRPr="00CD2ADD">
        <w:rPr>
          <w:rFonts w:ascii="Times New Roman" w:hAnsi="Times New Roman" w:cs="Times New Roman"/>
          <w:color w:val="000000" w:themeColor="text1"/>
          <w:sz w:val="24"/>
          <w:szCs w:val="24"/>
        </w:rPr>
        <w:t>NRRD 2024</w:t>
      </w:r>
      <w:r w:rsidR="00851023" w:rsidRPr="00CD2ADD">
        <w:rPr>
          <w:rFonts w:ascii="Times New Roman" w:hAnsi="Times New Roman" w:cs="Times New Roman"/>
          <w:color w:val="000000" w:themeColor="text1"/>
          <w:sz w:val="24"/>
          <w:szCs w:val="24"/>
        </w:rPr>
        <w:t>-</w:t>
      </w:r>
      <w:r w:rsidR="00E764B1" w:rsidRPr="00CD2ADD">
        <w:rPr>
          <w:rFonts w:ascii="Times New Roman" w:hAnsi="Times New Roman" w:cs="Times New Roman"/>
          <w:color w:val="000000" w:themeColor="text1"/>
          <w:sz w:val="24"/>
          <w:szCs w:val="24"/>
        </w:rPr>
        <w:lastRenderedPageBreak/>
        <w:t>2030</w:t>
      </w:r>
      <w:r w:rsidR="00B806DE" w:rsidRPr="00CD2ADD">
        <w:rPr>
          <w:rFonts w:ascii="Times New Roman" w:hAnsi="Times New Roman" w:cs="Times New Roman"/>
          <w:color w:val="000000" w:themeColor="text1"/>
          <w:sz w:val="24"/>
          <w:szCs w:val="24"/>
        </w:rPr>
        <w:t xml:space="preserve"> </w:t>
      </w:r>
      <w:r w:rsidR="001457A7" w:rsidRPr="00CD2ADD">
        <w:rPr>
          <w:rFonts w:ascii="Times New Roman" w:hAnsi="Times New Roman" w:cs="Times New Roman"/>
          <w:color w:val="000000" w:themeColor="text1"/>
          <w:sz w:val="24"/>
          <w:szCs w:val="24"/>
        </w:rPr>
        <w:t xml:space="preserve">(pct. 4.5.3.10) </w:t>
      </w:r>
      <w:r w:rsidR="00AA6000" w:rsidRPr="00CD2ADD">
        <w:rPr>
          <w:rFonts w:ascii="Times New Roman" w:hAnsi="Times New Roman" w:cs="Times New Roman"/>
          <w:color w:val="000000" w:themeColor="text1"/>
          <w:sz w:val="24"/>
          <w:szCs w:val="24"/>
        </w:rPr>
        <w:t>ș</w:t>
      </w:r>
      <w:r w:rsidR="001457A7" w:rsidRPr="00CD2ADD">
        <w:rPr>
          <w:rFonts w:ascii="Times New Roman" w:hAnsi="Times New Roman" w:cs="Times New Roman"/>
          <w:color w:val="000000" w:themeColor="text1"/>
          <w:sz w:val="24"/>
          <w:szCs w:val="24"/>
        </w:rPr>
        <w:t>i cu angajamentele Republicii Moldova în cadrul Contribuției Naționale Determinate (NDC 3.0)</w:t>
      </w:r>
      <w:r w:rsidR="007C3E9B" w:rsidRPr="00CD2ADD">
        <w:rPr>
          <w:rFonts w:ascii="Times New Roman" w:hAnsi="Times New Roman" w:cs="Times New Roman"/>
          <w:color w:val="000000" w:themeColor="text1"/>
          <w:sz w:val="24"/>
          <w:szCs w:val="24"/>
        </w:rPr>
        <w:t>.</w:t>
      </w:r>
      <w:r w:rsidR="007C3E9B" w:rsidRPr="00CD2ADD">
        <w:rPr>
          <w:rStyle w:val="FootnoteReference"/>
          <w:rFonts w:ascii="Times New Roman" w:hAnsi="Times New Roman" w:cs="Times New Roman"/>
          <w:color w:val="000000" w:themeColor="text1"/>
          <w:sz w:val="24"/>
          <w:szCs w:val="24"/>
        </w:rPr>
        <w:footnoteReference w:id="3"/>
      </w:r>
    </w:p>
    <w:p w14:paraId="24F7AD2D" w14:textId="77777777" w:rsidR="005F669D" w:rsidRPr="00CD2ADD" w:rsidRDefault="005F669D" w:rsidP="00010723">
      <w:pPr>
        <w:pStyle w:val="ListParagraph"/>
        <w:spacing w:after="0"/>
        <w:ind w:firstLine="0"/>
        <w:jc w:val="center"/>
        <w:rPr>
          <w:rFonts w:ascii="Times New Roman" w:hAnsi="Times New Roman" w:cs="Times New Roman"/>
          <w:b/>
          <w:bCs/>
          <w:color w:val="000000" w:themeColor="text1"/>
          <w:sz w:val="24"/>
          <w:szCs w:val="24"/>
        </w:rPr>
      </w:pPr>
    </w:p>
    <w:p w14:paraId="7F0D78CA" w14:textId="67F1091E" w:rsidR="00137276" w:rsidRPr="00CD2ADD" w:rsidRDefault="00137276" w:rsidP="00377660">
      <w:pPr>
        <w:pStyle w:val="Heading1"/>
        <w:spacing w:before="0"/>
        <w:jc w:val="center"/>
        <w:rPr>
          <w:rFonts w:ascii="Times New Roman" w:hAnsi="Times New Roman" w:cs="Times New Roman"/>
          <w:b/>
          <w:bCs w:val="0"/>
          <w:color w:val="000000" w:themeColor="text1"/>
          <w:sz w:val="24"/>
          <w:szCs w:val="24"/>
        </w:rPr>
      </w:pPr>
      <w:r w:rsidRPr="00CD2ADD">
        <w:rPr>
          <w:rFonts w:ascii="Times New Roman" w:hAnsi="Times New Roman" w:cs="Times New Roman"/>
          <w:b/>
          <w:bCs w:val="0"/>
          <w:color w:val="000000" w:themeColor="text1"/>
          <w:sz w:val="24"/>
          <w:szCs w:val="24"/>
        </w:rPr>
        <w:t>Capitolul II</w:t>
      </w:r>
    </w:p>
    <w:p w14:paraId="42DFD33F" w14:textId="77777777" w:rsidR="00137276" w:rsidRPr="00CD2ADD" w:rsidRDefault="00137276" w:rsidP="00377660">
      <w:pPr>
        <w:pStyle w:val="Heading1"/>
        <w:spacing w:before="0"/>
        <w:jc w:val="center"/>
        <w:rPr>
          <w:rFonts w:ascii="Times New Roman" w:hAnsi="Times New Roman" w:cs="Times New Roman"/>
          <w:b/>
          <w:bCs w:val="0"/>
          <w:color w:val="000000" w:themeColor="text1"/>
          <w:sz w:val="24"/>
          <w:szCs w:val="24"/>
        </w:rPr>
      </w:pPr>
      <w:r w:rsidRPr="00CD2ADD">
        <w:rPr>
          <w:rFonts w:ascii="Times New Roman" w:hAnsi="Times New Roman" w:cs="Times New Roman"/>
          <w:b/>
          <w:bCs w:val="0"/>
          <w:color w:val="000000" w:themeColor="text1"/>
          <w:sz w:val="24"/>
          <w:szCs w:val="24"/>
        </w:rPr>
        <w:t>ANALIZA SITUAȚIEI</w:t>
      </w:r>
    </w:p>
    <w:p w14:paraId="4710683E" w14:textId="77777777" w:rsidR="00377660" w:rsidRPr="00CD2ADD" w:rsidRDefault="00377660" w:rsidP="00377660">
      <w:pPr>
        <w:rPr>
          <w:lang w:eastAsia="en-US"/>
        </w:rPr>
      </w:pPr>
    </w:p>
    <w:p w14:paraId="7914A7EF" w14:textId="2D6A30DC" w:rsidR="008B603D" w:rsidRPr="00CD2ADD" w:rsidRDefault="008B603D" w:rsidP="00377660">
      <w:pPr>
        <w:pStyle w:val="Heading2"/>
        <w:spacing w:before="0"/>
        <w:jc w:val="center"/>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 xml:space="preserve">Secțiunea </w:t>
      </w:r>
      <w:r w:rsidR="00590E37" w:rsidRPr="00CD2ADD">
        <w:rPr>
          <w:rFonts w:ascii="Times New Roman" w:hAnsi="Times New Roman" w:cs="Times New Roman"/>
          <w:color w:val="000000" w:themeColor="text1"/>
          <w:sz w:val="24"/>
          <w:szCs w:val="24"/>
        </w:rPr>
        <w:t>1</w:t>
      </w:r>
    </w:p>
    <w:p w14:paraId="6113C23D" w14:textId="73E6B7F1" w:rsidR="00137276" w:rsidRPr="00CD2ADD" w:rsidRDefault="008B603D" w:rsidP="00377660">
      <w:pPr>
        <w:pStyle w:val="Heading2"/>
        <w:spacing w:before="0"/>
        <w:jc w:val="center"/>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Lecții învățate din politicile și intervențiile anterioare</w:t>
      </w:r>
    </w:p>
    <w:p w14:paraId="2233CCE3" w14:textId="77777777" w:rsidR="00305D97" w:rsidRPr="00CD2ADD" w:rsidRDefault="00305D97" w:rsidP="00305D97">
      <w:pPr>
        <w:rPr>
          <w:lang w:eastAsia="en-US"/>
        </w:rPr>
      </w:pPr>
    </w:p>
    <w:p w14:paraId="66133283" w14:textId="438805FC" w:rsidR="00FD3CB6" w:rsidRPr="00CD2ADD" w:rsidRDefault="00FD3CB6">
      <w:pPr>
        <w:pStyle w:val="ListParagraph"/>
        <w:numPr>
          <w:ilvl w:val="0"/>
          <w:numId w:val="42"/>
        </w:numPr>
        <w:spacing w:after="0"/>
        <w:ind w:left="0" w:firstLine="360"/>
        <w:jc w:val="both"/>
        <w:rPr>
          <w:rFonts w:ascii="Times New Roman" w:hAnsi="Times New Roman" w:cs="Times New Roman"/>
          <w:b/>
          <w:bCs/>
          <w:color w:val="000000" w:themeColor="text1"/>
          <w:sz w:val="24"/>
          <w:szCs w:val="24"/>
        </w:rPr>
      </w:pPr>
      <w:bookmarkStart w:id="3" w:name="OLE_LINK18"/>
      <w:bookmarkStart w:id="4" w:name="OLE_LINK40"/>
      <w:r w:rsidRPr="00CD2ADD">
        <w:rPr>
          <w:rFonts w:ascii="Times New Roman" w:hAnsi="Times New Roman" w:cs="Times New Roman"/>
          <w:color w:val="000000" w:themeColor="text1"/>
          <w:sz w:val="24"/>
          <w:szCs w:val="24"/>
        </w:rPr>
        <w:t>Republica Moldova se confruntă cu o creștere accentuată a riscurilor naturale, generate atât de fenomene hidro-meteorologice extreme</w:t>
      </w:r>
      <w:r w:rsidRPr="00CD2ADD">
        <w:rPr>
          <w:rStyle w:val="FootnoteReference"/>
          <w:rFonts w:ascii="Times New Roman" w:hAnsi="Times New Roman" w:cs="Times New Roman"/>
          <w:color w:val="000000" w:themeColor="text1"/>
          <w:sz w:val="24"/>
          <w:szCs w:val="24"/>
        </w:rPr>
        <w:footnoteReference w:id="4"/>
      </w:r>
      <w:r w:rsidRPr="00CD2ADD">
        <w:rPr>
          <w:rFonts w:ascii="Times New Roman" w:hAnsi="Times New Roman" w:cs="Times New Roman"/>
          <w:color w:val="000000" w:themeColor="text1"/>
          <w:sz w:val="24"/>
          <w:szCs w:val="24"/>
        </w:rPr>
        <w:t xml:space="preserve"> (secetă, inundații, ploi torențiale, grindină), cât și de presiunile antropice asupra mediului. Așa cum a fost menționat </w:t>
      </w:r>
      <w:r w:rsidR="00305D97" w:rsidRPr="00CD2ADD">
        <w:rPr>
          <w:rFonts w:ascii="Times New Roman" w:hAnsi="Times New Roman" w:cs="Times New Roman"/>
          <w:color w:val="000000" w:themeColor="text1"/>
          <w:sz w:val="24"/>
          <w:szCs w:val="24"/>
        </w:rPr>
        <w:t>ș</w:t>
      </w:r>
      <w:r w:rsidRPr="00CD2ADD">
        <w:rPr>
          <w:rFonts w:ascii="Times New Roman" w:hAnsi="Times New Roman" w:cs="Times New Roman"/>
          <w:color w:val="000000" w:themeColor="text1"/>
          <w:sz w:val="24"/>
          <w:szCs w:val="24"/>
        </w:rPr>
        <w:t>i în introducere, în perioada 2010–2024, pagubele economice directe provocate de aceste riscuri au depășit 1,5% din PIB</w:t>
      </w:r>
      <w:r w:rsidR="0076206E" w:rsidRPr="00CD2ADD">
        <w:rPr>
          <w:rFonts w:ascii="Times New Roman" w:hAnsi="Times New Roman" w:cs="Times New Roman"/>
          <w:color w:val="000000" w:themeColor="text1"/>
          <w:sz w:val="24"/>
          <w:szCs w:val="24"/>
        </w:rPr>
        <w:t xml:space="preserve"> </w:t>
      </w:r>
      <w:r w:rsidR="00724F68" w:rsidRPr="00CD2ADD">
        <w:rPr>
          <w:rFonts w:ascii="Times New Roman" w:hAnsi="Times New Roman" w:cs="Times New Roman"/>
          <w:color w:val="000000" w:themeColor="text1"/>
          <w:sz w:val="24"/>
          <w:szCs w:val="24"/>
        </w:rPr>
        <w:t>î</w:t>
      </w:r>
      <w:r w:rsidR="0076206E" w:rsidRPr="00CD2ADD">
        <w:rPr>
          <w:rFonts w:ascii="Times New Roman" w:hAnsi="Times New Roman" w:cs="Times New Roman"/>
          <w:color w:val="000000" w:themeColor="text1"/>
          <w:sz w:val="24"/>
          <w:szCs w:val="24"/>
        </w:rPr>
        <w:t>n 2024</w:t>
      </w:r>
      <w:r w:rsidRPr="00CD2ADD">
        <w:rPr>
          <w:rFonts w:ascii="Times New Roman" w:hAnsi="Times New Roman" w:cs="Times New Roman"/>
          <w:color w:val="000000" w:themeColor="text1"/>
          <w:sz w:val="24"/>
          <w:szCs w:val="24"/>
        </w:rPr>
        <w:t xml:space="preserve">. Seceta este principalul hazard cu impact economic major, urmată de </w:t>
      </w:r>
      <w:r w:rsidR="00531FD5" w:rsidRPr="00CD2ADD">
        <w:rPr>
          <w:rFonts w:ascii="Times New Roman" w:hAnsi="Times New Roman" w:cs="Times New Roman"/>
          <w:color w:val="000000" w:themeColor="text1"/>
          <w:sz w:val="24"/>
          <w:szCs w:val="24"/>
        </w:rPr>
        <w:t>ploi torențiale, cu grindin</w:t>
      </w:r>
      <w:r w:rsidR="00724F68" w:rsidRPr="00CD2ADD">
        <w:rPr>
          <w:rFonts w:ascii="Times New Roman" w:hAnsi="Times New Roman" w:cs="Times New Roman"/>
          <w:color w:val="000000" w:themeColor="text1"/>
          <w:sz w:val="24"/>
          <w:szCs w:val="24"/>
        </w:rPr>
        <w:t>ă</w:t>
      </w:r>
      <w:r w:rsidR="00531FD5" w:rsidRPr="00CD2ADD">
        <w:rPr>
          <w:rFonts w:ascii="Times New Roman" w:hAnsi="Times New Roman" w:cs="Times New Roman"/>
          <w:color w:val="000000" w:themeColor="text1"/>
          <w:sz w:val="24"/>
          <w:szCs w:val="24"/>
        </w:rPr>
        <w:t xml:space="preserve"> </w:t>
      </w:r>
      <w:r w:rsidR="00AA6000" w:rsidRPr="00CD2ADD">
        <w:rPr>
          <w:rFonts w:ascii="Times New Roman" w:hAnsi="Times New Roman" w:cs="Times New Roman"/>
          <w:color w:val="000000" w:themeColor="text1"/>
          <w:sz w:val="24"/>
          <w:szCs w:val="24"/>
        </w:rPr>
        <w:t>ș</w:t>
      </w:r>
      <w:r w:rsidR="00531FD5" w:rsidRPr="00CD2ADD">
        <w:rPr>
          <w:rFonts w:ascii="Times New Roman" w:hAnsi="Times New Roman" w:cs="Times New Roman"/>
          <w:color w:val="000000" w:themeColor="text1"/>
          <w:sz w:val="24"/>
          <w:szCs w:val="24"/>
        </w:rPr>
        <w:t xml:space="preserve">i </w:t>
      </w:r>
      <w:r w:rsidR="00AA6000" w:rsidRPr="00CD2ADD">
        <w:rPr>
          <w:rFonts w:ascii="Times New Roman" w:hAnsi="Times New Roman" w:cs="Times New Roman"/>
          <w:color w:val="000000" w:themeColor="text1"/>
          <w:sz w:val="24"/>
          <w:szCs w:val="24"/>
        </w:rPr>
        <w:t>vânt</w:t>
      </w:r>
      <w:r w:rsidR="00531FD5" w:rsidRPr="00CD2ADD">
        <w:rPr>
          <w:rFonts w:ascii="Times New Roman" w:hAnsi="Times New Roman" w:cs="Times New Roman"/>
          <w:color w:val="000000" w:themeColor="text1"/>
          <w:sz w:val="24"/>
          <w:szCs w:val="24"/>
        </w:rPr>
        <w:t xml:space="preserve"> puternic, precum și de ploi de lung</w:t>
      </w:r>
      <w:r w:rsidR="00724F68" w:rsidRPr="00CD2ADD">
        <w:rPr>
          <w:rFonts w:ascii="Times New Roman" w:hAnsi="Times New Roman" w:cs="Times New Roman"/>
          <w:color w:val="000000" w:themeColor="text1"/>
          <w:sz w:val="24"/>
          <w:szCs w:val="24"/>
        </w:rPr>
        <w:t>ă</w:t>
      </w:r>
      <w:r w:rsidR="00531FD5" w:rsidRPr="00CD2ADD">
        <w:rPr>
          <w:rFonts w:ascii="Times New Roman" w:hAnsi="Times New Roman" w:cs="Times New Roman"/>
          <w:color w:val="000000" w:themeColor="text1"/>
          <w:sz w:val="24"/>
          <w:szCs w:val="24"/>
        </w:rPr>
        <w:t xml:space="preserve"> durat</w:t>
      </w:r>
      <w:r w:rsidR="00724F68" w:rsidRPr="00CD2ADD">
        <w:rPr>
          <w:rFonts w:ascii="Times New Roman" w:hAnsi="Times New Roman" w:cs="Times New Roman"/>
          <w:color w:val="000000" w:themeColor="text1"/>
          <w:sz w:val="24"/>
          <w:szCs w:val="24"/>
        </w:rPr>
        <w:t>ă</w:t>
      </w:r>
      <w:r w:rsidR="00531FD5" w:rsidRPr="00CD2ADD">
        <w:rPr>
          <w:rFonts w:ascii="Times New Roman" w:hAnsi="Times New Roman" w:cs="Times New Roman"/>
          <w:color w:val="000000" w:themeColor="text1"/>
          <w:sz w:val="24"/>
          <w:szCs w:val="24"/>
        </w:rPr>
        <w:t>, grindin</w:t>
      </w:r>
      <w:r w:rsidR="00724F68" w:rsidRPr="00CD2ADD">
        <w:rPr>
          <w:rFonts w:ascii="Times New Roman" w:hAnsi="Times New Roman" w:cs="Times New Roman"/>
          <w:color w:val="000000" w:themeColor="text1"/>
          <w:sz w:val="24"/>
          <w:szCs w:val="24"/>
        </w:rPr>
        <w:t>ă</w:t>
      </w:r>
      <w:r w:rsidR="00531FD5"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 xml:space="preserve">și </w:t>
      </w:r>
      <w:r w:rsidR="00531FD5" w:rsidRPr="00CD2ADD">
        <w:rPr>
          <w:rFonts w:ascii="Times New Roman" w:hAnsi="Times New Roman" w:cs="Times New Roman"/>
          <w:color w:val="000000" w:themeColor="text1"/>
          <w:sz w:val="24"/>
          <w:szCs w:val="24"/>
        </w:rPr>
        <w:t xml:space="preserve">alte </w:t>
      </w:r>
      <w:r w:rsidRPr="00CD2ADD">
        <w:rPr>
          <w:rFonts w:ascii="Times New Roman" w:hAnsi="Times New Roman" w:cs="Times New Roman"/>
          <w:color w:val="000000" w:themeColor="text1"/>
          <w:sz w:val="24"/>
          <w:szCs w:val="24"/>
        </w:rPr>
        <w:t>evenimente meteo</w:t>
      </w:r>
      <w:r w:rsidR="00531FD5" w:rsidRPr="00CD2ADD">
        <w:rPr>
          <w:rFonts w:ascii="Times New Roman" w:hAnsi="Times New Roman" w:cs="Times New Roman"/>
          <w:color w:val="000000" w:themeColor="text1"/>
          <w:sz w:val="24"/>
          <w:szCs w:val="24"/>
        </w:rPr>
        <w:t>rologice</w:t>
      </w:r>
      <w:r w:rsidRPr="00CD2ADD">
        <w:rPr>
          <w:rFonts w:ascii="Times New Roman" w:hAnsi="Times New Roman" w:cs="Times New Roman"/>
          <w:color w:val="000000" w:themeColor="text1"/>
          <w:sz w:val="24"/>
          <w:szCs w:val="24"/>
        </w:rPr>
        <w:t xml:space="preserve"> severe. Această vulnerabilitate este accentuată de factori structurali precum degradarea ecosistemelor, presiunea asupra resurselor naturale, infrastructura învechită și dezechilibrele teritoriale. De asemenea, fenomenele de </w:t>
      </w:r>
      <w:r w:rsidR="000A16BB" w:rsidRPr="00CD2ADD">
        <w:rPr>
          <w:rFonts w:ascii="Times New Roman" w:hAnsi="Times New Roman" w:cs="Times New Roman"/>
          <w:color w:val="000000" w:themeColor="text1"/>
          <w:sz w:val="24"/>
          <w:szCs w:val="24"/>
        </w:rPr>
        <w:t>strămutare</w:t>
      </w:r>
      <w:r w:rsidR="006658AE"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migrație internă și internațională contribuie la creșterea expunerii anumitor regiuni</w:t>
      </w:r>
      <w:r w:rsidR="002413F3" w:rsidRPr="00CD2ADD">
        <w:rPr>
          <w:rFonts w:ascii="Times New Roman" w:hAnsi="Times New Roman" w:cs="Times New Roman"/>
          <w:color w:val="000000" w:themeColor="text1"/>
          <w:sz w:val="24"/>
          <w:szCs w:val="24"/>
        </w:rPr>
        <w:t>,</w:t>
      </w:r>
      <w:r w:rsidRPr="00CD2ADD">
        <w:rPr>
          <w:rFonts w:ascii="Times New Roman" w:hAnsi="Times New Roman" w:cs="Times New Roman"/>
          <w:color w:val="000000" w:themeColor="text1"/>
          <w:sz w:val="24"/>
          <w:szCs w:val="24"/>
        </w:rPr>
        <w:t xml:space="preserve"> fie prin depopulare și îmbătrânirea populației, fie prin densitate crescută în zone urbane vulnerabile</w:t>
      </w:r>
      <w:r w:rsidR="000A16BB" w:rsidRPr="00CD2ADD">
        <w:rPr>
          <w:rFonts w:ascii="Times New Roman" w:hAnsi="Times New Roman" w:cs="Times New Roman"/>
          <w:color w:val="000000" w:themeColor="text1"/>
          <w:sz w:val="24"/>
          <w:szCs w:val="24"/>
        </w:rPr>
        <w:t xml:space="preserve">, care </w:t>
      </w:r>
      <w:r w:rsidR="00CF02D8" w:rsidRPr="00CD2ADD">
        <w:rPr>
          <w:rFonts w:ascii="Times New Roman" w:hAnsi="Times New Roman" w:cs="Times New Roman"/>
          <w:color w:val="000000" w:themeColor="text1"/>
          <w:sz w:val="24"/>
          <w:szCs w:val="24"/>
        </w:rPr>
        <w:t>sfârșesc</w:t>
      </w:r>
      <w:r w:rsidR="000A16BB" w:rsidRPr="00CD2ADD">
        <w:rPr>
          <w:rFonts w:ascii="Times New Roman" w:hAnsi="Times New Roman" w:cs="Times New Roman"/>
          <w:color w:val="000000" w:themeColor="text1"/>
          <w:sz w:val="24"/>
          <w:szCs w:val="24"/>
        </w:rPr>
        <w:t xml:space="preserve"> prin a pune presiune asupra infrastructurii </w:t>
      </w:r>
      <w:r w:rsidR="002413F3" w:rsidRPr="00CD2ADD">
        <w:rPr>
          <w:rFonts w:ascii="Times New Roman" w:hAnsi="Times New Roman" w:cs="Times New Roman"/>
          <w:color w:val="000000" w:themeColor="text1"/>
          <w:sz w:val="24"/>
          <w:szCs w:val="24"/>
        </w:rPr>
        <w:t>și</w:t>
      </w:r>
      <w:r w:rsidR="000A16BB" w:rsidRPr="00CD2ADD">
        <w:rPr>
          <w:rFonts w:ascii="Times New Roman" w:hAnsi="Times New Roman" w:cs="Times New Roman"/>
          <w:color w:val="000000" w:themeColor="text1"/>
          <w:sz w:val="24"/>
          <w:szCs w:val="24"/>
        </w:rPr>
        <w:t xml:space="preserve"> serviciilor de baza</w:t>
      </w:r>
      <w:r w:rsidRPr="00CD2ADD">
        <w:rPr>
          <w:rFonts w:ascii="Times New Roman" w:hAnsi="Times New Roman" w:cs="Times New Roman"/>
          <w:color w:val="000000" w:themeColor="text1"/>
          <w:sz w:val="24"/>
          <w:szCs w:val="24"/>
        </w:rPr>
        <w:t>.</w:t>
      </w:r>
      <w:r w:rsidR="00C81BA5" w:rsidRPr="00CD2ADD">
        <w:rPr>
          <w:rFonts w:ascii="Times New Roman" w:hAnsi="Times New Roman" w:cs="Times New Roman"/>
          <w:color w:val="000000" w:themeColor="text1"/>
          <w:sz w:val="24"/>
          <w:szCs w:val="24"/>
        </w:rPr>
        <w:t xml:space="preserve"> </w:t>
      </w:r>
      <w:r w:rsidR="00E74C5C" w:rsidRPr="00CD2ADD">
        <w:rPr>
          <w:rFonts w:ascii="Times New Roman" w:hAnsi="Times New Roman" w:cs="Times New Roman"/>
          <w:color w:val="000000" w:themeColor="text1"/>
          <w:sz w:val="24"/>
          <w:szCs w:val="24"/>
        </w:rPr>
        <w:t>Totodată, migrația poate contribui și la creșterea capacității de adaptare, în special prin utilizarea remitențelor financiare</w:t>
      </w:r>
      <w:r w:rsidR="00175C38" w:rsidRPr="00CD2ADD">
        <w:rPr>
          <w:rFonts w:ascii="Times New Roman" w:hAnsi="Times New Roman" w:cs="Times New Roman"/>
          <w:color w:val="000000" w:themeColor="text1"/>
          <w:sz w:val="24"/>
          <w:szCs w:val="24"/>
        </w:rPr>
        <w:t xml:space="preserve"> </w:t>
      </w:r>
      <w:r w:rsidR="00E74C5C" w:rsidRPr="00CD2ADD">
        <w:rPr>
          <w:rFonts w:ascii="Times New Roman" w:hAnsi="Times New Roman" w:cs="Times New Roman"/>
          <w:color w:val="000000" w:themeColor="text1"/>
          <w:sz w:val="24"/>
          <w:szCs w:val="24"/>
        </w:rPr>
        <w:t>și transferul de remitențe sociale, care susțin gospodăriile rurale în implementarea unor măsuri autonome de adaptare.</w:t>
      </w:r>
    </w:p>
    <w:p w14:paraId="33162DC0" w14:textId="2660E6E7" w:rsidR="0060210F" w:rsidRPr="00CD2ADD" w:rsidRDefault="0060210F">
      <w:pPr>
        <w:pStyle w:val="ListParagraph"/>
        <w:numPr>
          <w:ilvl w:val="0"/>
          <w:numId w:val="42"/>
        </w:numPr>
        <w:spacing w:after="0"/>
        <w:ind w:left="0" w:firstLine="284"/>
        <w:jc w:val="both"/>
        <w:rPr>
          <w:rFonts w:ascii="Times New Roman" w:hAnsi="Times New Roman" w:cs="Times New Roman"/>
          <w:b/>
          <w:bCs/>
          <w:color w:val="000000" w:themeColor="text1"/>
          <w:sz w:val="24"/>
          <w:szCs w:val="24"/>
        </w:rPr>
      </w:pPr>
      <w:r w:rsidRPr="00CD2ADD">
        <w:rPr>
          <w:rFonts w:ascii="Times New Roman" w:hAnsi="Times New Roman" w:cs="Times New Roman"/>
          <w:color w:val="000000" w:themeColor="text1"/>
          <w:sz w:val="24"/>
          <w:szCs w:val="24"/>
        </w:rPr>
        <w:t xml:space="preserve">Acest tablou este confirmat </w:t>
      </w:r>
      <w:bookmarkStart w:id="5" w:name="OLE_LINK15"/>
      <w:r w:rsidRPr="00CD2ADD">
        <w:rPr>
          <w:rFonts w:ascii="Times New Roman" w:hAnsi="Times New Roman" w:cs="Times New Roman"/>
          <w:color w:val="000000" w:themeColor="text1"/>
          <w:sz w:val="24"/>
          <w:szCs w:val="24"/>
        </w:rPr>
        <w:t xml:space="preserve">și </w:t>
      </w:r>
      <w:bookmarkEnd w:id="5"/>
      <w:r w:rsidRPr="00CD2ADD">
        <w:rPr>
          <w:rFonts w:ascii="Times New Roman" w:hAnsi="Times New Roman" w:cs="Times New Roman"/>
          <w:color w:val="000000" w:themeColor="text1"/>
          <w:sz w:val="24"/>
          <w:szCs w:val="24"/>
        </w:rPr>
        <w:t>de analiza recentă realizată de Banca Mondială în raportul „Consolidarea managementului riscului de dezastre și rezilienței la schimbările climatice în Moldova”</w:t>
      </w:r>
      <w:r w:rsidR="0006295E" w:rsidRPr="00CD2ADD">
        <w:rPr>
          <w:rStyle w:val="FootnoteReference"/>
          <w:rFonts w:ascii="Times New Roman" w:hAnsi="Times New Roman" w:cs="Times New Roman"/>
          <w:color w:val="000000" w:themeColor="text1"/>
          <w:sz w:val="24"/>
          <w:szCs w:val="24"/>
        </w:rPr>
        <w:footnoteReference w:id="5"/>
      </w:r>
      <w:r w:rsidRPr="00CD2ADD">
        <w:rPr>
          <w:rFonts w:ascii="Times New Roman" w:hAnsi="Times New Roman" w:cs="Times New Roman"/>
          <w:color w:val="000000" w:themeColor="text1"/>
          <w:sz w:val="24"/>
          <w:szCs w:val="24"/>
        </w:rPr>
        <w:t xml:space="preserve">, unde se </w:t>
      </w:r>
      <w:r w:rsidR="00FD3CB6" w:rsidRPr="00CD2ADD">
        <w:rPr>
          <w:rFonts w:ascii="Times New Roman" w:hAnsi="Times New Roman" w:cs="Times New Roman"/>
          <w:color w:val="000000" w:themeColor="text1"/>
          <w:sz w:val="24"/>
          <w:szCs w:val="24"/>
        </w:rPr>
        <w:t>confirm</w:t>
      </w:r>
      <w:r w:rsidRPr="00CD2ADD">
        <w:rPr>
          <w:rFonts w:ascii="Times New Roman" w:hAnsi="Times New Roman" w:cs="Times New Roman"/>
          <w:color w:val="000000" w:themeColor="text1"/>
          <w:sz w:val="24"/>
          <w:szCs w:val="24"/>
        </w:rPr>
        <w:t xml:space="preserve">ă că Moldova este expusă la o gama largă de dezastre naturale, iar impactul acestora afectează în mod disproporționat persoanele sărace. </w:t>
      </w:r>
    </w:p>
    <w:p w14:paraId="19F4A945" w14:textId="2D79E7EE" w:rsidR="008344B6" w:rsidRPr="00CD2ADD" w:rsidRDefault="0060210F" w:rsidP="008B603D">
      <w:pPr>
        <w:ind w:firstLine="360"/>
        <w:jc w:val="both"/>
        <w:rPr>
          <w:b/>
          <w:bCs/>
          <w:color w:val="000000" w:themeColor="text1"/>
        </w:rPr>
      </w:pPr>
      <w:r w:rsidRPr="00CD2ADD">
        <w:rPr>
          <w:color w:val="000000" w:themeColor="text1"/>
        </w:rPr>
        <w:t xml:space="preserve">O analiză relevantă a managementului riscurilor de dezastre trebuie să plece de la o distincție clară între capacitatea actuală de reacție și nevoile reale, în funcție de natura riscurilor și proiecțiile privind impactul acestora. Doar astfel se poate dezvolta un cadru coerent de acțiune, bazat pe </w:t>
      </w:r>
      <w:r w:rsidR="00C444E5" w:rsidRPr="00CD2ADD">
        <w:rPr>
          <w:color w:val="000000" w:themeColor="text1"/>
        </w:rPr>
        <w:t>date documentate</w:t>
      </w:r>
      <w:r w:rsidRPr="00CD2ADD">
        <w:rPr>
          <w:color w:val="000000" w:themeColor="text1"/>
        </w:rPr>
        <w:t xml:space="preserve">, coordonare interinstituțională și sprijin </w:t>
      </w:r>
      <w:r w:rsidR="00E74C5C" w:rsidRPr="00CD2ADD">
        <w:rPr>
          <w:color w:val="000000" w:themeColor="text1"/>
        </w:rPr>
        <w:t xml:space="preserve">precum și servicii </w:t>
      </w:r>
      <w:r w:rsidRPr="00CD2ADD">
        <w:rPr>
          <w:color w:val="000000" w:themeColor="text1"/>
        </w:rPr>
        <w:t>pentru comunitățile vulnerabile.</w:t>
      </w:r>
    </w:p>
    <w:p w14:paraId="0331DF37" w14:textId="4B01A31F" w:rsidR="00000355" w:rsidRPr="00CD2ADD" w:rsidRDefault="00000355">
      <w:pPr>
        <w:pStyle w:val="ListParagraph"/>
        <w:numPr>
          <w:ilvl w:val="0"/>
          <w:numId w:val="42"/>
        </w:numPr>
        <w:spacing w:after="0"/>
        <w:ind w:left="0" w:firstLine="360"/>
        <w:jc w:val="both"/>
        <w:rPr>
          <w:rFonts w:ascii="Times New Roman" w:hAnsi="Times New Roman" w:cs="Times New Roman"/>
          <w:b/>
          <w:bCs/>
          <w:color w:val="000000" w:themeColor="text1"/>
          <w:sz w:val="24"/>
          <w:szCs w:val="24"/>
        </w:rPr>
      </w:pPr>
      <w:r w:rsidRPr="00CD2ADD">
        <w:rPr>
          <w:rFonts w:ascii="Times New Roman" w:hAnsi="Times New Roman" w:cs="Times New Roman"/>
          <w:color w:val="000000" w:themeColor="text1"/>
          <w:sz w:val="24"/>
          <w:szCs w:val="24"/>
        </w:rPr>
        <w:t>Analiza politicilor publice și a intervențiilor implementate anterior în domeniul reducerii riscurilor de dezastre, al mediului, sănătății și al domeniilor conexe precum agricultura evidențiază o serie de lecții relevante pentru implementarea PNRRDN 2030. În primul rând, abordările sectoriale fragmentate au limitat capacitatea instituțiilor de a gestiona riscurile într-o manieră integrată, în special în contextul riscurilor naturale și biologico-sociale, care depășesc competențele unui singur sector sau ale unei singure instituții.</w:t>
      </w:r>
    </w:p>
    <w:p w14:paraId="3F655F8B" w14:textId="2B837E81" w:rsidR="00000355" w:rsidRPr="00CD2ADD" w:rsidRDefault="00000355" w:rsidP="008B603D">
      <w:pPr>
        <w:ind w:firstLine="360"/>
        <w:jc w:val="both"/>
        <w:rPr>
          <w:b/>
          <w:bCs/>
          <w:color w:val="000000" w:themeColor="text1"/>
        </w:rPr>
      </w:pPr>
      <w:r w:rsidRPr="00CD2ADD">
        <w:rPr>
          <w:color w:val="000000" w:themeColor="text1"/>
        </w:rPr>
        <w:t xml:space="preserve">O a doua lecție importantă vizează utilizarea insuficientă a soluțiilor </w:t>
      </w:r>
      <w:r w:rsidR="00AB57AD" w:rsidRPr="00CD2ADD">
        <w:rPr>
          <w:color w:val="000000" w:themeColor="text1"/>
        </w:rPr>
        <w:t xml:space="preserve">ecosistemice, sau </w:t>
      </w:r>
      <w:r w:rsidRPr="00CD2ADD">
        <w:rPr>
          <w:color w:val="000000" w:themeColor="text1"/>
        </w:rPr>
        <w:t>bazate pe natură (NbS) ca instrument de prevenire și reducere a riscurilor. Deși acestea pot contribui simultan la diminuarea hazardelor, protecția biodiversității și adaptarea la schimbările climatice, integrarea NbS în politicile și programele sectoriale a fost limitată, iar aplicarea lor a rămas adesea punctuală și dependentă de proiecte izolate.</w:t>
      </w:r>
    </w:p>
    <w:p w14:paraId="76A20DDE" w14:textId="1BB6BBDF" w:rsidR="00000355" w:rsidRPr="00CD2ADD" w:rsidRDefault="00000355" w:rsidP="008B603D">
      <w:pPr>
        <w:ind w:firstLine="360"/>
        <w:jc w:val="both"/>
        <w:rPr>
          <w:b/>
          <w:bCs/>
          <w:color w:val="000000" w:themeColor="text1"/>
        </w:rPr>
      </w:pPr>
      <w:r w:rsidRPr="00CD2ADD">
        <w:rPr>
          <w:color w:val="000000" w:themeColor="text1"/>
        </w:rPr>
        <w:t>Totodată, politicile anterioare au evidențiat o integrare insuficientă a riscurilor climatice în procesele de planificare și investiții, precum și o utilizare fragmentară a datelor disponibile. Lipsa interoperabilității între bazele de date, precum și capacitatea limitată de analiză și utilizare a informațiilor existente, au redus eficiența procesului decizional și a măsurilor de prevenție.</w:t>
      </w:r>
    </w:p>
    <w:p w14:paraId="2403EEE7" w14:textId="4E4BD5A7" w:rsidR="00000355" w:rsidRPr="00CD2ADD" w:rsidRDefault="00000355">
      <w:pPr>
        <w:pStyle w:val="ListParagraph"/>
        <w:numPr>
          <w:ilvl w:val="0"/>
          <w:numId w:val="42"/>
        </w:numPr>
        <w:spacing w:after="0"/>
        <w:ind w:left="0" w:firstLine="284"/>
        <w:jc w:val="both"/>
        <w:rPr>
          <w:rFonts w:ascii="Times New Roman" w:hAnsi="Times New Roman" w:cs="Times New Roman"/>
          <w:b/>
          <w:bCs/>
          <w:color w:val="000000" w:themeColor="text1"/>
          <w:sz w:val="24"/>
          <w:szCs w:val="24"/>
        </w:rPr>
      </w:pPr>
      <w:r w:rsidRPr="00CD2ADD">
        <w:rPr>
          <w:rFonts w:ascii="Times New Roman" w:hAnsi="Times New Roman" w:cs="Times New Roman"/>
          <w:color w:val="000000" w:themeColor="text1"/>
          <w:sz w:val="24"/>
          <w:szCs w:val="24"/>
        </w:rPr>
        <w:lastRenderedPageBreak/>
        <w:t>Aceste lecții subliniază necesitatea unei abordări consolidate și coerente în cadrul PNRRDN, bazată pe integrarea riscurilor climatice și biologico-sociale, coordonare interinstituțională sporită, utilizarea soluțiilor bazate pe natură și valorificarea sistematică a datelor și cunoștințelor existente, ca fundament pentru politicile publice și investițiile viitoare.</w:t>
      </w:r>
    </w:p>
    <w:p w14:paraId="43FCF7A2" w14:textId="65675F1C" w:rsidR="008B603D" w:rsidRPr="00CD2ADD" w:rsidRDefault="008B603D" w:rsidP="008B603D">
      <w:pPr>
        <w:ind w:firstLine="360"/>
        <w:jc w:val="both"/>
        <w:rPr>
          <w:b/>
          <w:bCs/>
          <w:color w:val="000000" w:themeColor="text1"/>
        </w:rPr>
      </w:pPr>
      <w:r w:rsidRPr="00CD2ADD">
        <w:rPr>
          <w:color w:val="000000" w:themeColor="text1"/>
        </w:rPr>
        <w:t>În concluzie, problematicile legate de dezastre și gestionarea acestora reprezintă o prioritate națională. Ele impun o abordare sistemică și integrată, care să vizeze nu doar reacția la evenimente extreme, ci și prevenirea și reducerea riscurilor naturale. Secțiunile următoare ale PNRRDN</w:t>
      </w:r>
      <w:r w:rsidR="00724F68" w:rsidRPr="00CD2ADD">
        <w:rPr>
          <w:color w:val="000000" w:themeColor="text1"/>
        </w:rPr>
        <w:t xml:space="preserve"> 2030</w:t>
      </w:r>
      <w:r w:rsidRPr="00CD2ADD">
        <w:rPr>
          <w:color w:val="000000" w:themeColor="text1"/>
        </w:rPr>
        <w:t xml:space="preserve"> vor detalia tendințele climatice și proiecțiile viitoare, vor identifica riscurile climatice majore la nivel de țară și vor analiza impactului lor asupra sectoarelor economice cheie. În plus, se vor analiza și conexiunile emergente dintre riscuri, mobilitate sau strămutare și vulnerabilitate socială.</w:t>
      </w:r>
    </w:p>
    <w:p w14:paraId="69D2CA43" w14:textId="77777777" w:rsidR="008344B6" w:rsidRPr="00CD2ADD" w:rsidRDefault="008344B6" w:rsidP="00205BFB">
      <w:pPr>
        <w:pStyle w:val="ListParagraph"/>
        <w:spacing w:after="0"/>
        <w:ind w:left="360" w:firstLine="0"/>
        <w:jc w:val="center"/>
        <w:rPr>
          <w:rFonts w:ascii="Times New Roman" w:hAnsi="Times New Roman" w:cs="Times New Roman"/>
          <w:b/>
          <w:bCs/>
          <w:color w:val="000000" w:themeColor="text1"/>
          <w:sz w:val="24"/>
          <w:szCs w:val="24"/>
        </w:rPr>
      </w:pPr>
    </w:p>
    <w:p w14:paraId="29C976F7" w14:textId="3BE14FBF" w:rsidR="00550502" w:rsidRPr="00CD2ADD" w:rsidRDefault="00550502" w:rsidP="00590E37">
      <w:pPr>
        <w:pStyle w:val="Heading2"/>
        <w:spacing w:before="0"/>
        <w:jc w:val="center"/>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Secțiunea a 2-a</w:t>
      </w:r>
    </w:p>
    <w:p w14:paraId="0A3FC0E0" w14:textId="77777777" w:rsidR="000C0245" w:rsidRPr="00CD2ADD" w:rsidRDefault="00A154F0" w:rsidP="00590E37">
      <w:pPr>
        <w:pStyle w:val="Heading2"/>
        <w:spacing w:before="0"/>
        <w:jc w:val="center"/>
        <w:rPr>
          <w:rFonts w:ascii="Times New Roman" w:hAnsi="Times New Roman" w:cs="Times New Roman"/>
          <w:color w:val="000000" w:themeColor="text1"/>
          <w:sz w:val="24"/>
          <w:szCs w:val="24"/>
        </w:rPr>
      </w:pPr>
      <w:bookmarkStart w:id="6" w:name="OLE_LINK5"/>
      <w:bookmarkStart w:id="7" w:name="OLE_LINK14"/>
      <w:r w:rsidRPr="00CD2ADD">
        <w:rPr>
          <w:rFonts w:ascii="Times New Roman" w:hAnsi="Times New Roman" w:cs="Times New Roman"/>
          <w:color w:val="000000" w:themeColor="text1"/>
          <w:sz w:val="24"/>
          <w:szCs w:val="24"/>
        </w:rPr>
        <w:t>Evoluția climatică în ultimele trei decenii</w:t>
      </w:r>
    </w:p>
    <w:p w14:paraId="46CA82C2" w14:textId="77777777" w:rsidR="008344B6" w:rsidRPr="00CD2ADD" w:rsidRDefault="008344B6" w:rsidP="00E717A3">
      <w:pPr>
        <w:pStyle w:val="ListParagraph"/>
        <w:spacing w:after="0"/>
        <w:ind w:left="360" w:firstLine="0"/>
        <w:jc w:val="center"/>
        <w:rPr>
          <w:rFonts w:ascii="Times New Roman" w:hAnsi="Times New Roman" w:cs="Times New Roman"/>
          <w:b/>
          <w:bCs/>
          <w:color w:val="000000" w:themeColor="text1"/>
          <w:sz w:val="24"/>
          <w:szCs w:val="24"/>
        </w:rPr>
      </w:pPr>
    </w:p>
    <w:p w14:paraId="70E7E842" w14:textId="7F08A8C6" w:rsidR="00773A0F" w:rsidRPr="00CD2ADD" w:rsidRDefault="007A186A">
      <w:pPr>
        <w:pStyle w:val="ListParagraph"/>
        <w:numPr>
          <w:ilvl w:val="0"/>
          <w:numId w:val="42"/>
        </w:numPr>
        <w:spacing w:after="0"/>
        <w:ind w:left="0" w:firstLine="360"/>
        <w:jc w:val="both"/>
        <w:rPr>
          <w:rFonts w:ascii="Times New Roman" w:hAnsi="Times New Roman" w:cs="Times New Roman"/>
          <w:b/>
          <w:bCs/>
          <w:color w:val="000000" w:themeColor="text1"/>
          <w:sz w:val="24"/>
          <w:szCs w:val="24"/>
        </w:rPr>
      </w:pPr>
      <w:r w:rsidRPr="00CD2ADD">
        <w:rPr>
          <w:rFonts w:ascii="Times New Roman" w:hAnsi="Times New Roman" w:cs="Times New Roman"/>
          <w:color w:val="000000" w:themeColor="text1"/>
          <w:sz w:val="24"/>
          <w:szCs w:val="24"/>
        </w:rPr>
        <w:t xml:space="preserve">Datele climatice înregistrate în Republica Moldova </w:t>
      </w:r>
      <w:r w:rsidR="00750521" w:rsidRPr="00CD2ADD">
        <w:rPr>
          <w:rFonts w:ascii="Times New Roman" w:hAnsi="Times New Roman" w:cs="Times New Roman"/>
          <w:color w:val="000000" w:themeColor="text1"/>
          <w:sz w:val="24"/>
          <w:szCs w:val="24"/>
        </w:rPr>
        <w:t xml:space="preserve">pentru </w:t>
      </w:r>
      <w:r w:rsidRPr="00CD2ADD">
        <w:rPr>
          <w:rFonts w:ascii="Times New Roman" w:hAnsi="Times New Roman" w:cs="Times New Roman"/>
          <w:color w:val="000000" w:themeColor="text1"/>
          <w:sz w:val="24"/>
          <w:szCs w:val="24"/>
        </w:rPr>
        <w:t>perioada 1990–2024 indică o tendință clară de creștere a temperaturilor medii anuale, în paralel cu o creștere a variabilității precipitațiilor și o ușoară scădere a vitezei medii a vântului. Aceste modificări reflectă semnale clare ale schimbărilor climatice și afectează direct dinamica agriculturii, disponibilitatea resurselor de apă și sănătatea ecosistemelor.</w:t>
      </w:r>
    </w:p>
    <w:p w14:paraId="104869B9" w14:textId="390625AE" w:rsidR="005E1305" w:rsidRPr="00CD2ADD" w:rsidRDefault="005E1305" w:rsidP="005E1305">
      <w:pPr>
        <w:pStyle w:val="ListParagraph"/>
        <w:spacing w:after="0"/>
        <w:ind w:left="360" w:firstLine="0"/>
        <w:jc w:val="both"/>
        <w:rPr>
          <w:rStyle w:val="IntenseEmphasis"/>
          <w:rFonts w:ascii="Times New Roman" w:hAnsi="Times New Roman" w:cs="Times New Roman"/>
          <w:color w:val="000000" w:themeColor="text1"/>
          <w:sz w:val="24"/>
          <w:szCs w:val="24"/>
        </w:rPr>
      </w:pPr>
      <w:r w:rsidRPr="00CD2ADD">
        <w:rPr>
          <w:rStyle w:val="IntenseEmphasis"/>
          <w:rFonts w:ascii="Times New Roman" w:hAnsi="Times New Roman" w:cs="Times New Roman"/>
          <w:color w:val="000000" w:themeColor="text1"/>
          <w:sz w:val="24"/>
          <w:szCs w:val="24"/>
        </w:rPr>
        <w:t>Tendința temperaturilor (1990-2024)</w:t>
      </w:r>
    </w:p>
    <w:p w14:paraId="7179006C" w14:textId="0B3B8419" w:rsidR="000C5B88" w:rsidRPr="00CD2ADD" w:rsidRDefault="005E1305">
      <w:pPr>
        <w:pStyle w:val="ListParagraph"/>
        <w:numPr>
          <w:ilvl w:val="0"/>
          <w:numId w:val="42"/>
        </w:numPr>
        <w:ind w:left="0" w:firstLine="360"/>
        <w:jc w:val="both"/>
        <w:rPr>
          <w:rFonts w:ascii="Times New Roman" w:hAnsi="Times New Roman" w:cs="Times New Roman"/>
          <w:b/>
          <w:bCs/>
          <w:color w:val="000000" w:themeColor="text1"/>
          <w:sz w:val="24"/>
          <w:szCs w:val="24"/>
        </w:rPr>
      </w:pPr>
      <w:r w:rsidRPr="00CD2ADD">
        <w:rPr>
          <w:rFonts w:ascii="Times New Roman" w:hAnsi="Times New Roman" w:cs="Times New Roman"/>
          <w:color w:val="000000" w:themeColor="text1"/>
          <w:sz w:val="24"/>
          <w:szCs w:val="24"/>
        </w:rPr>
        <w:t xml:space="preserve">Figura </w:t>
      </w:r>
      <w:r w:rsidR="000C0245" w:rsidRPr="00CD2ADD">
        <w:rPr>
          <w:rFonts w:ascii="Times New Roman" w:hAnsi="Times New Roman" w:cs="Times New Roman"/>
          <w:color w:val="000000" w:themeColor="text1"/>
          <w:sz w:val="24"/>
          <w:szCs w:val="24"/>
        </w:rPr>
        <w:t>alăturat</w:t>
      </w:r>
      <w:r w:rsidR="00E55DE9" w:rsidRPr="00CD2ADD">
        <w:rPr>
          <w:rFonts w:ascii="Times New Roman" w:hAnsi="Times New Roman" w:cs="Times New Roman"/>
          <w:color w:val="000000" w:themeColor="text1"/>
          <w:sz w:val="24"/>
          <w:szCs w:val="24"/>
        </w:rPr>
        <w:t>ă</w:t>
      </w:r>
      <w:r w:rsidR="000C0245" w:rsidRPr="00CD2ADD">
        <w:rPr>
          <w:rFonts w:ascii="Times New Roman" w:hAnsi="Times New Roman" w:cs="Times New Roman"/>
          <w:color w:val="000000" w:themeColor="text1"/>
          <w:sz w:val="24"/>
          <w:szCs w:val="24"/>
        </w:rPr>
        <w:t xml:space="preserve"> prezintă variația temperaturilor medii anuale la stațiile meteorologice Chișinău, Bălți și Cahul. În toate cele trei locații, se remarcă o tendință de creștere susținută a temperaturii medii anuale pe parcursul celor 35 de ani analizați. Stațiile din Chișinău și Cahul au înregistrat cele mai accentuate creșteri, depășind constant pragul de 12°C în ultimul deceniu. În anul 2024, la Cahul s-a înregistrat un record de 13,7°C - cea mai ridicată valoare din seria analizată.</w:t>
      </w:r>
      <w:r w:rsidR="00EA7993" w:rsidRPr="00CD2ADD">
        <w:rPr>
          <w:rFonts w:ascii="Times New Roman" w:hAnsi="Times New Roman" w:cs="Times New Roman"/>
          <w:color w:val="000000" w:themeColor="text1"/>
          <w:sz w:val="24"/>
          <w:szCs w:val="24"/>
        </w:rPr>
        <w:t xml:space="preserve"> </w:t>
      </w:r>
      <w:r w:rsidR="000C0245" w:rsidRPr="00CD2ADD">
        <w:rPr>
          <w:rFonts w:ascii="Times New Roman" w:hAnsi="Times New Roman" w:cs="Times New Roman"/>
          <w:color w:val="000000" w:themeColor="text1"/>
          <w:sz w:val="24"/>
          <w:szCs w:val="24"/>
        </w:rPr>
        <w:t xml:space="preserve">Se observă, de asemenea, o sincronizare regională între cele trei stații în ceea ce privește vârfurile și minimele de temperatură, ceea ce sugerează o dinamică climatică comună la nivel național. Ani precum 2007, 2015, 2020 și 2024 au fost constant printre cei mai calzi la toate cele trei stații. Acest fenomen reflectă o tendință structurală de creștere a temperaturilor, cu implicații directe asupra agriculturii, sănătății publice și resurselor de apă. Zonele sudice (Cahul) par a fi cele mai afectate, consolidând ideea unui risc climatic regional diferențiat în Moldova. </w:t>
      </w:r>
    </w:p>
    <w:p w14:paraId="3B82918E" w14:textId="77777777" w:rsidR="005D471E" w:rsidRPr="00CD2ADD" w:rsidRDefault="005D471E" w:rsidP="00864060">
      <w:pPr>
        <w:spacing w:after="240"/>
        <w:jc w:val="center"/>
        <w:rPr>
          <w:color w:val="000000" w:themeColor="text1"/>
        </w:rPr>
      </w:pPr>
      <w:r w:rsidRPr="00CD2ADD">
        <w:rPr>
          <w:b/>
          <w:bCs/>
          <w:color w:val="000000" w:themeColor="text1"/>
          <w:lang w:eastAsia="en-US"/>
        </w:rPr>
        <w:t>Figura 2.</w:t>
      </w:r>
      <w:r w:rsidRPr="00CD2ADD">
        <w:rPr>
          <w:color w:val="000000" w:themeColor="text1"/>
          <w:lang w:eastAsia="en-US"/>
        </w:rPr>
        <w:t xml:space="preserve"> </w:t>
      </w:r>
      <w:r w:rsidRPr="00CD2ADD">
        <w:rPr>
          <w:color w:val="000000" w:themeColor="text1"/>
        </w:rPr>
        <w:t>Variația anuală a temperaturilor la 3 stații meteorologice, 1990-2024</w:t>
      </w:r>
    </w:p>
    <w:p w14:paraId="49CFB111" w14:textId="4D16C74D" w:rsidR="005D471E" w:rsidRPr="00CD2ADD" w:rsidRDefault="005D471E" w:rsidP="00864060">
      <w:pPr>
        <w:jc w:val="center"/>
      </w:pPr>
      <w:r w:rsidRPr="00CD2ADD">
        <w:rPr>
          <w:noProof/>
        </w:rPr>
        <w:drawing>
          <wp:inline distT="0" distB="0" distL="0" distR="0" wp14:anchorId="7DE8A332" wp14:editId="043D3E39">
            <wp:extent cx="5009881" cy="2640169"/>
            <wp:effectExtent l="0" t="0" r="635" b="8255"/>
            <wp:docPr id="1564264626" name="Chart 1">
              <a:extLst xmlns:a="http://schemas.openxmlformats.org/drawingml/2006/main">
                <a:ext uri="{FF2B5EF4-FFF2-40B4-BE49-F238E27FC236}">
                  <a16:creationId xmlns:a16="http://schemas.microsoft.com/office/drawing/2014/main" id="{3D319DE6-3F37-B735-092C-F35C50BF07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5DA2A79" w14:textId="77777777" w:rsidR="005D471E" w:rsidRPr="00CD2ADD" w:rsidRDefault="005D471E" w:rsidP="008640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i/>
          <w:iCs/>
          <w:sz w:val="20"/>
          <w:szCs w:val="20"/>
        </w:rPr>
      </w:pPr>
      <w:r w:rsidRPr="00CD2ADD">
        <w:rPr>
          <w:i/>
          <w:iCs/>
          <w:sz w:val="20"/>
          <w:szCs w:val="20"/>
        </w:rPr>
        <w:t xml:space="preserve">Sursa: BNS, 2025. </w:t>
      </w:r>
      <w:hyperlink r:id="rId11" w:history="1">
        <w:r w:rsidRPr="00CD2ADD">
          <w:rPr>
            <w:rStyle w:val="Hyperlink"/>
            <w:i/>
            <w:iCs/>
            <w:sz w:val="20"/>
            <w:szCs w:val="20"/>
          </w:rPr>
          <w:t>Datele statistice: Mediul înconjurător – Meteorologia - Temperatura</w:t>
        </w:r>
      </w:hyperlink>
      <w:r w:rsidRPr="00CD2ADD">
        <w:rPr>
          <w:i/>
          <w:iCs/>
          <w:sz w:val="20"/>
          <w:szCs w:val="20"/>
        </w:rPr>
        <w:t xml:space="preserve"> și SHS</w:t>
      </w:r>
    </w:p>
    <w:p w14:paraId="5C0B97A3" w14:textId="03EABA93" w:rsidR="005D471E" w:rsidRPr="00CD2ADD" w:rsidRDefault="005D471E" w:rsidP="005D471E">
      <w:pPr>
        <w:ind w:firstLine="360"/>
        <w:rPr>
          <w:rFonts w:asciiTheme="minorHAnsi" w:hAnsiTheme="minorHAnsi" w:cstheme="minorBidi"/>
          <w:color w:val="0E2841" w:themeColor="text2"/>
          <w:sz w:val="21"/>
          <w:szCs w:val="22"/>
        </w:rPr>
      </w:pPr>
      <w:r w:rsidRPr="00CD2ADD">
        <w:rPr>
          <w:rStyle w:val="IntenseEmphasis"/>
          <w:color w:val="000000" w:themeColor="text1"/>
        </w:rPr>
        <w:lastRenderedPageBreak/>
        <w:t>Variabilitatea precipitațiilor</w:t>
      </w:r>
    </w:p>
    <w:p w14:paraId="5E60A47A" w14:textId="44A134A5" w:rsidR="007A186A" w:rsidRPr="00CD2ADD" w:rsidRDefault="007A186A">
      <w:pPr>
        <w:pStyle w:val="ListParagraph"/>
        <w:numPr>
          <w:ilvl w:val="0"/>
          <w:numId w:val="42"/>
        </w:numPr>
        <w:spacing w:after="0"/>
        <w:ind w:left="0" w:firstLine="360"/>
        <w:jc w:val="both"/>
        <w:rPr>
          <w:rFonts w:ascii="Times New Roman" w:hAnsi="Times New Roman" w:cs="Times New Roman"/>
          <w:b/>
          <w:bCs/>
          <w:color w:val="000000" w:themeColor="text1"/>
          <w:sz w:val="24"/>
          <w:szCs w:val="24"/>
        </w:rPr>
      </w:pPr>
      <w:bookmarkStart w:id="8" w:name="_Toc195539548"/>
      <w:bookmarkEnd w:id="6"/>
      <w:r w:rsidRPr="00CD2ADD">
        <w:rPr>
          <w:rFonts w:ascii="Times New Roman" w:hAnsi="Times New Roman" w:cs="Times New Roman"/>
          <w:color w:val="000000" w:themeColor="text1"/>
          <w:sz w:val="24"/>
          <w:szCs w:val="24"/>
        </w:rPr>
        <w:t>Graficul privind precipitațiile evidențiază o oscilație puternică a regimului pluviometric anual. Deși nu se conturează o tendință descendentă clară, se remarcă episoade repetate de secetă severă în anii 2012, 2015, 2020, 2022 și 2023</w:t>
      </w:r>
      <w:r w:rsidR="00AA6000" w:rsidRPr="00CD2ADD">
        <w:rPr>
          <w:rFonts w:ascii="Times New Roman" w:hAnsi="Times New Roman" w:cs="Times New Roman"/>
          <w:color w:val="000000" w:themeColor="text1"/>
          <w:sz w:val="24"/>
          <w:szCs w:val="24"/>
        </w:rPr>
        <w:t>,</w:t>
      </w:r>
      <w:r w:rsidRPr="00CD2ADD">
        <w:rPr>
          <w:rFonts w:ascii="Times New Roman" w:hAnsi="Times New Roman" w:cs="Times New Roman"/>
          <w:color w:val="000000" w:themeColor="text1"/>
          <w:sz w:val="24"/>
          <w:szCs w:val="24"/>
        </w:rPr>
        <w:t xml:space="preserve"> în special în zona de sud (Cahul), unde valorile au scăzut frecvent sub 400 mm/an.</w:t>
      </w:r>
    </w:p>
    <w:p w14:paraId="1401E790" w14:textId="7751044A" w:rsidR="00F1733E" w:rsidRPr="00CD2ADD" w:rsidRDefault="007A186A" w:rsidP="005D471E">
      <w:pPr>
        <w:ind w:firstLine="360"/>
        <w:jc w:val="both"/>
        <w:rPr>
          <w:rFonts w:eastAsiaTheme="minorHAnsi"/>
          <w:b/>
          <w:bCs/>
          <w:color w:val="000000" w:themeColor="text1"/>
          <w:lang w:eastAsia="en-US"/>
        </w:rPr>
      </w:pPr>
      <w:r w:rsidRPr="00CD2ADD">
        <w:t>Anul 2010 reprezintă o excepție extremă, cu un vârf de 960 mm la Briceni, sugerând un episod localizat de ploi torențiale sau inundații. Fluctuațiile mari între ani secetoși și ani mai ploioși indică o instabilitate hidrologică ce complică planificarea agricolă și gestionarea resurselor de apă.</w:t>
      </w:r>
      <w:bookmarkStart w:id="9" w:name="_Toc197952026"/>
      <w:bookmarkStart w:id="10" w:name="_Toc197952123"/>
      <w:bookmarkStart w:id="11" w:name="_Toc197957205"/>
      <w:bookmarkStart w:id="12" w:name="_Toc197957843"/>
      <w:bookmarkStart w:id="13" w:name="_Toc197960197"/>
      <w:bookmarkStart w:id="14" w:name="_Toc197960468"/>
    </w:p>
    <w:p w14:paraId="189D872D" w14:textId="5D1CE1D7" w:rsidR="000C5B88" w:rsidRPr="00CD2ADD" w:rsidRDefault="000C5B88" w:rsidP="00864060">
      <w:pPr>
        <w:spacing w:before="240" w:after="240"/>
        <w:jc w:val="center"/>
        <w:rPr>
          <w:rFonts w:eastAsiaTheme="minorHAnsi"/>
          <w:color w:val="000000" w:themeColor="text1"/>
        </w:rPr>
      </w:pPr>
      <w:r w:rsidRPr="00CD2ADD">
        <w:rPr>
          <w:rFonts w:eastAsiaTheme="minorHAnsi"/>
          <w:b/>
          <w:bCs/>
          <w:color w:val="000000" w:themeColor="text1"/>
        </w:rPr>
        <w:t xml:space="preserve">Figura 3. </w:t>
      </w:r>
      <w:r w:rsidRPr="00CD2ADD">
        <w:rPr>
          <w:rFonts w:eastAsiaTheme="minorHAnsi"/>
          <w:color w:val="000000" w:themeColor="text1"/>
        </w:rPr>
        <w:t>Cantitatea medie anuală de precipitații la stațiile Briceni, Chișinău, Cahul, (1990-2</w:t>
      </w:r>
      <w:r w:rsidR="00864060" w:rsidRPr="00CD2ADD">
        <w:rPr>
          <w:rFonts w:eastAsiaTheme="minorHAnsi"/>
          <w:color w:val="000000" w:themeColor="text1"/>
        </w:rPr>
        <w:t>0</w:t>
      </w:r>
      <w:r w:rsidRPr="00CD2ADD">
        <w:rPr>
          <w:rFonts w:eastAsiaTheme="minorHAnsi"/>
          <w:color w:val="000000" w:themeColor="text1"/>
        </w:rPr>
        <w:t>24)</w:t>
      </w:r>
    </w:p>
    <w:p w14:paraId="4CD4DF20" w14:textId="24BA3075" w:rsidR="00E717A3" w:rsidRPr="00CD2ADD" w:rsidRDefault="00E1092F" w:rsidP="00205BFB">
      <w:pPr>
        <w:pStyle w:val="ListParagraph"/>
        <w:spacing w:after="0"/>
        <w:ind w:left="360" w:firstLine="0"/>
        <w:jc w:val="center"/>
        <w:rPr>
          <w:rFonts w:ascii="Times New Roman" w:hAnsi="Times New Roman" w:cs="Times New Roman"/>
          <w:b/>
          <w:bCs/>
          <w:color w:val="000000" w:themeColor="text1"/>
          <w:sz w:val="24"/>
          <w:szCs w:val="24"/>
        </w:rPr>
      </w:pPr>
      <w:r>
        <w:rPr>
          <w:noProof/>
        </w:rPr>
        <w:drawing>
          <wp:inline distT="0" distB="0" distL="0" distR="0" wp14:anchorId="15E1B7E5" wp14:editId="6FCFD432">
            <wp:extent cx="5415378" cy="3311371"/>
            <wp:effectExtent l="0" t="0" r="7620" b="16510"/>
            <wp:docPr id="1267622485" name="Chart 1">
              <a:extLst xmlns:a="http://schemas.openxmlformats.org/drawingml/2006/main">
                <a:ext uri="{FF2B5EF4-FFF2-40B4-BE49-F238E27FC236}">
                  <a16:creationId xmlns:a16="http://schemas.microsoft.com/office/drawing/2014/main" id="{21802A45-55B3-717A-07A6-C6E90C729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D0C3D1C" w14:textId="005EDCC7" w:rsidR="000C5B88" w:rsidRPr="00CD2ADD" w:rsidRDefault="00E717A3" w:rsidP="00F209DF">
      <w:pPr>
        <w:spacing w:after="120"/>
        <w:jc w:val="center"/>
        <w:rPr>
          <w:rStyle w:val="IntenseEmphasis"/>
          <w:b w:val="0"/>
          <w:bCs w:val="0"/>
          <w:i w:val="0"/>
          <w:iCs w:val="0"/>
          <w:color w:val="auto"/>
          <w:sz w:val="20"/>
          <w:szCs w:val="20"/>
        </w:rPr>
      </w:pPr>
      <w:r w:rsidRPr="00CD2ADD">
        <w:rPr>
          <w:i/>
          <w:iCs/>
          <w:sz w:val="20"/>
          <w:szCs w:val="20"/>
        </w:rPr>
        <w:t xml:space="preserve">Sursa: BNS, 2025. </w:t>
      </w:r>
      <w:hyperlink r:id="rId13" w:history="1">
        <w:r w:rsidRPr="00CD2ADD">
          <w:rPr>
            <w:rStyle w:val="Hyperlink"/>
            <w:i/>
            <w:iCs/>
            <w:sz w:val="20"/>
            <w:szCs w:val="20"/>
          </w:rPr>
          <w:t xml:space="preserve">Datele statistice: Mediul înconjurător – Meteorologia - Precipitații pe luni, </w:t>
        </w:r>
      </w:hyperlink>
      <w:r w:rsidRPr="00CD2ADD">
        <w:rPr>
          <w:i/>
          <w:iCs/>
          <w:sz w:val="20"/>
          <w:szCs w:val="20"/>
        </w:rPr>
        <w:t xml:space="preserve"> </w:t>
      </w:r>
      <w:r w:rsidR="00BE1DC7" w:rsidRPr="00CD2ADD">
        <w:rPr>
          <w:i/>
          <w:iCs/>
          <w:sz w:val="20"/>
          <w:szCs w:val="20"/>
        </w:rPr>
        <w:t>ș</w:t>
      </w:r>
      <w:r w:rsidRPr="00CD2ADD">
        <w:rPr>
          <w:i/>
          <w:iCs/>
          <w:sz w:val="20"/>
          <w:szCs w:val="20"/>
        </w:rPr>
        <w:t>i SHS</w:t>
      </w:r>
    </w:p>
    <w:p w14:paraId="1A5389E7" w14:textId="082BA2AB" w:rsidR="00E717A3" w:rsidRPr="00CD2ADD" w:rsidRDefault="00E717A3" w:rsidP="000C5B88">
      <w:pPr>
        <w:ind w:firstLine="360"/>
        <w:jc w:val="both"/>
        <w:rPr>
          <w:b/>
          <w:bCs/>
          <w:i/>
          <w:iCs/>
          <w:color w:val="000000" w:themeColor="text1"/>
        </w:rPr>
      </w:pPr>
      <w:r w:rsidRPr="00CD2ADD">
        <w:rPr>
          <w:rStyle w:val="IntenseEmphasis"/>
          <w:color w:val="000000" w:themeColor="text1"/>
        </w:rPr>
        <w:t>Evoluția vitezei medii a vântului</w:t>
      </w:r>
    </w:p>
    <w:bookmarkEnd w:id="8"/>
    <w:bookmarkEnd w:id="9"/>
    <w:bookmarkEnd w:id="10"/>
    <w:bookmarkEnd w:id="11"/>
    <w:bookmarkEnd w:id="12"/>
    <w:bookmarkEnd w:id="13"/>
    <w:bookmarkEnd w:id="14"/>
    <w:p w14:paraId="3E9601B3" w14:textId="77777777" w:rsidR="000C5B88" w:rsidRPr="00CD2ADD" w:rsidRDefault="005D4905">
      <w:pPr>
        <w:pStyle w:val="ListParagraph"/>
        <w:numPr>
          <w:ilvl w:val="0"/>
          <w:numId w:val="42"/>
        </w:numPr>
        <w:spacing w:after="0"/>
        <w:ind w:left="0" w:firstLine="360"/>
        <w:jc w:val="both"/>
        <w:rPr>
          <w:rFonts w:ascii="Times New Roman" w:hAnsi="Times New Roman" w:cs="Times New Roman"/>
          <w:b/>
          <w:bCs/>
          <w:color w:val="000000" w:themeColor="text1"/>
          <w:sz w:val="24"/>
          <w:szCs w:val="24"/>
        </w:rPr>
      </w:pPr>
      <w:r w:rsidRPr="00CD2ADD">
        <w:rPr>
          <w:rFonts w:ascii="Times New Roman" w:hAnsi="Times New Roman" w:cs="Times New Roman"/>
          <w:color w:val="000000" w:themeColor="text1"/>
          <w:sz w:val="24"/>
          <w:szCs w:val="24"/>
        </w:rPr>
        <w:t>Figura 4 evidențiază variațiile anuale ale vitezei medii a vântului în cele trei stații meteorologice principale ale Republicii Moldova: Briceni, Chișinău și Cahul. Se observă că stația Cahul înregistrează constant cele mai mari valori, cu o medie anuală care oscilează între 3,3 și 3,8 m/s pe tot parcursul perioadei analizate. În contrast, Chișinău și Briceni au valori mai joase și mai stabile, în jurul a 2–2,5 m/s, fără fluctuații majore. Tendințele liniare indică o scădere ușoară a vitezei medii a vântului în toate cele trei locații, cu o stagnare în ultimii ani. Acest fenomen poate fi asociat cu schimbări regionale în circulația atmosferică și cu modificări ale regimurilor sezoniere.</w:t>
      </w:r>
    </w:p>
    <w:p w14:paraId="1F899ED7" w14:textId="4BA2C615" w:rsidR="007C6E1D" w:rsidRPr="00CD2ADD" w:rsidRDefault="007C6E1D" w:rsidP="000C5B88">
      <w:pPr>
        <w:ind w:firstLine="360"/>
        <w:jc w:val="both"/>
        <w:rPr>
          <w:rStyle w:val="IntenseEmphasis"/>
          <w:i w:val="0"/>
          <w:iCs w:val="0"/>
          <w:color w:val="000000" w:themeColor="text1"/>
        </w:rPr>
      </w:pPr>
      <w:r w:rsidRPr="00CD2ADD">
        <w:rPr>
          <w:rStyle w:val="IntenseEmphasis"/>
          <w:color w:val="000000" w:themeColor="text1"/>
        </w:rPr>
        <w:t>Corelații posibile cu variațiile de temperatura și precipitații</w:t>
      </w:r>
    </w:p>
    <w:p w14:paraId="20BDA976" w14:textId="71ABABDD" w:rsidR="005D4905" w:rsidRPr="00CD2ADD" w:rsidRDefault="005D4905">
      <w:pPr>
        <w:pStyle w:val="ListParagraph"/>
        <w:numPr>
          <w:ilvl w:val="0"/>
          <w:numId w:val="42"/>
        </w:numPr>
        <w:spacing w:after="0"/>
        <w:ind w:left="0" w:firstLine="360"/>
        <w:jc w:val="both"/>
        <w:rPr>
          <w:rFonts w:ascii="Times New Roman" w:hAnsi="Times New Roman" w:cs="Times New Roman"/>
          <w:b/>
          <w:bCs/>
          <w:i/>
          <w:iCs/>
          <w:color w:val="000000" w:themeColor="text1"/>
          <w:sz w:val="24"/>
          <w:szCs w:val="24"/>
        </w:rPr>
      </w:pPr>
      <w:r w:rsidRPr="00CD2ADD">
        <w:rPr>
          <w:rFonts w:ascii="Times New Roman" w:hAnsi="Times New Roman" w:cs="Times New Roman"/>
          <w:color w:val="000000" w:themeColor="text1"/>
          <w:sz w:val="24"/>
          <w:szCs w:val="24"/>
        </w:rPr>
        <w:t xml:space="preserve">Există câteva conexiuni potențiale între evoluția vitezei vântului și celelalte fenomene climatice analizate. De exemplu, un vânt slab </w:t>
      </w:r>
      <w:r w:rsidR="005D471E" w:rsidRPr="00CD2ADD">
        <w:rPr>
          <w:rFonts w:ascii="Times New Roman" w:hAnsi="Times New Roman" w:cs="Times New Roman"/>
          <w:color w:val="000000" w:themeColor="text1"/>
          <w:sz w:val="24"/>
          <w:szCs w:val="24"/>
        </w:rPr>
        <w:t>ș</w:t>
      </w:r>
      <w:r w:rsidRPr="00CD2ADD">
        <w:rPr>
          <w:rFonts w:ascii="Times New Roman" w:hAnsi="Times New Roman" w:cs="Times New Roman"/>
          <w:color w:val="000000" w:themeColor="text1"/>
          <w:sz w:val="24"/>
          <w:szCs w:val="24"/>
        </w:rPr>
        <w:t>i o temperatur</w:t>
      </w:r>
      <w:r w:rsidR="005D471E" w:rsidRPr="00CD2ADD">
        <w:rPr>
          <w:rFonts w:ascii="Times New Roman" w:hAnsi="Times New Roman" w:cs="Times New Roman"/>
          <w:color w:val="000000" w:themeColor="text1"/>
          <w:sz w:val="24"/>
          <w:szCs w:val="24"/>
        </w:rPr>
        <w:t>ă</w:t>
      </w:r>
      <w:r w:rsidRPr="00CD2ADD">
        <w:rPr>
          <w:rFonts w:ascii="Times New Roman" w:hAnsi="Times New Roman" w:cs="Times New Roman"/>
          <w:color w:val="000000" w:themeColor="text1"/>
          <w:sz w:val="24"/>
          <w:szCs w:val="24"/>
        </w:rPr>
        <w:t xml:space="preserve"> ridicat</w:t>
      </w:r>
      <w:r w:rsidR="005D471E" w:rsidRPr="00CD2ADD">
        <w:rPr>
          <w:rFonts w:ascii="Times New Roman" w:hAnsi="Times New Roman" w:cs="Times New Roman"/>
          <w:color w:val="000000" w:themeColor="text1"/>
          <w:sz w:val="24"/>
          <w:szCs w:val="24"/>
        </w:rPr>
        <w:t>ă</w:t>
      </w:r>
      <w:r w:rsidRPr="00CD2ADD">
        <w:rPr>
          <w:rFonts w:ascii="Times New Roman" w:hAnsi="Times New Roman" w:cs="Times New Roman"/>
          <w:color w:val="000000" w:themeColor="text1"/>
          <w:sz w:val="24"/>
          <w:szCs w:val="24"/>
        </w:rPr>
        <w:t xml:space="preserve"> favorizează acumularea de căldură la sol, accelerând procesele de evapotranspirație și accentuând ariditatea, mai ales în sudul țării (Cahul).</w:t>
      </w:r>
    </w:p>
    <w:p w14:paraId="73431B14" w14:textId="0B59390E" w:rsidR="005F669D" w:rsidRPr="00EB51E1" w:rsidRDefault="005D4905" w:rsidP="005B58F5">
      <w:pPr>
        <w:ind w:firstLine="360"/>
        <w:jc w:val="both"/>
        <w:rPr>
          <w:b/>
          <w:bCs/>
          <w:i/>
          <w:iCs/>
          <w:color w:val="000000" w:themeColor="text1"/>
        </w:rPr>
      </w:pPr>
      <w:r w:rsidRPr="00CD2ADD">
        <w:rPr>
          <w:color w:val="000000" w:themeColor="text1"/>
        </w:rPr>
        <w:t>Viteze mai mari ale vântului pot contribui la uscarea solului după perioade scurte de precipitații și pot spori riscul de incendii</w:t>
      </w:r>
      <w:r w:rsidR="00875052" w:rsidRPr="00CD2ADD">
        <w:rPr>
          <w:color w:val="000000" w:themeColor="text1"/>
        </w:rPr>
        <w:t xml:space="preserve"> de vegetație</w:t>
      </w:r>
      <w:r w:rsidRPr="00CD2ADD">
        <w:rPr>
          <w:color w:val="000000" w:themeColor="text1"/>
        </w:rPr>
        <w:t>, mai ales în zonele deja vulnerabile. În anii secetoși (ex. 2007, 2012, 2020, 2022), deși viteza vântului nu a crescut dramatic, combinația dintre lipsa precipitațiilor, temperaturile ridicate și vânturi moderate poate amplifica impactul asupra agriculturii. Așadar, viteza vântului joacă un rol de factor agravant, mai ales când este combinat cu alți indicatori de stres climatic. Deși nu este în sine un risc major, el poate multiplica efectele negative ale secetei sau reduce eficiența precipitațiilor scurte.</w:t>
      </w:r>
    </w:p>
    <w:p w14:paraId="0F50615B" w14:textId="6E62B40F" w:rsidR="000C5B88" w:rsidRPr="00CD2ADD" w:rsidRDefault="000C5B88" w:rsidP="00ED6C76">
      <w:pPr>
        <w:pStyle w:val="ListParagraph"/>
        <w:ind w:left="360" w:firstLine="0"/>
        <w:jc w:val="center"/>
        <w:rPr>
          <w:rFonts w:ascii="Times New Roman" w:hAnsi="Times New Roman" w:cs="Times New Roman"/>
          <w:b/>
          <w:bCs/>
          <w:i/>
          <w:iCs/>
          <w:color w:val="000000" w:themeColor="text1"/>
          <w:sz w:val="24"/>
          <w:szCs w:val="24"/>
        </w:rPr>
      </w:pPr>
      <w:r w:rsidRPr="00CD2ADD">
        <w:rPr>
          <w:rFonts w:ascii="Times New Roman" w:hAnsi="Times New Roman" w:cs="Times New Roman"/>
          <w:b/>
          <w:bCs/>
          <w:color w:val="000000" w:themeColor="text1"/>
          <w:sz w:val="24"/>
          <w:szCs w:val="24"/>
        </w:rPr>
        <w:lastRenderedPageBreak/>
        <w:t>Figura 4</w:t>
      </w:r>
      <w:r w:rsidRPr="00CD2ADD">
        <w:rPr>
          <w:rFonts w:ascii="Times New Roman" w:hAnsi="Times New Roman" w:cs="Times New Roman"/>
          <w:color w:val="000000" w:themeColor="text1"/>
          <w:sz w:val="24"/>
          <w:szCs w:val="24"/>
        </w:rPr>
        <w:t>. Evoluția vitezei medii a vântului în Moldova (1990-2024)</w:t>
      </w:r>
    </w:p>
    <w:p w14:paraId="09959ECC" w14:textId="589E4EAD" w:rsidR="007C6E1D" w:rsidRPr="00CD2ADD" w:rsidRDefault="00E1092F" w:rsidP="00ED6C76">
      <w:pPr>
        <w:pStyle w:val="ListParagraph"/>
        <w:spacing w:before="240" w:after="0"/>
        <w:ind w:left="360" w:firstLine="0"/>
        <w:jc w:val="center"/>
        <w:rPr>
          <w:rFonts w:ascii="Times New Roman" w:hAnsi="Times New Roman" w:cs="Times New Roman"/>
          <w:b/>
          <w:bCs/>
          <w:i/>
          <w:iCs/>
          <w:color w:val="000000" w:themeColor="text1"/>
          <w:sz w:val="24"/>
          <w:szCs w:val="24"/>
        </w:rPr>
      </w:pPr>
      <w:r>
        <w:rPr>
          <w:noProof/>
        </w:rPr>
        <w:drawing>
          <wp:inline distT="0" distB="0" distL="0" distR="0" wp14:anchorId="4C3D18F1" wp14:editId="16EAD0AA">
            <wp:extent cx="5513033" cy="2698750"/>
            <wp:effectExtent l="0" t="0" r="12065" b="6350"/>
            <wp:docPr id="1984372670" name="Chart 1">
              <a:extLst xmlns:a="http://schemas.openxmlformats.org/drawingml/2006/main">
                <a:ext uri="{FF2B5EF4-FFF2-40B4-BE49-F238E27FC236}">
                  <a16:creationId xmlns:a16="http://schemas.microsoft.com/office/drawing/2014/main" id="{79FB9D84-22B1-E32C-1D15-872E242CAE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154CC8" w14:textId="77777777" w:rsidR="007C6E1D" w:rsidRPr="00CD2ADD" w:rsidRDefault="007C6E1D" w:rsidP="00F209DF">
      <w:pPr>
        <w:spacing w:after="120"/>
        <w:jc w:val="center"/>
        <w:rPr>
          <w:sz w:val="20"/>
          <w:szCs w:val="20"/>
        </w:rPr>
      </w:pPr>
      <w:r w:rsidRPr="00CD2ADD">
        <w:rPr>
          <w:sz w:val="20"/>
          <w:szCs w:val="20"/>
        </w:rPr>
        <w:t xml:space="preserve">Sursa: BNS, 2025. </w:t>
      </w:r>
      <w:hyperlink r:id="rId15" w:history="1">
        <w:r w:rsidRPr="00CD2ADD">
          <w:rPr>
            <w:rStyle w:val="Hyperlink"/>
            <w:sz w:val="20"/>
            <w:szCs w:val="20"/>
          </w:rPr>
          <w:t>Datele statistice: Mediul înconjurător – Meteorologia – Viteza vântului.</w:t>
        </w:r>
      </w:hyperlink>
      <w:r w:rsidRPr="00CD2ADD">
        <w:rPr>
          <w:sz w:val="20"/>
          <w:szCs w:val="20"/>
        </w:rPr>
        <w:t xml:space="preserve"> și SHS</w:t>
      </w:r>
    </w:p>
    <w:p w14:paraId="6FA42504" w14:textId="77777777" w:rsidR="008344B6" w:rsidRPr="00CD2ADD" w:rsidRDefault="008344B6" w:rsidP="00010723">
      <w:pPr>
        <w:jc w:val="center"/>
        <w:rPr>
          <w:sz w:val="22"/>
          <w:szCs w:val="22"/>
        </w:rPr>
      </w:pPr>
    </w:p>
    <w:p w14:paraId="05B231BF" w14:textId="6EB5488B" w:rsidR="00550502" w:rsidRPr="00CD2ADD" w:rsidRDefault="00550502" w:rsidP="00590E37">
      <w:pPr>
        <w:pStyle w:val="Heading2"/>
        <w:spacing w:before="0"/>
        <w:jc w:val="center"/>
        <w:rPr>
          <w:rFonts w:ascii="Times New Roman" w:hAnsi="Times New Roman" w:cs="Times New Roman"/>
          <w:color w:val="000000" w:themeColor="text1"/>
          <w:sz w:val="24"/>
          <w:szCs w:val="24"/>
        </w:rPr>
      </w:pPr>
      <w:bookmarkStart w:id="15" w:name="_Toc198493319"/>
      <w:r w:rsidRPr="00CD2ADD">
        <w:rPr>
          <w:rFonts w:ascii="Times New Roman" w:hAnsi="Times New Roman" w:cs="Times New Roman"/>
          <w:color w:val="000000" w:themeColor="text1"/>
          <w:sz w:val="24"/>
          <w:szCs w:val="24"/>
        </w:rPr>
        <w:t>Secțiunea a 3-a</w:t>
      </w:r>
    </w:p>
    <w:p w14:paraId="2F644DFB" w14:textId="18942092" w:rsidR="007C6E1D" w:rsidRPr="00CD2ADD" w:rsidRDefault="007C6E1D" w:rsidP="00590E37">
      <w:pPr>
        <w:pStyle w:val="Heading2"/>
        <w:spacing w:before="0"/>
        <w:jc w:val="center"/>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Tendințe climatice în perioada 2016-2035 și proiecții până în 2100</w:t>
      </w:r>
      <w:bookmarkEnd w:id="15"/>
    </w:p>
    <w:p w14:paraId="64B12FC7" w14:textId="77777777" w:rsidR="008344B6" w:rsidRPr="00CD2ADD" w:rsidRDefault="008344B6" w:rsidP="00010723">
      <w:pPr>
        <w:jc w:val="center"/>
        <w:rPr>
          <w:b/>
          <w:bCs/>
          <w:sz w:val="22"/>
          <w:szCs w:val="22"/>
        </w:rPr>
      </w:pPr>
    </w:p>
    <w:p w14:paraId="66E5A3CE" w14:textId="2CD4E850" w:rsidR="007C6E1D" w:rsidRPr="00CD2ADD" w:rsidRDefault="007C6E1D" w:rsidP="000C5B88">
      <w:pPr>
        <w:spacing w:before="120"/>
        <w:ind w:firstLine="360"/>
        <w:rPr>
          <w:b/>
          <w:bCs/>
          <w:i/>
          <w:iCs/>
          <w:color w:val="000000" w:themeColor="text1"/>
        </w:rPr>
      </w:pPr>
      <w:r w:rsidRPr="00CD2ADD">
        <w:rPr>
          <w:rStyle w:val="IntenseEmphasis"/>
          <w:color w:val="000000" w:themeColor="text1"/>
        </w:rPr>
        <w:t xml:space="preserve">Evoluția temperaturii </w:t>
      </w:r>
    </w:p>
    <w:bookmarkEnd w:id="7"/>
    <w:p w14:paraId="0BBE4843" w14:textId="740DDF0D" w:rsidR="00E4399B" w:rsidRPr="00CD2ADD" w:rsidRDefault="00E4399B">
      <w:pPr>
        <w:pStyle w:val="ListParagraph"/>
        <w:numPr>
          <w:ilvl w:val="0"/>
          <w:numId w:val="42"/>
        </w:numPr>
        <w:spacing w:after="0"/>
        <w:ind w:left="0" w:firstLine="360"/>
        <w:jc w:val="both"/>
        <w:rPr>
          <w:rFonts w:ascii="Times New Roman" w:hAnsi="Times New Roman" w:cs="Times New Roman"/>
          <w:b/>
          <w:bCs/>
          <w:i/>
          <w:iCs/>
          <w:color w:val="000000" w:themeColor="text1"/>
          <w:sz w:val="24"/>
          <w:szCs w:val="24"/>
        </w:rPr>
      </w:pPr>
      <w:r w:rsidRPr="00CD2ADD">
        <w:rPr>
          <w:rFonts w:ascii="Times New Roman" w:hAnsi="Times New Roman" w:cs="Times New Roman"/>
          <w:bCs/>
          <w:color w:val="000000" w:themeColor="text1"/>
          <w:sz w:val="24"/>
          <w:szCs w:val="24"/>
        </w:rPr>
        <w:t>Conform proiecțiilor climatice prezentate în cadrul celui de-al cincilea Raport Național de Comunicare către UNFCCC (NC</w:t>
      </w:r>
      <w:r w:rsidR="00A93928" w:rsidRPr="00CD2ADD">
        <w:rPr>
          <w:rFonts w:ascii="Times New Roman" w:hAnsi="Times New Roman" w:cs="Times New Roman"/>
          <w:bCs/>
          <w:color w:val="000000" w:themeColor="text1"/>
          <w:sz w:val="24"/>
          <w:szCs w:val="24"/>
        </w:rPr>
        <w:t>4</w:t>
      </w:r>
      <w:r w:rsidRPr="00CD2ADD">
        <w:rPr>
          <w:rFonts w:ascii="Times New Roman" w:hAnsi="Times New Roman" w:cs="Times New Roman"/>
          <w:bCs/>
          <w:color w:val="000000" w:themeColor="text1"/>
          <w:sz w:val="24"/>
          <w:szCs w:val="24"/>
        </w:rPr>
        <w:t xml:space="preserve">), evoluția riscurilor climatice în Republica Moldova este analizată în funcție de trei traiectorii reprezentative de concentrație (RCP </w:t>
      </w:r>
      <w:r w:rsidR="00983DF5" w:rsidRPr="00CD2ADD">
        <w:rPr>
          <w:rFonts w:ascii="Times New Roman" w:hAnsi="Times New Roman" w:cs="Times New Roman"/>
          <w:bCs/>
          <w:color w:val="000000" w:themeColor="text1"/>
          <w:sz w:val="24"/>
          <w:szCs w:val="24"/>
        </w:rPr>
        <w:t>-</w:t>
      </w:r>
      <w:r w:rsidRPr="00CD2ADD">
        <w:rPr>
          <w:rFonts w:ascii="Times New Roman" w:hAnsi="Times New Roman" w:cs="Times New Roman"/>
          <w:bCs/>
          <w:color w:val="000000" w:themeColor="text1"/>
          <w:sz w:val="24"/>
          <w:szCs w:val="24"/>
        </w:rPr>
        <w:t xml:space="preserve"> </w:t>
      </w:r>
      <w:r w:rsidRPr="00CD2ADD">
        <w:rPr>
          <w:rFonts w:ascii="Times New Roman" w:hAnsi="Times New Roman" w:cs="Times New Roman"/>
          <w:bCs/>
          <w:i/>
          <w:iCs/>
          <w:color w:val="000000" w:themeColor="text1"/>
          <w:sz w:val="24"/>
          <w:szCs w:val="24"/>
        </w:rPr>
        <w:t>Representative Concentration Pathways</w:t>
      </w:r>
      <w:r w:rsidRPr="00CD2ADD">
        <w:rPr>
          <w:rFonts w:ascii="Times New Roman" w:hAnsi="Times New Roman" w:cs="Times New Roman"/>
          <w:bCs/>
          <w:color w:val="000000" w:themeColor="text1"/>
          <w:sz w:val="24"/>
          <w:szCs w:val="24"/>
        </w:rPr>
        <w:t xml:space="preserve">): RCP8.5, RCP4.5 și RCP2.6. Aceste scenarii reflectă diferite niveluri posibile de emisii de gaze cu efect de seră până în 2100. RCP8.5 reprezintă un scenariu pesimist, fără măsuri semnificative de reducere a emisiilor, care duce la o creștere accentuată a temperaturii globale </w:t>
      </w:r>
      <w:r w:rsidR="00983DF5" w:rsidRPr="00CD2ADD">
        <w:rPr>
          <w:rFonts w:ascii="Times New Roman" w:hAnsi="Times New Roman" w:cs="Times New Roman"/>
          <w:bCs/>
          <w:color w:val="000000" w:themeColor="text1"/>
          <w:sz w:val="24"/>
          <w:szCs w:val="24"/>
        </w:rPr>
        <w:t xml:space="preserve">- </w:t>
      </w:r>
      <w:r w:rsidRPr="00CD2ADD">
        <w:rPr>
          <w:rFonts w:ascii="Times New Roman" w:hAnsi="Times New Roman" w:cs="Times New Roman"/>
          <w:bCs/>
          <w:color w:val="000000" w:themeColor="text1"/>
          <w:sz w:val="24"/>
          <w:szCs w:val="24"/>
        </w:rPr>
        <w:t xml:space="preserve"> peste 4°C față de perioada preindustrială până la sfârșitul secolului XXI și la riscuri climatice severe. RCP4.5 este un scenariu intermediar, care presupune politici climatice moderate și o stabilizare a concentrațiilor atmosferice în a doua jumătate a secolului. RCP2.6 este scenariul optimist, bazat pe reducerea rapidă și substanțială a emisiilor, menit să limiteze încălzirea globală la sub 2°C, în conformitate cu obiectivele Acordului de la Paris. Analiza acestor traiectorii permite estimarea impactului climatic viitor asupra sectoarelor vulnerabile, cum ar fi agricultura, resursele de apă și sănătatea publică, și constituie baza pentru prioritizarea măsurilor de adaptare și reducere a riscurilor</w:t>
      </w:r>
      <w:r w:rsidR="00983DF5" w:rsidRPr="00CD2ADD">
        <w:rPr>
          <w:rStyle w:val="FootnoteReference"/>
          <w:rFonts w:ascii="Times New Roman" w:hAnsi="Times New Roman" w:cs="Times New Roman"/>
          <w:bCs/>
          <w:color w:val="000000" w:themeColor="text1"/>
          <w:sz w:val="24"/>
          <w:szCs w:val="24"/>
        </w:rPr>
        <w:footnoteReference w:id="6"/>
      </w:r>
      <w:r w:rsidRPr="00CD2ADD">
        <w:rPr>
          <w:rFonts w:ascii="Times New Roman" w:hAnsi="Times New Roman" w:cs="Times New Roman"/>
          <w:bCs/>
          <w:color w:val="000000" w:themeColor="text1"/>
          <w:sz w:val="24"/>
          <w:szCs w:val="24"/>
        </w:rPr>
        <w:t>.</w:t>
      </w:r>
    </w:p>
    <w:p w14:paraId="6AC4DA1E" w14:textId="77777777" w:rsidR="00550502" w:rsidRPr="00CD2ADD" w:rsidRDefault="00352BBE" w:rsidP="008B603D">
      <w:pPr>
        <w:ind w:firstLine="360"/>
        <w:jc w:val="both"/>
        <w:rPr>
          <w:b/>
          <w:bCs/>
          <w:i/>
          <w:iCs/>
          <w:color w:val="000000" w:themeColor="text1"/>
          <w:sz w:val="28"/>
          <w:szCs w:val="28"/>
        </w:rPr>
      </w:pPr>
      <w:r w:rsidRPr="00CD2ADD">
        <w:rPr>
          <w:bCs/>
          <w:color w:val="000000" w:themeColor="text1"/>
        </w:rPr>
        <w:t xml:space="preserve">Conform </w:t>
      </w:r>
      <w:r w:rsidR="00E4399B" w:rsidRPr="00CD2ADD">
        <w:rPr>
          <w:bCs/>
          <w:color w:val="000000" w:themeColor="text1"/>
        </w:rPr>
        <w:t xml:space="preserve">acestor </w:t>
      </w:r>
      <w:r w:rsidRPr="00CD2ADD">
        <w:rPr>
          <w:bCs/>
          <w:color w:val="000000" w:themeColor="text1"/>
        </w:rPr>
        <w:t>proiecții Republica Moldova se va confrunta cu o încălzire constantă a climei:</w:t>
      </w:r>
    </w:p>
    <w:p w14:paraId="0F7EB0B6" w14:textId="77777777" w:rsidR="009154C1" w:rsidRPr="00CD2ADD" w:rsidRDefault="00550502" w:rsidP="00A93928">
      <w:pPr>
        <w:pStyle w:val="ListParagraph"/>
        <w:spacing w:after="0"/>
        <w:ind w:left="0" w:firstLine="360"/>
        <w:jc w:val="both"/>
        <w:rPr>
          <w:rFonts w:ascii="Times New Roman" w:hAnsi="Times New Roman" w:cs="Times New Roman"/>
          <w:bCs/>
          <w:color w:val="000000" w:themeColor="text1"/>
          <w:sz w:val="24"/>
          <w:szCs w:val="24"/>
        </w:rPr>
      </w:pPr>
      <w:r w:rsidRPr="00CD2ADD">
        <w:rPr>
          <w:rFonts w:ascii="Times New Roman" w:hAnsi="Times New Roman" w:cs="Times New Roman"/>
          <w:bCs/>
          <w:color w:val="000000" w:themeColor="text1"/>
          <w:sz w:val="24"/>
          <w:szCs w:val="24"/>
        </w:rPr>
        <w:t xml:space="preserve">1) </w:t>
      </w:r>
      <w:r w:rsidRPr="00CD2ADD">
        <w:rPr>
          <w:rFonts w:ascii="Times New Roman" w:hAnsi="Times New Roman" w:cs="Times New Roman"/>
          <w:bCs/>
          <w:color w:val="000000" w:themeColor="text1"/>
          <w:sz w:val="24"/>
          <w:szCs w:val="24"/>
          <w:u w:val="single"/>
        </w:rPr>
        <w:t>Pe termen scurt</w:t>
      </w:r>
      <w:r w:rsidRPr="00CD2ADD">
        <w:rPr>
          <w:rFonts w:ascii="Times New Roman" w:hAnsi="Times New Roman" w:cs="Times New Roman"/>
          <w:bCs/>
          <w:color w:val="000000" w:themeColor="text1"/>
          <w:sz w:val="24"/>
          <w:szCs w:val="24"/>
        </w:rPr>
        <w:t xml:space="preserve"> (2016-2035), toate cele trei scenarii indică o creștere similară a temperaturii medii anuale, între +0,9 și +1,1°C față de perioada de referință 1986-2005. </w:t>
      </w:r>
    </w:p>
    <w:p w14:paraId="696C3BAD" w14:textId="2949CE5E" w:rsidR="00550502" w:rsidRPr="00CD2ADD" w:rsidRDefault="00550502" w:rsidP="00A93928">
      <w:pPr>
        <w:pStyle w:val="ListParagraph"/>
        <w:spacing w:before="120" w:after="120"/>
        <w:ind w:left="0" w:firstLine="360"/>
        <w:jc w:val="both"/>
        <w:rPr>
          <w:rFonts w:ascii="Times New Roman" w:hAnsi="Times New Roman" w:cs="Times New Roman"/>
          <w:bCs/>
          <w:color w:val="000000" w:themeColor="text1"/>
          <w:sz w:val="24"/>
          <w:szCs w:val="24"/>
        </w:rPr>
      </w:pPr>
      <w:r w:rsidRPr="00CD2ADD">
        <w:rPr>
          <w:rFonts w:ascii="Times New Roman" w:hAnsi="Times New Roman" w:cs="Times New Roman"/>
          <w:bCs/>
          <w:color w:val="000000" w:themeColor="text1"/>
          <w:sz w:val="24"/>
          <w:szCs w:val="24"/>
        </w:rPr>
        <w:t xml:space="preserve">2) </w:t>
      </w:r>
      <w:r w:rsidRPr="00CD2ADD">
        <w:rPr>
          <w:rFonts w:ascii="Times New Roman" w:hAnsi="Times New Roman" w:cs="Times New Roman"/>
          <w:bCs/>
          <w:color w:val="000000" w:themeColor="text1"/>
          <w:sz w:val="24"/>
          <w:szCs w:val="24"/>
          <w:u w:val="single"/>
        </w:rPr>
        <w:t>Pe termen lung</w:t>
      </w:r>
      <w:r w:rsidRPr="00CD2ADD">
        <w:rPr>
          <w:rFonts w:ascii="Times New Roman" w:hAnsi="Times New Roman" w:cs="Times New Roman"/>
          <w:bCs/>
          <w:color w:val="000000" w:themeColor="text1"/>
          <w:sz w:val="24"/>
          <w:szCs w:val="24"/>
        </w:rPr>
        <w:t xml:space="preserve"> (până în 2100), diferențele devin semnificative: RCP8.5 prevede o încălzire de până la +4,6°C, scenariul RCP4.5 prevede o încălzire de pana la +2,4°C si RCP2.6, de pana la +1,3°C.</w:t>
      </w:r>
    </w:p>
    <w:p w14:paraId="7E9303D6" w14:textId="77777777" w:rsidR="005F669D" w:rsidRPr="00CD2ADD" w:rsidRDefault="005F669D" w:rsidP="00010723">
      <w:pPr>
        <w:pStyle w:val="ListParagraph"/>
        <w:spacing w:after="0"/>
        <w:ind w:left="360" w:firstLine="0"/>
        <w:jc w:val="both"/>
        <w:rPr>
          <w:rFonts w:ascii="Times New Roman" w:hAnsi="Times New Roman" w:cs="Times New Roman"/>
          <w:bCs/>
          <w:color w:val="000000" w:themeColor="text1"/>
          <w:sz w:val="24"/>
          <w:szCs w:val="24"/>
        </w:rPr>
      </w:pPr>
    </w:p>
    <w:p w14:paraId="650F8A58" w14:textId="77777777" w:rsidR="00010723" w:rsidRPr="00CD2ADD" w:rsidRDefault="00010723" w:rsidP="00010723">
      <w:pPr>
        <w:pStyle w:val="ListParagraph"/>
        <w:spacing w:after="0"/>
        <w:ind w:left="360" w:firstLine="0"/>
        <w:jc w:val="both"/>
        <w:rPr>
          <w:rFonts w:ascii="Times New Roman" w:hAnsi="Times New Roman" w:cs="Times New Roman"/>
          <w:bCs/>
          <w:color w:val="000000" w:themeColor="text1"/>
          <w:sz w:val="24"/>
          <w:szCs w:val="24"/>
        </w:rPr>
      </w:pPr>
    </w:p>
    <w:p w14:paraId="6F3C2ABE" w14:textId="77777777" w:rsidR="00010723" w:rsidRDefault="00010723" w:rsidP="00010723">
      <w:pPr>
        <w:pStyle w:val="ListParagraph"/>
        <w:spacing w:after="0"/>
        <w:ind w:left="360" w:firstLine="0"/>
        <w:jc w:val="both"/>
        <w:rPr>
          <w:rFonts w:ascii="Times New Roman" w:hAnsi="Times New Roman" w:cs="Times New Roman"/>
          <w:bCs/>
          <w:color w:val="000000" w:themeColor="text1"/>
          <w:sz w:val="24"/>
          <w:szCs w:val="24"/>
        </w:rPr>
      </w:pPr>
    </w:p>
    <w:p w14:paraId="2CC33624" w14:textId="77777777" w:rsidR="0088672D" w:rsidRDefault="0088672D" w:rsidP="00010723">
      <w:pPr>
        <w:pStyle w:val="ListParagraph"/>
        <w:spacing w:after="0"/>
        <w:ind w:left="360" w:firstLine="0"/>
        <w:jc w:val="both"/>
        <w:rPr>
          <w:rFonts w:ascii="Times New Roman" w:hAnsi="Times New Roman" w:cs="Times New Roman"/>
          <w:bCs/>
          <w:color w:val="000000" w:themeColor="text1"/>
          <w:sz w:val="24"/>
          <w:szCs w:val="24"/>
        </w:rPr>
      </w:pPr>
    </w:p>
    <w:p w14:paraId="3478716C" w14:textId="77777777" w:rsidR="0088672D" w:rsidRDefault="0088672D" w:rsidP="00010723">
      <w:pPr>
        <w:pStyle w:val="ListParagraph"/>
        <w:spacing w:after="0"/>
        <w:ind w:left="360" w:firstLine="0"/>
        <w:jc w:val="both"/>
        <w:rPr>
          <w:rFonts w:ascii="Times New Roman" w:hAnsi="Times New Roman" w:cs="Times New Roman"/>
          <w:bCs/>
          <w:color w:val="000000" w:themeColor="text1"/>
          <w:sz w:val="24"/>
          <w:szCs w:val="24"/>
        </w:rPr>
      </w:pPr>
    </w:p>
    <w:p w14:paraId="30D2E9DE" w14:textId="77777777" w:rsidR="0088672D" w:rsidRDefault="0088672D" w:rsidP="00010723">
      <w:pPr>
        <w:pStyle w:val="ListParagraph"/>
        <w:spacing w:after="0"/>
        <w:ind w:left="360" w:firstLine="0"/>
        <w:jc w:val="both"/>
        <w:rPr>
          <w:rFonts w:ascii="Times New Roman" w:hAnsi="Times New Roman" w:cs="Times New Roman"/>
          <w:bCs/>
          <w:color w:val="000000" w:themeColor="text1"/>
          <w:sz w:val="24"/>
          <w:szCs w:val="24"/>
        </w:rPr>
      </w:pPr>
    </w:p>
    <w:p w14:paraId="364E5FF2" w14:textId="77777777" w:rsidR="0088672D" w:rsidRPr="00CD2ADD" w:rsidRDefault="0088672D" w:rsidP="00010723">
      <w:pPr>
        <w:pStyle w:val="ListParagraph"/>
        <w:spacing w:after="0"/>
        <w:ind w:left="360" w:firstLine="0"/>
        <w:jc w:val="both"/>
        <w:rPr>
          <w:rFonts w:ascii="Times New Roman" w:hAnsi="Times New Roman" w:cs="Times New Roman"/>
          <w:bCs/>
          <w:color w:val="000000" w:themeColor="text1"/>
          <w:sz w:val="24"/>
          <w:szCs w:val="24"/>
        </w:rPr>
      </w:pPr>
    </w:p>
    <w:p w14:paraId="3A629362" w14:textId="1E0D1C51" w:rsidR="00BE1DC7" w:rsidRPr="00CD2ADD" w:rsidRDefault="00BE1DC7" w:rsidP="00010723">
      <w:pPr>
        <w:pStyle w:val="ListParagraph"/>
        <w:spacing w:before="120" w:after="120"/>
        <w:ind w:left="360" w:firstLine="0"/>
        <w:jc w:val="center"/>
        <w:rPr>
          <w:rFonts w:ascii="Times New Roman" w:hAnsi="Times New Roman" w:cs="Times New Roman"/>
          <w:bCs/>
          <w:color w:val="000000" w:themeColor="text1"/>
          <w:sz w:val="24"/>
          <w:szCs w:val="24"/>
        </w:rPr>
      </w:pPr>
      <w:r w:rsidRPr="00CD2ADD">
        <w:rPr>
          <w:rFonts w:ascii="Times New Roman" w:hAnsi="Times New Roman" w:cs="Times New Roman"/>
          <w:b/>
          <w:color w:val="000000" w:themeColor="text1"/>
          <w:sz w:val="24"/>
          <w:szCs w:val="24"/>
        </w:rPr>
        <w:lastRenderedPageBreak/>
        <w:t>Figura 5.</w:t>
      </w:r>
      <w:r w:rsidRPr="00CD2ADD">
        <w:rPr>
          <w:rFonts w:ascii="Times New Roman" w:hAnsi="Times New Roman" w:cs="Times New Roman"/>
          <w:bCs/>
          <w:color w:val="000000" w:themeColor="text1"/>
          <w:sz w:val="24"/>
          <w:szCs w:val="24"/>
        </w:rPr>
        <w:t xml:space="preserve"> Modelare a temperaturii medii anuale, Republica Moldova, perioada 2016-2035, </w:t>
      </w:r>
      <w:r w:rsidRPr="00CD2ADD">
        <w:rPr>
          <w:rFonts w:ascii="Times New Roman" w:hAnsi="Times New Roman" w:cs="Times New Roman"/>
        </w:rPr>
        <w:t>(°C)</w:t>
      </w:r>
    </w:p>
    <w:p w14:paraId="783A4126" w14:textId="72C8F4A1" w:rsidR="00550502" w:rsidRPr="00CD2ADD" w:rsidRDefault="009154C1" w:rsidP="009154C1">
      <w:pPr>
        <w:pStyle w:val="ListParagraph"/>
        <w:spacing w:before="120" w:after="120"/>
        <w:ind w:left="360" w:firstLine="0"/>
        <w:jc w:val="center"/>
        <w:rPr>
          <w:rFonts w:ascii="Times New Roman" w:hAnsi="Times New Roman" w:cs="Times New Roman"/>
          <w:b/>
          <w:bCs/>
          <w:i/>
          <w:iCs/>
          <w:color w:val="000000" w:themeColor="text1"/>
          <w:sz w:val="24"/>
          <w:szCs w:val="24"/>
        </w:rPr>
      </w:pPr>
      <w:r w:rsidRPr="00CD2ADD">
        <w:rPr>
          <w:b/>
          <w:noProof/>
          <w:sz w:val="22"/>
        </w:rPr>
        <w:drawing>
          <wp:inline distT="0" distB="0" distL="0" distR="0" wp14:anchorId="225DC7FD" wp14:editId="43328439">
            <wp:extent cx="6106886" cy="2517569"/>
            <wp:effectExtent l="0" t="0" r="8255"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6211233" cy="2560586"/>
                    </a:xfrm>
                    <a:prstGeom prst="rect">
                      <a:avLst/>
                    </a:prstGeom>
                    <a:noFill/>
                    <a:ln w="9525">
                      <a:noFill/>
                      <a:miter lim="800000"/>
                      <a:headEnd/>
                      <a:tailEnd/>
                    </a:ln>
                  </pic:spPr>
                </pic:pic>
              </a:graphicData>
            </a:graphic>
          </wp:inline>
        </w:drawing>
      </w:r>
    </w:p>
    <w:p w14:paraId="5FF01B6A" w14:textId="77777777" w:rsidR="009154C1" w:rsidRPr="00CD2ADD" w:rsidRDefault="009154C1" w:rsidP="00F209DF">
      <w:pPr>
        <w:spacing w:after="120"/>
        <w:jc w:val="center"/>
        <w:rPr>
          <w:b/>
          <w:bCs/>
          <w:sz w:val="20"/>
          <w:szCs w:val="20"/>
        </w:rPr>
      </w:pPr>
      <w:r w:rsidRPr="00CD2ADD">
        <w:rPr>
          <w:sz w:val="20"/>
          <w:szCs w:val="20"/>
        </w:rPr>
        <w:t xml:space="preserve">Sursa: </w:t>
      </w:r>
      <w:r w:rsidRPr="00CD2ADD">
        <w:rPr>
          <w:bCs/>
          <w:sz w:val="20"/>
          <w:szCs w:val="20"/>
        </w:rPr>
        <w:t>Comunicarea Națională patru a Republicii Moldova (CMIP5 21 ansamblul GCM)</w:t>
      </w:r>
    </w:p>
    <w:p w14:paraId="2AC6EAAD" w14:textId="3153B578" w:rsidR="00550502" w:rsidRPr="00CD2ADD" w:rsidRDefault="009154C1" w:rsidP="00010723">
      <w:pPr>
        <w:ind w:firstLine="360"/>
        <w:rPr>
          <w:rFonts w:eastAsiaTheme="minorHAnsi"/>
          <w:b/>
          <w:bCs/>
          <w:i/>
          <w:iCs/>
          <w:color w:val="000000" w:themeColor="text1"/>
          <w:sz w:val="28"/>
          <w:szCs w:val="28"/>
          <w:lang w:eastAsia="en-US"/>
        </w:rPr>
      </w:pPr>
      <w:r w:rsidRPr="00CD2ADD">
        <w:rPr>
          <w:rStyle w:val="IntenseEmphasis"/>
          <w:color w:val="000000" w:themeColor="text1"/>
        </w:rPr>
        <w:t>Evoluția precipitațiilor</w:t>
      </w:r>
      <w:r w:rsidRPr="00CD2ADD">
        <w:rPr>
          <w:rFonts w:eastAsiaTheme="minorHAnsi"/>
          <w:sz w:val="28"/>
          <w:szCs w:val="28"/>
          <w:lang w:eastAsia="en-US"/>
        </w:rPr>
        <w:t xml:space="preserve"> </w:t>
      </w:r>
    </w:p>
    <w:p w14:paraId="234EA630" w14:textId="1D96A85F" w:rsidR="001B10B1" w:rsidRPr="00CD2ADD" w:rsidRDefault="001B10B1">
      <w:pPr>
        <w:pStyle w:val="ListParagraph"/>
        <w:numPr>
          <w:ilvl w:val="0"/>
          <w:numId w:val="42"/>
        </w:numPr>
        <w:spacing w:after="0"/>
        <w:ind w:left="0" w:firstLine="360"/>
        <w:jc w:val="both"/>
        <w:rPr>
          <w:rFonts w:ascii="Times New Roman" w:hAnsi="Times New Roman" w:cs="Times New Roman"/>
          <w:b/>
          <w:bCs/>
          <w:i/>
          <w:iCs/>
          <w:color w:val="000000" w:themeColor="text1"/>
          <w:sz w:val="24"/>
          <w:szCs w:val="24"/>
        </w:rPr>
      </w:pPr>
      <w:r w:rsidRPr="00CD2ADD">
        <w:rPr>
          <w:rFonts w:ascii="Times New Roman" w:hAnsi="Times New Roman" w:cs="Times New Roman"/>
          <w:bCs/>
          <w:color w:val="000000" w:themeColor="text1"/>
          <w:sz w:val="24"/>
          <w:szCs w:val="24"/>
        </w:rPr>
        <w:t xml:space="preserve">Analiza de modelare a precipitațiilor pe termen scurt (2016–2035), indică </w:t>
      </w:r>
      <w:r w:rsidRPr="00CD2ADD">
        <w:rPr>
          <w:rFonts w:ascii="Times New Roman" w:hAnsi="Times New Roman" w:cs="Times New Roman"/>
          <w:color w:val="000000" w:themeColor="text1"/>
          <w:sz w:val="24"/>
          <w:szCs w:val="24"/>
        </w:rPr>
        <w:t>modificări ușoare ale regimului de precipitații:</w:t>
      </w:r>
    </w:p>
    <w:p w14:paraId="1114D63D" w14:textId="72EAE82F" w:rsidR="009154C1" w:rsidRPr="00CD2ADD" w:rsidRDefault="009154C1" w:rsidP="009154C1">
      <w:pPr>
        <w:pStyle w:val="ListParagraph"/>
        <w:spacing w:before="120" w:after="120"/>
        <w:ind w:left="0" w:firstLine="426"/>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 xml:space="preserve">1) </w:t>
      </w:r>
      <w:r w:rsidRPr="00CD2ADD">
        <w:rPr>
          <w:rFonts w:ascii="Times New Roman" w:hAnsi="Times New Roman" w:cs="Times New Roman"/>
          <w:color w:val="000000" w:themeColor="text1"/>
          <w:sz w:val="24"/>
          <w:szCs w:val="24"/>
          <w:u w:val="single"/>
        </w:rPr>
        <w:t>Pe termen scurt</w:t>
      </w:r>
      <w:r w:rsidRPr="00CD2ADD">
        <w:rPr>
          <w:rFonts w:ascii="Times New Roman" w:hAnsi="Times New Roman" w:cs="Times New Roman"/>
          <w:color w:val="000000" w:themeColor="text1"/>
          <w:sz w:val="24"/>
          <w:szCs w:val="24"/>
        </w:rPr>
        <w:t>: RCP8.5 și RCP2.6</w:t>
      </w:r>
      <w:r w:rsidRPr="00CD2ADD">
        <w:rPr>
          <w:rFonts w:ascii="Times New Roman" w:hAnsi="Times New Roman" w:cs="Times New Roman"/>
          <w:bCs/>
          <w:color w:val="000000" w:themeColor="text1"/>
          <w:sz w:val="24"/>
          <w:szCs w:val="24"/>
        </w:rPr>
        <w:t xml:space="preserve"> prognozează o </w:t>
      </w:r>
      <w:r w:rsidRPr="00CD2ADD">
        <w:rPr>
          <w:rFonts w:ascii="Times New Roman" w:hAnsi="Times New Roman" w:cs="Times New Roman"/>
          <w:color w:val="000000" w:themeColor="text1"/>
          <w:sz w:val="24"/>
          <w:szCs w:val="24"/>
        </w:rPr>
        <w:t>creștere ușoară</w:t>
      </w:r>
      <w:r w:rsidRPr="00CD2ADD">
        <w:rPr>
          <w:rFonts w:ascii="Times New Roman" w:hAnsi="Times New Roman" w:cs="Times New Roman"/>
          <w:bCs/>
          <w:color w:val="000000" w:themeColor="text1"/>
          <w:sz w:val="24"/>
          <w:szCs w:val="24"/>
        </w:rPr>
        <w:t xml:space="preserve"> a cantității anuale de precipitații, cu </w:t>
      </w:r>
      <w:r w:rsidRPr="00CD2ADD">
        <w:rPr>
          <w:rFonts w:ascii="Times New Roman" w:hAnsi="Times New Roman" w:cs="Times New Roman"/>
          <w:color w:val="000000" w:themeColor="text1"/>
          <w:sz w:val="24"/>
          <w:szCs w:val="24"/>
        </w:rPr>
        <w:t>0,6–2%</w:t>
      </w:r>
      <w:r w:rsidRPr="00CD2ADD">
        <w:rPr>
          <w:rFonts w:ascii="Times New Roman" w:hAnsi="Times New Roman" w:cs="Times New Roman"/>
          <w:bCs/>
          <w:color w:val="000000" w:themeColor="text1"/>
          <w:sz w:val="24"/>
          <w:szCs w:val="24"/>
        </w:rPr>
        <w:t xml:space="preserve"> în toate zonele agroecologice (ZAE). </w:t>
      </w:r>
      <w:r w:rsidRPr="00CD2ADD">
        <w:rPr>
          <w:rFonts w:ascii="Times New Roman" w:hAnsi="Times New Roman" w:cs="Times New Roman"/>
          <w:color w:val="000000" w:themeColor="text1"/>
          <w:sz w:val="24"/>
          <w:szCs w:val="24"/>
        </w:rPr>
        <w:t>RCP4.5,</w:t>
      </w:r>
      <w:r w:rsidRPr="00CD2ADD">
        <w:rPr>
          <w:rFonts w:ascii="Times New Roman" w:hAnsi="Times New Roman" w:cs="Times New Roman"/>
          <w:bCs/>
          <w:color w:val="000000" w:themeColor="text1"/>
          <w:sz w:val="24"/>
          <w:szCs w:val="24"/>
        </w:rPr>
        <w:t xml:space="preserve"> în schimb, anticipează o </w:t>
      </w:r>
      <w:r w:rsidRPr="00CD2ADD">
        <w:rPr>
          <w:rFonts w:ascii="Times New Roman" w:hAnsi="Times New Roman" w:cs="Times New Roman"/>
          <w:color w:val="000000" w:themeColor="text1"/>
          <w:sz w:val="24"/>
          <w:szCs w:val="24"/>
        </w:rPr>
        <w:t>scădere ușoară de 1,5–2%</w:t>
      </w:r>
      <w:r w:rsidRPr="00CD2ADD">
        <w:rPr>
          <w:rFonts w:ascii="Times New Roman" w:hAnsi="Times New Roman" w:cs="Times New Roman"/>
          <w:bCs/>
          <w:color w:val="000000" w:themeColor="text1"/>
          <w:sz w:val="24"/>
          <w:szCs w:val="24"/>
        </w:rPr>
        <w:t xml:space="preserve"> în regiunile de Nord și Centru ale țării. Totuși, în perioada de vară, toate scenariile arată o </w:t>
      </w:r>
      <w:r w:rsidRPr="00CD2ADD">
        <w:rPr>
          <w:rFonts w:ascii="Times New Roman" w:hAnsi="Times New Roman" w:cs="Times New Roman"/>
          <w:color w:val="000000" w:themeColor="text1"/>
          <w:sz w:val="24"/>
          <w:szCs w:val="24"/>
        </w:rPr>
        <w:t>reducere semnificativă a precipitațiilor,</w:t>
      </w:r>
      <w:r w:rsidRPr="00CD2ADD">
        <w:rPr>
          <w:rFonts w:ascii="Times New Roman" w:hAnsi="Times New Roman" w:cs="Times New Roman"/>
          <w:bCs/>
          <w:color w:val="000000" w:themeColor="text1"/>
          <w:sz w:val="24"/>
          <w:szCs w:val="24"/>
        </w:rPr>
        <w:t xml:space="preserve"> cu cel mai sever impact estimat în: </w:t>
      </w:r>
      <w:r w:rsidRPr="00CD2ADD">
        <w:rPr>
          <w:rFonts w:ascii="Times New Roman" w:hAnsi="Times New Roman" w:cs="Times New Roman"/>
          <w:color w:val="000000" w:themeColor="text1"/>
          <w:sz w:val="24"/>
          <w:szCs w:val="24"/>
        </w:rPr>
        <w:t>Centrul țării (–25,1%) și in Nord (–18,1%),</w:t>
      </w:r>
      <w:r w:rsidRPr="00CD2ADD">
        <w:rPr>
          <w:rFonts w:ascii="Times New Roman" w:hAnsi="Times New Roman" w:cs="Times New Roman"/>
          <w:bCs/>
          <w:color w:val="000000" w:themeColor="text1"/>
          <w:sz w:val="24"/>
          <w:szCs w:val="24"/>
        </w:rPr>
        <w:t xml:space="preserve"> conform proiecțiilor RCP8.5.</w:t>
      </w:r>
    </w:p>
    <w:p w14:paraId="4EA4CDAB" w14:textId="343ACE21" w:rsidR="009154C1" w:rsidRPr="00CD2ADD" w:rsidRDefault="009154C1" w:rsidP="008B603D">
      <w:pPr>
        <w:pStyle w:val="ListParagraph"/>
        <w:spacing w:after="0"/>
        <w:ind w:left="0" w:firstLine="426"/>
        <w:jc w:val="both"/>
        <w:rPr>
          <w:rFonts w:ascii="Times New Roman" w:hAnsi="Times New Roman" w:cs="Times New Roman"/>
          <w:color w:val="000000" w:themeColor="text1"/>
          <w:sz w:val="24"/>
          <w:szCs w:val="24"/>
        </w:rPr>
      </w:pPr>
      <w:r w:rsidRPr="00CD2ADD">
        <w:rPr>
          <w:rFonts w:ascii="Times New Roman" w:hAnsi="Times New Roman" w:cs="Times New Roman"/>
          <w:bCs/>
          <w:color w:val="000000" w:themeColor="text1"/>
          <w:sz w:val="24"/>
          <w:szCs w:val="24"/>
        </w:rPr>
        <w:t xml:space="preserve">2) </w:t>
      </w:r>
      <w:r w:rsidRPr="00CD2ADD">
        <w:rPr>
          <w:rFonts w:ascii="Times New Roman" w:hAnsi="Times New Roman" w:cs="Times New Roman"/>
          <w:bCs/>
          <w:color w:val="000000" w:themeColor="text1"/>
          <w:sz w:val="24"/>
          <w:szCs w:val="24"/>
          <w:u w:val="single"/>
        </w:rPr>
        <w:t>Pe termen lung</w:t>
      </w:r>
      <w:r w:rsidRPr="00CD2ADD">
        <w:rPr>
          <w:rFonts w:ascii="Times New Roman" w:hAnsi="Times New Roman" w:cs="Times New Roman"/>
          <w:bCs/>
          <w:color w:val="000000" w:themeColor="text1"/>
          <w:sz w:val="24"/>
          <w:szCs w:val="24"/>
        </w:rPr>
        <w:t xml:space="preserve"> (2081–2100), diferențele dintre scenarii devin mai evidente: </w:t>
      </w:r>
      <w:r w:rsidRPr="00CD2ADD">
        <w:rPr>
          <w:rFonts w:ascii="Times New Roman" w:hAnsi="Times New Roman" w:cs="Times New Roman"/>
          <w:color w:val="000000" w:themeColor="text1"/>
          <w:sz w:val="24"/>
          <w:szCs w:val="24"/>
        </w:rPr>
        <w:t>RCP8.5 indică o scădere anuală generală a precipitațiilor, de la 9,9% în Nord până la 13,4% în Sud. RCP2.6</w:t>
      </w:r>
      <w:r w:rsidRPr="00CD2ADD">
        <w:rPr>
          <w:rFonts w:ascii="Times New Roman" w:hAnsi="Times New Roman" w:cs="Times New Roman"/>
          <w:bCs/>
          <w:color w:val="000000" w:themeColor="text1"/>
          <w:sz w:val="24"/>
          <w:szCs w:val="24"/>
        </w:rPr>
        <w:t xml:space="preserve"> prognozează o </w:t>
      </w:r>
      <w:r w:rsidRPr="00CD2ADD">
        <w:rPr>
          <w:rFonts w:ascii="Times New Roman" w:hAnsi="Times New Roman" w:cs="Times New Roman"/>
          <w:color w:val="000000" w:themeColor="text1"/>
          <w:sz w:val="24"/>
          <w:szCs w:val="24"/>
        </w:rPr>
        <w:t>creștere moderată</w:t>
      </w:r>
      <w:r w:rsidRPr="00CD2ADD">
        <w:rPr>
          <w:rFonts w:ascii="Times New Roman" w:hAnsi="Times New Roman" w:cs="Times New Roman"/>
          <w:bCs/>
          <w:color w:val="000000" w:themeColor="text1"/>
          <w:sz w:val="24"/>
          <w:szCs w:val="24"/>
        </w:rPr>
        <w:t xml:space="preserve"> de </w:t>
      </w:r>
      <w:r w:rsidRPr="00CD2ADD">
        <w:rPr>
          <w:rFonts w:ascii="Times New Roman" w:hAnsi="Times New Roman" w:cs="Times New Roman"/>
          <w:color w:val="000000" w:themeColor="text1"/>
          <w:sz w:val="24"/>
          <w:szCs w:val="24"/>
        </w:rPr>
        <w:t>+3,1% în Nord</w:t>
      </w:r>
      <w:r w:rsidRPr="00CD2ADD">
        <w:rPr>
          <w:rFonts w:ascii="Times New Roman" w:hAnsi="Times New Roman" w:cs="Times New Roman"/>
          <w:bCs/>
          <w:color w:val="000000" w:themeColor="text1"/>
          <w:sz w:val="24"/>
          <w:szCs w:val="24"/>
        </w:rPr>
        <w:t xml:space="preserve"> până la </w:t>
      </w:r>
      <w:r w:rsidRPr="00CD2ADD">
        <w:rPr>
          <w:rFonts w:ascii="Times New Roman" w:hAnsi="Times New Roman" w:cs="Times New Roman"/>
          <w:b/>
          <w:bCs/>
          <w:color w:val="000000" w:themeColor="text1"/>
          <w:sz w:val="24"/>
          <w:szCs w:val="24"/>
        </w:rPr>
        <w:t>+</w:t>
      </w:r>
      <w:r w:rsidRPr="00CD2ADD">
        <w:rPr>
          <w:rFonts w:ascii="Times New Roman" w:hAnsi="Times New Roman" w:cs="Times New Roman"/>
          <w:color w:val="000000" w:themeColor="text1"/>
          <w:sz w:val="24"/>
          <w:szCs w:val="24"/>
        </w:rPr>
        <w:t>5,1% în Sud. RCP4.5 arată o creștere modestă</w:t>
      </w:r>
      <w:r w:rsidRPr="00CD2ADD">
        <w:rPr>
          <w:rFonts w:ascii="Times New Roman" w:hAnsi="Times New Roman" w:cs="Times New Roman"/>
          <w:bCs/>
          <w:color w:val="000000" w:themeColor="text1"/>
          <w:sz w:val="24"/>
          <w:szCs w:val="24"/>
        </w:rPr>
        <w:t xml:space="preserve"> doar în regiunile de Nord și Centru, între +1,6% și +3,6%.</w:t>
      </w:r>
    </w:p>
    <w:p w14:paraId="2AE200D1" w14:textId="5EAE8060" w:rsidR="00BE1DC7" w:rsidRPr="00CD2ADD" w:rsidRDefault="001B10B1" w:rsidP="008B603D">
      <w:pPr>
        <w:ind w:firstLine="426"/>
        <w:jc w:val="both"/>
        <w:rPr>
          <w:b/>
          <w:bCs/>
          <w:i/>
          <w:iCs/>
          <w:color w:val="000000" w:themeColor="text1"/>
        </w:rPr>
      </w:pPr>
      <w:r w:rsidRPr="00CD2ADD">
        <w:rPr>
          <w:bCs/>
          <w:color w:val="000000" w:themeColor="text1"/>
        </w:rPr>
        <w:t>În ansamblu, proiecțiile multi-model sugerează că condițiile de secetă vor deveni tot mai frecvente în toate regiunile țării, în special în sezoanele de vară și toamnă, ceea ce va spori presiunea asupra agriculturii și resurselor de apă.</w:t>
      </w:r>
    </w:p>
    <w:p w14:paraId="0576191F" w14:textId="3B462D44" w:rsidR="00BE1DC7" w:rsidRPr="00CD2ADD" w:rsidRDefault="00BE1DC7" w:rsidP="00BE1DC7">
      <w:pPr>
        <w:spacing w:before="120" w:after="120"/>
        <w:jc w:val="both"/>
        <w:rPr>
          <w:b/>
          <w:bCs/>
          <w:color w:val="000000" w:themeColor="text1"/>
        </w:rPr>
      </w:pPr>
      <w:r w:rsidRPr="00CD2ADD">
        <w:rPr>
          <w:b/>
          <w:bCs/>
          <w:color w:val="000000" w:themeColor="text1"/>
        </w:rPr>
        <w:t xml:space="preserve">Figura 6. </w:t>
      </w:r>
      <w:r w:rsidRPr="00CD2ADD">
        <w:rPr>
          <w:color w:val="000000" w:themeColor="text1"/>
        </w:rPr>
        <w:t>Modelare a precipitațiilor totale anuale pe teritoriul Republicii Moldova 2016-2035, (MM)</w:t>
      </w:r>
      <w:bookmarkStart w:id="16" w:name="_Toc197952029"/>
      <w:bookmarkStart w:id="17" w:name="_Toc197952126"/>
      <w:bookmarkStart w:id="18" w:name="_Toc197957208"/>
      <w:bookmarkStart w:id="19" w:name="_Toc197957846"/>
      <w:bookmarkStart w:id="20" w:name="_Toc197960200"/>
      <w:bookmarkStart w:id="21" w:name="_Toc197960471"/>
    </w:p>
    <w:bookmarkEnd w:id="16"/>
    <w:bookmarkEnd w:id="17"/>
    <w:bookmarkEnd w:id="18"/>
    <w:bookmarkEnd w:id="19"/>
    <w:bookmarkEnd w:id="20"/>
    <w:bookmarkEnd w:id="21"/>
    <w:p w14:paraId="4C39D7F2" w14:textId="60F31DAD" w:rsidR="009154C1" w:rsidRPr="00CD2ADD" w:rsidRDefault="009154C1" w:rsidP="00AB18CF">
      <w:pPr>
        <w:pStyle w:val="Caption"/>
        <w:spacing w:after="0"/>
        <w:jc w:val="center"/>
        <w:rPr>
          <w:rFonts w:ascii="Times New Roman" w:hAnsi="Times New Roman" w:cs="Times New Roman"/>
          <w:bCs w:val="0"/>
          <w:szCs w:val="22"/>
        </w:rPr>
      </w:pPr>
      <w:r w:rsidRPr="00CD2ADD">
        <w:rPr>
          <w:rFonts w:ascii="Times New Roman" w:hAnsi="Times New Roman" w:cs="Times New Roman"/>
          <w:noProof/>
        </w:rPr>
        <w:drawing>
          <wp:inline distT="0" distB="0" distL="0" distR="0" wp14:anchorId="6DC3794F" wp14:editId="1F54B8DF">
            <wp:extent cx="5974300" cy="2493859"/>
            <wp:effectExtent l="0" t="0" r="7620" b="190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080803" cy="2538317"/>
                    </a:xfrm>
                    <a:prstGeom prst="rect">
                      <a:avLst/>
                    </a:prstGeom>
                    <a:noFill/>
                    <a:ln w="9525">
                      <a:noFill/>
                      <a:miter lim="800000"/>
                      <a:headEnd/>
                      <a:tailEnd/>
                    </a:ln>
                  </pic:spPr>
                </pic:pic>
              </a:graphicData>
            </a:graphic>
          </wp:inline>
        </w:drawing>
      </w:r>
    </w:p>
    <w:p w14:paraId="3BE8F576" w14:textId="24F32D2C" w:rsidR="009154C1" w:rsidRPr="00CD2ADD" w:rsidRDefault="009154C1" w:rsidP="00F209DF">
      <w:pPr>
        <w:spacing w:after="120"/>
        <w:jc w:val="center"/>
        <w:rPr>
          <w:b/>
          <w:bCs/>
          <w:sz w:val="20"/>
          <w:szCs w:val="20"/>
        </w:rPr>
      </w:pPr>
      <w:r w:rsidRPr="00CD2ADD">
        <w:rPr>
          <w:bCs/>
          <w:sz w:val="20"/>
          <w:szCs w:val="20"/>
        </w:rPr>
        <w:t>Sursa: Comunicarea Națională Patru a Republicii Moldova</w:t>
      </w:r>
      <w:r w:rsidRPr="00CD2ADD">
        <w:rPr>
          <w:sz w:val="20"/>
          <w:szCs w:val="20"/>
        </w:rPr>
        <w:t xml:space="preserve"> (CMIP5 21 ansamblul GCM)</w:t>
      </w:r>
    </w:p>
    <w:p w14:paraId="2465BB88" w14:textId="77777777" w:rsidR="0088672D" w:rsidRDefault="0088672D" w:rsidP="009C6D6A">
      <w:pPr>
        <w:ind w:firstLine="360"/>
        <w:rPr>
          <w:rStyle w:val="IntenseEmphasis"/>
          <w:color w:val="000000" w:themeColor="text1"/>
        </w:rPr>
      </w:pPr>
    </w:p>
    <w:p w14:paraId="6E611DE8" w14:textId="77C38F84" w:rsidR="009154C1" w:rsidRPr="00CD2ADD" w:rsidRDefault="009154C1" w:rsidP="009C6D6A">
      <w:pPr>
        <w:ind w:firstLine="360"/>
        <w:rPr>
          <w:b/>
          <w:bCs/>
          <w:sz w:val="22"/>
          <w:szCs w:val="22"/>
        </w:rPr>
      </w:pPr>
      <w:r w:rsidRPr="00CD2ADD">
        <w:rPr>
          <w:rStyle w:val="IntenseEmphasis"/>
          <w:color w:val="000000" w:themeColor="text1"/>
        </w:rPr>
        <w:lastRenderedPageBreak/>
        <w:t>Indicele extrem de temperatură</w:t>
      </w:r>
    </w:p>
    <w:p w14:paraId="62F0B933" w14:textId="7E496876" w:rsidR="00AB542D" w:rsidRPr="00CD2ADD" w:rsidRDefault="00AB542D">
      <w:pPr>
        <w:pStyle w:val="ListParagraph"/>
        <w:numPr>
          <w:ilvl w:val="0"/>
          <w:numId w:val="42"/>
        </w:numPr>
        <w:spacing w:after="0"/>
        <w:ind w:left="0" w:firstLine="360"/>
        <w:jc w:val="both"/>
        <w:rPr>
          <w:rFonts w:ascii="Times New Roman" w:hAnsi="Times New Roman" w:cs="Times New Roman"/>
          <w:b/>
          <w:bCs/>
          <w:i/>
          <w:iCs/>
          <w:color w:val="000000" w:themeColor="text1"/>
          <w:sz w:val="24"/>
          <w:szCs w:val="24"/>
        </w:rPr>
      </w:pPr>
      <w:r w:rsidRPr="00CD2ADD">
        <w:rPr>
          <w:rFonts w:ascii="Times New Roman" w:hAnsi="Times New Roman" w:cs="Times New Roman"/>
          <w:color w:val="000000" w:themeColor="text1"/>
          <w:sz w:val="24"/>
          <w:szCs w:val="24"/>
        </w:rPr>
        <w:t>Conform tuturor celor trei scenarii climatice Moldova se va confrunta cu o creștere pronunțată a temperaturilor extreme, în special în scenariul RCP8.5: creșterea nopților tropicale (TR) și a zilelor de vară (SU) este semnificativă – de până la +60 de zile suplimentare pe an în AEZ Sud, în scenariul RCP8.5. Zilele și nopțile foarte calde (TX90p și TN90p) vor deveni norma, crescând cu 35–40% până în 2100 în scenariul RCP8.5 (comparativ cu doar 9–12% în scenariul RCP2.6).</w:t>
      </w:r>
    </w:p>
    <w:p w14:paraId="47FDB3F7" w14:textId="77777777" w:rsidR="00AB542D" w:rsidRPr="00CD2ADD" w:rsidRDefault="00AB542D" w:rsidP="008B603D">
      <w:pPr>
        <w:ind w:firstLine="360"/>
        <w:jc w:val="both"/>
        <w:rPr>
          <w:b/>
          <w:bCs/>
          <w:i/>
          <w:iCs/>
          <w:color w:val="000000" w:themeColor="text1"/>
        </w:rPr>
      </w:pPr>
      <w:r w:rsidRPr="00CD2ADD">
        <w:rPr>
          <w:color w:val="000000" w:themeColor="text1"/>
        </w:rPr>
        <w:t>Zilele și nopțile reci (TX10p și TN10p), zilele cu îngheț (FD) și zilele cu gheață (ID) sunt în scădere accelerată în toate scenariile – indicând o dispariție graduală a fenomenelor de iarnă severă.</w:t>
      </w:r>
    </w:p>
    <w:p w14:paraId="16D0DEDF" w14:textId="77777777" w:rsidR="00582C72" w:rsidRPr="00CD2ADD" w:rsidRDefault="00AB542D" w:rsidP="008B603D">
      <w:pPr>
        <w:ind w:firstLine="360"/>
        <w:jc w:val="both"/>
        <w:rPr>
          <w:b/>
          <w:bCs/>
          <w:i/>
          <w:iCs/>
          <w:color w:val="000000" w:themeColor="text1"/>
        </w:rPr>
      </w:pPr>
      <w:r w:rsidRPr="00CD2ADD">
        <w:rPr>
          <w:color w:val="000000" w:themeColor="text1"/>
        </w:rPr>
        <w:t xml:space="preserve">Durata episoadelor de căldură extremă (WSDI) este în creștere puternică: +129 zile/an în RCP8.5 față de doar +27 zile/an în RCP2.6. În schimb, durata episoadelor de frig sever (CSDI) scade în toate regiunile, mai ales în nord. </w:t>
      </w:r>
    </w:p>
    <w:p w14:paraId="3E14ED86" w14:textId="244441A6" w:rsidR="002963FC" w:rsidRPr="00CD2ADD" w:rsidRDefault="00AB542D" w:rsidP="008B603D">
      <w:pPr>
        <w:ind w:firstLine="360"/>
        <w:jc w:val="both"/>
        <w:rPr>
          <w:b/>
          <w:bCs/>
          <w:i/>
          <w:iCs/>
          <w:color w:val="000000" w:themeColor="text1"/>
        </w:rPr>
      </w:pPr>
      <w:r w:rsidRPr="00CD2ADD">
        <w:rPr>
          <w:color w:val="000000" w:themeColor="text1"/>
        </w:rPr>
        <w:t>In concluzie, temperaturile extreme vor deveni dominante, în special vara, iar Moldova se va confrunta tot mai frecvent cu valuri de căldură prelungite și nopți tropicale, ceea ce va afecta sănătatea, agricultura și infrastructura energetică.</w:t>
      </w:r>
    </w:p>
    <w:p w14:paraId="568D5475" w14:textId="79A77309" w:rsidR="009154C1" w:rsidRPr="00CD2ADD" w:rsidRDefault="009154C1" w:rsidP="009C6D6A">
      <w:pPr>
        <w:ind w:firstLine="360"/>
        <w:rPr>
          <w:b/>
          <w:bCs/>
          <w:i/>
          <w:iCs/>
          <w:color w:val="000000" w:themeColor="text1"/>
        </w:rPr>
      </w:pPr>
      <w:r w:rsidRPr="00CD2ADD">
        <w:rPr>
          <w:rStyle w:val="IntenseEmphasis"/>
          <w:color w:val="000000" w:themeColor="text1"/>
        </w:rPr>
        <w:t xml:space="preserve">Indicele extrem de precipitații </w:t>
      </w:r>
    </w:p>
    <w:p w14:paraId="51A8CA3B" w14:textId="77777777" w:rsidR="008D4620" w:rsidRPr="00CD2ADD" w:rsidRDefault="008D4620">
      <w:pPr>
        <w:pStyle w:val="ListParagraph"/>
        <w:numPr>
          <w:ilvl w:val="0"/>
          <w:numId w:val="42"/>
        </w:numPr>
        <w:spacing w:after="0"/>
        <w:ind w:left="0" w:firstLine="360"/>
        <w:jc w:val="both"/>
        <w:rPr>
          <w:rFonts w:ascii="Times New Roman" w:hAnsi="Times New Roman" w:cs="Times New Roman"/>
          <w:b/>
          <w:bCs/>
          <w:i/>
          <w:iCs/>
          <w:color w:val="000000" w:themeColor="text1"/>
          <w:sz w:val="24"/>
          <w:szCs w:val="24"/>
        </w:rPr>
      </w:pPr>
      <w:r w:rsidRPr="00CD2ADD">
        <w:rPr>
          <w:rFonts w:ascii="Times New Roman" w:hAnsi="Times New Roman" w:cs="Times New Roman"/>
          <w:color w:val="000000" w:themeColor="text1"/>
          <w:sz w:val="24"/>
          <w:szCs w:val="24"/>
        </w:rPr>
        <w:t>Precipitațiile intense pe termen scurt (1 zi – RX1) vor crește în toate scenariile. Cea mai mare creștere se înregistrează în Centru și Sud: până la +8,5% în RCP8.5. Similar, zilele cu ploi abundente (R10mm) vor crește cu 9–11% în Centru și Sud, mai ales în scenariile RCP4.5 și RCP8.5. Zilele cu ploi foarte abundente (R20mm) cresc cu până la 12,5%, iar zilele extrem de ploioase (99pTOT) vor crește în Nord cu 20% (RCP8.5), respectiv în Sud cu 19% (RCP2.6).</w:t>
      </w:r>
    </w:p>
    <w:p w14:paraId="53630F86" w14:textId="77777777" w:rsidR="008D4620" w:rsidRPr="00CD2ADD" w:rsidRDefault="008D4620" w:rsidP="008D4620">
      <w:pPr>
        <w:ind w:firstLine="360"/>
        <w:jc w:val="both"/>
        <w:rPr>
          <w:b/>
          <w:bCs/>
          <w:i/>
          <w:iCs/>
          <w:color w:val="000000" w:themeColor="text1"/>
        </w:rPr>
      </w:pPr>
      <w:r w:rsidRPr="00CD2ADD">
        <w:rPr>
          <w:color w:val="000000" w:themeColor="text1"/>
        </w:rPr>
        <w:t>Numărul total de zile ploioase (PRCPTOT) scade în scenariul RCP8.5, în special în Sud (–9,6%), dar crește ușor în RCP2.6. Zilele consecutive fără precipitații (CDD) cresc semnificativ în Nord: +17% în RCP8.5, indicând secete mai frecvente și mai lungi. Zilele consecutive cu ploaie (CWD) vor scădea în toate regiunile, în special în Nord, cu –21% (RCP8.5), în timp ce doar Sudul ar putea înregistra o ușoară creștere în RCP2.6.</w:t>
      </w:r>
    </w:p>
    <w:p w14:paraId="1A577C92" w14:textId="77777777" w:rsidR="008D4620" w:rsidRPr="00CD2ADD" w:rsidRDefault="008D4620" w:rsidP="008D4620">
      <w:pPr>
        <w:ind w:firstLine="360"/>
        <w:jc w:val="both"/>
        <w:rPr>
          <w:b/>
          <w:bCs/>
          <w:i/>
          <w:iCs/>
          <w:color w:val="000000" w:themeColor="text1"/>
        </w:rPr>
      </w:pPr>
      <w:r w:rsidRPr="00CD2ADD">
        <w:rPr>
          <w:color w:val="000000" w:themeColor="text1"/>
        </w:rPr>
        <w:t>În concluzie, Moldova se va confrunta cu un climat tot mai instabil, caracterizat de perioade lungi fără precipitații urmate de episoade de ploi torențiale. Această alternanță crește riscul de secete, eroziune a solului și inundații rapide.</w:t>
      </w:r>
    </w:p>
    <w:p w14:paraId="2952AE4E" w14:textId="77777777" w:rsidR="008D4620" w:rsidRPr="00CD2ADD" w:rsidRDefault="008D4620" w:rsidP="00010723">
      <w:pPr>
        <w:pStyle w:val="ListParagraph"/>
        <w:spacing w:after="0"/>
        <w:ind w:left="360" w:firstLine="0"/>
        <w:jc w:val="both"/>
        <w:rPr>
          <w:rFonts w:ascii="Times New Roman" w:hAnsi="Times New Roman" w:cs="Times New Roman"/>
          <w:b/>
          <w:bCs/>
          <w:i/>
          <w:iCs/>
          <w:color w:val="000000" w:themeColor="text1"/>
          <w:sz w:val="24"/>
          <w:szCs w:val="24"/>
        </w:rPr>
      </w:pPr>
    </w:p>
    <w:p w14:paraId="63F5A1D4" w14:textId="77777777" w:rsidR="008D4620" w:rsidRPr="00CD2ADD" w:rsidRDefault="008D4620" w:rsidP="00590E37">
      <w:pPr>
        <w:pStyle w:val="Heading2"/>
        <w:spacing w:before="0"/>
        <w:jc w:val="center"/>
        <w:rPr>
          <w:rFonts w:ascii="Times New Roman" w:hAnsi="Times New Roman" w:cs="Times New Roman"/>
          <w:i/>
          <w:iCs/>
          <w:color w:val="000000" w:themeColor="text1"/>
          <w:sz w:val="24"/>
          <w:szCs w:val="24"/>
        </w:rPr>
      </w:pPr>
      <w:r w:rsidRPr="00CD2ADD">
        <w:rPr>
          <w:rFonts w:ascii="Times New Roman" w:hAnsi="Times New Roman" w:cs="Times New Roman"/>
          <w:color w:val="000000" w:themeColor="text1"/>
          <w:sz w:val="24"/>
          <w:szCs w:val="24"/>
        </w:rPr>
        <w:t>Secțiunea a 4-a</w:t>
      </w:r>
    </w:p>
    <w:p w14:paraId="745C8093" w14:textId="0B173C7C" w:rsidR="008D4620" w:rsidRPr="00CD2ADD" w:rsidRDefault="008D4620" w:rsidP="00590E37">
      <w:pPr>
        <w:pStyle w:val="Heading2"/>
        <w:spacing w:before="0"/>
        <w:jc w:val="center"/>
        <w:rPr>
          <w:szCs w:val="32"/>
        </w:rPr>
      </w:pPr>
      <w:r w:rsidRPr="00CD2ADD">
        <w:rPr>
          <w:rFonts w:ascii="Times New Roman" w:hAnsi="Times New Roman" w:cs="Times New Roman"/>
          <w:color w:val="000000" w:themeColor="text1"/>
          <w:sz w:val="24"/>
          <w:szCs w:val="24"/>
        </w:rPr>
        <w:t>Grupuri vulnerabile în contextul riscurilor climatice și de dezastre din Republica Moldova</w:t>
      </w:r>
    </w:p>
    <w:p w14:paraId="7EE6B708" w14:textId="77777777" w:rsidR="008D4620" w:rsidRPr="00CD2ADD" w:rsidRDefault="008D4620" w:rsidP="00010723">
      <w:pPr>
        <w:pStyle w:val="ListParagraph"/>
        <w:spacing w:after="0"/>
        <w:ind w:left="360" w:firstLine="0"/>
        <w:jc w:val="center"/>
        <w:rPr>
          <w:rFonts w:ascii="Times New Roman" w:hAnsi="Times New Roman" w:cs="Times New Roman"/>
          <w:b/>
          <w:bCs/>
          <w:i/>
          <w:iCs/>
          <w:color w:val="000000" w:themeColor="text1"/>
          <w:sz w:val="24"/>
          <w:szCs w:val="24"/>
        </w:rPr>
      </w:pPr>
    </w:p>
    <w:p w14:paraId="14005E91" w14:textId="15780D7B" w:rsidR="008D4620" w:rsidRPr="00CD2ADD" w:rsidRDefault="00002A4C">
      <w:pPr>
        <w:pStyle w:val="ListParagraph"/>
        <w:numPr>
          <w:ilvl w:val="0"/>
          <w:numId w:val="42"/>
        </w:numPr>
        <w:spacing w:after="0"/>
        <w:ind w:left="0" w:firstLine="360"/>
        <w:jc w:val="both"/>
        <w:rPr>
          <w:rFonts w:ascii="Times New Roman" w:hAnsi="Times New Roman" w:cs="Times New Roman"/>
          <w:b/>
          <w:bCs/>
          <w:i/>
          <w:iCs/>
          <w:color w:val="000000" w:themeColor="text1"/>
          <w:sz w:val="24"/>
          <w:szCs w:val="24"/>
        </w:rPr>
      </w:pPr>
      <w:r w:rsidRPr="00CD2ADD">
        <w:rPr>
          <w:rFonts w:ascii="Times New Roman" w:hAnsi="Times New Roman" w:cs="Times New Roman"/>
          <w:color w:val="000000" w:themeColor="text1"/>
          <w:sz w:val="24"/>
          <w:szCs w:val="24"/>
        </w:rPr>
        <w:t>Numărul preliminar al populației cu reședința obișnuită în Republica Moldova, la 1 ianuarie 2024, a constituit 2,423 milioane persoane, în scădere cu 69 mii (sau 2,8%) față de începutul anului precedent. Această evoluție confirmă o tendință continuă de micșorare a efectivului populației, pe fondul scăderii naturale și a migrației externe</w:t>
      </w:r>
      <w:r w:rsidR="000209A5" w:rsidRPr="00CD2ADD">
        <w:rPr>
          <w:rStyle w:val="FootnoteReference"/>
          <w:rFonts w:ascii="Times New Roman" w:hAnsi="Times New Roman" w:cs="Times New Roman"/>
          <w:color w:val="000000" w:themeColor="text1"/>
          <w:szCs w:val="32"/>
        </w:rPr>
        <w:footnoteReference w:id="7"/>
      </w:r>
      <w:r w:rsidRPr="00CD2ADD">
        <w:rPr>
          <w:rFonts w:ascii="Times New Roman" w:hAnsi="Times New Roman" w:cs="Times New Roman"/>
          <w:color w:val="000000" w:themeColor="text1"/>
          <w:sz w:val="24"/>
          <w:szCs w:val="24"/>
        </w:rPr>
        <w:t>.</w:t>
      </w:r>
      <w:r w:rsidR="002C2D38" w:rsidRPr="00CD2ADD">
        <w:rPr>
          <w:rFonts w:ascii="Times New Roman" w:hAnsi="Times New Roman" w:cs="Times New Roman"/>
          <w:color w:val="000000" w:themeColor="text1"/>
          <w:sz w:val="24"/>
          <w:szCs w:val="24"/>
        </w:rPr>
        <w:t xml:space="preserve"> </w:t>
      </w:r>
    </w:p>
    <w:p w14:paraId="67914D75" w14:textId="7033F30E" w:rsidR="00002A4C" w:rsidRPr="00CD2ADD" w:rsidRDefault="00002A4C">
      <w:pPr>
        <w:pStyle w:val="ListParagraph"/>
        <w:numPr>
          <w:ilvl w:val="0"/>
          <w:numId w:val="42"/>
        </w:numPr>
        <w:spacing w:after="0"/>
        <w:ind w:left="0" w:firstLine="360"/>
        <w:jc w:val="both"/>
        <w:rPr>
          <w:rFonts w:ascii="Times New Roman" w:hAnsi="Times New Roman" w:cs="Times New Roman"/>
          <w:b/>
          <w:bCs/>
          <w:i/>
          <w:iCs/>
          <w:color w:val="000000" w:themeColor="text1"/>
          <w:sz w:val="24"/>
          <w:szCs w:val="24"/>
        </w:rPr>
      </w:pPr>
      <w:r w:rsidRPr="00CD2ADD">
        <w:rPr>
          <w:rFonts w:ascii="Times New Roman" w:hAnsi="Times New Roman" w:cs="Times New Roman"/>
          <w:color w:val="000000" w:themeColor="text1"/>
          <w:sz w:val="24"/>
          <w:szCs w:val="24"/>
        </w:rPr>
        <w:t>Structura de vârstă a populației evidențiază un proces accentuat de îmbătrânire demografică: 17,5% dintre locuitori au vârsta între 0–14 ani, 57,3% sunt adulți între 15–59 ani, iar 25,2% au 60 de ani sau peste (inclusiv 2,5% de 80+ ani). Numărul persoanelor în vârstă (60+ ani) raportat la 100 locuitori a crescut continuu în ultimii ani, reflectând presiuni sporite asupra sistemului de sănătate și protecție socială. Din punct de vedere al genului, structura rămâne echilibrată, însă cu o prevalență mai mare a femeilor în grupele de vârstă înaintată.</w:t>
      </w:r>
    </w:p>
    <w:p w14:paraId="05B74171" w14:textId="364FAFD8" w:rsidR="00002A4C" w:rsidRPr="00CD2ADD" w:rsidRDefault="00002A4C">
      <w:pPr>
        <w:pStyle w:val="ListParagraph"/>
        <w:numPr>
          <w:ilvl w:val="0"/>
          <w:numId w:val="42"/>
        </w:numPr>
        <w:spacing w:after="0"/>
        <w:ind w:left="0" w:firstLine="360"/>
        <w:jc w:val="both"/>
        <w:rPr>
          <w:rFonts w:ascii="Times New Roman" w:hAnsi="Times New Roman" w:cs="Times New Roman"/>
          <w:b/>
          <w:bCs/>
          <w:i/>
          <w:iCs/>
          <w:color w:val="000000" w:themeColor="text1"/>
          <w:sz w:val="24"/>
          <w:szCs w:val="24"/>
        </w:rPr>
      </w:pPr>
      <w:r w:rsidRPr="00CD2ADD">
        <w:rPr>
          <w:rFonts w:ascii="Times New Roman" w:hAnsi="Times New Roman" w:cs="Times New Roman"/>
          <w:color w:val="000000" w:themeColor="text1"/>
          <w:sz w:val="24"/>
          <w:szCs w:val="24"/>
        </w:rPr>
        <w:t xml:space="preserve">Pe piața muncii, rata șomajului totală pentru anul 2023 a fost estimată la 4,6%, cu ușoare variații între urban (4,8%) și rural (4,4%). Mobilitatea internă și migrația internațională rămân ridicate: în anul 2023, soldul migrației nete a fost negativ (-59 mii persoane), în special în rândul populației apte de muncă, ceea ce afectează structura gospodăriilor și capacitatea acestora de a răspunde la șocuri externe. Mai mult, accesul la servicii medicale de calitate rămâne o provocare, în special pentru </w:t>
      </w:r>
      <w:r w:rsidRPr="00CD2ADD">
        <w:rPr>
          <w:rFonts w:ascii="Times New Roman" w:hAnsi="Times New Roman" w:cs="Times New Roman"/>
          <w:color w:val="000000" w:themeColor="text1"/>
          <w:sz w:val="24"/>
          <w:szCs w:val="24"/>
        </w:rPr>
        <w:lastRenderedPageBreak/>
        <w:t>populația din mediul rural și pentru persoanele în vârstă: doar 31% dintre adulții din rural își evaluează starea de sănătate ca fiind bună sau foarte bună, comparativ cu 44% în urban, iar femeile raportează niveluri mai scăzute de satisfacție față de starea lor de sănătate decât bărbații.</w:t>
      </w:r>
      <w:r w:rsidR="002C2D38"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 xml:space="preserve">În acest context, următoarele categorii sunt identificate ca </w:t>
      </w:r>
      <w:r w:rsidRPr="00CD2ADD">
        <w:rPr>
          <w:rFonts w:ascii="Times New Roman" w:hAnsi="Times New Roman" w:cs="Times New Roman"/>
          <w:b/>
          <w:bCs/>
          <w:color w:val="000000" w:themeColor="text1"/>
          <w:sz w:val="24"/>
          <w:szCs w:val="24"/>
        </w:rPr>
        <w:t>grupuri vulnerabile</w:t>
      </w:r>
      <w:r w:rsidRPr="00CD2ADD">
        <w:rPr>
          <w:rFonts w:ascii="Times New Roman" w:hAnsi="Times New Roman" w:cs="Times New Roman"/>
          <w:color w:val="000000" w:themeColor="text1"/>
          <w:sz w:val="24"/>
          <w:szCs w:val="24"/>
        </w:rPr>
        <w:t xml:space="preserve"> în fața riscurilor naturale și climatice:</w:t>
      </w:r>
    </w:p>
    <w:p w14:paraId="02B875E5" w14:textId="77777777" w:rsidR="00A93928" w:rsidRPr="00CD2ADD" w:rsidRDefault="00A93928">
      <w:pPr>
        <w:pStyle w:val="ListParagraph"/>
        <w:numPr>
          <w:ilvl w:val="0"/>
          <w:numId w:val="45"/>
        </w:numPr>
        <w:spacing w:after="0"/>
        <w:ind w:left="993" w:hanging="426"/>
        <w:jc w:val="both"/>
        <w:rPr>
          <w:rFonts w:ascii="Times New Roman" w:hAnsi="Times New Roman" w:cs="Times New Roman"/>
          <w:color w:val="000000" w:themeColor="text1"/>
          <w:sz w:val="24"/>
          <w:szCs w:val="24"/>
        </w:rPr>
      </w:pPr>
      <w:r w:rsidRPr="00CD2ADD">
        <w:rPr>
          <w:rFonts w:ascii="Times New Roman" w:eastAsia="Times New Roman" w:hAnsi="Times New Roman" w:cs="Times New Roman"/>
          <w:color w:val="000000" w:themeColor="text1"/>
          <w:sz w:val="24"/>
          <w:szCs w:val="24"/>
        </w:rPr>
        <w:t>Femeile și fetele</w:t>
      </w:r>
      <w:r w:rsidRPr="00CD2ADD">
        <w:rPr>
          <w:rFonts w:ascii="Times New Roman" w:hAnsi="Times New Roman" w:cs="Times New Roman"/>
          <w:color w:val="000000" w:themeColor="text1"/>
          <w:sz w:val="24"/>
          <w:szCs w:val="24"/>
        </w:rPr>
        <w:t xml:space="preserve">, în special </w:t>
      </w:r>
      <w:r w:rsidRPr="00CD2ADD">
        <w:rPr>
          <w:rFonts w:ascii="Times New Roman" w:eastAsia="Times New Roman" w:hAnsi="Times New Roman" w:cs="Times New Roman"/>
          <w:color w:val="000000" w:themeColor="text1"/>
          <w:sz w:val="24"/>
          <w:szCs w:val="24"/>
        </w:rPr>
        <w:t>femeile însărcinate</w:t>
      </w:r>
      <w:r w:rsidRPr="00CD2ADD">
        <w:rPr>
          <w:rFonts w:ascii="Times New Roman" w:hAnsi="Times New Roman" w:cs="Times New Roman"/>
          <w:color w:val="000000" w:themeColor="text1"/>
          <w:sz w:val="24"/>
          <w:szCs w:val="24"/>
        </w:rPr>
        <w:t>, mamele cu nou-născuți și adolescentele;</w:t>
      </w:r>
    </w:p>
    <w:p w14:paraId="798F8F68" w14:textId="77777777" w:rsidR="00A93928" w:rsidRPr="00CD2ADD" w:rsidRDefault="00A93928">
      <w:pPr>
        <w:pStyle w:val="ListParagraph"/>
        <w:numPr>
          <w:ilvl w:val="0"/>
          <w:numId w:val="45"/>
        </w:numPr>
        <w:spacing w:after="0"/>
        <w:ind w:left="993" w:hanging="426"/>
        <w:jc w:val="both"/>
        <w:rPr>
          <w:rFonts w:ascii="Times New Roman" w:hAnsi="Times New Roman" w:cs="Times New Roman"/>
          <w:color w:val="000000" w:themeColor="text1"/>
          <w:sz w:val="24"/>
          <w:szCs w:val="24"/>
        </w:rPr>
      </w:pPr>
      <w:r w:rsidRPr="00CD2ADD">
        <w:rPr>
          <w:rFonts w:ascii="Times New Roman" w:eastAsia="Times New Roman" w:hAnsi="Times New Roman" w:cs="Times New Roman"/>
          <w:color w:val="000000" w:themeColor="text1"/>
          <w:sz w:val="24"/>
          <w:szCs w:val="24"/>
        </w:rPr>
        <w:t>Copiii</w:t>
      </w:r>
      <w:r w:rsidRPr="00CD2ADD">
        <w:rPr>
          <w:rFonts w:ascii="Times New Roman" w:hAnsi="Times New Roman" w:cs="Times New Roman"/>
          <w:color w:val="000000" w:themeColor="text1"/>
          <w:sz w:val="24"/>
          <w:szCs w:val="24"/>
        </w:rPr>
        <w:t>, în special cei separați de familie sau aflați în situații de risc;</w:t>
      </w:r>
    </w:p>
    <w:p w14:paraId="137D71FC" w14:textId="77777777" w:rsidR="00A93928" w:rsidRPr="00CD2ADD" w:rsidRDefault="00A93928">
      <w:pPr>
        <w:pStyle w:val="ListParagraph"/>
        <w:numPr>
          <w:ilvl w:val="0"/>
          <w:numId w:val="45"/>
        </w:numPr>
        <w:spacing w:after="0"/>
        <w:ind w:left="993" w:hanging="426"/>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Persoanele în vârstă și cele cu dizabilități;</w:t>
      </w:r>
    </w:p>
    <w:p w14:paraId="4E8A9C00" w14:textId="77777777" w:rsidR="00A93928" w:rsidRPr="00CD2ADD" w:rsidRDefault="00A93928">
      <w:pPr>
        <w:pStyle w:val="ListParagraph"/>
        <w:numPr>
          <w:ilvl w:val="0"/>
          <w:numId w:val="45"/>
        </w:numPr>
        <w:spacing w:after="0"/>
        <w:ind w:left="993" w:hanging="426"/>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Migranții interni și gospodăriile afectate de migrația externă;</w:t>
      </w:r>
    </w:p>
    <w:p w14:paraId="368F8278" w14:textId="77777777" w:rsidR="00A93928" w:rsidRPr="00CD2ADD" w:rsidRDefault="00A93928">
      <w:pPr>
        <w:pStyle w:val="ListParagraph"/>
        <w:numPr>
          <w:ilvl w:val="0"/>
          <w:numId w:val="45"/>
        </w:numPr>
        <w:spacing w:after="0"/>
        <w:ind w:left="993" w:hanging="426"/>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Persoanele aflate în sărăcie, șomaj de lungă durată sau locuire informală;</w:t>
      </w:r>
    </w:p>
    <w:p w14:paraId="6A90DD07" w14:textId="50D477F4" w:rsidR="00A93928" w:rsidRPr="00CD2ADD" w:rsidRDefault="00A93928">
      <w:pPr>
        <w:pStyle w:val="ListParagraph"/>
        <w:numPr>
          <w:ilvl w:val="0"/>
          <w:numId w:val="45"/>
        </w:numPr>
        <w:spacing w:after="0"/>
        <w:ind w:left="993" w:hanging="426"/>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 xml:space="preserve">Populația din </w:t>
      </w:r>
      <w:r w:rsidRPr="00CD2ADD">
        <w:rPr>
          <w:rFonts w:ascii="Times New Roman" w:eastAsia="Times New Roman" w:hAnsi="Times New Roman" w:cs="Times New Roman"/>
          <w:color w:val="000000" w:themeColor="text1"/>
          <w:sz w:val="24"/>
          <w:szCs w:val="24"/>
        </w:rPr>
        <w:t>zone izolate</w:t>
      </w:r>
      <w:r w:rsidRPr="00CD2ADD">
        <w:rPr>
          <w:rFonts w:ascii="Times New Roman" w:hAnsi="Times New Roman" w:cs="Times New Roman"/>
          <w:color w:val="000000" w:themeColor="text1"/>
          <w:sz w:val="24"/>
          <w:szCs w:val="24"/>
        </w:rPr>
        <w:t xml:space="preserve"> sau cu acces limitat la infrastructură și servicii esențiale.</w:t>
      </w:r>
    </w:p>
    <w:p w14:paraId="1AD71AFA" w14:textId="72C9D4C3" w:rsidR="00002A4C" w:rsidRPr="00CD2ADD" w:rsidRDefault="00002A4C">
      <w:pPr>
        <w:pStyle w:val="ListParagraph"/>
        <w:numPr>
          <w:ilvl w:val="0"/>
          <w:numId w:val="42"/>
        </w:numPr>
        <w:spacing w:after="0"/>
        <w:ind w:left="0" w:firstLine="360"/>
        <w:jc w:val="both"/>
        <w:rPr>
          <w:rFonts w:ascii="Times New Roman" w:hAnsi="Times New Roman" w:cs="Times New Roman"/>
          <w:b/>
          <w:bCs/>
          <w:i/>
          <w:iCs/>
          <w:color w:val="000000" w:themeColor="text1"/>
          <w:sz w:val="24"/>
          <w:szCs w:val="24"/>
        </w:rPr>
      </w:pPr>
      <w:r w:rsidRPr="00CD2ADD">
        <w:rPr>
          <w:rFonts w:ascii="Times New Roman" w:hAnsi="Times New Roman" w:cs="Times New Roman"/>
          <w:color w:val="000000" w:themeColor="text1"/>
          <w:sz w:val="24"/>
          <w:szCs w:val="24"/>
        </w:rPr>
        <w:t>Este esențial ca măsurile de reducere a riscurilor de dezastr</w:t>
      </w:r>
      <w:r w:rsidR="002F2D78" w:rsidRPr="00CD2ADD">
        <w:rPr>
          <w:rFonts w:ascii="Times New Roman" w:hAnsi="Times New Roman" w:cs="Times New Roman"/>
          <w:color w:val="000000" w:themeColor="text1"/>
          <w:sz w:val="24"/>
          <w:szCs w:val="24"/>
        </w:rPr>
        <w:t>e</w:t>
      </w:r>
      <w:r w:rsidRPr="00CD2ADD">
        <w:rPr>
          <w:rFonts w:ascii="Times New Roman" w:hAnsi="Times New Roman" w:cs="Times New Roman"/>
          <w:color w:val="000000" w:themeColor="text1"/>
          <w:sz w:val="24"/>
          <w:szCs w:val="24"/>
        </w:rPr>
        <w:t xml:space="preserve"> să includă abordări sensibile la gen și vârstă, precum și acces universal la servicii vitale de sănătate, inclusiv sexuală și reproductivă, în situații de criză. De asemenea, este recomandată asigurarea accesibilității informației și serviciilor pentru persoanele cu nevoi speciale și implicarea activă a tinerilor în procesul de planificare și răspuns.</w:t>
      </w:r>
    </w:p>
    <w:p w14:paraId="7DC654BE" w14:textId="6258BF38" w:rsidR="00424D3C" w:rsidRPr="00CD2ADD" w:rsidRDefault="006406FB" w:rsidP="008D4620">
      <w:pPr>
        <w:spacing w:after="120"/>
        <w:ind w:firstLine="360"/>
        <w:jc w:val="both"/>
        <w:rPr>
          <w:b/>
          <w:bCs/>
          <w:i/>
          <w:iCs/>
          <w:color w:val="000000" w:themeColor="text1"/>
        </w:rPr>
      </w:pPr>
      <w:r w:rsidRPr="00CD2ADD">
        <w:rPr>
          <w:color w:val="000000" w:themeColor="text1"/>
        </w:rPr>
        <w:t xml:space="preserve">În acest sens, propunerile </w:t>
      </w:r>
      <w:r w:rsidR="00A93928" w:rsidRPr="00CD2ADD">
        <w:rPr>
          <w:color w:val="000000" w:themeColor="text1"/>
        </w:rPr>
        <w:t>Fondul Națiunilor Unite pentru Populație (</w:t>
      </w:r>
      <w:r w:rsidRPr="00CD2ADD">
        <w:rPr>
          <w:color w:val="000000" w:themeColor="text1"/>
        </w:rPr>
        <w:t>UNFPA</w:t>
      </w:r>
      <w:r w:rsidR="00A93928" w:rsidRPr="00CD2ADD">
        <w:rPr>
          <w:color w:val="000000" w:themeColor="text1"/>
        </w:rPr>
        <w:t>)</w:t>
      </w:r>
      <w:r w:rsidR="002F2D78" w:rsidRPr="00CD2ADD">
        <w:rPr>
          <w:color w:val="000000" w:themeColor="text1"/>
        </w:rPr>
        <w:t xml:space="preserve"> cuprinse în acest program </w:t>
      </w:r>
      <w:r w:rsidRPr="00CD2ADD">
        <w:rPr>
          <w:color w:val="000000" w:themeColor="text1"/>
        </w:rPr>
        <w:t>subliniază importanța unei atenții speciale acordate fetelor și femeilor, în special femeilor însărcinate, mamelor cu nou-născuți, precum și altor categorii cu vulnerabilitate ridicată în fața dezastrelor, în planificarea măsurilor de prevenire, pregătire, răspuns și reconstrucție durabil</w:t>
      </w:r>
      <w:r w:rsidR="00632924" w:rsidRPr="00CD2ADD">
        <w:rPr>
          <w:color w:val="000000" w:themeColor="text1"/>
        </w:rPr>
        <w:t>ă</w:t>
      </w:r>
      <w:r w:rsidRPr="00CD2ADD">
        <w:rPr>
          <w:color w:val="000000" w:themeColor="text1"/>
        </w:rPr>
        <w:t>.</w:t>
      </w:r>
    </w:p>
    <w:p w14:paraId="2DC45929" w14:textId="77777777" w:rsidR="00304C31" w:rsidRPr="00CD2ADD" w:rsidRDefault="00304C31" w:rsidP="004B3292">
      <w:pPr>
        <w:pStyle w:val="ListParagraph"/>
        <w:spacing w:after="0"/>
        <w:ind w:left="360" w:firstLine="0"/>
        <w:jc w:val="both"/>
        <w:rPr>
          <w:rFonts w:ascii="Times New Roman" w:hAnsi="Times New Roman" w:cs="Times New Roman"/>
          <w:b/>
          <w:bCs/>
          <w:i/>
          <w:iCs/>
          <w:color w:val="000000" w:themeColor="text1"/>
          <w:sz w:val="24"/>
          <w:szCs w:val="24"/>
        </w:rPr>
      </w:pPr>
    </w:p>
    <w:p w14:paraId="57010B46" w14:textId="77777777" w:rsidR="00304C31" w:rsidRPr="00CD2ADD" w:rsidRDefault="00304C31" w:rsidP="00590E37">
      <w:pPr>
        <w:pStyle w:val="Heading2"/>
        <w:spacing w:before="0"/>
        <w:jc w:val="center"/>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Secțiunea a 5-a</w:t>
      </w:r>
      <w:bookmarkStart w:id="22" w:name="_Toc198493320"/>
    </w:p>
    <w:p w14:paraId="54CB8A95" w14:textId="28B230A6" w:rsidR="00304C31" w:rsidRPr="00CD2ADD" w:rsidRDefault="00304C31" w:rsidP="00590E37">
      <w:pPr>
        <w:pStyle w:val="Heading2"/>
        <w:spacing w:before="0"/>
        <w:jc w:val="center"/>
        <w:rPr>
          <w:rFonts w:ascii="Times New Roman" w:hAnsi="Times New Roman" w:cs="Times New Roman"/>
          <w:i/>
          <w:iCs/>
          <w:color w:val="000000" w:themeColor="text1"/>
          <w:sz w:val="24"/>
          <w:szCs w:val="24"/>
        </w:rPr>
      </w:pPr>
      <w:r w:rsidRPr="00CD2ADD">
        <w:rPr>
          <w:rFonts w:ascii="Times New Roman" w:hAnsi="Times New Roman" w:cs="Times New Roman"/>
          <w:color w:val="000000" w:themeColor="text1"/>
          <w:sz w:val="24"/>
          <w:szCs w:val="24"/>
        </w:rPr>
        <w:t>Indicele de risc INFORM: analiza comparativă la nivel  European</w:t>
      </w:r>
      <w:bookmarkEnd w:id="22"/>
    </w:p>
    <w:p w14:paraId="7E1D2756" w14:textId="37C472A8" w:rsidR="00304C31" w:rsidRPr="00CD2ADD" w:rsidRDefault="00304C31" w:rsidP="004B3292">
      <w:pPr>
        <w:pStyle w:val="ListParagraph"/>
        <w:spacing w:after="0"/>
        <w:ind w:left="360" w:firstLine="0"/>
        <w:jc w:val="both"/>
        <w:rPr>
          <w:rFonts w:ascii="Times New Roman" w:hAnsi="Times New Roman" w:cs="Times New Roman"/>
          <w:b/>
          <w:bCs/>
          <w:color w:val="000000" w:themeColor="text1"/>
          <w:sz w:val="24"/>
          <w:szCs w:val="24"/>
        </w:rPr>
      </w:pPr>
    </w:p>
    <w:p w14:paraId="1A1282BC" w14:textId="4E478381" w:rsidR="00FA4FF3" w:rsidRPr="00CD2ADD" w:rsidRDefault="00FC34BE">
      <w:pPr>
        <w:pStyle w:val="ListParagraph"/>
        <w:numPr>
          <w:ilvl w:val="0"/>
          <w:numId w:val="42"/>
        </w:numPr>
        <w:spacing w:after="0"/>
        <w:ind w:left="0" w:firstLine="360"/>
        <w:jc w:val="both"/>
        <w:rPr>
          <w:rFonts w:ascii="Times New Roman" w:hAnsi="Times New Roman" w:cs="Times New Roman"/>
          <w:b/>
          <w:bCs/>
          <w:i/>
          <w:iCs/>
          <w:color w:val="000000" w:themeColor="text1"/>
          <w:sz w:val="24"/>
          <w:szCs w:val="24"/>
        </w:rPr>
      </w:pPr>
      <w:r w:rsidRPr="00CD2ADD">
        <w:rPr>
          <w:rFonts w:ascii="Times New Roman" w:hAnsi="Times New Roman" w:cs="Times New Roman"/>
          <w:color w:val="000000" w:themeColor="text1"/>
          <w:sz w:val="24"/>
          <w:szCs w:val="24"/>
        </w:rPr>
        <w:t>Indicele INFORM</w:t>
      </w:r>
      <w:r w:rsidRPr="00CD2ADD">
        <w:rPr>
          <w:rStyle w:val="FootnoteReference"/>
          <w:rFonts w:ascii="Times New Roman" w:hAnsi="Times New Roman" w:cs="Times New Roman"/>
          <w:color w:val="000000" w:themeColor="text1"/>
          <w:sz w:val="24"/>
          <w:szCs w:val="24"/>
        </w:rPr>
        <w:footnoteReference w:id="8"/>
      </w:r>
      <w:r w:rsidRPr="00CD2ADD">
        <w:rPr>
          <w:rFonts w:ascii="Times New Roman" w:hAnsi="Times New Roman" w:cs="Times New Roman"/>
          <w:color w:val="000000" w:themeColor="text1"/>
          <w:sz w:val="24"/>
          <w:szCs w:val="24"/>
        </w:rPr>
        <w:t xml:space="preserve"> este un instrument global, cu sursă deschisă, conceput pentru a evalua riscul de crize umanitare și dezastre, sprijinind astfel luarea deciziilor legate de prevenire, pregătire și răspuns. Acesta evaluează țările pe baza a trei dimensiuni: </w:t>
      </w:r>
      <w:r w:rsidRPr="00CD2ADD">
        <w:rPr>
          <w:rFonts w:ascii="Times New Roman" w:hAnsi="Times New Roman" w:cs="Times New Roman"/>
          <w:b/>
          <w:bCs/>
          <w:color w:val="000000" w:themeColor="text1"/>
          <w:sz w:val="24"/>
          <w:szCs w:val="24"/>
        </w:rPr>
        <w:t>hazard și expunere, vulnerabilitate și lipsa capacității de răspuns.</w:t>
      </w:r>
      <w:r w:rsidR="00805D94" w:rsidRPr="00CD2ADD">
        <w:rPr>
          <w:rFonts w:ascii="Times New Roman" w:hAnsi="Times New Roman" w:cs="Times New Roman"/>
          <w:b/>
          <w:bCs/>
          <w:color w:val="000000" w:themeColor="text1"/>
          <w:sz w:val="24"/>
          <w:szCs w:val="24"/>
        </w:rPr>
        <w:t xml:space="preserve"> </w:t>
      </w:r>
      <w:r w:rsidR="004D0D0F" w:rsidRPr="00CD2ADD">
        <w:rPr>
          <w:rFonts w:ascii="Times New Roman" w:hAnsi="Times New Roman" w:cs="Times New Roman"/>
          <w:color w:val="000000" w:themeColor="text1"/>
          <w:sz w:val="24"/>
          <w:szCs w:val="24"/>
        </w:rPr>
        <w:t>În</w:t>
      </w:r>
      <w:r w:rsidR="00FA4FF3" w:rsidRPr="00CD2ADD">
        <w:rPr>
          <w:rFonts w:ascii="Times New Roman" w:hAnsi="Times New Roman" w:cs="Times New Roman"/>
          <w:color w:val="000000" w:themeColor="text1"/>
          <w:sz w:val="24"/>
          <w:szCs w:val="24"/>
        </w:rPr>
        <w:t xml:space="preserve"> ultimul deceniu, Indicele mediu de risc INFORM a avut o tendință generală de creștere. După o perioadă relativ stabilă între 2016 și 2020 (în jur de 3.64), scorul a început să urce treptat, atingând un vârf în 2024 (3.78). Deși în 2025 se observă o ușoară scădere la 3.74, nivelul rămâne mai ridicat față de anii anteriori. Această evoluție indică o creștere a riscurilor umanitare și de dezastr</w:t>
      </w:r>
      <w:r w:rsidR="00840963" w:rsidRPr="00CD2ADD">
        <w:rPr>
          <w:rFonts w:ascii="Times New Roman" w:hAnsi="Times New Roman" w:cs="Times New Roman"/>
          <w:color w:val="000000" w:themeColor="text1"/>
          <w:sz w:val="24"/>
          <w:szCs w:val="24"/>
        </w:rPr>
        <w:t>e</w:t>
      </w:r>
      <w:r w:rsidR="00FA4FF3" w:rsidRPr="00CD2ADD">
        <w:rPr>
          <w:rFonts w:ascii="Times New Roman" w:hAnsi="Times New Roman" w:cs="Times New Roman"/>
          <w:color w:val="000000" w:themeColor="text1"/>
          <w:sz w:val="24"/>
          <w:szCs w:val="24"/>
        </w:rPr>
        <w:t xml:space="preserve"> la nivel global, confirmata </w:t>
      </w:r>
      <w:r w:rsidR="00840963" w:rsidRPr="00CD2ADD">
        <w:rPr>
          <w:rFonts w:ascii="Times New Roman" w:hAnsi="Times New Roman" w:cs="Times New Roman"/>
          <w:color w:val="000000" w:themeColor="text1"/>
          <w:sz w:val="24"/>
          <w:szCs w:val="24"/>
        </w:rPr>
        <w:t>și</w:t>
      </w:r>
      <w:r w:rsidR="00FA4FF3" w:rsidRPr="00CD2ADD">
        <w:rPr>
          <w:rFonts w:ascii="Times New Roman" w:hAnsi="Times New Roman" w:cs="Times New Roman"/>
          <w:color w:val="000000" w:themeColor="text1"/>
          <w:sz w:val="24"/>
          <w:szCs w:val="24"/>
        </w:rPr>
        <w:t xml:space="preserve"> de concluziile raportului </w:t>
      </w:r>
      <w:r w:rsidR="00A05E96" w:rsidRPr="00CD2ADD">
        <w:rPr>
          <w:rFonts w:ascii="Times New Roman" w:hAnsi="Times New Roman" w:cs="Times New Roman"/>
          <w:color w:val="000000" w:themeColor="text1"/>
          <w:sz w:val="24"/>
          <w:szCs w:val="24"/>
        </w:rPr>
        <w:t>Grupului interguvernamental de experți privind schimbările climatice (</w:t>
      </w:r>
      <w:r w:rsidR="00FA4FF3" w:rsidRPr="00CD2ADD">
        <w:rPr>
          <w:rFonts w:ascii="Times New Roman" w:hAnsi="Times New Roman" w:cs="Times New Roman"/>
          <w:color w:val="000000" w:themeColor="text1"/>
          <w:sz w:val="24"/>
          <w:szCs w:val="24"/>
        </w:rPr>
        <w:t>IPCC</w:t>
      </w:r>
      <w:r w:rsidR="00A05E96" w:rsidRPr="00CD2ADD">
        <w:rPr>
          <w:rFonts w:ascii="Times New Roman" w:hAnsi="Times New Roman" w:cs="Times New Roman"/>
          <w:color w:val="000000" w:themeColor="text1"/>
          <w:sz w:val="24"/>
          <w:szCs w:val="24"/>
        </w:rPr>
        <w:t>)</w:t>
      </w:r>
      <w:r w:rsidR="00FA4FF3" w:rsidRPr="00CD2ADD">
        <w:rPr>
          <w:rFonts w:ascii="Times New Roman" w:hAnsi="Times New Roman" w:cs="Times New Roman"/>
          <w:color w:val="000000" w:themeColor="text1"/>
          <w:sz w:val="24"/>
          <w:szCs w:val="24"/>
        </w:rPr>
        <w:t>. Aceast</w:t>
      </w:r>
      <w:r w:rsidR="00840963" w:rsidRPr="00CD2ADD">
        <w:rPr>
          <w:rFonts w:ascii="Times New Roman" w:hAnsi="Times New Roman" w:cs="Times New Roman"/>
          <w:color w:val="000000" w:themeColor="text1"/>
          <w:sz w:val="24"/>
          <w:szCs w:val="24"/>
        </w:rPr>
        <w:t>ă</w:t>
      </w:r>
      <w:r w:rsidR="00FA4FF3" w:rsidRPr="00CD2ADD">
        <w:rPr>
          <w:rFonts w:ascii="Times New Roman" w:hAnsi="Times New Roman" w:cs="Times New Roman"/>
          <w:color w:val="000000" w:themeColor="text1"/>
          <w:sz w:val="24"/>
          <w:szCs w:val="24"/>
        </w:rPr>
        <w:t xml:space="preserve"> tendinț</w:t>
      </w:r>
      <w:r w:rsidR="00840963" w:rsidRPr="00CD2ADD">
        <w:rPr>
          <w:rFonts w:ascii="Times New Roman" w:hAnsi="Times New Roman" w:cs="Times New Roman"/>
          <w:color w:val="000000" w:themeColor="text1"/>
          <w:sz w:val="24"/>
          <w:szCs w:val="24"/>
        </w:rPr>
        <w:t>ă</w:t>
      </w:r>
      <w:r w:rsidR="00FA4FF3" w:rsidRPr="00CD2ADD">
        <w:rPr>
          <w:rFonts w:ascii="Times New Roman" w:hAnsi="Times New Roman" w:cs="Times New Roman"/>
          <w:color w:val="000000" w:themeColor="text1"/>
          <w:sz w:val="24"/>
          <w:szCs w:val="24"/>
        </w:rPr>
        <w:t xml:space="preserve"> este</w:t>
      </w:r>
      <w:r w:rsidR="00805D94" w:rsidRPr="00CD2ADD">
        <w:rPr>
          <w:rFonts w:ascii="Times New Roman" w:hAnsi="Times New Roman" w:cs="Times New Roman"/>
          <w:color w:val="000000" w:themeColor="text1"/>
          <w:sz w:val="24"/>
          <w:szCs w:val="24"/>
        </w:rPr>
        <w:t xml:space="preserve"> </w:t>
      </w:r>
      <w:r w:rsidR="00FA4FF3" w:rsidRPr="00CD2ADD">
        <w:rPr>
          <w:rFonts w:ascii="Times New Roman" w:hAnsi="Times New Roman" w:cs="Times New Roman"/>
          <w:color w:val="000000" w:themeColor="text1"/>
          <w:sz w:val="24"/>
          <w:szCs w:val="24"/>
        </w:rPr>
        <w:t>confirmat</w:t>
      </w:r>
      <w:r w:rsidR="00840963" w:rsidRPr="00CD2ADD">
        <w:rPr>
          <w:rFonts w:ascii="Times New Roman" w:hAnsi="Times New Roman" w:cs="Times New Roman"/>
          <w:color w:val="000000" w:themeColor="text1"/>
          <w:sz w:val="24"/>
          <w:szCs w:val="24"/>
        </w:rPr>
        <w:t>ă</w:t>
      </w:r>
      <w:r w:rsidR="00FA4FF3" w:rsidRPr="00CD2ADD">
        <w:rPr>
          <w:rFonts w:ascii="Times New Roman" w:hAnsi="Times New Roman" w:cs="Times New Roman"/>
          <w:color w:val="000000" w:themeColor="text1"/>
          <w:sz w:val="24"/>
          <w:szCs w:val="24"/>
        </w:rPr>
        <w:t xml:space="preserve"> </w:t>
      </w:r>
      <w:r w:rsidR="00840963" w:rsidRPr="00CD2ADD">
        <w:rPr>
          <w:rFonts w:ascii="Times New Roman" w:hAnsi="Times New Roman" w:cs="Times New Roman"/>
          <w:color w:val="000000" w:themeColor="text1"/>
          <w:sz w:val="24"/>
          <w:szCs w:val="24"/>
        </w:rPr>
        <w:t>și</w:t>
      </w:r>
      <w:r w:rsidR="00FA4FF3" w:rsidRPr="00CD2ADD">
        <w:rPr>
          <w:rFonts w:ascii="Times New Roman" w:hAnsi="Times New Roman" w:cs="Times New Roman"/>
          <w:color w:val="000000" w:themeColor="text1"/>
          <w:sz w:val="24"/>
          <w:szCs w:val="24"/>
        </w:rPr>
        <w:t xml:space="preserve"> de datele Comisiei Europene cu privire la</w:t>
      </w:r>
      <w:r w:rsidR="00BE1DC7" w:rsidRPr="00CD2ADD">
        <w:rPr>
          <w:rFonts w:ascii="Times New Roman" w:hAnsi="Times New Roman" w:cs="Times New Roman"/>
          <w:color w:val="000000" w:themeColor="text1"/>
          <w:sz w:val="24"/>
          <w:szCs w:val="24"/>
        </w:rPr>
        <w:t xml:space="preserve"> </w:t>
      </w:r>
      <w:r w:rsidR="00FA4FF3" w:rsidRPr="00CD2ADD">
        <w:rPr>
          <w:rFonts w:ascii="Times New Roman" w:hAnsi="Times New Roman" w:cs="Times New Roman"/>
          <w:color w:val="000000" w:themeColor="text1"/>
          <w:sz w:val="24"/>
          <w:szCs w:val="24"/>
        </w:rPr>
        <w:t>activarea mecanismului de protecție civil</w:t>
      </w:r>
      <w:r w:rsidR="00A05E96" w:rsidRPr="00CD2ADD">
        <w:rPr>
          <w:rFonts w:ascii="Times New Roman" w:hAnsi="Times New Roman" w:cs="Times New Roman"/>
          <w:color w:val="000000" w:themeColor="text1"/>
          <w:sz w:val="24"/>
          <w:szCs w:val="24"/>
        </w:rPr>
        <w:t xml:space="preserve">ă </w:t>
      </w:r>
      <w:r w:rsidR="00FA4FF3" w:rsidRPr="00CD2ADD">
        <w:rPr>
          <w:rFonts w:ascii="Times New Roman" w:hAnsi="Times New Roman" w:cs="Times New Roman"/>
          <w:color w:val="000000" w:themeColor="text1"/>
          <w:sz w:val="24"/>
          <w:szCs w:val="24"/>
        </w:rPr>
        <w:t>european</w:t>
      </w:r>
      <w:r w:rsidR="00A05E96" w:rsidRPr="00CD2ADD">
        <w:rPr>
          <w:rFonts w:ascii="Times New Roman" w:hAnsi="Times New Roman" w:cs="Times New Roman"/>
          <w:color w:val="000000" w:themeColor="text1"/>
          <w:sz w:val="24"/>
          <w:szCs w:val="24"/>
        </w:rPr>
        <w:t>ă</w:t>
      </w:r>
      <w:r w:rsidR="00FA4FF3" w:rsidRPr="00CD2ADD">
        <w:rPr>
          <w:rFonts w:ascii="Times New Roman" w:hAnsi="Times New Roman" w:cs="Times New Roman"/>
          <w:color w:val="000000" w:themeColor="text1"/>
          <w:sz w:val="24"/>
          <w:szCs w:val="24"/>
        </w:rPr>
        <w:t xml:space="preserve"> (UCPM) în cadrul căruia cererea de asistență a crescut dramatic în ultimul deceniu.</w:t>
      </w:r>
      <w:r w:rsidR="00FA4FF3" w:rsidRPr="00CD2ADD">
        <w:rPr>
          <w:rStyle w:val="FootnoteReference"/>
          <w:rFonts w:ascii="Times New Roman" w:hAnsi="Times New Roman" w:cs="Times New Roman"/>
          <w:color w:val="000000" w:themeColor="text1"/>
          <w:sz w:val="24"/>
          <w:szCs w:val="24"/>
        </w:rPr>
        <w:footnoteReference w:id="9"/>
      </w:r>
    </w:p>
    <w:p w14:paraId="1169B63F" w14:textId="77777777" w:rsidR="00A05E96" w:rsidRPr="00CD2ADD" w:rsidRDefault="00B34A3D">
      <w:pPr>
        <w:pStyle w:val="ListParagraph"/>
        <w:numPr>
          <w:ilvl w:val="0"/>
          <w:numId w:val="42"/>
        </w:numPr>
        <w:spacing w:after="0"/>
        <w:ind w:left="0" w:firstLine="360"/>
        <w:jc w:val="both"/>
        <w:rPr>
          <w:rFonts w:ascii="Times New Roman" w:hAnsi="Times New Roman" w:cs="Times New Roman"/>
          <w:b/>
          <w:bCs/>
          <w:i/>
          <w:iCs/>
          <w:color w:val="000000" w:themeColor="text1"/>
          <w:sz w:val="24"/>
          <w:szCs w:val="24"/>
        </w:rPr>
      </w:pPr>
      <w:r w:rsidRPr="00CD2ADD">
        <w:rPr>
          <w:rFonts w:ascii="Times New Roman" w:hAnsi="Times New Roman" w:cs="Times New Roman"/>
          <w:color w:val="000000" w:themeColor="text1"/>
          <w:sz w:val="24"/>
          <w:szCs w:val="24"/>
        </w:rPr>
        <w:t xml:space="preserve">Europa se remarcă printr-un profil de risc </w:t>
      </w:r>
      <w:r w:rsidRPr="00CD2ADD">
        <w:rPr>
          <w:rStyle w:val="Strong"/>
          <w:rFonts w:ascii="Times New Roman" w:eastAsiaTheme="majorEastAsia" w:hAnsi="Times New Roman" w:cs="Times New Roman"/>
          <w:bCs w:val="0"/>
          <w:i w:val="0"/>
          <w:iCs/>
          <w:color w:val="000000" w:themeColor="text1"/>
          <w:sz w:val="24"/>
          <w:szCs w:val="24"/>
        </w:rPr>
        <w:t>semnificativ mai scăzut</w:t>
      </w:r>
      <w:r w:rsidRPr="00CD2ADD">
        <w:rPr>
          <w:rFonts w:ascii="Times New Roman" w:hAnsi="Times New Roman" w:cs="Times New Roman"/>
          <w:b/>
          <w:bCs/>
          <w:color w:val="000000" w:themeColor="text1"/>
          <w:sz w:val="24"/>
          <w:szCs w:val="24"/>
        </w:rPr>
        <w:t xml:space="preserve"> </w:t>
      </w:r>
      <w:r w:rsidRPr="00CD2ADD">
        <w:rPr>
          <w:rFonts w:ascii="Times New Roman" w:hAnsi="Times New Roman" w:cs="Times New Roman"/>
          <w:color w:val="000000" w:themeColor="text1"/>
          <w:sz w:val="24"/>
          <w:szCs w:val="24"/>
        </w:rPr>
        <w:t xml:space="preserve">decât celelalte regiuni ale lumii. Majoritatea țărilor europene se încadrează în categoriile </w:t>
      </w:r>
      <w:r w:rsidRPr="00CD2ADD">
        <w:rPr>
          <w:rStyle w:val="Strong"/>
          <w:rFonts w:ascii="Times New Roman" w:eastAsiaTheme="majorEastAsia" w:hAnsi="Times New Roman" w:cs="Times New Roman"/>
          <w:bCs w:val="0"/>
          <w:i w:val="0"/>
          <w:iCs/>
          <w:color w:val="000000" w:themeColor="text1"/>
          <w:sz w:val="24"/>
          <w:szCs w:val="24"/>
        </w:rPr>
        <w:t>de risc</w:t>
      </w:r>
      <w:r w:rsidRPr="00CD2ADD">
        <w:rPr>
          <w:rFonts w:ascii="Times New Roman" w:hAnsi="Times New Roman" w:cs="Times New Roman"/>
          <w:color w:val="000000" w:themeColor="text1"/>
          <w:sz w:val="24"/>
          <w:szCs w:val="24"/>
        </w:rPr>
        <w:t xml:space="preserve"> scăzut și foarte scăzut ale Indicelui INFORM, iar o parte considerabilă dintre ele sunt clasificate ca fiind </w:t>
      </w:r>
      <w:r w:rsidRPr="00CD2ADD">
        <w:rPr>
          <w:rStyle w:val="Strong"/>
          <w:rFonts w:ascii="Times New Roman" w:eastAsiaTheme="majorEastAsia" w:hAnsi="Times New Roman" w:cs="Times New Roman"/>
          <w:bCs w:val="0"/>
          <w:i w:val="0"/>
          <w:iCs/>
          <w:color w:val="000000" w:themeColor="text1"/>
          <w:sz w:val="24"/>
          <w:szCs w:val="24"/>
        </w:rPr>
        <w:t>țări cu venituri mari</w:t>
      </w:r>
      <w:r w:rsidRPr="00CD2ADD">
        <w:rPr>
          <w:rFonts w:ascii="Times New Roman" w:hAnsi="Times New Roman" w:cs="Times New Roman"/>
          <w:b/>
          <w:bCs/>
          <w:i/>
          <w:iCs/>
          <w:color w:val="000000" w:themeColor="text1"/>
          <w:sz w:val="24"/>
          <w:szCs w:val="24"/>
        </w:rPr>
        <w:t>,</w:t>
      </w:r>
      <w:r w:rsidRPr="00CD2ADD">
        <w:rPr>
          <w:rFonts w:ascii="Times New Roman" w:hAnsi="Times New Roman" w:cs="Times New Roman"/>
          <w:color w:val="000000" w:themeColor="text1"/>
          <w:sz w:val="24"/>
          <w:szCs w:val="24"/>
        </w:rPr>
        <w:t xml:space="preserve"> conform Băncii Mondiale. În comparație, </w:t>
      </w:r>
      <w:r w:rsidRPr="00CD2ADD">
        <w:rPr>
          <w:rStyle w:val="Strong"/>
          <w:rFonts w:ascii="Times New Roman" w:eastAsiaTheme="majorEastAsia" w:hAnsi="Times New Roman" w:cs="Times New Roman"/>
          <w:bCs w:val="0"/>
          <w:i w:val="0"/>
          <w:iCs/>
          <w:color w:val="000000" w:themeColor="text1"/>
          <w:sz w:val="24"/>
          <w:szCs w:val="24"/>
        </w:rPr>
        <w:t>Africa</w:t>
      </w:r>
      <w:r w:rsidRPr="00CD2ADD">
        <w:rPr>
          <w:rFonts w:ascii="Times New Roman" w:hAnsi="Times New Roman" w:cs="Times New Roman"/>
          <w:b/>
          <w:bCs/>
          <w:i/>
          <w:iCs/>
          <w:color w:val="000000" w:themeColor="text1"/>
          <w:sz w:val="24"/>
          <w:szCs w:val="24"/>
        </w:rPr>
        <w:t xml:space="preserve"> </w:t>
      </w:r>
      <w:r w:rsidRPr="00CD2ADD">
        <w:rPr>
          <w:rFonts w:ascii="Times New Roman" w:hAnsi="Times New Roman" w:cs="Times New Roman"/>
          <w:color w:val="000000" w:themeColor="text1"/>
          <w:sz w:val="24"/>
          <w:szCs w:val="24"/>
        </w:rPr>
        <w:t xml:space="preserve">și </w:t>
      </w:r>
      <w:r w:rsidRPr="00CD2ADD">
        <w:rPr>
          <w:rStyle w:val="Strong"/>
          <w:rFonts w:ascii="Times New Roman" w:eastAsiaTheme="majorEastAsia" w:hAnsi="Times New Roman" w:cs="Times New Roman"/>
          <w:bCs w:val="0"/>
          <w:i w:val="0"/>
          <w:iCs/>
          <w:color w:val="000000" w:themeColor="text1"/>
          <w:sz w:val="24"/>
          <w:szCs w:val="24"/>
        </w:rPr>
        <w:t>Asia</w:t>
      </w:r>
      <w:r w:rsidRPr="00CD2ADD">
        <w:rPr>
          <w:rFonts w:ascii="Times New Roman" w:hAnsi="Times New Roman" w:cs="Times New Roman"/>
          <w:i/>
          <w:iCs/>
          <w:color w:val="000000" w:themeColor="text1"/>
          <w:sz w:val="24"/>
          <w:szCs w:val="24"/>
        </w:rPr>
        <w:t xml:space="preserve"> </w:t>
      </w:r>
      <w:r w:rsidRPr="00CD2ADD">
        <w:rPr>
          <w:rFonts w:ascii="Times New Roman" w:hAnsi="Times New Roman" w:cs="Times New Roman"/>
          <w:color w:val="000000" w:themeColor="text1"/>
          <w:sz w:val="24"/>
          <w:szCs w:val="24"/>
        </w:rPr>
        <w:t xml:space="preserve">prezintă o concentrație mare în categoriile de risc </w:t>
      </w:r>
      <w:r w:rsidRPr="00CD2ADD">
        <w:rPr>
          <w:rStyle w:val="Strong"/>
          <w:rFonts w:ascii="Times New Roman" w:eastAsiaTheme="majorEastAsia" w:hAnsi="Times New Roman" w:cs="Times New Roman"/>
          <w:bCs w:val="0"/>
          <w:i w:val="0"/>
          <w:iCs/>
          <w:color w:val="000000" w:themeColor="text1"/>
          <w:sz w:val="24"/>
          <w:szCs w:val="24"/>
        </w:rPr>
        <w:t xml:space="preserve">mediu </w:t>
      </w:r>
      <w:r w:rsidR="00A35E49" w:rsidRPr="00CD2ADD">
        <w:rPr>
          <w:rStyle w:val="Strong"/>
          <w:rFonts w:ascii="Times New Roman" w:eastAsiaTheme="majorEastAsia" w:hAnsi="Times New Roman" w:cs="Times New Roman"/>
          <w:bCs w:val="0"/>
          <w:i w:val="0"/>
          <w:iCs/>
          <w:color w:val="000000" w:themeColor="text1"/>
          <w:sz w:val="24"/>
          <w:szCs w:val="24"/>
        </w:rPr>
        <w:t>și</w:t>
      </w:r>
      <w:r w:rsidRPr="00CD2ADD">
        <w:rPr>
          <w:rStyle w:val="Strong"/>
          <w:rFonts w:ascii="Times New Roman" w:eastAsiaTheme="majorEastAsia" w:hAnsi="Times New Roman" w:cs="Times New Roman"/>
          <w:bCs w:val="0"/>
          <w:i w:val="0"/>
          <w:iCs/>
          <w:color w:val="000000" w:themeColor="text1"/>
          <w:sz w:val="24"/>
          <w:szCs w:val="24"/>
        </w:rPr>
        <w:t xml:space="preserve"> ridicat</w:t>
      </w:r>
      <w:r w:rsidRPr="00CD2ADD">
        <w:rPr>
          <w:rFonts w:ascii="Times New Roman" w:hAnsi="Times New Roman" w:cs="Times New Roman"/>
          <w:color w:val="000000" w:themeColor="text1"/>
          <w:sz w:val="24"/>
          <w:szCs w:val="24"/>
        </w:rPr>
        <w:t xml:space="preserve"> fiind totodată dominate de țări cu </w:t>
      </w:r>
      <w:r w:rsidRPr="00CD2ADD">
        <w:rPr>
          <w:rStyle w:val="Strong"/>
          <w:rFonts w:ascii="Times New Roman" w:eastAsiaTheme="majorEastAsia" w:hAnsi="Times New Roman" w:cs="Times New Roman"/>
          <w:bCs w:val="0"/>
          <w:i w:val="0"/>
          <w:iCs/>
          <w:color w:val="000000" w:themeColor="text1"/>
          <w:sz w:val="24"/>
          <w:szCs w:val="24"/>
        </w:rPr>
        <w:t>venituri mici</w:t>
      </w:r>
      <w:r w:rsidRPr="00CD2ADD">
        <w:rPr>
          <w:rFonts w:ascii="Times New Roman" w:hAnsi="Times New Roman" w:cs="Times New Roman"/>
          <w:i/>
          <w:iCs/>
          <w:color w:val="000000" w:themeColor="text1"/>
          <w:sz w:val="24"/>
          <w:szCs w:val="24"/>
        </w:rPr>
        <w:t xml:space="preserve"> </w:t>
      </w:r>
      <w:r w:rsidRPr="00CD2ADD">
        <w:rPr>
          <w:rFonts w:ascii="Times New Roman" w:hAnsi="Times New Roman" w:cs="Times New Roman"/>
          <w:color w:val="000000" w:themeColor="text1"/>
          <w:sz w:val="24"/>
          <w:szCs w:val="24"/>
        </w:rPr>
        <w:t xml:space="preserve">sau </w:t>
      </w:r>
      <w:r w:rsidRPr="00CD2ADD">
        <w:rPr>
          <w:rStyle w:val="Strong"/>
          <w:rFonts w:ascii="Times New Roman" w:eastAsiaTheme="majorEastAsia" w:hAnsi="Times New Roman" w:cs="Times New Roman"/>
          <w:bCs w:val="0"/>
          <w:i w:val="0"/>
          <w:iCs/>
          <w:color w:val="000000" w:themeColor="text1"/>
          <w:sz w:val="24"/>
          <w:szCs w:val="24"/>
        </w:rPr>
        <w:t>mijlocii inferioare</w:t>
      </w:r>
      <w:r w:rsidRPr="00CD2ADD">
        <w:rPr>
          <w:rFonts w:ascii="Times New Roman" w:hAnsi="Times New Roman" w:cs="Times New Roman"/>
          <w:b/>
          <w:bCs/>
          <w:i/>
          <w:iCs/>
          <w:color w:val="000000" w:themeColor="text1"/>
          <w:sz w:val="24"/>
          <w:szCs w:val="24"/>
        </w:rPr>
        <w:t>.</w:t>
      </w:r>
      <w:r w:rsidRPr="00CD2ADD">
        <w:rPr>
          <w:rFonts w:ascii="Times New Roman" w:hAnsi="Times New Roman" w:cs="Times New Roman"/>
          <w:i/>
          <w:iCs/>
          <w:color w:val="000000" w:themeColor="text1"/>
          <w:sz w:val="24"/>
          <w:szCs w:val="24"/>
        </w:rPr>
        <w:t xml:space="preserve"> </w:t>
      </w:r>
      <w:r w:rsidRPr="00CD2ADD">
        <w:rPr>
          <w:rStyle w:val="Strong"/>
          <w:rFonts w:ascii="Times New Roman" w:eastAsiaTheme="majorEastAsia" w:hAnsi="Times New Roman" w:cs="Times New Roman"/>
          <w:bCs w:val="0"/>
          <w:i w:val="0"/>
          <w:iCs/>
          <w:color w:val="000000" w:themeColor="text1"/>
          <w:sz w:val="24"/>
          <w:szCs w:val="24"/>
        </w:rPr>
        <w:t>America de Nord, Sud si Centrala</w:t>
      </w:r>
      <w:r w:rsidRPr="00CD2ADD">
        <w:rPr>
          <w:rFonts w:ascii="Times New Roman" w:hAnsi="Times New Roman" w:cs="Times New Roman"/>
          <w:b/>
          <w:bCs/>
          <w:color w:val="000000" w:themeColor="text1"/>
          <w:sz w:val="24"/>
          <w:szCs w:val="24"/>
        </w:rPr>
        <w:t xml:space="preserve"> </w:t>
      </w:r>
      <w:r w:rsidRPr="00CD2ADD">
        <w:rPr>
          <w:rFonts w:ascii="Times New Roman" w:hAnsi="Times New Roman" w:cs="Times New Roman"/>
          <w:color w:val="000000" w:themeColor="text1"/>
          <w:sz w:val="24"/>
          <w:szCs w:val="24"/>
        </w:rPr>
        <w:t xml:space="preserve">sunt distribuite mai echilibrat, dar tot cu o tendință spre risc </w:t>
      </w:r>
      <w:r w:rsidRPr="00CD2ADD">
        <w:rPr>
          <w:rStyle w:val="Strong"/>
          <w:rFonts w:ascii="Times New Roman" w:eastAsiaTheme="majorEastAsia" w:hAnsi="Times New Roman" w:cs="Times New Roman"/>
          <w:bCs w:val="0"/>
          <w:i w:val="0"/>
          <w:iCs/>
          <w:color w:val="000000" w:themeColor="text1"/>
          <w:sz w:val="24"/>
          <w:szCs w:val="24"/>
        </w:rPr>
        <w:t>mediu</w:t>
      </w:r>
      <w:r w:rsidRPr="00CD2ADD">
        <w:rPr>
          <w:rFonts w:ascii="Times New Roman" w:hAnsi="Times New Roman" w:cs="Times New Roman"/>
          <w:i/>
          <w:iCs/>
          <w:color w:val="000000" w:themeColor="text1"/>
          <w:sz w:val="24"/>
          <w:szCs w:val="24"/>
        </w:rPr>
        <w:t>.</w:t>
      </w:r>
      <w:r w:rsidR="00A05E96" w:rsidRPr="00CD2ADD">
        <w:rPr>
          <w:rFonts w:ascii="Times New Roman" w:hAnsi="Times New Roman" w:cs="Times New Roman"/>
          <w:i/>
          <w:iCs/>
          <w:color w:val="000000" w:themeColor="text1"/>
          <w:sz w:val="24"/>
          <w:szCs w:val="24"/>
        </w:rPr>
        <w:t xml:space="preserve"> </w:t>
      </w:r>
    </w:p>
    <w:p w14:paraId="3C19CC7E" w14:textId="69237C70" w:rsidR="008D4620" w:rsidRPr="00CD2ADD" w:rsidRDefault="008D4620" w:rsidP="00A05E96">
      <w:pPr>
        <w:ind w:firstLine="360"/>
        <w:jc w:val="both"/>
        <w:rPr>
          <w:b/>
          <w:bCs/>
          <w:i/>
          <w:iCs/>
          <w:color w:val="000000" w:themeColor="text1"/>
        </w:rPr>
      </w:pPr>
      <w:r w:rsidRPr="00CD2ADD">
        <w:rPr>
          <w:color w:val="000000" w:themeColor="text1"/>
        </w:rPr>
        <w:t>S</w:t>
      </w:r>
      <w:r w:rsidR="00B34A3D" w:rsidRPr="00CD2ADD">
        <w:rPr>
          <w:color w:val="000000" w:themeColor="text1"/>
        </w:rPr>
        <w:t>corul mai scăzut al Europei poate fi explicat printr-o c</w:t>
      </w:r>
      <w:r w:rsidR="00B34A3D" w:rsidRPr="00CD2ADD">
        <w:rPr>
          <w:rStyle w:val="Strong"/>
          <w:rFonts w:eastAsiaTheme="majorEastAsia"/>
          <w:bCs w:val="0"/>
          <w:i w:val="0"/>
          <w:iCs/>
          <w:color w:val="000000" w:themeColor="text1"/>
        </w:rPr>
        <w:t>apacitate instituțională ridicată,</w:t>
      </w:r>
      <w:r w:rsidR="00B34A3D" w:rsidRPr="00CD2ADD">
        <w:rPr>
          <w:rStyle w:val="Strong"/>
          <w:rFonts w:eastAsiaTheme="majorEastAsia"/>
          <w:i w:val="0"/>
          <w:iCs/>
          <w:color w:val="000000" w:themeColor="text1"/>
        </w:rPr>
        <w:t xml:space="preserve"> </w:t>
      </w:r>
      <w:r w:rsidR="00B34A3D" w:rsidRPr="00CD2ADD">
        <w:rPr>
          <w:rStyle w:val="Strong"/>
          <w:rFonts w:eastAsiaTheme="majorEastAsia"/>
          <w:bCs w:val="0"/>
          <w:i w:val="0"/>
          <w:iCs/>
          <w:color w:val="000000" w:themeColor="text1"/>
        </w:rPr>
        <w:t>infrastructură solidă și acces</w:t>
      </w:r>
      <w:r w:rsidR="00B34A3D" w:rsidRPr="00CD2ADD">
        <w:rPr>
          <w:rStyle w:val="Strong"/>
          <w:rFonts w:eastAsiaTheme="majorEastAsia"/>
          <w:i w:val="0"/>
          <w:iCs/>
          <w:color w:val="000000" w:themeColor="text1"/>
        </w:rPr>
        <w:t xml:space="preserve"> </w:t>
      </w:r>
      <w:r w:rsidR="00B34A3D" w:rsidRPr="00CD2ADD">
        <w:rPr>
          <w:rStyle w:val="Strong"/>
          <w:rFonts w:eastAsiaTheme="majorEastAsia"/>
          <w:bCs w:val="0"/>
          <w:i w:val="0"/>
          <w:iCs/>
          <w:color w:val="000000" w:themeColor="text1"/>
        </w:rPr>
        <w:t>la servicii publice de calitate</w:t>
      </w:r>
      <w:r w:rsidR="00B34A3D" w:rsidRPr="00CD2ADD">
        <w:rPr>
          <w:i/>
          <w:iCs/>
          <w:color w:val="000000" w:themeColor="text1"/>
        </w:rPr>
        <w:t>,</w:t>
      </w:r>
      <w:r w:rsidR="00B34A3D" w:rsidRPr="00CD2ADD">
        <w:rPr>
          <w:color w:val="000000" w:themeColor="text1"/>
        </w:rPr>
        <w:t xml:space="preserve"> care reduc vulnerabilitatea populației în fața dezastrelor. S</w:t>
      </w:r>
      <w:r w:rsidR="00B34A3D" w:rsidRPr="00CD2ADD">
        <w:rPr>
          <w:rStyle w:val="Strong"/>
          <w:rFonts w:eastAsiaTheme="majorEastAsia"/>
          <w:bCs w:val="0"/>
          <w:color w:val="000000" w:themeColor="text1"/>
        </w:rPr>
        <w:t xml:space="preserve">isteme </w:t>
      </w:r>
      <w:r w:rsidR="00B34A3D" w:rsidRPr="00CD2ADD">
        <w:rPr>
          <w:rStyle w:val="Strong"/>
          <w:rFonts w:eastAsiaTheme="majorEastAsia"/>
          <w:bCs w:val="0"/>
          <w:i w:val="0"/>
          <w:iCs/>
          <w:color w:val="000000" w:themeColor="text1"/>
        </w:rPr>
        <w:t>eficiente de protecție socială</w:t>
      </w:r>
      <w:r w:rsidR="00B34A3D" w:rsidRPr="00CD2ADD">
        <w:rPr>
          <w:color w:val="000000" w:themeColor="text1"/>
        </w:rPr>
        <w:t>, care oferă sprijin rapid și eficient în caz de criză. I</w:t>
      </w:r>
      <w:r w:rsidR="00B34A3D" w:rsidRPr="00CD2ADD">
        <w:rPr>
          <w:rStyle w:val="Strong"/>
          <w:rFonts w:eastAsiaTheme="majorEastAsia"/>
          <w:bCs w:val="0"/>
          <w:i w:val="0"/>
          <w:iCs/>
          <w:color w:val="000000" w:themeColor="text1"/>
        </w:rPr>
        <w:t>nvestiții constante în reducerea riscurilor și pregătirea pentru dezastre</w:t>
      </w:r>
      <w:r w:rsidR="00B34A3D" w:rsidRPr="00CD2ADD">
        <w:rPr>
          <w:i/>
          <w:iCs/>
          <w:color w:val="000000" w:themeColor="text1"/>
        </w:rPr>
        <w:t>,</w:t>
      </w:r>
      <w:r w:rsidR="00B34A3D" w:rsidRPr="00CD2ADD">
        <w:rPr>
          <w:color w:val="000000" w:themeColor="text1"/>
        </w:rPr>
        <w:t xml:space="preserve"> inclusiv la nivelul politicilor UE</w:t>
      </w:r>
      <w:r w:rsidR="00B007D1" w:rsidRPr="00CD2ADD">
        <w:rPr>
          <w:color w:val="000000" w:themeColor="text1"/>
        </w:rPr>
        <w:t>.</w:t>
      </w:r>
    </w:p>
    <w:p w14:paraId="5F6F3124" w14:textId="77777777" w:rsidR="000209A5" w:rsidRPr="00CD2ADD" w:rsidRDefault="007D5169">
      <w:pPr>
        <w:pStyle w:val="ListParagraph"/>
        <w:numPr>
          <w:ilvl w:val="0"/>
          <w:numId w:val="42"/>
        </w:numPr>
        <w:spacing w:after="0"/>
        <w:ind w:left="0" w:firstLine="360"/>
        <w:jc w:val="both"/>
        <w:rPr>
          <w:rFonts w:ascii="Times New Roman" w:hAnsi="Times New Roman" w:cs="Times New Roman"/>
          <w:b/>
          <w:bCs/>
          <w:i/>
          <w:iCs/>
          <w:color w:val="000000" w:themeColor="text1"/>
          <w:sz w:val="24"/>
          <w:szCs w:val="24"/>
        </w:rPr>
      </w:pPr>
      <w:r w:rsidRPr="00CD2ADD">
        <w:rPr>
          <w:rFonts w:ascii="Times New Roman" w:hAnsi="Times New Roman" w:cs="Times New Roman"/>
          <w:color w:val="000000" w:themeColor="text1"/>
          <w:sz w:val="24"/>
          <w:szCs w:val="24"/>
        </w:rPr>
        <w:t xml:space="preserve">Cu un </w:t>
      </w:r>
      <w:r w:rsidRPr="00CD2ADD">
        <w:rPr>
          <w:rFonts w:ascii="Times New Roman" w:hAnsi="Times New Roman" w:cs="Times New Roman"/>
          <w:b/>
          <w:bCs/>
          <w:color w:val="000000" w:themeColor="text1"/>
          <w:sz w:val="24"/>
          <w:szCs w:val="24"/>
        </w:rPr>
        <w:t>scor de risc general de 3.</w:t>
      </w:r>
      <w:r w:rsidR="006D4224" w:rsidRPr="00CD2ADD">
        <w:rPr>
          <w:rFonts w:ascii="Times New Roman" w:hAnsi="Times New Roman" w:cs="Times New Roman"/>
          <w:b/>
          <w:bCs/>
          <w:color w:val="000000" w:themeColor="text1"/>
          <w:sz w:val="24"/>
          <w:szCs w:val="24"/>
        </w:rPr>
        <w:t>6</w:t>
      </w:r>
      <w:r w:rsidRPr="00CD2ADD">
        <w:rPr>
          <w:rFonts w:ascii="Times New Roman" w:hAnsi="Times New Roman" w:cs="Times New Roman"/>
          <w:color w:val="000000" w:themeColor="text1"/>
          <w:sz w:val="24"/>
          <w:szCs w:val="24"/>
        </w:rPr>
        <w:t xml:space="preserve">, Republica Moldova se află în categoria „risc </w:t>
      </w:r>
      <w:r w:rsidR="006D4224" w:rsidRPr="00CD2ADD">
        <w:rPr>
          <w:rFonts w:ascii="Times New Roman" w:hAnsi="Times New Roman" w:cs="Times New Roman"/>
          <w:color w:val="000000" w:themeColor="text1"/>
          <w:sz w:val="24"/>
          <w:szCs w:val="24"/>
        </w:rPr>
        <w:t>moderat”</w:t>
      </w:r>
      <w:r w:rsidRPr="00CD2ADD">
        <w:rPr>
          <w:rFonts w:ascii="Times New Roman" w:hAnsi="Times New Roman" w:cs="Times New Roman"/>
          <w:color w:val="000000" w:themeColor="text1"/>
          <w:sz w:val="24"/>
          <w:szCs w:val="24"/>
        </w:rPr>
        <w:t xml:space="preserve"> la nivel global, ceea ce sugerează că, în comparație cu alte țări, riscul de crize umanitare și dezastre este </w:t>
      </w:r>
      <w:r w:rsidRPr="00CD2ADD">
        <w:rPr>
          <w:rFonts w:ascii="Times New Roman" w:hAnsi="Times New Roman" w:cs="Times New Roman"/>
          <w:color w:val="000000" w:themeColor="text1"/>
          <w:sz w:val="24"/>
          <w:szCs w:val="24"/>
        </w:rPr>
        <w:lastRenderedPageBreak/>
        <w:t xml:space="preserve">relativ redus. Asta fiind spus, aproape toate tarile din Europa sunt încadrate la risc scăzut, iar la nivel European, </w:t>
      </w:r>
      <w:r w:rsidR="00AA6000" w:rsidRPr="00CD2ADD">
        <w:rPr>
          <w:rFonts w:ascii="Times New Roman" w:hAnsi="Times New Roman" w:cs="Times New Roman"/>
          <w:color w:val="000000" w:themeColor="text1"/>
          <w:sz w:val="24"/>
          <w:szCs w:val="24"/>
        </w:rPr>
        <w:t xml:space="preserve">Republica </w:t>
      </w:r>
      <w:r w:rsidRPr="00CD2ADD">
        <w:rPr>
          <w:rFonts w:ascii="Times New Roman" w:hAnsi="Times New Roman" w:cs="Times New Roman"/>
          <w:color w:val="000000" w:themeColor="text1"/>
          <w:sz w:val="24"/>
          <w:szCs w:val="24"/>
        </w:rPr>
        <w:t xml:space="preserve">Moldova se situează pe locul </w:t>
      </w:r>
      <w:r w:rsidR="006D4224" w:rsidRPr="00CD2ADD">
        <w:rPr>
          <w:rFonts w:ascii="Times New Roman" w:hAnsi="Times New Roman" w:cs="Times New Roman"/>
          <w:color w:val="000000" w:themeColor="text1"/>
          <w:sz w:val="24"/>
          <w:szCs w:val="24"/>
        </w:rPr>
        <w:t xml:space="preserve">3 </w:t>
      </w:r>
      <w:r w:rsidRPr="00CD2ADD">
        <w:rPr>
          <w:rFonts w:ascii="Times New Roman" w:hAnsi="Times New Roman" w:cs="Times New Roman"/>
          <w:color w:val="000000" w:themeColor="text1"/>
          <w:sz w:val="24"/>
          <w:szCs w:val="24"/>
        </w:rPr>
        <w:t>la categoria de risc general, după Ucraina</w:t>
      </w:r>
      <w:r w:rsidR="006D4224" w:rsidRPr="00CD2ADD">
        <w:rPr>
          <w:rFonts w:ascii="Times New Roman" w:hAnsi="Times New Roman" w:cs="Times New Roman"/>
          <w:color w:val="000000" w:themeColor="text1"/>
          <w:sz w:val="24"/>
          <w:szCs w:val="24"/>
        </w:rPr>
        <w:t xml:space="preserve"> </w:t>
      </w:r>
      <w:r w:rsidR="00AA6000" w:rsidRPr="00CD2ADD">
        <w:rPr>
          <w:rFonts w:ascii="Times New Roman" w:hAnsi="Times New Roman" w:cs="Times New Roman"/>
          <w:color w:val="000000" w:themeColor="text1"/>
          <w:sz w:val="24"/>
          <w:szCs w:val="24"/>
        </w:rPr>
        <w:t>ș</w:t>
      </w:r>
      <w:r w:rsidR="006D4224" w:rsidRPr="00CD2ADD">
        <w:rPr>
          <w:rFonts w:ascii="Times New Roman" w:hAnsi="Times New Roman" w:cs="Times New Roman"/>
          <w:color w:val="000000" w:themeColor="text1"/>
          <w:sz w:val="24"/>
          <w:szCs w:val="24"/>
        </w:rPr>
        <w:t xml:space="preserve">i </w:t>
      </w:r>
      <w:r w:rsidRPr="00CD2ADD">
        <w:rPr>
          <w:rFonts w:ascii="Times New Roman" w:hAnsi="Times New Roman" w:cs="Times New Roman"/>
          <w:color w:val="000000" w:themeColor="text1"/>
          <w:sz w:val="24"/>
          <w:szCs w:val="24"/>
        </w:rPr>
        <w:t>Rusia</w:t>
      </w:r>
      <w:r w:rsidR="006D4224" w:rsidRPr="00CD2ADD">
        <w:rPr>
          <w:rFonts w:ascii="Times New Roman" w:hAnsi="Times New Roman" w:cs="Times New Roman"/>
          <w:color w:val="000000" w:themeColor="text1"/>
          <w:sz w:val="24"/>
          <w:szCs w:val="24"/>
        </w:rPr>
        <w:t>.</w:t>
      </w:r>
    </w:p>
    <w:p w14:paraId="69859154" w14:textId="77777777" w:rsidR="000209A5" w:rsidRPr="00CD2ADD" w:rsidRDefault="000209A5" w:rsidP="000209A5">
      <w:pPr>
        <w:spacing w:before="120" w:after="120"/>
        <w:jc w:val="right"/>
        <w:rPr>
          <w:b/>
          <w:bCs/>
        </w:rPr>
      </w:pPr>
      <w:bookmarkStart w:id="23" w:name="_Toc197957230"/>
      <w:bookmarkStart w:id="24" w:name="_Toc197960505"/>
      <w:r w:rsidRPr="00CD2ADD">
        <w:rPr>
          <w:b/>
          <w:bCs/>
        </w:rPr>
        <w:t xml:space="preserve">Tabelul 1 </w:t>
      </w:r>
    </w:p>
    <w:p w14:paraId="442545BE" w14:textId="77777777" w:rsidR="000209A5" w:rsidRPr="00CD2ADD" w:rsidRDefault="000209A5" w:rsidP="000209A5">
      <w:pPr>
        <w:spacing w:before="120" w:after="120"/>
        <w:jc w:val="center"/>
        <w:rPr>
          <w:b/>
          <w:bCs/>
        </w:rPr>
      </w:pPr>
      <w:r w:rsidRPr="00CD2ADD">
        <w:rPr>
          <w:b/>
          <w:bCs/>
        </w:rPr>
        <w:t>Sinteza scorurilor INFORM dezagregate, ediția a 2 a Republica Moldova</w:t>
      </w:r>
      <w:bookmarkEnd w:id="23"/>
      <w:bookmarkEnd w:id="24"/>
    </w:p>
    <w:tbl>
      <w:tblPr>
        <w:tblStyle w:val="GridTable1Light-Accent1"/>
        <w:tblpPr w:leftFromText="180" w:rightFromText="180" w:vertAnchor="text" w:horzAnchor="margin" w:tblpXSpec="center" w:tblpY="61"/>
        <w:tblW w:w="0" w:type="auto"/>
        <w:tblLook w:val="04A0" w:firstRow="1" w:lastRow="0" w:firstColumn="1" w:lastColumn="0" w:noHBand="0" w:noVBand="1"/>
      </w:tblPr>
      <w:tblGrid>
        <w:gridCol w:w="3511"/>
        <w:gridCol w:w="1856"/>
        <w:gridCol w:w="1858"/>
        <w:gridCol w:w="2306"/>
      </w:tblGrid>
      <w:tr w:rsidR="000209A5" w:rsidRPr="00CD2ADD" w14:paraId="336FD4D3" w14:textId="77777777" w:rsidTr="002C4956">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511" w:type="dxa"/>
          </w:tcPr>
          <w:p w14:paraId="64F15806" w14:textId="77777777" w:rsidR="000209A5" w:rsidRPr="00CD2ADD" w:rsidRDefault="000209A5" w:rsidP="002C4956">
            <w:pPr>
              <w:rPr>
                <w:sz w:val="22"/>
              </w:rPr>
            </w:pPr>
            <w:r w:rsidRPr="00CD2ADD">
              <w:rPr>
                <w:sz w:val="22"/>
              </w:rPr>
              <w:t>Categorie</w:t>
            </w:r>
          </w:p>
        </w:tc>
        <w:tc>
          <w:tcPr>
            <w:tcW w:w="1856" w:type="dxa"/>
          </w:tcPr>
          <w:p w14:paraId="19CABB65" w14:textId="77777777" w:rsidR="000209A5" w:rsidRPr="00CD2ADD" w:rsidRDefault="000209A5" w:rsidP="002C4956">
            <w:pPr>
              <w:cnfStyle w:val="100000000000" w:firstRow="1" w:lastRow="0" w:firstColumn="0" w:lastColumn="0" w:oddVBand="0" w:evenVBand="0" w:oddHBand="0" w:evenHBand="0" w:firstRowFirstColumn="0" w:firstRowLastColumn="0" w:lastRowFirstColumn="0" w:lastRowLastColumn="0"/>
              <w:rPr>
                <w:sz w:val="22"/>
              </w:rPr>
            </w:pPr>
            <w:r w:rsidRPr="00CD2ADD">
              <w:rPr>
                <w:sz w:val="22"/>
              </w:rPr>
              <w:t>Scor</w:t>
            </w:r>
          </w:p>
        </w:tc>
        <w:tc>
          <w:tcPr>
            <w:tcW w:w="1858" w:type="dxa"/>
          </w:tcPr>
          <w:p w14:paraId="1183C3AC" w14:textId="77777777" w:rsidR="000209A5" w:rsidRPr="00CD2ADD" w:rsidRDefault="000209A5" w:rsidP="002C4956">
            <w:pPr>
              <w:cnfStyle w:val="100000000000" w:firstRow="1" w:lastRow="0" w:firstColumn="0" w:lastColumn="0" w:oddVBand="0" w:evenVBand="0" w:oddHBand="0" w:evenHBand="0" w:firstRowFirstColumn="0" w:firstRowLastColumn="0" w:lastRowFirstColumn="0" w:lastRowLastColumn="0"/>
              <w:rPr>
                <w:sz w:val="22"/>
              </w:rPr>
            </w:pPr>
            <w:r w:rsidRPr="00CD2ADD">
              <w:rPr>
                <w:sz w:val="22"/>
              </w:rPr>
              <w:t>Locul ocupat</w:t>
            </w:r>
          </w:p>
        </w:tc>
        <w:tc>
          <w:tcPr>
            <w:tcW w:w="2306" w:type="dxa"/>
          </w:tcPr>
          <w:p w14:paraId="06F656E2" w14:textId="77777777" w:rsidR="000209A5" w:rsidRPr="00CD2ADD" w:rsidRDefault="000209A5" w:rsidP="002C4956">
            <w:pPr>
              <w:cnfStyle w:val="100000000000" w:firstRow="1" w:lastRow="0" w:firstColumn="0" w:lastColumn="0" w:oddVBand="0" w:evenVBand="0" w:oddHBand="0" w:evenHBand="0" w:firstRowFirstColumn="0" w:firstRowLastColumn="0" w:lastRowFirstColumn="0" w:lastRowLastColumn="0"/>
              <w:rPr>
                <w:sz w:val="22"/>
              </w:rPr>
            </w:pPr>
            <w:r w:rsidRPr="00CD2ADD">
              <w:rPr>
                <w:sz w:val="22"/>
              </w:rPr>
              <w:t>Interpretare</w:t>
            </w:r>
          </w:p>
        </w:tc>
      </w:tr>
      <w:tr w:rsidR="000209A5" w:rsidRPr="00CD2ADD" w14:paraId="0EDE1C79" w14:textId="77777777" w:rsidTr="004B3292">
        <w:trPr>
          <w:trHeight w:val="275"/>
        </w:trPr>
        <w:tc>
          <w:tcPr>
            <w:cnfStyle w:val="001000000000" w:firstRow="0" w:lastRow="0" w:firstColumn="1" w:lastColumn="0" w:oddVBand="0" w:evenVBand="0" w:oddHBand="0" w:evenHBand="0" w:firstRowFirstColumn="0" w:firstRowLastColumn="0" w:lastRowFirstColumn="0" w:lastRowLastColumn="0"/>
            <w:tcW w:w="3511" w:type="dxa"/>
          </w:tcPr>
          <w:p w14:paraId="64446962" w14:textId="77777777" w:rsidR="000209A5" w:rsidRPr="00CD2ADD" w:rsidRDefault="000209A5" w:rsidP="002C4956">
            <w:pPr>
              <w:rPr>
                <w:i/>
                <w:color w:val="FF0000"/>
                <w:sz w:val="22"/>
              </w:rPr>
            </w:pPr>
            <w:r w:rsidRPr="00CD2ADD">
              <w:rPr>
                <w:i/>
                <w:color w:val="FF0000"/>
                <w:sz w:val="22"/>
              </w:rPr>
              <w:t xml:space="preserve">Risc general </w:t>
            </w:r>
          </w:p>
        </w:tc>
        <w:tc>
          <w:tcPr>
            <w:tcW w:w="1856" w:type="dxa"/>
          </w:tcPr>
          <w:p w14:paraId="2F8BC06D" w14:textId="77777777" w:rsidR="000209A5" w:rsidRPr="00CD2ADD" w:rsidRDefault="000209A5" w:rsidP="002C4956">
            <w:pPr>
              <w:cnfStyle w:val="000000000000" w:firstRow="0" w:lastRow="0" w:firstColumn="0" w:lastColumn="0" w:oddVBand="0" w:evenVBand="0" w:oddHBand="0" w:evenHBand="0" w:firstRowFirstColumn="0" w:firstRowLastColumn="0" w:lastRowFirstColumn="0" w:lastRowLastColumn="0"/>
              <w:rPr>
                <w:b/>
                <w:i/>
                <w:color w:val="FF0000"/>
                <w:sz w:val="22"/>
              </w:rPr>
            </w:pPr>
            <w:r w:rsidRPr="00CD2ADD">
              <w:rPr>
                <w:b/>
                <w:i/>
                <w:color w:val="FF0000"/>
                <w:sz w:val="22"/>
              </w:rPr>
              <w:t>3.6</w:t>
            </w:r>
          </w:p>
        </w:tc>
        <w:tc>
          <w:tcPr>
            <w:tcW w:w="1858" w:type="dxa"/>
          </w:tcPr>
          <w:p w14:paraId="1F61D7B0" w14:textId="77777777" w:rsidR="000209A5" w:rsidRPr="00CD2ADD" w:rsidRDefault="000209A5" w:rsidP="002C4956">
            <w:pPr>
              <w:cnfStyle w:val="000000000000" w:firstRow="0" w:lastRow="0" w:firstColumn="0" w:lastColumn="0" w:oddVBand="0" w:evenVBand="0" w:oddHBand="0" w:evenHBand="0" w:firstRowFirstColumn="0" w:firstRowLastColumn="0" w:lastRowFirstColumn="0" w:lastRowLastColumn="0"/>
              <w:rPr>
                <w:b/>
                <w:i/>
                <w:color w:val="FF0000"/>
                <w:sz w:val="22"/>
              </w:rPr>
            </w:pPr>
            <w:r w:rsidRPr="00CD2ADD">
              <w:rPr>
                <w:b/>
                <w:i/>
                <w:color w:val="FF0000"/>
                <w:sz w:val="22"/>
              </w:rPr>
              <w:t xml:space="preserve">Locul 90 din 191 </w:t>
            </w:r>
          </w:p>
        </w:tc>
        <w:tc>
          <w:tcPr>
            <w:tcW w:w="2306" w:type="dxa"/>
          </w:tcPr>
          <w:p w14:paraId="079C365C" w14:textId="77777777" w:rsidR="000209A5" w:rsidRPr="00CD2ADD" w:rsidRDefault="000209A5" w:rsidP="002C4956">
            <w:pPr>
              <w:cnfStyle w:val="000000000000" w:firstRow="0" w:lastRow="0" w:firstColumn="0" w:lastColumn="0" w:oddVBand="0" w:evenVBand="0" w:oddHBand="0" w:evenHBand="0" w:firstRowFirstColumn="0" w:firstRowLastColumn="0" w:lastRowFirstColumn="0" w:lastRowLastColumn="0"/>
              <w:rPr>
                <w:b/>
                <w:i/>
                <w:color w:val="FF0000"/>
                <w:sz w:val="22"/>
              </w:rPr>
            </w:pPr>
            <w:r w:rsidRPr="00CD2ADD">
              <w:rPr>
                <w:b/>
                <w:i/>
                <w:color w:val="FF0000"/>
                <w:sz w:val="22"/>
              </w:rPr>
              <w:t xml:space="preserve">Risc scăzut </w:t>
            </w:r>
          </w:p>
        </w:tc>
      </w:tr>
      <w:tr w:rsidR="000209A5" w:rsidRPr="00CD2ADD" w14:paraId="7628EC5A" w14:textId="77777777" w:rsidTr="002C4956">
        <w:trPr>
          <w:trHeight w:val="223"/>
        </w:trPr>
        <w:tc>
          <w:tcPr>
            <w:cnfStyle w:val="001000000000" w:firstRow="0" w:lastRow="0" w:firstColumn="1" w:lastColumn="0" w:oddVBand="0" w:evenVBand="0" w:oddHBand="0" w:evenHBand="0" w:firstRowFirstColumn="0" w:firstRowLastColumn="0" w:lastRowFirstColumn="0" w:lastRowLastColumn="0"/>
            <w:tcW w:w="3511" w:type="dxa"/>
          </w:tcPr>
          <w:p w14:paraId="79F71882" w14:textId="77777777" w:rsidR="000209A5" w:rsidRPr="00CD2ADD" w:rsidRDefault="000209A5" w:rsidP="002C4956">
            <w:pPr>
              <w:rPr>
                <w:sz w:val="22"/>
              </w:rPr>
            </w:pPr>
            <w:r w:rsidRPr="00CD2ADD">
              <w:rPr>
                <w:sz w:val="22"/>
              </w:rPr>
              <w:t>Hazard &amp; expunere</w:t>
            </w:r>
          </w:p>
        </w:tc>
        <w:tc>
          <w:tcPr>
            <w:tcW w:w="1856" w:type="dxa"/>
          </w:tcPr>
          <w:p w14:paraId="1774292B" w14:textId="77777777" w:rsidR="000209A5" w:rsidRPr="00CD2ADD" w:rsidRDefault="000209A5" w:rsidP="002C4956">
            <w:pPr>
              <w:cnfStyle w:val="000000000000" w:firstRow="0" w:lastRow="0" w:firstColumn="0" w:lastColumn="0" w:oddVBand="0" w:evenVBand="0" w:oddHBand="0" w:evenHBand="0" w:firstRowFirstColumn="0" w:firstRowLastColumn="0" w:lastRowFirstColumn="0" w:lastRowLastColumn="0"/>
              <w:rPr>
                <w:b/>
                <w:sz w:val="22"/>
              </w:rPr>
            </w:pPr>
            <w:r w:rsidRPr="00CD2ADD">
              <w:rPr>
                <w:b/>
                <w:sz w:val="22"/>
              </w:rPr>
              <w:t>3</w:t>
            </w:r>
          </w:p>
        </w:tc>
        <w:tc>
          <w:tcPr>
            <w:tcW w:w="1858" w:type="dxa"/>
            <w:vMerge w:val="restart"/>
          </w:tcPr>
          <w:p w14:paraId="5E5C0680" w14:textId="77777777" w:rsidR="000209A5" w:rsidRPr="00CD2ADD" w:rsidRDefault="000209A5" w:rsidP="002C4956">
            <w:pPr>
              <w:cnfStyle w:val="000000000000" w:firstRow="0" w:lastRow="0" w:firstColumn="0" w:lastColumn="0" w:oddVBand="0" w:evenVBand="0" w:oddHBand="0" w:evenHBand="0" w:firstRowFirstColumn="0" w:firstRowLastColumn="0" w:lastRowFirstColumn="0" w:lastRowLastColumn="0"/>
              <w:rPr>
                <w:sz w:val="22"/>
              </w:rPr>
            </w:pPr>
            <w:r w:rsidRPr="00CD2ADD">
              <w:rPr>
                <w:sz w:val="22"/>
              </w:rPr>
              <w:t>Locul 88 din 191 la nivel global</w:t>
            </w:r>
          </w:p>
          <w:p w14:paraId="0B7238F7" w14:textId="77777777" w:rsidR="000209A5" w:rsidRPr="00CD2ADD" w:rsidRDefault="000209A5" w:rsidP="002C4956">
            <w:pPr>
              <w:cnfStyle w:val="000000000000" w:firstRow="0" w:lastRow="0" w:firstColumn="0" w:lastColumn="0" w:oddVBand="0" w:evenVBand="0" w:oddHBand="0" w:evenHBand="0" w:firstRowFirstColumn="0" w:firstRowLastColumn="0" w:lastRowFirstColumn="0" w:lastRowLastColumn="0"/>
              <w:rPr>
                <w:sz w:val="22"/>
              </w:rPr>
            </w:pPr>
            <w:r w:rsidRPr="00CD2ADD">
              <w:rPr>
                <w:sz w:val="22"/>
              </w:rPr>
              <w:t>Locul 3 in Europa</w:t>
            </w:r>
          </w:p>
        </w:tc>
        <w:tc>
          <w:tcPr>
            <w:tcW w:w="2306" w:type="dxa"/>
          </w:tcPr>
          <w:p w14:paraId="380014C0" w14:textId="77777777" w:rsidR="000209A5" w:rsidRPr="00CD2ADD" w:rsidRDefault="000209A5" w:rsidP="002C4956">
            <w:pPr>
              <w:cnfStyle w:val="000000000000" w:firstRow="0" w:lastRow="0" w:firstColumn="0" w:lastColumn="0" w:oddVBand="0" w:evenVBand="0" w:oddHBand="0" w:evenHBand="0" w:firstRowFirstColumn="0" w:firstRowLastColumn="0" w:lastRowFirstColumn="0" w:lastRowLastColumn="0"/>
              <w:rPr>
                <w:sz w:val="22"/>
              </w:rPr>
            </w:pPr>
            <w:r w:rsidRPr="00CD2ADD">
              <w:rPr>
                <w:sz w:val="22"/>
              </w:rPr>
              <w:t>Risc scăzut</w:t>
            </w:r>
          </w:p>
        </w:tc>
      </w:tr>
      <w:tr w:rsidR="000209A5" w:rsidRPr="00CD2ADD" w14:paraId="6A0A2FCB" w14:textId="77777777" w:rsidTr="004B3292">
        <w:trPr>
          <w:trHeight w:val="276"/>
        </w:trPr>
        <w:tc>
          <w:tcPr>
            <w:cnfStyle w:val="001000000000" w:firstRow="0" w:lastRow="0" w:firstColumn="1" w:lastColumn="0" w:oddVBand="0" w:evenVBand="0" w:oddHBand="0" w:evenHBand="0" w:firstRowFirstColumn="0" w:firstRowLastColumn="0" w:lastRowFirstColumn="0" w:lastRowLastColumn="0"/>
            <w:tcW w:w="3511" w:type="dxa"/>
          </w:tcPr>
          <w:p w14:paraId="1B003A66" w14:textId="77777777" w:rsidR="000209A5" w:rsidRPr="00CD2ADD" w:rsidRDefault="000209A5" w:rsidP="002C4956">
            <w:pPr>
              <w:pStyle w:val="ListParagraph"/>
              <w:numPr>
                <w:ilvl w:val="0"/>
                <w:numId w:val="9"/>
              </w:numPr>
              <w:spacing w:after="0"/>
              <w:rPr>
                <w:rFonts w:ascii="Times New Roman" w:hAnsi="Times New Roman" w:cs="Times New Roman"/>
                <w:b w:val="0"/>
                <w:bCs w:val="0"/>
                <w:sz w:val="22"/>
              </w:rPr>
            </w:pPr>
            <w:r w:rsidRPr="00CD2ADD">
              <w:rPr>
                <w:rFonts w:ascii="Times New Roman" w:hAnsi="Times New Roman" w:cs="Times New Roman"/>
                <w:b w:val="0"/>
                <w:bCs w:val="0"/>
                <w:sz w:val="22"/>
              </w:rPr>
              <w:t>Hazarde naturale</w:t>
            </w:r>
          </w:p>
        </w:tc>
        <w:tc>
          <w:tcPr>
            <w:tcW w:w="1856" w:type="dxa"/>
          </w:tcPr>
          <w:p w14:paraId="72CD1EB6" w14:textId="77777777" w:rsidR="000209A5" w:rsidRPr="00CD2ADD" w:rsidRDefault="000209A5" w:rsidP="002C4956">
            <w:pPr>
              <w:pStyle w:val="ListParagraph"/>
              <w:numPr>
                <w:ilvl w:val="0"/>
                <w:numId w:val="10"/>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D2ADD">
              <w:rPr>
                <w:rFonts w:ascii="Times New Roman" w:hAnsi="Times New Roman" w:cs="Times New Roman"/>
                <w:sz w:val="22"/>
              </w:rPr>
              <w:t>3.4</w:t>
            </w:r>
          </w:p>
        </w:tc>
        <w:tc>
          <w:tcPr>
            <w:tcW w:w="1858" w:type="dxa"/>
            <w:vMerge/>
          </w:tcPr>
          <w:p w14:paraId="42202D25" w14:textId="77777777" w:rsidR="000209A5" w:rsidRPr="00CD2ADD" w:rsidRDefault="000209A5" w:rsidP="002C4956">
            <w:pPr>
              <w:cnfStyle w:val="000000000000" w:firstRow="0" w:lastRow="0" w:firstColumn="0" w:lastColumn="0" w:oddVBand="0" w:evenVBand="0" w:oddHBand="0" w:evenHBand="0" w:firstRowFirstColumn="0" w:firstRowLastColumn="0" w:lastRowFirstColumn="0" w:lastRowLastColumn="0"/>
              <w:rPr>
                <w:sz w:val="22"/>
              </w:rPr>
            </w:pPr>
          </w:p>
        </w:tc>
        <w:tc>
          <w:tcPr>
            <w:tcW w:w="2306" w:type="dxa"/>
          </w:tcPr>
          <w:p w14:paraId="6770B630" w14:textId="77777777" w:rsidR="000209A5" w:rsidRPr="00CD2ADD" w:rsidRDefault="000209A5" w:rsidP="002C4956">
            <w:pPr>
              <w:pStyle w:val="ListParagraph"/>
              <w:numPr>
                <w:ilvl w:val="0"/>
                <w:numId w:val="11"/>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D2ADD">
              <w:rPr>
                <w:rFonts w:ascii="Times New Roman" w:hAnsi="Times New Roman" w:cs="Times New Roman"/>
                <w:sz w:val="22"/>
              </w:rPr>
              <w:t xml:space="preserve">Moderat </w:t>
            </w:r>
          </w:p>
        </w:tc>
      </w:tr>
      <w:tr w:rsidR="000209A5" w:rsidRPr="00CD2ADD" w14:paraId="2F170C99" w14:textId="77777777" w:rsidTr="004B3292">
        <w:trPr>
          <w:trHeight w:val="127"/>
        </w:trPr>
        <w:tc>
          <w:tcPr>
            <w:cnfStyle w:val="001000000000" w:firstRow="0" w:lastRow="0" w:firstColumn="1" w:lastColumn="0" w:oddVBand="0" w:evenVBand="0" w:oddHBand="0" w:evenHBand="0" w:firstRowFirstColumn="0" w:firstRowLastColumn="0" w:lastRowFirstColumn="0" w:lastRowLastColumn="0"/>
            <w:tcW w:w="3511" w:type="dxa"/>
          </w:tcPr>
          <w:p w14:paraId="23D86F37" w14:textId="77777777" w:rsidR="000209A5" w:rsidRPr="00CD2ADD" w:rsidRDefault="000209A5" w:rsidP="002C4956">
            <w:pPr>
              <w:pStyle w:val="ListParagraph"/>
              <w:numPr>
                <w:ilvl w:val="0"/>
                <w:numId w:val="9"/>
              </w:numPr>
              <w:spacing w:after="0"/>
              <w:rPr>
                <w:rFonts w:ascii="Times New Roman" w:hAnsi="Times New Roman" w:cs="Times New Roman"/>
                <w:b w:val="0"/>
                <w:bCs w:val="0"/>
                <w:sz w:val="22"/>
              </w:rPr>
            </w:pPr>
            <w:r w:rsidRPr="00CD2ADD">
              <w:rPr>
                <w:rFonts w:ascii="Times New Roman" w:hAnsi="Times New Roman" w:cs="Times New Roman"/>
                <w:b w:val="0"/>
                <w:bCs w:val="0"/>
                <w:sz w:val="22"/>
              </w:rPr>
              <w:t>Hazarde antropice</w:t>
            </w:r>
          </w:p>
        </w:tc>
        <w:tc>
          <w:tcPr>
            <w:tcW w:w="1856" w:type="dxa"/>
          </w:tcPr>
          <w:p w14:paraId="412F5D1C" w14:textId="77777777" w:rsidR="000209A5" w:rsidRPr="00CD2ADD" w:rsidRDefault="000209A5" w:rsidP="002C4956">
            <w:pPr>
              <w:pStyle w:val="ListParagraph"/>
              <w:numPr>
                <w:ilvl w:val="0"/>
                <w:numId w:val="10"/>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D2ADD">
              <w:rPr>
                <w:rFonts w:ascii="Times New Roman" w:hAnsi="Times New Roman" w:cs="Times New Roman"/>
                <w:sz w:val="22"/>
              </w:rPr>
              <w:t>2.5</w:t>
            </w:r>
          </w:p>
        </w:tc>
        <w:tc>
          <w:tcPr>
            <w:tcW w:w="1858" w:type="dxa"/>
            <w:vMerge/>
          </w:tcPr>
          <w:p w14:paraId="5113C3A0" w14:textId="77777777" w:rsidR="000209A5" w:rsidRPr="00CD2ADD" w:rsidRDefault="000209A5" w:rsidP="002C4956">
            <w:pPr>
              <w:cnfStyle w:val="000000000000" w:firstRow="0" w:lastRow="0" w:firstColumn="0" w:lastColumn="0" w:oddVBand="0" w:evenVBand="0" w:oddHBand="0" w:evenHBand="0" w:firstRowFirstColumn="0" w:firstRowLastColumn="0" w:lastRowFirstColumn="0" w:lastRowLastColumn="0"/>
              <w:rPr>
                <w:sz w:val="22"/>
              </w:rPr>
            </w:pPr>
          </w:p>
        </w:tc>
        <w:tc>
          <w:tcPr>
            <w:tcW w:w="2306" w:type="dxa"/>
          </w:tcPr>
          <w:p w14:paraId="7E44C3C3" w14:textId="77777777" w:rsidR="000209A5" w:rsidRPr="00CD2ADD" w:rsidRDefault="000209A5" w:rsidP="002C4956">
            <w:pPr>
              <w:pStyle w:val="ListParagraph"/>
              <w:numPr>
                <w:ilvl w:val="0"/>
                <w:numId w:val="11"/>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D2ADD">
              <w:rPr>
                <w:rFonts w:ascii="Times New Roman" w:hAnsi="Times New Roman" w:cs="Times New Roman"/>
                <w:sz w:val="22"/>
              </w:rPr>
              <w:t>Scăzut</w:t>
            </w:r>
          </w:p>
        </w:tc>
      </w:tr>
      <w:tr w:rsidR="000209A5" w:rsidRPr="00CD2ADD" w14:paraId="467F451F" w14:textId="77777777" w:rsidTr="004B3292">
        <w:trPr>
          <w:trHeight w:val="194"/>
        </w:trPr>
        <w:tc>
          <w:tcPr>
            <w:cnfStyle w:val="001000000000" w:firstRow="0" w:lastRow="0" w:firstColumn="1" w:lastColumn="0" w:oddVBand="0" w:evenVBand="0" w:oddHBand="0" w:evenHBand="0" w:firstRowFirstColumn="0" w:firstRowLastColumn="0" w:lastRowFirstColumn="0" w:lastRowLastColumn="0"/>
            <w:tcW w:w="3511" w:type="dxa"/>
          </w:tcPr>
          <w:p w14:paraId="224B0DB2" w14:textId="77777777" w:rsidR="000209A5" w:rsidRPr="00CD2ADD" w:rsidRDefault="000209A5" w:rsidP="002C4956">
            <w:pPr>
              <w:rPr>
                <w:sz w:val="22"/>
              </w:rPr>
            </w:pPr>
            <w:r w:rsidRPr="00CD2ADD">
              <w:rPr>
                <w:sz w:val="22"/>
              </w:rPr>
              <w:t>Vulnerabilitate</w:t>
            </w:r>
          </w:p>
        </w:tc>
        <w:tc>
          <w:tcPr>
            <w:tcW w:w="1856" w:type="dxa"/>
          </w:tcPr>
          <w:p w14:paraId="34591D69" w14:textId="77777777" w:rsidR="000209A5" w:rsidRPr="00CD2ADD" w:rsidRDefault="000209A5" w:rsidP="002C4956">
            <w:pPr>
              <w:cnfStyle w:val="000000000000" w:firstRow="0" w:lastRow="0" w:firstColumn="0" w:lastColumn="0" w:oddVBand="0" w:evenVBand="0" w:oddHBand="0" w:evenHBand="0" w:firstRowFirstColumn="0" w:firstRowLastColumn="0" w:lastRowFirstColumn="0" w:lastRowLastColumn="0"/>
              <w:rPr>
                <w:b/>
                <w:sz w:val="22"/>
              </w:rPr>
            </w:pPr>
            <w:r w:rsidRPr="00CD2ADD">
              <w:rPr>
                <w:b/>
                <w:sz w:val="22"/>
              </w:rPr>
              <w:t>4.1</w:t>
            </w:r>
          </w:p>
        </w:tc>
        <w:tc>
          <w:tcPr>
            <w:tcW w:w="1858" w:type="dxa"/>
            <w:vMerge w:val="restart"/>
          </w:tcPr>
          <w:p w14:paraId="59CA2461" w14:textId="77777777" w:rsidR="000209A5" w:rsidRPr="00CD2ADD" w:rsidRDefault="000209A5" w:rsidP="002C4956">
            <w:pPr>
              <w:cnfStyle w:val="000000000000" w:firstRow="0" w:lastRow="0" w:firstColumn="0" w:lastColumn="0" w:oddVBand="0" w:evenVBand="0" w:oddHBand="0" w:evenHBand="0" w:firstRowFirstColumn="0" w:firstRowLastColumn="0" w:lastRowFirstColumn="0" w:lastRowLastColumn="0"/>
              <w:rPr>
                <w:sz w:val="22"/>
              </w:rPr>
            </w:pPr>
            <w:r w:rsidRPr="00CD2ADD">
              <w:rPr>
                <w:sz w:val="22"/>
              </w:rPr>
              <w:t>Locul 83 din 191 la nivel global</w:t>
            </w:r>
          </w:p>
          <w:p w14:paraId="3AE271E8" w14:textId="77777777" w:rsidR="000209A5" w:rsidRPr="00CD2ADD" w:rsidRDefault="000209A5" w:rsidP="002C4956">
            <w:pPr>
              <w:cnfStyle w:val="000000000000" w:firstRow="0" w:lastRow="0" w:firstColumn="0" w:lastColumn="0" w:oddVBand="0" w:evenVBand="0" w:oddHBand="0" w:evenHBand="0" w:firstRowFirstColumn="0" w:firstRowLastColumn="0" w:lastRowFirstColumn="0" w:lastRowLastColumn="0"/>
              <w:rPr>
                <w:sz w:val="22"/>
              </w:rPr>
            </w:pPr>
            <w:r w:rsidRPr="00CD2ADD">
              <w:rPr>
                <w:sz w:val="22"/>
              </w:rPr>
              <w:t>Locul 2 in Europa</w:t>
            </w:r>
          </w:p>
        </w:tc>
        <w:tc>
          <w:tcPr>
            <w:tcW w:w="2306" w:type="dxa"/>
          </w:tcPr>
          <w:p w14:paraId="1C38B4DD" w14:textId="77777777" w:rsidR="000209A5" w:rsidRPr="00CD2ADD" w:rsidRDefault="000209A5" w:rsidP="002C4956">
            <w:pPr>
              <w:cnfStyle w:val="000000000000" w:firstRow="0" w:lastRow="0" w:firstColumn="0" w:lastColumn="0" w:oddVBand="0" w:evenVBand="0" w:oddHBand="0" w:evenHBand="0" w:firstRowFirstColumn="0" w:firstRowLastColumn="0" w:lastRowFirstColumn="0" w:lastRowLastColumn="0"/>
              <w:rPr>
                <w:sz w:val="22"/>
              </w:rPr>
            </w:pPr>
            <w:r w:rsidRPr="00CD2ADD">
              <w:rPr>
                <w:sz w:val="22"/>
              </w:rPr>
              <w:t>Moderată</w:t>
            </w:r>
          </w:p>
        </w:tc>
      </w:tr>
      <w:tr w:rsidR="000209A5" w:rsidRPr="00CD2ADD" w14:paraId="1409825B" w14:textId="77777777" w:rsidTr="004B3292">
        <w:trPr>
          <w:trHeight w:val="303"/>
        </w:trPr>
        <w:tc>
          <w:tcPr>
            <w:cnfStyle w:val="001000000000" w:firstRow="0" w:lastRow="0" w:firstColumn="1" w:lastColumn="0" w:oddVBand="0" w:evenVBand="0" w:oddHBand="0" w:evenHBand="0" w:firstRowFirstColumn="0" w:firstRowLastColumn="0" w:lastRowFirstColumn="0" w:lastRowLastColumn="0"/>
            <w:tcW w:w="3511" w:type="dxa"/>
          </w:tcPr>
          <w:p w14:paraId="1B8B9101" w14:textId="77777777" w:rsidR="000209A5" w:rsidRPr="00CD2ADD" w:rsidRDefault="000209A5" w:rsidP="002C4956">
            <w:pPr>
              <w:pStyle w:val="ListParagraph"/>
              <w:numPr>
                <w:ilvl w:val="0"/>
                <w:numId w:val="9"/>
              </w:numPr>
              <w:spacing w:after="0"/>
              <w:rPr>
                <w:rFonts w:ascii="Times New Roman" w:hAnsi="Times New Roman" w:cs="Times New Roman"/>
                <w:b w:val="0"/>
                <w:bCs w:val="0"/>
                <w:i/>
                <w:iCs/>
                <w:sz w:val="22"/>
              </w:rPr>
            </w:pPr>
            <w:r w:rsidRPr="00CD2ADD">
              <w:rPr>
                <w:rStyle w:val="Emphasis"/>
                <w:rFonts w:ascii="Times New Roman" w:eastAsiaTheme="majorEastAsia" w:hAnsi="Times New Roman" w:cs="Times New Roman"/>
                <w:bCs w:val="0"/>
                <w:i w:val="0"/>
                <w:iCs w:val="0"/>
                <w:sz w:val="22"/>
              </w:rPr>
              <w:t>Vulnerabilitate socio-economică</w:t>
            </w:r>
          </w:p>
        </w:tc>
        <w:tc>
          <w:tcPr>
            <w:tcW w:w="1856" w:type="dxa"/>
          </w:tcPr>
          <w:p w14:paraId="54468590" w14:textId="77777777" w:rsidR="000209A5" w:rsidRPr="00CD2ADD" w:rsidRDefault="000209A5" w:rsidP="002C4956">
            <w:pPr>
              <w:pStyle w:val="ListParagraph"/>
              <w:numPr>
                <w:ilvl w:val="0"/>
                <w:numId w:val="10"/>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D2ADD">
              <w:rPr>
                <w:rFonts w:ascii="Times New Roman" w:hAnsi="Times New Roman" w:cs="Times New Roman"/>
                <w:sz w:val="22"/>
              </w:rPr>
              <w:t>3</w:t>
            </w:r>
          </w:p>
        </w:tc>
        <w:tc>
          <w:tcPr>
            <w:tcW w:w="1858" w:type="dxa"/>
            <w:vMerge/>
          </w:tcPr>
          <w:p w14:paraId="307ED9FA" w14:textId="77777777" w:rsidR="000209A5" w:rsidRPr="00CD2ADD" w:rsidRDefault="000209A5" w:rsidP="002C4956">
            <w:pPr>
              <w:cnfStyle w:val="000000000000" w:firstRow="0" w:lastRow="0" w:firstColumn="0" w:lastColumn="0" w:oddVBand="0" w:evenVBand="0" w:oddHBand="0" w:evenHBand="0" w:firstRowFirstColumn="0" w:firstRowLastColumn="0" w:lastRowFirstColumn="0" w:lastRowLastColumn="0"/>
              <w:rPr>
                <w:sz w:val="22"/>
              </w:rPr>
            </w:pPr>
          </w:p>
        </w:tc>
        <w:tc>
          <w:tcPr>
            <w:tcW w:w="2306" w:type="dxa"/>
          </w:tcPr>
          <w:p w14:paraId="0D7D1E8B" w14:textId="77777777" w:rsidR="000209A5" w:rsidRPr="00CD2ADD" w:rsidRDefault="000209A5" w:rsidP="002C4956">
            <w:pPr>
              <w:pStyle w:val="ListParagraph"/>
              <w:numPr>
                <w:ilvl w:val="0"/>
                <w:numId w:val="11"/>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D2ADD">
              <w:rPr>
                <w:rFonts w:ascii="Times New Roman" w:hAnsi="Times New Roman" w:cs="Times New Roman"/>
                <w:sz w:val="22"/>
              </w:rPr>
              <w:t>Moderată</w:t>
            </w:r>
          </w:p>
        </w:tc>
      </w:tr>
      <w:tr w:rsidR="000209A5" w:rsidRPr="00CD2ADD" w14:paraId="3BBEB714" w14:textId="77777777" w:rsidTr="002C4956">
        <w:trPr>
          <w:trHeight w:val="321"/>
        </w:trPr>
        <w:tc>
          <w:tcPr>
            <w:cnfStyle w:val="001000000000" w:firstRow="0" w:lastRow="0" w:firstColumn="1" w:lastColumn="0" w:oddVBand="0" w:evenVBand="0" w:oddHBand="0" w:evenHBand="0" w:firstRowFirstColumn="0" w:firstRowLastColumn="0" w:lastRowFirstColumn="0" w:lastRowLastColumn="0"/>
            <w:tcW w:w="3511" w:type="dxa"/>
          </w:tcPr>
          <w:p w14:paraId="4BDA97F4" w14:textId="77777777" w:rsidR="000209A5" w:rsidRPr="00CD2ADD" w:rsidRDefault="000209A5" w:rsidP="002C4956">
            <w:pPr>
              <w:pStyle w:val="ListParagraph"/>
              <w:numPr>
                <w:ilvl w:val="0"/>
                <w:numId w:val="9"/>
              </w:numPr>
              <w:spacing w:after="0"/>
              <w:rPr>
                <w:rFonts w:ascii="Times New Roman" w:hAnsi="Times New Roman" w:cs="Times New Roman"/>
                <w:b w:val="0"/>
                <w:bCs w:val="0"/>
                <w:i/>
                <w:iCs/>
                <w:sz w:val="22"/>
              </w:rPr>
            </w:pPr>
            <w:r w:rsidRPr="00CD2ADD">
              <w:rPr>
                <w:rStyle w:val="Emphasis"/>
                <w:rFonts w:ascii="Times New Roman" w:eastAsiaTheme="majorEastAsia" w:hAnsi="Times New Roman" w:cs="Times New Roman"/>
                <w:bCs w:val="0"/>
                <w:i w:val="0"/>
                <w:iCs w:val="0"/>
                <w:sz w:val="22"/>
              </w:rPr>
              <w:t>Grupuri vulnerabile</w:t>
            </w:r>
          </w:p>
        </w:tc>
        <w:tc>
          <w:tcPr>
            <w:tcW w:w="1856" w:type="dxa"/>
          </w:tcPr>
          <w:p w14:paraId="1C043CA4" w14:textId="77777777" w:rsidR="000209A5" w:rsidRPr="00CD2ADD" w:rsidRDefault="000209A5" w:rsidP="002C4956">
            <w:pPr>
              <w:pStyle w:val="ListParagraph"/>
              <w:numPr>
                <w:ilvl w:val="0"/>
                <w:numId w:val="10"/>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D2ADD">
              <w:rPr>
                <w:rFonts w:ascii="Times New Roman" w:hAnsi="Times New Roman" w:cs="Times New Roman"/>
                <w:sz w:val="22"/>
              </w:rPr>
              <w:t>5</w:t>
            </w:r>
          </w:p>
        </w:tc>
        <w:tc>
          <w:tcPr>
            <w:tcW w:w="1858" w:type="dxa"/>
            <w:vMerge/>
          </w:tcPr>
          <w:p w14:paraId="6997209D" w14:textId="77777777" w:rsidR="000209A5" w:rsidRPr="00CD2ADD" w:rsidRDefault="000209A5" w:rsidP="002C4956">
            <w:pPr>
              <w:cnfStyle w:val="000000000000" w:firstRow="0" w:lastRow="0" w:firstColumn="0" w:lastColumn="0" w:oddVBand="0" w:evenVBand="0" w:oddHBand="0" w:evenHBand="0" w:firstRowFirstColumn="0" w:firstRowLastColumn="0" w:lastRowFirstColumn="0" w:lastRowLastColumn="0"/>
              <w:rPr>
                <w:sz w:val="22"/>
              </w:rPr>
            </w:pPr>
          </w:p>
        </w:tc>
        <w:tc>
          <w:tcPr>
            <w:tcW w:w="2306" w:type="dxa"/>
          </w:tcPr>
          <w:p w14:paraId="65CB1A59" w14:textId="77777777" w:rsidR="000209A5" w:rsidRPr="00CD2ADD" w:rsidRDefault="000209A5" w:rsidP="002C4956">
            <w:pPr>
              <w:pStyle w:val="ListParagraph"/>
              <w:numPr>
                <w:ilvl w:val="0"/>
                <w:numId w:val="11"/>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D2ADD">
              <w:rPr>
                <w:rFonts w:ascii="Times New Roman" w:hAnsi="Times New Roman" w:cs="Times New Roman"/>
                <w:sz w:val="22"/>
              </w:rPr>
              <w:t>Ridicată</w:t>
            </w:r>
          </w:p>
        </w:tc>
      </w:tr>
      <w:tr w:rsidR="000209A5" w:rsidRPr="00CD2ADD" w14:paraId="59AE09A2" w14:textId="77777777" w:rsidTr="002C4956">
        <w:trPr>
          <w:trHeight w:val="223"/>
        </w:trPr>
        <w:tc>
          <w:tcPr>
            <w:cnfStyle w:val="001000000000" w:firstRow="0" w:lastRow="0" w:firstColumn="1" w:lastColumn="0" w:oddVBand="0" w:evenVBand="0" w:oddHBand="0" w:evenHBand="0" w:firstRowFirstColumn="0" w:firstRowLastColumn="0" w:lastRowFirstColumn="0" w:lastRowLastColumn="0"/>
            <w:tcW w:w="3511" w:type="dxa"/>
          </w:tcPr>
          <w:p w14:paraId="1E823F94" w14:textId="77777777" w:rsidR="000209A5" w:rsidRPr="00CD2ADD" w:rsidRDefault="000209A5" w:rsidP="004B3292">
            <w:pPr>
              <w:rPr>
                <w:sz w:val="22"/>
              </w:rPr>
            </w:pPr>
            <w:r w:rsidRPr="00CD2ADD">
              <w:rPr>
                <w:sz w:val="22"/>
              </w:rPr>
              <w:t>Lipsa capacității de răspuns</w:t>
            </w:r>
          </w:p>
        </w:tc>
        <w:tc>
          <w:tcPr>
            <w:tcW w:w="1856" w:type="dxa"/>
          </w:tcPr>
          <w:p w14:paraId="05CDC4EB" w14:textId="77777777" w:rsidR="000209A5" w:rsidRPr="00CD2ADD" w:rsidRDefault="000209A5" w:rsidP="002C4956">
            <w:pPr>
              <w:cnfStyle w:val="000000000000" w:firstRow="0" w:lastRow="0" w:firstColumn="0" w:lastColumn="0" w:oddVBand="0" w:evenVBand="0" w:oddHBand="0" w:evenHBand="0" w:firstRowFirstColumn="0" w:firstRowLastColumn="0" w:lastRowFirstColumn="0" w:lastRowLastColumn="0"/>
              <w:rPr>
                <w:b/>
                <w:sz w:val="22"/>
              </w:rPr>
            </w:pPr>
            <w:r w:rsidRPr="00CD2ADD">
              <w:rPr>
                <w:b/>
                <w:sz w:val="22"/>
              </w:rPr>
              <w:t>3.9</w:t>
            </w:r>
          </w:p>
        </w:tc>
        <w:tc>
          <w:tcPr>
            <w:tcW w:w="1858" w:type="dxa"/>
            <w:vMerge w:val="restart"/>
          </w:tcPr>
          <w:p w14:paraId="42082F08" w14:textId="77777777" w:rsidR="000209A5" w:rsidRPr="00CD2ADD" w:rsidRDefault="000209A5" w:rsidP="002C4956">
            <w:pPr>
              <w:cnfStyle w:val="000000000000" w:firstRow="0" w:lastRow="0" w:firstColumn="0" w:lastColumn="0" w:oddVBand="0" w:evenVBand="0" w:oddHBand="0" w:evenHBand="0" w:firstRowFirstColumn="0" w:firstRowLastColumn="0" w:lastRowFirstColumn="0" w:lastRowLastColumn="0"/>
              <w:rPr>
                <w:sz w:val="22"/>
              </w:rPr>
            </w:pPr>
            <w:r w:rsidRPr="00CD2ADD">
              <w:rPr>
                <w:sz w:val="22"/>
              </w:rPr>
              <w:t>Locul 107 din 191 la nivel global</w:t>
            </w:r>
          </w:p>
          <w:p w14:paraId="4F012092" w14:textId="77777777" w:rsidR="000209A5" w:rsidRPr="00CD2ADD" w:rsidRDefault="000209A5" w:rsidP="002C4956">
            <w:pPr>
              <w:cnfStyle w:val="000000000000" w:firstRow="0" w:lastRow="0" w:firstColumn="0" w:lastColumn="0" w:oddVBand="0" w:evenVBand="0" w:oddHBand="0" w:evenHBand="0" w:firstRowFirstColumn="0" w:firstRowLastColumn="0" w:lastRowFirstColumn="0" w:lastRowLastColumn="0"/>
              <w:rPr>
                <w:sz w:val="22"/>
              </w:rPr>
            </w:pPr>
            <w:r w:rsidRPr="00CD2ADD">
              <w:rPr>
                <w:sz w:val="22"/>
              </w:rPr>
              <w:t>Locul 4 in Europa</w:t>
            </w:r>
          </w:p>
        </w:tc>
        <w:tc>
          <w:tcPr>
            <w:tcW w:w="2306" w:type="dxa"/>
          </w:tcPr>
          <w:p w14:paraId="794B52A2" w14:textId="77777777" w:rsidR="000209A5" w:rsidRPr="00CD2ADD" w:rsidRDefault="000209A5" w:rsidP="002C4956">
            <w:pPr>
              <w:cnfStyle w:val="000000000000" w:firstRow="0" w:lastRow="0" w:firstColumn="0" w:lastColumn="0" w:oddVBand="0" w:evenVBand="0" w:oddHBand="0" w:evenHBand="0" w:firstRowFirstColumn="0" w:firstRowLastColumn="0" w:lastRowFirstColumn="0" w:lastRowLastColumn="0"/>
              <w:rPr>
                <w:sz w:val="22"/>
              </w:rPr>
            </w:pPr>
            <w:r w:rsidRPr="00CD2ADD">
              <w:rPr>
                <w:sz w:val="22"/>
              </w:rPr>
              <w:t>Moderată</w:t>
            </w:r>
          </w:p>
        </w:tc>
      </w:tr>
      <w:tr w:rsidR="000209A5" w:rsidRPr="00CD2ADD" w14:paraId="5E00273A" w14:textId="77777777" w:rsidTr="002C4956">
        <w:trPr>
          <w:trHeight w:val="223"/>
        </w:trPr>
        <w:tc>
          <w:tcPr>
            <w:cnfStyle w:val="001000000000" w:firstRow="0" w:lastRow="0" w:firstColumn="1" w:lastColumn="0" w:oddVBand="0" w:evenVBand="0" w:oddHBand="0" w:evenHBand="0" w:firstRowFirstColumn="0" w:firstRowLastColumn="0" w:lastRowFirstColumn="0" w:lastRowLastColumn="0"/>
            <w:tcW w:w="3511" w:type="dxa"/>
          </w:tcPr>
          <w:p w14:paraId="04B48491" w14:textId="77777777" w:rsidR="000209A5" w:rsidRPr="00CD2ADD" w:rsidRDefault="000209A5" w:rsidP="002C4956">
            <w:pPr>
              <w:pStyle w:val="ListParagraph"/>
              <w:numPr>
                <w:ilvl w:val="0"/>
                <w:numId w:val="10"/>
              </w:numPr>
              <w:spacing w:after="0"/>
              <w:jc w:val="right"/>
              <w:rPr>
                <w:rFonts w:ascii="Times New Roman" w:hAnsi="Times New Roman" w:cs="Times New Roman"/>
                <w:b w:val="0"/>
                <w:bCs w:val="0"/>
                <w:i/>
                <w:iCs/>
                <w:sz w:val="22"/>
              </w:rPr>
            </w:pPr>
            <w:r w:rsidRPr="00CD2ADD">
              <w:rPr>
                <w:rFonts w:ascii="Times New Roman" w:hAnsi="Times New Roman" w:cs="Times New Roman"/>
                <w:b w:val="0"/>
                <w:bCs w:val="0"/>
                <w:sz w:val="22"/>
              </w:rPr>
              <w:t>Instituționale</w:t>
            </w:r>
          </w:p>
        </w:tc>
        <w:tc>
          <w:tcPr>
            <w:tcW w:w="1856" w:type="dxa"/>
          </w:tcPr>
          <w:p w14:paraId="1C4E53B1" w14:textId="77777777" w:rsidR="000209A5" w:rsidRPr="00CD2ADD" w:rsidRDefault="000209A5" w:rsidP="002C4956">
            <w:pPr>
              <w:pStyle w:val="ListParagraph"/>
              <w:numPr>
                <w:ilvl w:val="0"/>
                <w:numId w:val="10"/>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D2ADD">
              <w:rPr>
                <w:rFonts w:ascii="Times New Roman" w:hAnsi="Times New Roman" w:cs="Times New Roman"/>
                <w:sz w:val="22"/>
              </w:rPr>
              <w:t>5.5</w:t>
            </w:r>
          </w:p>
        </w:tc>
        <w:tc>
          <w:tcPr>
            <w:tcW w:w="1858" w:type="dxa"/>
            <w:vMerge/>
          </w:tcPr>
          <w:p w14:paraId="03ED7CCE" w14:textId="77777777" w:rsidR="000209A5" w:rsidRPr="00CD2ADD" w:rsidRDefault="000209A5" w:rsidP="002C4956">
            <w:pPr>
              <w:cnfStyle w:val="000000000000" w:firstRow="0" w:lastRow="0" w:firstColumn="0" w:lastColumn="0" w:oddVBand="0" w:evenVBand="0" w:oddHBand="0" w:evenHBand="0" w:firstRowFirstColumn="0" w:firstRowLastColumn="0" w:lastRowFirstColumn="0" w:lastRowLastColumn="0"/>
              <w:rPr>
                <w:sz w:val="22"/>
              </w:rPr>
            </w:pPr>
          </w:p>
        </w:tc>
        <w:tc>
          <w:tcPr>
            <w:tcW w:w="2306" w:type="dxa"/>
          </w:tcPr>
          <w:p w14:paraId="48D99399" w14:textId="77777777" w:rsidR="000209A5" w:rsidRPr="00CD2ADD" w:rsidRDefault="000209A5" w:rsidP="002C4956">
            <w:pPr>
              <w:pStyle w:val="ListParagraph"/>
              <w:numPr>
                <w:ilvl w:val="0"/>
                <w:numId w:val="10"/>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D2ADD">
              <w:rPr>
                <w:rFonts w:ascii="Times New Roman" w:hAnsi="Times New Roman" w:cs="Times New Roman"/>
                <w:sz w:val="22"/>
              </w:rPr>
              <w:t>Ridicată</w:t>
            </w:r>
          </w:p>
        </w:tc>
      </w:tr>
      <w:tr w:rsidR="000209A5" w:rsidRPr="00CD2ADD" w14:paraId="58AD27F8" w14:textId="77777777" w:rsidTr="002C4956">
        <w:trPr>
          <w:trHeight w:val="223"/>
        </w:trPr>
        <w:tc>
          <w:tcPr>
            <w:cnfStyle w:val="001000000000" w:firstRow="0" w:lastRow="0" w:firstColumn="1" w:lastColumn="0" w:oddVBand="0" w:evenVBand="0" w:oddHBand="0" w:evenHBand="0" w:firstRowFirstColumn="0" w:firstRowLastColumn="0" w:lastRowFirstColumn="0" w:lastRowLastColumn="0"/>
            <w:tcW w:w="3511" w:type="dxa"/>
          </w:tcPr>
          <w:p w14:paraId="46EDC352" w14:textId="77777777" w:rsidR="000209A5" w:rsidRPr="00CD2ADD" w:rsidRDefault="000209A5" w:rsidP="002C4956">
            <w:pPr>
              <w:pStyle w:val="ListParagraph"/>
              <w:numPr>
                <w:ilvl w:val="0"/>
                <w:numId w:val="10"/>
              </w:numPr>
              <w:spacing w:after="0"/>
              <w:jc w:val="right"/>
              <w:rPr>
                <w:rFonts w:ascii="Times New Roman" w:hAnsi="Times New Roman" w:cs="Times New Roman"/>
                <w:b w:val="0"/>
                <w:bCs w:val="0"/>
                <w:i/>
                <w:iCs/>
                <w:sz w:val="22"/>
              </w:rPr>
            </w:pPr>
            <w:r w:rsidRPr="00CD2ADD">
              <w:rPr>
                <w:rFonts w:ascii="Times New Roman" w:hAnsi="Times New Roman" w:cs="Times New Roman"/>
                <w:b w:val="0"/>
                <w:bCs w:val="0"/>
                <w:sz w:val="22"/>
              </w:rPr>
              <w:t>Infrastructura</w:t>
            </w:r>
          </w:p>
        </w:tc>
        <w:tc>
          <w:tcPr>
            <w:tcW w:w="1856" w:type="dxa"/>
          </w:tcPr>
          <w:p w14:paraId="2A6B062B" w14:textId="77777777" w:rsidR="000209A5" w:rsidRPr="00CD2ADD" w:rsidRDefault="000209A5" w:rsidP="002C4956">
            <w:pPr>
              <w:pStyle w:val="ListParagraph"/>
              <w:numPr>
                <w:ilvl w:val="0"/>
                <w:numId w:val="10"/>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4761" w:themeColor="accent1" w:themeShade="BF"/>
                <w:sz w:val="22"/>
              </w:rPr>
            </w:pPr>
            <w:r w:rsidRPr="00CD2ADD">
              <w:rPr>
                <w:rFonts w:ascii="Times New Roman" w:hAnsi="Times New Roman" w:cs="Times New Roman"/>
                <w:sz w:val="22"/>
              </w:rPr>
              <w:t>1.9</w:t>
            </w:r>
          </w:p>
        </w:tc>
        <w:tc>
          <w:tcPr>
            <w:tcW w:w="1858" w:type="dxa"/>
            <w:vMerge/>
          </w:tcPr>
          <w:p w14:paraId="66D8703E" w14:textId="77777777" w:rsidR="000209A5" w:rsidRPr="00CD2ADD" w:rsidRDefault="000209A5" w:rsidP="002C4956">
            <w:pPr>
              <w:cnfStyle w:val="000000000000" w:firstRow="0" w:lastRow="0" w:firstColumn="0" w:lastColumn="0" w:oddVBand="0" w:evenVBand="0" w:oddHBand="0" w:evenHBand="0" w:firstRowFirstColumn="0" w:firstRowLastColumn="0" w:lastRowFirstColumn="0" w:lastRowLastColumn="0"/>
              <w:rPr>
                <w:sz w:val="22"/>
              </w:rPr>
            </w:pPr>
          </w:p>
        </w:tc>
        <w:tc>
          <w:tcPr>
            <w:tcW w:w="2306" w:type="dxa"/>
          </w:tcPr>
          <w:p w14:paraId="1856E573" w14:textId="77777777" w:rsidR="000209A5" w:rsidRPr="00CD2ADD" w:rsidRDefault="000209A5" w:rsidP="002C4956">
            <w:pPr>
              <w:pStyle w:val="ListParagraph"/>
              <w:numPr>
                <w:ilvl w:val="0"/>
                <w:numId w:val="10"/>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D2ADD">
              <w:rPr>
                <w:rFonts w:ascii="Times New Roman" w:hAnsi="Times New Roman" w:cs="Times New Roman"/>
                <w:sz w:val="22"/>
              </w:rPr>
              <w:t>Scăzută</w:t>
            </w:r>
          </w:p>
        </w:tc>
      </w:tr>
    </w:tbl>
    <w:p w14:paraId="05E341F8" w14:textId="77777777" w:rsidR="000209A5" w:rsidRPr="00CD2ADD" w:rsidRDefault="000209A5" w:rsidP="00F209DF">
      <w:pPr>
        <w:spacing w:after="120"/>
        <w:jc w:val="center"/>
        <w:rPr>
          <w:color w:val="000000" w:themeColor="text1"/>
          <w:sz w:val="20"/>
          <w:szCs w:val="20"/>
        </w:rPr>
      </w:pPr>
      <w:r w:rsidRPr="00CD2ADD">
        <w:rPr>
          <w:color w:val="000000" w:themeColor="text1"/>
          <w:sz w:val="20"/>
          <w:szCs w:val="20"/>
        </w:rPr>
        <w:t xml:space="preserve">Sursa: </w:t>
      </w:r>
      <w:hyperlink r:id="rId18" w:history="1">
        <w:r w:rsidRPr="00CD2ADD">
          <w:rPr>
            <w:rStyle w:val="Hyperlink"/>
            <w:color w:val="000000" w:themeColor="text1"/>
            <w:sz w:val="20"/>
            <w:szCs w:val="20"/>
          </w:rPr>
          <w:t>INFORM Index</w:t>
        </w:r>
      </w:hyperlink>
    </w:p>
    <w:p w14:paraId="7A6677A5" w14:textId="77777777" w:rsidR="000209A5" w:rsidRPr="00CD2ADD" w:rsidRDefault="000209A5" w:rsidP="000209A5">
      <w:pPr>
        <w:ind w:firstLine="360"/>
        <w:jc w:val="both"/>
        <w:rPr>
          <w:b/>
          <w:bCs/>
          <w:i/>
          <w:iCs/>
          <w:color w:val="000000" w:themeColor="text1"/>
        </w:rPr>
      </w:pPr>
      <w:r w:rsidRPr="00CD2ADD">
        <w:rPr>
          <w:color w:val="000000" w:themeColor="text1"/>
        </w:rPr>
        <w:t xml:space="preserve">În ceea ce privește dimensiunea </w:t>
      </w:r>
      <w:r w:rsidRPr="00CD2ADD">
        <w:rPr>
          <w:rStyle w:val="Strong"/>
          <w:rFonts w:eastAsiaTheme="majorEastAsia"/>
          <w:i w:val="0"/>
          <w:iCs/>
          <w:color w:val="000000" w:themeColor="text1"/>
        </w:rPr>
        <w:t>hazard și expunere</w:t>
      </w:r>
      <w:r w:rsidRPr="00CD2ADD">
        <w:rPr>
          <w:color w:val="000000" w:themeColor="text1"/>
        </w:rPr>
        <w:t xml:space="preserve">, scorul de 3 indică o expunere moderată la dezastre. Totuși, se remarcă o expunere mai mare la pericole naturale (3.4) decât la cele provocate de om (2.5), ceea ce sugerează că riscurile generate de fenomene naturale sunt mai semnificative, mai ales pentru cutremure unde riscul este ridicat (6) si seceta (5.7). Epidemiile si inundațiile marchează riscuri moderate cu scoruri de 4.7 si 4.6 respectiv. </w:t>
      </w:r>
    </w:p>
    <w:p w14:paraId="4808E9C1" w14:textId="77777777" w:rsidR="000209A5" w:rsidRPr="00CD2ADD" w:rsidRDefault="000209A5" w:rsidP="000209A5">
      <w:pPr>
        <w:ind w:firstLine="360"/>
        <w:jc w:val="both"/>
        <w:rPr>
          <w:b/>
          <w:bCs/>
          <w:i/>
          <w:iCs/>
          <w:color w:val="000000" w:themeColor="text1"/>
        </w:rPr>
      </w:pPr>
      <w:r w:rsidRPr="00CD2ADD">
        <w:rPr>
          <w:color w:val="000000" w:themeColor="text1"/>
        </w:rPr>
        <w:t xml:space="preserve">Dimensiunea </w:t>
      </w:r>
      <w:r w:rsidRPr="00CD2ADD">
        <w:rPr>
          <w:rStyle w:val="Strong"/>
          <w:rFonts w:eastAsiaTheme="majorEastAsia"/>
          <w:i w:val="0"/>
          <w:iCs/>
          <w:color w:val="000000" w:themeColor="text1"/>
        </w:rPr>
        <w:t>vulnerabilitate</w:t>
      </w:r>
      <w:r w:rsidRPr="00CD2ADD">
        <w:rPr>
          <w:i/>
          <w:iCs/>
          <w:color w:val="000000" w:themeColor="text1"/>
        </w:rPr>
        <w:t>,</w:t>
      </w:r>
      <w:r w:rsidRPr="00CD2ADD">
        <w:rPr>
          <w:color w:val="000000" w:themeColor="text1"/>
        </w:rPr>
        <w:t xml:space="preserve"> cu un scor de 4.1, reflectă un nivel moderat de vulnerabilitate. Scorul ridicat pentru „grupuri vulnerabile” (5) indică faptul că anumite segmente ale populației sunt mai expuse riscurilor în caz de criză. Este esențial să fie acordată o atenție deosebită acestor grupuri pentru a consolida reziliența generală a societății.</w:t>
      </w:r>
    </w:p>
    <w:p w14:paraId="45E7F20E" w14:textId="3C1E1EB7" w:rsidR="000209A5" w:rsidRPr="00CD2ADD" w:rsidRDefault="000209A5" w:rsidP="000209A5">
      <w:pPr>
        <w:ind w:firstLine="360"/>
        <w:jc w:val="both"/>
        <w:rPr>
          <w:b/>
          <w:bCs/>
          <w:i/>
          <w:iCs/>
          <w:color w:val="000000" w:themeColor="text1"/>
        </w:rPr>
      </w:pPr>
      <w:r w:rsidRPr="00CD2ADD">
        <w:rPr>
          <w:color w:val="000000" w:themeColor="text1"/>
        </w:rPr>
        <w:t xml:space="preserve">La nivelul </w:t>
      </w:r>
      <w:r w:rsidRPr="00CD2ADD">
        <w:rPr>
          <w:rStyle w:val="Strong"/>
          <w:rFonts w:eastAsiaTheme="majorEastAsia"/>
          <w:i w:val="0"/>
          <w:iCs/>
          <w:color w:val="000000" w:themeColor="text1"/>
        </w:rPr>
        <w:t>capacității de răspuns</w:t>
      </w:r>
      <w:r w:rsidRPr="00CD2ADD">
        <w:rPr>
          <w:i/>
          <w:iCs/>
          <w:color w:val="000000" w:themeColor="text1"/>
        </w:rPr>
        <w:t>,</w:t>
      </w:r>
      <w:r w:rsidRPr="00CD2ADD">
        <w:rPr>
          <w:color w:val="000000" w:themeColor="text1"/>
        </w:rPr>
        <w:t xml:space="preserve"> scorul de 3.9 semnalează dificultăți în gestionarea eficientă a crizelor. Scorul de 5.5 la componenta instituțională evidențiază posibile slăbiciuni ale cadrului de guvernanță. În schimb, infrastructura pare să fie un factor mai puțin problematic, având un scor de 1.9.</w:t>
      </w:r>
    </w:p>
    <w:p w14:paraId="467CFDFF" w14:textId="2C6EC428" w:rsidR="007C67F8" w:rsidRPr="00CD2ADD" w:rsidRDefault="006D4224">
      <w:pPr>
        <w:pStyle w:val="ListParagraph"/>
        <w:numPr>
          <w:ilvl w:val="0"/>
          <w:numId w:val="42"/>
        </w:numPr>
        <w:spacing w:after="0"/>
        <w:ind w:left="0" w:firstLine="360"/>
        <w:jc w:val="both"/>
        <w:rPr>
          <w:rStyle w:val="Strong"/>
          <w:rFonts w:ascii="Times New Roman" w:hAnsi="Times New Roman" w:cs="Times New Roman"/>
          <w:b/>
          <w:iCs/>
          <w:color w:val="000000" w:themeColor="text1"/>
          <w:sz w:val="24"/>
          <w:szCs w:val="24"/>
        </w:rPr>
      </w:pPr>
      <w:r w:rsidRPr="00CD2ADD">
        <w:rPr>
          <w:rFonts w:ascii="Times New Roman" w:hAnsi="Times New Roman" w:cs="Times New Roman"/>
          <w:color w:val="000000" w:themeColor="text1"/>
          <w:sz w:val="24"/>
          <w:szCs w:val="24"/>
        </w:rPr>
        <w:t xml:space="preserve"> </w:t>
      </w:r>
      <w:bookmarkStart w:id="25" w:name="OLE_LINK22"/>
      <w:r w:rsidR="009374A4" w:rsidRPr="00CD2ADD">
        <w:rPr>
          <w:rStyle w:val="Strong"/>
          <w:rFonts w:ascii="Times New Roman" w:eastAsiaTheme="majorEastAsia" w:hAnsi="Times New Roman" w:cs="Times New Roman"/>
          <w:bCs w:val="0"/>
          <w:i w:val="0"/>
          <w:iCs/>
          <w:color w:val="000000" w:themeColor="text1"/>
          <w:sz w:val="24"/>
          <w:szCs w:val="24"/>
        </w:rPr>
        <w:t xml:space="preserve">În urma analizei </w:t>
      </w:r>
      <w:r w:rsidR="007D5169" w:rsidRPr="00CD2ADD">
        <w:rPr>
          <w:rStyle w:val="Strong"/>
          <w:rFonts w:ascii="Times New Roman" w:eastAsiaTheme="majorEastAsia" w:hAnsi="Times New Roman" w:cs="Times New Roman"/>
          <w:bCs w:val="0"/>
          <w:i w:val="0"/>
          <w:iCs/>
          <w:color w:val="000000" w:themeColor="text1"/>
          <w:sz w:val="24"/>
          <w:szCs w:val="24"/>
        </w:rPr>
        <w:t xml:space="preserve">de mai sus, reies doua concluzii principale: </w:t>
      </w:r>
    </w:p>
    <w:p w14:paraId="251DE857" w14:textId="225EA61A" w:rsidR="008344B6" w:rsidRPr="00CD2ADD" w:rsidRDefault="008344B6" w:rsidP="008D4620">
      <w:pPr>
        <w:pStyle w:val="ListParagraph"/>
        <w:spacing w:after="0"/>
        <w:ind w:left="0" w:firstLine="360"/>
        <w:jc w:val="both"/>
        <w:rPr>
          <w:rFonts w:ascii="Times New Roman" w:hAnsi="Times New Roman" w:cs="Times New Roman"/>
          <w:color w:val="000000" w:themeColor="text1"/>
          <w:sz w:val="24"/>
          <w:szCs w:val="24"/>
        </w:rPr>
      </w:pPr>
      <w:r w:rsidRPr="00CD2ADD">
        <w:rPr>
          <w:rStyle w:val="Strong"/>
          <w:rFonts w:ascii="Times New Roman" w:eastAsiaTheme="majorEastAsia" w:hAnsi="Times New Roman" w:cs="Times New Roman"/>
          <w:bCs w:val="0"/>
          <w:i w:val="0"/>
          <w:iCs/>
          <w:color w:val="000000" w:themeColor="text1"/>
          <w:sz w:val="24"/>
          <w:szCs w:val="24"/>
        </w:rPr>
        <w:t>1) Consolidarea capacității instituționale este necesară în Republica Moldova, asta presupunând</w:t>
      </w:r>
      <w:r w:rsidRPr="00CD2ADD">
        <w:rPr>
          <w:rFonts w:ascii="Times New Roman" w:hAnsi="Times New Roman" w:cs="Times New Roman"/>
          <w:color w:val="000000" w:themeColor="text1"/>
          <w:sz w:val="24"/>
          <w:szCs w:val="24"/>
        </w:rPr>
        <w:t xml:space="preserve"> îmbunătățirea structurilor de guvernanță și a cadrelor instituționale pentru o gestionare mai eficientă a dezastrelor naturale </w:t>
      </w:r>
      <w:r w:rsidR="000209A5" w:rsidRPr="00CD2ADD">
        <w:rPr>
          <w:rFonts w:ascii="Times New Roman" w:hAnsi="Times New Roman" w:cs="Times New Roman"/>
          <w:color w:val="000000" w:themeColor="text1"/>
          <w:sz w:val="24"/>
          <w:szCs w:val="24"/>
        </w:rPr>
        <w:t>ș</w:t>
      </w:r>
      <w:r w:rsidRPr="00CD2ADD">
        <w:rPr>
          <w:rFonts w:ascii="Times New Roman" w:hAnsi="Times New Roman" w:cs="Times New Roman"/>
          <w:color w:val="000000" w:themeColor="text1"/>
          <w:sz w:val="24"/>
          <w:szCs w:val="24"/>
        </w:rPr>
        <w:t xml:space="preserve">i biologico-sociale. </w:t>
      </w:r>
    </w:p>
    <w:p w14:paraId="35AFFBA3" w14:textId="58F9DC5D" w:rsidR="008344B6" w:rsidRPr="00CD2ADD" w:rsidRDefault="008344B6" w:rsidP="008D4620">
      <w:pPr>
        <w:pStyle w:val="ListParagraph"/>
        <w:spacing w:before="120" w:after="0"/>
        <w:ind w:left="0" w:firstLine="360"/>
        <w:jc w:val="both"/>
        <w:rPr>
          <w:rStyle w:val="Strong"/>
          <w:rFonts w:ascii="Times New Roman" w:hAnsi="Times New Roman" w:cs="Times New Roman"/>
          <w:b/>
          <w:iCs/>
          <w:color w:val="000000" w:themeColor="text1"/>
          <w:sz w:val="24"/>
          <w:szCs w:val="24"/>
        </w:rPr>
      </w:pPr>
      <w:r w:rsidRPr="00CD2ADD">
        <w:rPr>
          <w:rFonts w:ascii="Times New Roman" w:hAnsi="Times New Roman" w:cs="Times New Roman"/>
          <w:color w:val="000000" w:themeColor="text1"/>
          <w:sz w:val="24"/>
          <w:szCs w:val="24"/>
        </w:rPr>
        <w:t xml:space="preserve">2) Republica Moldova trebuie să </w:t>
      </w:r>
      <w:r w:rsidRPr="00CD2ADD">
        <w:rPr>
          <w:rStyle w:val="Strong"/>
          <w:rFonts w:ascii="Times New Roman" w:eastAsiaTheme="majorEastAsia" w:hAnsi="Times New Roman" w:cs="Times New Roman"/>
          <w:bCs w:val="0"/>
          <w:i w:val="0"/>
          <w:iCs/>
          <w:color w:val="000000" w:themeColor="text1"/>
          <w:sz w:val="24"/>
          <w:szCs w:val="24"/>
        </w:rPr>
        <w:t>sprijine grupurile vulnerabile</w:t>
      </w:r>
      <w:r w:rsidRPr="00CD2ADD">
        <w:rPr>
          <w:rFonts w:ascii="Times New Roman" w:hAnsi="Times New Roman" w:cs="Times New Roman"/>
          <w:b/>
          <w:bCs/>
          <w:i/>
          <w:iCs/>
          <w:color w:val="000000" w:themeColor="text1"/>
          <w:sz w:val="24"/>
          <w:szCs w:val="24"/>
        </w:rPr>
        <w:t>,</w:t>
      </w:r>
      <w:r w:rsidRPr="00CD2ADD">
        <w:rPr>
          <w:rFonts w:ascii="Times New Roman" w:hAnsi="Times New Roman" w:cs="Times New Roman"/>
          <w:color w:val="000000" w:themeColor="text1"/>
          <w:sz w:val="24"/>
          <w:szCs w:val="24"/>
        </w:rPr>
        <w:t xml:space="preserve"> prin implementarea de programe specifice pentru protejarea celor mai expuse categorii ale populației. În acest sens, este esențială recunoașterea vulnerabilităților generate de migrație și strămutare, fie că este vorba despre mobilitate internă determinată de riscuri climatice, fie de migrație internațională cauzată de lipsa oportunităților locale și expunerea la hazarde.</w:t>
      </w:r>
    </w:p>
    <w:p w14:paraId="3D8BE9A8" w14:textId="78886F2C" w:rsidR="00E008C4" w:rsidRPr="00CD2ADD" w:rsidRDefault="005A64C7" w:rsidP="008D4620">
      <w:pPr>
        <w:ind w:firstLine="360"/>
        <w:jc w:val="both"/>
        <w:rPr>
          <w:b/>
          <w:bCs/>
          <w:i/>
          <w:iCs/>
          <w:color w:val="000000" w:themeColor="text1"/>
        </w:rPr>
      </w:pPr>
      <w:r w:rsidRPr="00CD2ADD">
        <w:rPr>
          <w:color w:val="000000" w:themeColor="text1"/>
        </w:rPr>
        <w:t>Prin focalizarea pe aceste domenii, Republica Moldova își poate reduce profilul de risc și își poate consolida reziliența în fața crizelor umanitare și dezastrelor.</w:t>
      </w:r>
    </w:p>
    <w:bookmarkEnd w:id="3"/>
    <w:bookmarkEnd w:id="25"/>
    <w:p w14:paraId="0A382627" w14:textId="13015C12" w:rsidR="008344B6" w:rsidRPr="00CD2ADD" w:rsidRDefault="000413E7" w:rsidP="00010723">
      <w:pPr>
        <w:spacing w:after="120"/>
        <w:ind w:firstLine="360"/>
        <w:jc w:val="both"/>
        <w:rPr>
          <w:b/>
          <w:bCs/>
          <w:i/>
          <w:iCs/>
          <w:color w:val="000000" w:themeColor="text1"/>
        </w:rPr>
      </w:pPr>
      <w:r w:rsidRPr="00CD2ADD">
        <w:rPr>
          <w:color w:val="000000" w:themeColor="text1"/>
        </w:rPr>
        <w:t>Aceste constatări evidențiază de asemenea necesitatea consolidării continue a sistemelor de colectare și analiză a datelor de risc, inclusiv prin dezvoltarea capacităților instituționale de monitorizare și utilizarea de instrumente digitale pentru anticiparea riscurilor și orientarea investițiilor. Această necesitate este reflectată și în setul de măsuri propuse în Program.</w:t>
      </w:r>
    </w:p>
    <w:p w14:paraId="7D1098F1" w14:textId="77777777" w:rsidR="008344B6" w:rsidRPr="00CD2ADD" w:rsidRDefault="008344B6" w:rsidP="00590E37">
      <w:pPr>
        <w:pStyle w:val="Heading2"/>
        <w:spacing w:before="0"/>
        <w:jc w:val="center"/>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Secțiunea a 6-a</w:t>
      </w:r>
      <w:bookmarkStart w:id="26" w:name="_Toc198493321"/>
    </w:p>
    <w:p w14:paraId="741CB551" w14:textId="238D4158" w:rsidR="008344B6" w:rsidRPr="00CD2ADD" w:rsidRDefault="008344B6" w:rsidP="00590E37">
      <w:pPr>
        <w:pStyle w:val="Heading2"/>
        <w:spacing w:before="0"/>
        <w:jc w:val="center"/>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Profilul dezastrelor în Republica Moldova</w:t>
      </w:r>
      <w:bookmarkStart w:id="27" w:name="OLE_LINK4"/>
      <w:bookmarkEnd w:id="26"/>
    </w:p>
    <w:p w14:paraId="0886A82A" w14:textId="77777777" w:rsidR="008344B6" w:rsidRPr="00CD2ADD" w:rsidRDefault="008344B6" w:rsidP="008344B6">
      <w:pPr>
        <w:pStyle w:val="ListParagraph"/>
        <w:spacing w:after="0"/>
        <w:ind w:left="360" w:firstLine="0"/>
        <w:jc w:val="center"/>
        <w:rPr>
          <w:rFonts w:ascii="Times New Roman" w:hAnsi="Times New Roman" w:cs="Times New Roman"/>
          <w:b/>
          <w:bCs/>
          <w:i/>
          <w:iCs/>
          <w:color w:val="000000" w:themeColor="text1"/>
          <w:sz w:val="24"/>
          <w:szCs w:val="24"/>
        </w:rPr>
      </w:pPr>
    </w:p>
    <w:p w14:paraId="7A2BF76F" w14:textId="28A991D1" w:rsidR="005D4905" w:rsidRPr="00CD2ADD" w:rsidRDefault="007B0EA5">
      <w:pPr>
        <w:pStyle w:val="ListParagraph"/>
        <w:numPr>
          <w:ilvl w:val="0"/>
          <w:numId w:val="42"/>
        </w:numPr>
        <w:spacing w:after="0"/>
        <w:ind w:left="0" w:firstLine="360"/>
        <w:jc w:val="both"/>
        <w:rPr>
          <w:rStyle w:val="Strong"/>
          <w:rFonts w:ascii="Times New Roman" w:hAnsi="Times New Roman" w:cs="Times New Roman"/>
          <w:b/>
          <w:iCs/>
          <w:color w:val="000000" w:themeColor="text1"/>
          <w:sz w:val="24"/>
          <w:szCs w:val="24"/>
        </w:rPr>
      </w:pPr>
      <w:bookmarkStart w:id="28" w:name="OLE_LINK19"/>
      <w:bookmarkEnd w:id="27"/>
      <w:r w:rsidRPr="00CD2ADD">
        <w:rPr>
          <w:rStyle w:val="Strong"/>
          <w:rFonts w:ascii="Times New Roman" w:eastAsiaTheme="majorEastAsia" w:hAnsi="Times New Roman" w:cs="Times New Roman"/>
          <w:i w:val="0"/>
          <w:color w:val="000000" w:themeColor="text1"/>
          <w:sz w:val="24"/>
          <w:szCs w:val="24"/>
        </w:rPr>
        <w:lastRenderedPageBreak/>
        <w:t>Conform datelor Inspectoratului General pentru Situații de Urgență (IGSU), între 2010 și 2024 s-au înregistrat 4</w:t>
      </w:r>
      <w:r w:rsidR="002E7035" w:rsidRPr="00CD2ADD">
        <w:rPr>
          <w:rStyle w:val="Strong"/>
          <w:rFonts w:ascii="Times New Roman" w:eastAsiaTheme="majorEastAsia" w:hAnsi="Times New Roman" w:cs="Times New Roman"/>
          <w:i w:val="0"/>
          <w:color w:val="000000" w:themeColor="text1"/>
          <w:sz w:val="24"/>
          <w:szCs w:val="24"/>
        </w:rPr>
        <w:t>,</w:t>
      </w:r>
      <w:r w:rsidRPr="00CD2ADD">
        <w:rPr>
          <w:rStyle w:val="Strong"/>
          <w:rFonts w:ascii="Times New Roman" w:eastAsiaTheme="majorEastAsia" w:hAnsi="Times New Roman" w:cs="Times New Roman"/>
          <w:i w:val="0"/>
          <w:color w:val="000000" w:themeColor="text1"/>
          <w:sz w:val="24"/>
          <w:szCs w:val="24"/>
        </w:rPr>
        <w:t xml:space="preserve">303 situații excepționale (SE), dintre care 1329 au avut caracter natural, 109 </w:t>
      </w:r>
      <w:r w:rsidR="00823797" w:rsidRPr="00CD2ADD">
        <w:rPr>
          <w:rStyle w:val="Strong"/>
          <w:rFonts w:ascii="Times New Roman" w:eastAsiaTheme="majorEastAsia" w:hAnsi="Times New Roman" w:cs="Times New Roman"/>
          <w:i w:val="0"/>
          <w:color w:val="000000" w:themeColor="text1"/>
          <w:sz w:val="24"/>
          <w:szCs w:val="24"/>
        </w:rPr>
        <w:t xml:space="preserve">cu caracter </w:t>
      </w:r>
      <w:r w:rsidRPr="00CD2ADD">
        <w:rPr>
          <w:rStyle w:val="Strong"/>
          <w:rFonts w:ascii="Times New Roman" w:eastAsiaTheme="majorEastAsia" w:hAnsi="Times New Roman" w:cs="Times New Roman"/>
          <w:i w:val="0"/>
          <w:color w:val="000000" w:themeColor="text1"/>
          <w:sz w:val="24"/>
          <w:szCs w:val="24"/>
        </w:rPr>
        <w:t>biologico-social</w:t>
      </w:r>
      <w:r w:rsidR="00823797" w:rsidRPr="00CD2ADD">
        <w:rPr>
          <w:rStyle w:val="Strong"/>
          <w:rFonts w:ascii="Times New Roman" w:eastAsiaTheme="majorEastAsia" w:hAnsi="Times New Roman" w:cs="Times New Roman"/>
          <w:i w:val="0"/>
          <w:color w:val="000000" w:themeColor="text1"/>
          <w:sz w:val="24"/>
          <w:szCs w:val="24"/>
        </w:rPr>
        <w:t xml:space="preserve"> iar restul tehnogene</w:t>
      </w:r>
      <w:r w:rsidRPr="00CD2ADD">
        <w:rPr>
          <w:rStyle w:val="Strong"/>
          <w:rFonts w:ascii="Times New Roman" w:eastAsiaTheme="majorEastAsia" w:hAnsi="Times New Roman" w:cs="Times New Roman"/>
          <w:i w:val="0"/>
          <w:color w:val="000000" w:themeColor="text1"/>
          <w:sz w:val="24"/>
          <w:szCs w:val="24"/>
        </w:rPr>
        <w:t>. Riscurile tehnogene au predominat ca frecven</w:t>
      </w:r>
      <w:r w:rsidR="000209A5" w:rsidRPr="00CD2ADD">
        <w:rPr>
          <w:rStyle w:val="Strong"/>
          <w:rFonts w:ascii="Times New Roman" w:eastAsiaTheme="majorEastAsia" w:hAnsi="Times New Roman" w:cs="Times New Roman"/>
          <w:i w:val="0"/>
          <w:color w:val="000000" w:themeColor="text1"/>
          <w:sz w:val="24"/>
          <w:szCs w:val="24"/>
        </w:rPr>
        <w:t>ță</w:t>
      </w:r>
      <w:r w:rsidRPr="00CD2ADD">
        <w:rPr>
          <w:rStyle w:val="Strong"/>
          <w:rFonts w:ascii="Times New Roman" w:eastAsiaTheme="majorEastAsia" w:hAnsi="Times New Roman" w:cs="Times New Roman"/>
          <w:i w:val="0"/>
          <w:color w:val="000000" w:themeColor="text1"/>
          <w:sz w:val="24"/>
          <w:szCs w:val="24"/>
        </w:rPr>
        <w:t>, dar impactul financiar cel mai sever a fost asociat SE naturale (99% din totalul pagubelor).</w:t>
      </w:r>
    </w:p>
    <w:p w14:paraId="4FB8294D" w14:textId="4991B171" w:rsidR="009049C7" w:rsidRPr="00CD2ADD" w:rsidRDefault="007B0EA5" w:rsidP="008D4620">
      <w:pPr>
        <w:ind w:firstLine="360"/>
        <w:jc w:val="both"/>
        <w:rPr>
          <w:b/>
          <w:bCs/>
          <w:i/>
          <w:iCs/>
          <w:color w:val="000000" w:themeColor="text1"/>
        </w:rPr>
      </w:pPr>
      <w:r w:rsidRPr="00CD2ADD">
        <w:rPr>
          <w:color w:val="000000" w:themeColor="text1"/>
        </w:rPr>
        <w:t xml:space="preserve">Valoarea totală a pagubelor materiale cauzate de SE între 2010–2024 depășește 23 miliarde lei. Mai mult, conform estimărilor oficiale, </w:t>
      </w:r>
      <w:r w:rsidRPr="00CD2ADD">
        <w:rPr>
          <w:b/>
          <w:color w:val="000000" w:themeColor="text1"/>
        </w:rPr>
        <w:t>produsu</w:t>
      </w:r>
      <w:r w:rsidRPr="00CD2ADD">
        <w:rPr>
          <w:color w:val="000000" w:themeColor="text1"/>
        </w:rPr>
        <w:t xml:space="preserve">l </w:t>
      </w:r>
      <w:r w:rsidRPr="00CD2ADD">
        <w:rPr>
          <w:b/>
          <w:color w:val="000000" w:themeColor="text1"/>
        </w:rPr>
        <w:t>intern brut</w:t>
      </w:r>
      <w:r w:rsidRPr="00CD2ADD">
        <w:rPr>
          <w:color w:val="000000" w:themeColor="text1"/>
        </w:rPr>
        <w:t xml:space="preserve"> al Republicii Moldova pentru </w:t>
      </w:r>
      <w:r w:rsidRPr="00CD2ADD">
        <w:rPr>
          <w:b/>
          <w:color w:val="000000" w:themeColor="text1"/>
        </w:rPr>
        <w:t xml:space="preserve">anul 2024 </w:t>
      </w:r>
      <w:r w:rsidRPr="00CD2ADD">
        <w:rPr>
          <w:color w:val="000000" w:themeColor="text1"/>
        </w:rPr>
        <w:t>este de aproximativ</w:t>
      </w:r>
      <w:r w:rsidRPr="00CD2ADD">
        <w:rPr>
          <w:b/>
          <w:color w:val="000000" w:themeColor="text1"/>
        </w:rPr>
        <w:t xml:space="preserve"> 323,8 miliarde le</w:t>
      </w:r>
      <w:r w:rsidRPr="00CD2ADD">
        <w:rPr>
          <w:color w:val="000000" w:themeColor="text1"/>
        </w:rPr>
        <w:t xml:space="preserve">i. Doar în anul 2024, pagubele raportate însumează 4,69 </w:t>
      </w:r>
      <w:r w:rsidR="00B132A4" w:rsidRPr="00CD2ADD">
        <w:rPr>
          <w:color w:val="000000" w:themeColor="text1"/>
        </w:rPr>
        <w:t xml:space="preserve">miliarde </w:t>
      </w:r>
      <w:r w:rsidRPr="00CD2ADD">
        <w:rPr>
          <w:color w:val="000000" w:themeColor="text1"/>
        </w:rPr>
        <w:t>lei, echivalentul a 1,5% din PIB-ul anual. Deși la nivel macroeconomic acest procent poate părea redus, el poate reflecta pierderi semnificative la nivel local sau sectorial, mai ales în agricultură, infrastructură și gospodării, în special în condițiile unor capacități limitate de răspuns și compensare. Este important de menționat că impactul total al acestor pierderi asupra PIB este probabil subestimat, întrucât în Republica Moldova nu există în prezent o metodologie standardizată de evaluare a pagubelor indirecte, deci aceste date cu privire la pagube, colectate de IGSU se refer</w:t>
      </w:r>
      <w:r w:rsidR="000209A5" w:rsidRPr="00CD2ADD">
        <w:rPr>
          <w:color w:val="000000" w:themeColor="text1"/>
        </w:rPr>
        <w:t>ă</w:t>
      </w:r>
      <w:r w:rsidRPr="00CD2ADD">
        <w:rPr>
          <w:color w:val="000000" w:themeColor="text1"/>
        </w:rPr>
        <w:t xml:space="preserve"> la pagube directe. </w:t>
      </w:r>
      <w:bookmarkStart w:id="29" w:name="_Toc197957210"/>
      <w:bookmarkStart w:id="30" w:name="_Toc197957848"/>
      <w:bookmarkStart w:id="31" w:name="_Toc197960202"/>
      <w:bookmarkStart w:id="32" w:name="_Toc197960473"/>
    </w:p>
    <w:p w14:paraId="09D017DA" w14:textId="41C66FBB" w:rsidR="008344B6" w:rsidRPr="00CD2ADD" w:rsidRDefault="008344B6" w:rsidP="00BE1DC7">
      <w:pPr>
        <w:pStyle w:val="Caption"/>
        <w:spacing w:after="0"/>
        <w:ind w:firstLine="360"/>
        <w:rPr>
          <w:rFonts w:ascii="Times New Roman" w:eastAsia="Times New Roman" w:hAnsi="Times New Roman" w:cs="Times New Roman"/>
          <w:b/>
          <w:i/>
          <w:iCs/>
          <w:smallCaps w:val="0"/>
          <w:color w:val="000000" w:themeColor="text1"/>
          <w:spacing w:val="0"/>
          <w:sz w:val="24"/>
          <w:szCs w:val="24"/>
          <w:lang w:eastAsia="en-GB"/>
        </w:rPr>
      </w:pPr>
      <w:bookmarkStart w:id="33" w:name="_Toc195539552"/>
      <w:r w:rsidRPr="00CD2ADD">
        <w:rPr>
          <w:rStyle w:val="IntenseEmphasis"/>
          <w:rFonts w:ascii="Times New Roman" w:eastAsia="Times New Roman" w:hAnsi="Times New Roman" w:cs="Times New Roman"/>
          <w:bCs/>
          <w:smallCaps w:val="0"/>
          <w:color w:val="000000" w:themeColor="text1"/>
          <w:spacing w:val="0"/>
          <w:sz w:val="24"/>
          <w:szCs w:val="24"/>
          <w:lang w:eastAsia="en-GB"/>
        </w:rPr>
        <w:t>Riscurile naturale și creșterea impactului secetei</w:t>
      </w:r>
      <w:bookmarkEnd w:id="33"/>
    </w:p>
    <w:p w14:paraId="70039F8E" w14:textId="31F57B87" w:rsidR="008344B6" w:rsidRPr="00CD2ADD" w:rsidRDefault="007B0EA5">
      <w:pPr>
        <w:pStyle w:val="ListParagraph"/>
        <w:numPr>
          <w:ilvl w:val="0"/>
          <w:numId w:val="42"/>
        </w:numPr>
        <w:spacing w:after="0"/>
        <w:ind w:left="0" w:firstLine="360"/>
        <w:jc w:val="both"/>
        <w:rPr>
          <w:rFonts w:ascii="Times New Roman" w:hAnsi="Times New Roman" w:cs="Times New Roman"/>
          <w:b/>
          <w:bCs/>
          <w:i/>
          <w:iCs/>
          <w:color w:val="000000" w:themeColor="text1"/>
          <w:sz w:val="24"/>
          <w:szCs w:val="24"/>
        </w:rPr>
      </w:pPr>
      <w:bookmarkStart w:id="34" w:name="OLE_LINK3"/>
      <w:bookmarkStart w:id="35" w:name="OLE_LINK20"/>
      <w:bookmarkStart w:id="36" w:name="OLE_LINK21"/>
      <w:bookmarkEnd w:id="29"/>
      <w:bookmarkEnd w:id="30"/>
      <w:bookmarkEnd w:id="31"/>
      <w:bookmarkEnd w:id="32"/>
      <w:r w:rsidRPr="00CD2ADD">
        <w:rPr>
          <w:rFonts w:ascii="Times New Roman" w:hAnsi="Times New Roman" w:cs="Times New Roman"/>
          <w:color w:val="000000" w:themeColor="text1"/>
          <w:sz w:val="24"/>
          <w:szCs w:val="24"/>
        </w:rPr>
        <w:t xml:space="preserve">În anii 2010 - 2024, în Republica Moldova au fost înregistrate </w:t>
      </w:r>
      <w:r w:rsidRPr="00CD2ADD">
        <w:rPr>
          <w:rFonts w:ascii="Times New Roman" w:hAnsi="Times New Roman" w:cs="Times New Roman"/>
          <w:b/>
          <w:bCs/>
          <w:color w:val="000000" w:themeColor="text1"/>
          <w:sz w:val="24"/>
          <w:szCs w:val="24"/>
        </w:rPr>
        <w:t>1</w:t>
      </w:r>
      <w:r w:rsidR="002E7035" w:rsidRPr="00CD2ADD">
        <w:rPr>
          <w:rFonts w:ascii="Times New Roman" w:hAnsi="Times New Roman" w:cs="Times New Roman"/>
          <w:b/>
          <w:bCs/>
          <w:color w:val="000000" w:themeColor="text1"/>
          <w:sz w:val="24"/>
          <w:szCs w:val="24"/>
        </w:rPr>
        <w:t>,</w:t>
      </w:r>
      <w:r w:rsidRPr="00CD2ADD">
        <w:rPr>
          <w:rFonts w:ascii="Times New Roman" w:hAnsi="Times New Roman" w:cs="Times New Roman"/>
          <w:b/>
          <w:bCs/>
          <w:color w:val="000000" w:themeColor="text1"/>
          <w:sz w:val="24"/>
          <w:szCs w:val="24"/>
        </w:rPr>
        <w:t xml:space="preserve">329 de situații excepționale cu caracter natural, </w:t>
      </w:r>
      <w:r w:rsidRPr="00CD2ADD">
        <w:rPr>
          <w:rFonts w:ascii="Times New Roman" w:hAnsi="Times New Roman" w:cs="Times New Roman"/>
          <w:color w:val="000000" w:themeColor="text1"/>
          <w:sz w:val="24"/>
          <w:szCs w:val="24"/>
        </w:rPr>
        <w:t>care au dus la decesul a</w:t>
      </w:r>
      <w:r w:rsidRPr="00CD2ADD">
        <w:rPr>
          <w:rFonts w:ascii="Times New Roman" w:hAnsi="Times New Roman" w:cs="Times New Roman"/>
          <w:b/>
          <w:bCs/>
          <w:color w:val="000000" w:themeColor="text1"/>
          <w:sz w:val="24"/>
          <w:szCs w:val="24"/>
        </w:rPr>
        <w:t xml:space="preserve"> 5 persoane </w:t>
      </w:r>
      <w:r w:rsidRPr="00CD2ADD">
        <w:rPr>
          <w:rFonts w:ascii="Times New Roman" w:hAnsi="Times New Roman" w:cs="Times New Roman"/>
          <w:color w:val="000000" w:themeColor="text1"/>
          <w:sz w:val="24"/>
          <w:szCs w:val="24"/>
        </w:rPr>
        <w:t>și la rănirea altor</w:t>
      </w:r>
      <w:r w:rsidRPr="00CD2ADD">
        <w:rPr>
          <w:rFonts w:ascii="Times New Roman" w:hAnsi="Times New Roman" w:cs="Times New Roman"/>
          <w:b/>
          <w:bCs/>
          <w:color w:val="000000" w:themeColor="text1"/>
          <w:sz w:val="24"/>
          <w:szCs w:val="24"/>
        </w:rPr>
        <w:t xml:space="preserve"> 3 persoane</w:t>
      </w:r>
      <w:r w:rsidRPr="00CD2ADD">
        <w:rPr>
          <w:rFonts w:ascii="Times New Roman" w:hAnsi="Times New Roman" w:cs="Times New Roman"/>
          <w:color w:val="000000" w:themeColor="text1"/>
          <w:sz w:val="24"/>
          <w:szCs w:val="24"/>
        </w:rPr>
        <w:t>.</w:t>
      </w:r>
      <w:r w:rsidR="007C67F8" w:rsidRPr="00CD2ADD">
        <w:rPr>
          <w:rFonts w:ascii="Times New Roman" w:hAnsi="Times New Roman" w:cs="Times New Roman"/>
          <w:color w:val="000000" w:themeColor="text1"/>
          <w:sz w:val="24"/>
          <w:szCs w:val="24"/>
        </w:rPr>
        <w:t xml:space="preserve"> Cele 5 decese au survenit ca urmare a inundațiilor din 2010 (2 persoane), </w:t>
      </w:r>
      <w:r w:rsidR="00F05308" w:rsidRPr="00CD2ADD">
        <w:rPr>
          <w:rFonts w:ascii="Times New Roman" w:hAnsi="Times New Roman" w:cs="Times New Roman"/>
          <w:color w:val="000000" w:themeColor="text1"/>
          <w:sz w:val="24"/>
          <w:szCs w:val="24"/>
        </w:rPr>
        <w:t>a ploilor torențiale din 2013 (1 persoan</w:t>
      </w:r>
      <w:r w:rsidR="000209A5" w:rsidRPr="00CD2ADD">
        <w:rPr>
          <w:rFonts w:ascii="Times New Roman" w:hAnsi="Times New Roman" w:cs="Times New Roman"/>
          <w:color w:val="000000" w:themeColor="text1"/>
          <w:sz w:val="24"/>
          <w:szCs w:val="24"/>
        </w:rPr>
        <w:t>ă</w:t>
      </w:r>
      <w:r w:rsidR="00F05308" w:rsidRPr="00CD2ADD">
        <w:rPr>
          <w:rFonts w:ascii="Times New Roman" w:hAnsi="Times New Roman" w:cs="Times New Roman"/>
          <w:color w:val="000000" w:themeColor="text1"/>
          <w:sz w:val="24"/>
          <w:szCs w:val="24"/>
        </w:rPr>
        <w:t xml:space="preserve">) </w:t>
      </w:r>
      <w:r w:rsidR="000209A5" w:rsidRPr="00CD2ADD">
        <w:rPr>
          <w:rFonts w:ascii="Times New Roman" w:hAnsi="Times New Roman" w:cs="Times New Roman"/>
          <w:color w:val="000000" w:themeColor="text1"/>
          <w:sz w:val="24"/>
          <w:szCs w:val="24"/>
        </w:rPr>
        <w:t>ș</w:t>
      </w:r>
      <w:r w:rsidR="00F05308" w:rsidRPr="00CD2ADD">
        <w:rPr>
          <w:rFonts w:ascii="Times New Roman" w:hAnsi="Times New Roman" w:cs="Times New Roman"/>
          <w:color w:val="000000" w:themeColor="text1"/>
          <w:sz w:val="24"/>
          <w:szCs w:val="24"/>
        </w:rPr>
        <w:t>i a ninsorilor abundente din 2023</w:t>
      </w:r>
      <w:r w:rsidR="0086436B" w:rsidRPr="00CD2ADD">
        <w:rPr>
          <w:rFonts w:ascii="Times New Roman" w:hAnsi="Times New Roman" w:cs="Times New Roman"/>
          <w:color w:val="000000" w:themeColor="text1"/>
          <w:sz w:val="24"/>
          <w:szCs w:val="24"/>
        </w:rPr>
        <w:t xml:space="preserve"> (2 persoane)</w:t>
      </w:r>
      <w:r w:rsidR="00F05308"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Paguba material</w:t>
      </w:r>
      <w:bookmarkStart w:id="37" w:name="OLE_LINK23"/>
      <w:r w:rsidRPr="00CD2ADD">
        <w:rPr>
          <w:rFonts w:ascii="Times New Roman" w:hAnsi="Times New Roman" w:cs="Times New Roman"/>
          <w:color w:val="000000" w:themeColor="text1"/>
          <w:sz w:val="24"/>
          <w:szCs w:val="24"/>
        </w:rPr>
        <w:t>ă</w:t>
      </w:r>
      <w:bookmarkEnd w:id="37"/>
      <w:r w:rsidRPr="00CD2ADD">
        <w:rPr>
          <w:rFonts w:ascii="Times New Roman" w:hAnsi="Times New Roman" w:cs="Times New Roman"/>
          <w:color w:val="000000" w:themeColor="text1"/>
          <w:sz w:val="24"/>
          <w:szCs w:val="24"/>
        </w:rPr>
        <w:t xml:space="preserve"> provocată de aceste evenimente a totalizat peste 23 miliarde lei </w:t>
      </w:r>
      <w:r w:rsidR="00FA7A0C" w:rsidRPr="00CD2ADD">
        <w:rPr>
          <w:rFonts w:ascii="Times New Roman" w:hAnsi="Times New Roman" w:cs="Times New Roman"/>
          <w:color w:val="000000" w:themeColor="text1"/>
          <w:sz w:val="24"/>
          <w:szCs w:val="24"/>
        </w:rPr>
        <w:t xml:space="preserve">reprezentând 99% din totalul pagubelor </w:t>
      </w:r>
      <w:r w:rsidRPr="00CD2ADD">
        <w:rPr>
          <w:rFonts w:ascii="Times New Roman" w:hAnsi="Times New Roman" w:cs="Times New Roman"/>
          <w:color w:val="000000" w:themeColor="text1"/>
          <w:sz w:val="24"/>
          <w:szCs w:val="24"/>
        </w:rPr>
        <w:t>și au afectat în mod repetat infrastructura</w:t>
      </w:r>
      <w:r w:rsidR="00C5569C" w:rsidRPr="00CD2ADD">
        <w:rPr>
          <w:rFonts w:ascii="Times New Roman" w:hAnsi="Times New Roman" w:cs="Times New Roman"/>
          <w:color w:val="000000" w:themeColor="text1"/>
          <w:sz w:val="24"/>
          <w:szCs w:val="24"/>
        </w:rPr>
        <w:t xml:space="preserve"> critic</w:t>
      </w:r>
      <w:r w:rsidR="00985C3E" w:rsidRPr="00CD2ADD">
        <w:rPr>
          <w:rFonts w:ascii="Times New Roman" w:hAnsi="Times New Roman" w:cs="Times New Roman"/>
          <w:color w:val="000000" w:themeColor="text1"/>
          <w:sz w:val="24"/>
          <w:szCs w:val="24"/>
        </w:rPr>
        <w:t>ă</w:t>
      </w:r>
      <w:r w:rsidRPr="00CD2ADD">
        <w:rPr>
          <w:rFonts w:ascii="Times New Roman" w:hAnsi="Times New Roman" w:cs="Times New Roman"/>
          <w:color w:val="000000" w:themeColor="text1"/>
          <w:sz w:val="24"/>
          <w:szCs w:val="24"/>
        </w:rPr>
        <w:t>, sectorul agricol și comunitățile vulnerabile.</w:t>
      </w:r>
    </w:p>
    <w:p w14:paraId="30A1BF21" w14:textId="62F57247" w:rsidR="0074281D" w:rsidRPr="00CD2ADD" w:rsidRDefault="009219C3">
      <w:pPr>
        <w:pStyle w:val="ListParagraph"/>
        <w:numPr>
          <w:ilvl w:val="0"/>
          <w:numId w:val="42"/>
        </w:numPr>
        <w:ind w:left="0" w:firstLine="360"/>
        <w:jc w:val="both"/>
        <w:rPr>
          <w:rFonts w:ascii="Times New Roman" w:hAnsi="Times New Roman" w:cs="Times New Roman"/>
          <w:b/>
          <w:bCs/>
          <w:i/>
          <w:iCs/>
          <w:color w:val="000000" w:themeColor="text1"/>
          <w:sz w:val="24"/>
          <w:szCs w:val="24"/>
        </w:rPr>
      </w:pPr>
      <w:r w:rsidRPr="00CD2ADD">
        <w:rPr>
          <w:rFonts w:ascii="Times New Roman" w:hAnsi="Times New Roman" w:cs="Times New Roman"/>
          <w:color w:val="000000" w:themeColor="text1"/>
          <w:sz w:val="24"/>
          <w:szCs w:val="24"/>
        </w:rPr>
        <w:t xml:space="preserve">Figura </w:t>
      </w:r>
      <w:r w:rsidR="002E7035" w:rsidRPr="00CD2ADD">
        <w:rPr>
          <w:rFonts w:ascii="Times New Roman" w:hAnsi="Times New Roman" w:cs="Times New Roman"/>
          <w:color w:val="000000" w:themeColor="text1"/>
          <w:sz w:val="24"/>
          <w:szCs w:val="24"/>
        </w:rPr>
        <w:t>7</w:t>
      </w:r>
      <w:r w:rsidRPr="00CD2ADD">
        <w:rPr>
          <w:rFonts w:ascii="Times New Roman" w:hAnsi="Times New Roman" w:cs="Times New Roman"/>
          <w:color w:val="000000" w:themeColor="text1"/>
          <w:sz w:val="24"/>
          <w:szCs w:val="24"/>
        </w:rPr>
        <w:t xml:space="preserve"> care se refera la numărul SE cu caracter natural după tip </w:t>
      </w:r>
      <w:r w:rsidR="004B3292" w:rsidRPr="00CD2ADD">
        <w:rPr>
          <w:rFonts w:ascii="Times New Roman" w:hAnsi="Times New Roman" w:cs="Times New Roman"/>
          <w:color w:val="000000" w:themeColor="text1"/>
          <w:sz w:val="24"/>
          <w:szCs w:val="24"/>
        </w:rPr>
        <w:t>ș</w:t>
      </w:r>
      <w:r w:rsidRPr="00CD2ADD">
        <w:rPr>
          <w:rFonts w:ascii="Times New Roman" w:hAnsi="Times New Roman" w:cs="Times New Roman"/>
          <w:color w:val="000000" w:themeColor="text1"/>
          <w:sz w:val="24"/>
          <w:szCs w:val="24"/>
        </w:rPr>
        <w:t xml:space="preserve">i figura </w:t>
      </w:r>
      <w:r w:rsidR="002E7035" w:rsidRPr="00CD2ADD">
        <w:rPr>
          <w:rFonts w:ascii="Times New Roman" w:hAnsi="Times New Roman" w:cs="Times New Roman"/>
          <w:color w:val="000000" w:themeColor="text1"/>
          <w:sz w:val="24"/>
          <w:szCs w:val="24"/>
        </w:rPr>
        <w:t>8</w:t>
      </w:r>
      <w:r w:rsidRPr="00CD2ADD">
        <w:rPr>
          <w:rFonts w:ascii="Times New Roman" w:hAnsi="Times New Roman" w:cs="Times New Roman"/>
          <w:color w:val="000000" w:themeColor="text1"/>
          <w:sz w:val="24"/>
          <w:szCs w:val="24"/>
        </w:rPr>
        <w:t xml:space="preserve"> care reprezintă pagubele după tipul de SE trebuie interpretate împreună, deoarece ele subliniază faptul că majoritatea SE naturale sunt cauzate de ploi torențiale, cu grindin</w:t>
      </w:r>
      <w:r w:rsidR="004B3292" w:rsidRPr="00CD2ADD">
        <w:rPr>
          <w:rFonts w:ascii="Times New Roman" w:hAnsi="Times New Roman" w:cs="Times New Roman"/>
          <w:color w:val="000000" w:themeColor="text1"/>
          <w:sz w:val="24"/>
          <w:szCs w:val="24"/>
        </w:rPr>
        <w:t>ă</w:t>
      </w:r>
      <w:r w:rsidRPr="00CD2ADD">
        <w:rPr>
          <w:rFonts w:ascii="Times New Roman" w:hAnsi="Times New Roman" w:cs="Times New Roman"/>
          <w:color w:val="000000" w:themeColor="text1"/>
          <w:sz w:val="24"/>
          <w:szCs w:val="24"/>
        </w:rPr>
        <w:t xml:space="preserve">, cu vînt puternic </w:t>
      </w:r>
      <w:r w:rsidR="004B3292" w:rsidRPr="00CD2ADD">
        <w:rPr>
          <w:rFonts w:ascii="Times New Roman" w:hAnsi="Times New Roman" w:cs="Times New Roman"/>
          <w:color w:val="000000" w:themeColor="text1"/>
          <w:sz w:val="24"/>
          <w:szCs w:val="24"/>
        </w:rPr>
        <w:t>ș</w:t>
      </w:r>
      <w:r w:rsidRPr="00CD2ADD">
        <w:rPr>
          <w:rFonts w:ascii="Times New Roman" w:hAnsi="Times New Roman" w:cs="Times New Roman"/>
          <w:color w:val="000000" w:themeColor="text1"/>
          <w:sz w:val="24"/>
          <w:szCs w:val="24"/>
        </w:rPr>
        <w:t>i ploi de lung</w:t>
      </w:r>
      <w:r w:rsidR="004B3292" w:rsidRPr="00CD2ADD">
        <w:rPr>
          <w:rFonts w:ascii="Times New Roman" w:hAnsi="Times New Roman" w:cs="Times New Roman"/>
          <w:color w:val="000000" w:themeColor="text1"/>
          <w:sz w:val="24"/>
          <w:szCs w:val="24"/>
        </w:rPr>
        <w:t>ă</w:t>
      </w:r>
      <w:r w:rsidRPr="00CD2ADD">
        <w:rPr>
          <w:rFonts w:ascii="Times New Roman" w:hAnsi="Times New Roman" w:cs="Times New Roman"/>
          <w:color w:val="000000" w:themeColor="text1"/>
          <w:sz w:val="24"/>
          <w:szCs w:val="24"/>
        </w:rPr>
        <w:t xml:space="preserve"> durat</w:t>
      </w:r>
      <w:r w:rsidR="004B3292" w:rsidRPr="00CD2ADD">
        <w:rPr>
          <w:rFonts w:ascii="Times New Roman" w:hAnsi="Times New Roman" w:cs="Times New Roman"/>
          <w:color w:val="000000" w:themeColor="text1"/>
          <w:sz w:val="24"/>
          <w:szCs w:val="24"/>
        </w:rPr>
        <w:t>ă</w:t>
      </w:r>
      <w:r w:rsidRPr="00CD2ADD">
        <w:rPr>
          <w:rFonts w:ascii="Times New Roman" w:hAnsi="Times New Roman" w:cs="Times New Roman"/>
          <w:color w:val="000000" w:themeColor="text1"/>
          <w:sz w:val="24"/>
          <w:szCs w:val="24"/>
        </w:rPr>
        <w:t xml:space="preserve"> (66%), grindină mare (17%), vijelii, vârtejuri, furtuni de praf  și furtuni cu descărcări electrice (8%). În schimb, seceta, deși apare în doar 1% din cazuri, este responsabilă pentru peste 70% din valoarea totală a pagubelor, confirmând impactul său economic sistemic. Această disproporție semnalează necesitatea de a integra o abordare calitativă a riscurilor</w:t>
      </w:r>
      <w:r w:rsidR="007710B2" w:rsidRPr="00CD2ADD">
        <w:rPr>
          <w:rFonts w:ascii="Times New Roman" w:hAnsi="Times New Roman" w:cs="Times New Roman"/>
          <w:color w:val="000000" w:themeColor="text1"/>
          <w:sz w:val="24"/>
          <w:szCs w:val="24"/>
        </w:rPr>
        <w:t>.</w:t>
      </w:r>
    </w:p>
    <w:p w14:paraId="499DC895" w14:textId="3181F81F" w:rsidR="004B3292" w:rsidRPr="00CD2ADD" w:rsidRDefault="004B3292" w:rsidP="00ED6C76">
      <w:pPr>
        <w:pStyle w:val="ListParagraph"/>
        <w:spacing w:before="240" w:after="0"/>
        <w:ind w:left="360" w:firstLine="0"/>
        <w:jc w:val="center"/>
        <w:rPr>
          <w:rFonts w:ascii="Times New Roman" w:hAnsi="Times New Roman" w:cs="Times New Roman"/>
          <w:b/>
          <w:bCs/>
          <w:i/>
          <w:iCs/>
          <w:color w:val="000000" w:themeColor="text1"/>
          <w:sz w:val="24"/>
          <w:szCs w:val="24"/>
        </w:rPr>
      </w:pPr>
      <w:r w:rsidRPr="00CD2ADD">
        <w:rPr>
          <w:rFonts w:ascii="Times New Roman" w:hAnsi="Times New Roman" w:cs="Times New Roman"/>
          <w:b/>
          <w:bCs/>
          <w:color w:val="000000" w:themeColor="text1"/>
          <w:sz w:val="24"/>
          <w:szCs w:val="24"/>
        </w:rPr>
        <w:t>Figura 7</w:t>
      </w:r>
      <w:r w:rsidRPr="00CD2ADD">
        <w:rPr>
          <w:rFonts w:ascii="Times New Roman" w:hAnsi="Times New Roman" w:cs="Times New Roman"/>
          <w:color w:val="000000" w:themeColor="text1"/>
          <w:sz w:val="24"/>
          <w:szCs w:val="24"/>
        </w:rPr>
        <w:t>. Numărul SE cu caracter natural în republica Moldova după tip, 2010-2024</w:t>
      </w:r>
    </w:p>
    <w:p w14:paraId="2D00ECF7" w14:textId="5B502A50" w:rsidR="004B3292" w:rsidRPr="00CD2ADD" w:rsidRDefault="004B3292" w:rsidP="002403FC">
      <w:pPr>
        <w:jc w:val="center"/>
        <w:rPr>
          <w:b/>
          <w:bCs/>
          <w:i/>
          <w:iCs/>
          <w:color w:val="000000" w:themeColor="text1"/>
        </w:rPr>
      </w:pPr>
      <w:r w:rsidRPr="00CD2ADD">
        <w:rPr>
          <w:noProof/>
        </w:rPr>
        <w:drawing>
          <wp:inline distT="0" distB="0" distL="0" distR="0" wp14:anchorId="2D741D8C" wp14:editId="2A325E7F">
            <wp:extent cx="6019800" cy="3790950"/>
            <wp:effectExtent l="0" t="0" r="0" b="0"/>
            <wp:docPr id="921117082" name="Chart 1">
              <a:extLst xmlns:a="http://schemas.openxmlformats.org/drawingml/2006/main">
                <a:ext uri="{FF2B5EF4-FFF2-40B4-BE49-F238E27FC236}">
                  <a16:creationId xmlns:a16="http://schemas.microsoft.com/office/drawing/2014/main" id="{2119D683-A135-162B-6035-B4AEE4BF42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738FE73" w14:textId="1239CCFA" w:rsidR="004B3292" w:rsidRPr="00CD2ADD" w:rsidRDefault="004B3292" w:rsidP="00F209DF">
      <w:pPr>
        <w:jc w:val="center"/>
        <w:rPr>
          <w:i/>
          <w:iCs/>
        </w:rPr>
      </w:pPr>
      <w:r w:rsidRPr="00CD2ADD">
        <w:rPr>
          <w:i/>
          <w:iCs/>
          <w:sz w:val="20"/>
          <w:szCs w:val="20"/>
        </w:rPr>
        <w:t xml:space="preserve">Sursa: </w:t>
      </w:r>
      <w:hyperlink r:id="rId20" w:history="1">
        <w:r w:rsidRPr="00CD2ADD">
          <w:rPr>
            <w:rStyle w:val="Hyperlink"/>
            <w:i/>
            <w:iCs/>
            <w:sz w:val="20"/>
            <w:szCs w:val="20"/>
          </w:rPr>
          <w:t>Analiza Situațiilor Excepționale, 2010-2024, IGSU</w:t>
        </w:r>
      </w:hyperlink>
    </w:p>
    <w:p w14:paraId="1BECB503" w14:textId="613BE42E" w:rsidR="009C6D6A" w:rsidRPr="00CD2ADD" w:rsidRDefault="004B3292">
      <w:pPr>
        <w:pStyle w:val="ListParagraph"/>
        <w:numPr>
          <w:ilvl w:val="0"/>
          <w:numId w:val="42"/>
        </w:numPr>
        <w:spacing w:before="120" w:after="120"/>
        <w:ind w:left="0" w:firstLine="207"/>
        <w:jc w:val="both"/>
        <w:rPr>
          <w:rFonts w:ascii="Times New Roman" w:hAnsi="Times New Roman" w:cs="Times New Roman"/>
          <w:b/>
          <w:bCs/>
          <w:i/>
          <w:iCs/>
          <w:color w:val="000000" w:themeColor="text1"/>
          <w:sz w:val="24"/>
          <w:szCs w:val="24"/>
        </w:rPr>
      </w:pPr>
      <w:r w:rsidRPr="00CD2ADD">
        <w:rPr>
          <w:rFonts w:ascii="Times New Roman" w:hAnsi="Times New Roman" w:cs="Times New Roman"/>
          <w:color w:val="000000" w:themeColor="text1"/>
          <w:sz w:val="24"/>
          <w:szCs w:val="24"/>
        </w:rPr>
        <w:lastRenderedPageBreak/>
        <w:t>Mai mult, Figura 8 evidențiază distribuția pagubelor materiale generate de diferite tipuri de fenomene naturale între 2010 și 2024 și scoate în evidență un dezechilibru semnificativ între frecvență și impact. Seceta menționată și mai sus, deși reprezintă doar 1% din totalul evenimentelor este responsabilă de aproape trei sferturi din valoarea totală a pagubelor, ceea ce confirmă caracterul său devastator și extins asupra economiei, în special în sectorul agricol. Alte fenomene meteorologice frecvente, precum ploile torențiale cu grindina, cu vânt puternic si ploi de lunga durata reprezintă 18% din pagubele economice, celelalte categorii contribuie doar marginal la pierderile materiale (între 1 - 4% fiecare).</w:t>
      </w:r>
    </w:p>
    <w:p w14:paraId="33615C90" w14:textId="77777777" w:rsidR="009C6D6A" w:rsidRPr="00CD2ADD" w:rsidRDefault="009C6D6A" w:rsidP="009C6D6A">
      <w:pPr>
        <w:spacing w:before="120" w:after="120"/>
        <w:jc w:val="center"/>
        <w:rPr>
          <w:sz w:val="20"/>
          <w:szCs w:val="20"/>
        </w:rPr>
      </w:pPr>
      <w:r w:rsidRPr="00CD2ADD">
        <w:rPr>
          <w:b/>
          <w:bCs/>
          <w:sz w:val="22"/>
          <w:szCs w:val="22"/>
        </w:rPr>
        <w:t>Figura 8.</w:t>
      </w:r>
      <w:r w:rsidRPr="00CD2ADD">
        <w:rPr>
          <w:sz w:val="22"/>
          <w:szCs w:val="22"/>
        </w:rPr>
        <w:t xml:space="preserve"> Pagubele SE în Republica Moldova (mii lei), 2010-2014</w:t>
      </w:r>
    </w:p>
    <w:p w14:paraId="60181CB9" w14:textId="583B5418" w:rsidR="009C6D6A" w:rsidRPr="00CD2ADD" w:rsidRDefault="009C6D6A" w:rsidP="002403FC">
      <w:pPr>
        <w:jc w:val="center"/>
        <w:rPr>
          <w:b/>
          <w:bCs/>
          <w:i/>
          <w:iCs/>
          <w:color w:val="000000" w:themeColor="text1"/>
        </w:rPr>
      </w:pPr>
      <w:r w:rsidRPr="00CD2ADD">
        <w:rPr>
          <w:noProof/>
        </w:rPr>
        <w:drawing>
          <wp:inline distT="0" distB="0" distL="0" distR="0" wp14:anchorId="77160FA8" wp14:editId="55E4BD6A">
            <wp:extent cx="5895975" cy="4048125"/>
            <wp:effectExtent l="0" t="0" r="9525" b="9525"/>
            <wp:docPr id="1636425551" name="Chart 1">
              <a:extLst xmlns:a="http://schemas.openxmlformats.org/drawingml/2006/main">
                <a:ext uri="{FF2B5EF4-FFF2-40B4-BE49-F238E27FC236}">
                  <a16:creationId xmlns:a16="http://schemas.microsoft.com/office/drawing/2014/main" id="{31D26CFE-44AC-129F-A445-74C32E735C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3F3069" w14:textId="299DE85F" w:rsidR="009C6D6A" w:rsidRPr="00CD2ADD" w:rsidRDefault="009C6D6A" w:rsidP="00ED6C76">
      <w:pPr>
        <w:spacing w:after="240"/>
        <w:jc w:val="center"/>
        <w:rPr>
          <w:i/>
          <w:iCs/>
          <w:sz w:val="20"/>
          <w:szCs w:val="20"/>
        </w:rPr>
      </w:pPr>
      <w:r w:rsidRPr="00CD2ADD">
        <w:rPr>
          <w:i/>
          <w:iCs/>
          <w:sz w:val="20"/>
          <w:szCs w:val="20"/>
        </w:rPr>
        <w:t xml:space="preserve">Sursa: </w:t>
      </w:r>
      <w:hyperlink r:id="rId22" w:history="1">
        <w:r w:rsidRPr="00CD2ADD">
          <w:rPr>
            <w:rStyle w:val="Hyperlink"/>
            <w:i/>
            <w:iCs/>
            <w:sz w:val="20"/>
            <w:szCs w:val="20"/>
          </w:rPr>
          <w:t>Analiza Situațiilor Excepționale, 2010-2024, IGSU</w:t>
        </w:r>
      </w:hyperlink>
    </w:p>
    <w:p w14:paraId="513A1B12" w14:textId="51502FF7" w:rsidR="009219C3" w:rsidRPr="00CD2ADD" w:rsidRDefault="009219C3" w:rsidP="008D4620">
      <w:pPr>
        <w:ind w:firstLine="360"/>
        <w:jc w:val="both"/>
        <w:rPr>
          <w:b/>
          <w:bCs/>
          <w:i/>
          <w:iCs/>
          <w:color w:val="000000" w:themeColor="text1"/>
        </w:rPr>
      </w:pPr>
      <w:bookmarkStart w:id="38" w:name="OLE_LINK26"/>
      <w:bookmarkEnd w:id="34"/>
      <w:r w:rsidRPr="00CD2ADD">
        <w:rPr>
          <w:color w:val="000000" w:themeColor="text1"/>
        </w:rPr>
        <w:t xml:space="preserve">Acest contrast între incidență și impact economic evidențiază nevoia unei reorientări a politicilor de gestionare a riscurilor, care să acorde o atenție deosebită evenimentelor cu recurență redusă dar consecințe sistemice severe, precum seceta. În contextul schimbărilor climatice, unde frecvența și severitatea secetei este de așteptat să crească, este esențială consolidarea capacităților de anticipare, adaptare și răspuns, în special prin instrumente financiare de protecție și mecanisme de sprijin pentru comunitățile agricole expuse. </w:t>
      </w:r>
    </w:p>
    <w:p w14:paraId="5AF63B26" w14:textId="0A96CC39" w:rsidR="005B32BA" w:rsidRPr="00CD2ADD" w:rsidRDefault="007B0EA5" w:rsidP="008D4620">
      <w:pPr>
        <w:ind w:firstLine="360"/>
        <w:jc w:val="both"/>
        <w:rPr>
          <w:b/>
          <w:bCs/>
          <w:i/>
          <w:iCs/>
          <w:color w:val="000000" w:themeColor="text1"/>
        </w:rPr>
      </w:pPr>
      <w:r w:rsidRPr="00CD2ADD">
        <w:rPr>
          <w:color w:val="000000" w:themeColor="text1"/>
        </w:rPr>
        <w:t>Deși frecvența generală a SE pare să fie în scădere, severitatea și impactul economic al dezastrelor naturale</w:t>
      </w:r>
      <w:r w:rsidR="008F1F54" w:rsidRPr="00CD2ADD">
        <w:rPr>
          <w:color w:val="000000" w:themeColor="text1"/>
        </w:rPr>
        <w:t xml:space="preserve"> </w:t>
      </w:r>
      <w:r w:rsidRPr="00CD2ADD">
        <w:rPr>
          <w:color w:val="000000" w:themeColor="text1"/>
        </w:rPr>
        <w:t>sunt semnificative. Aceste constatări subliniază nevoia unui sistem robust de anticipare, evaluare și management al riscurilor</w:t>
      </w:r>
      <w:r w:rsidR="00F83F1C" w:rsidRPr="00CD2ADD">
        <w:rPr>
          <w:color w:val="000000" w:themeColor="text1"/>
        </w:rPr>
        <w:t xml:space="preserve"> dezastrelor</w:t>
      </w:r>
      <w:r w:rsidRPr="00CD2ADD">
        <w:rPr>
          <w:color w:val="000000" w:themeColor="text1"/>
        </w:rPr>
        <w:t>, în special pentru agricultură, infrastructură</w:t>
      </w:r>
      <w:r w:rsidR="008F1F54" w:rsidRPr="00CD2ADD">
        <w:rPr>
          <w:color w:val="000000" w:themeColor="text1"/>
        </w:rPr>
        <w:t xml:space="preserve"> critic</w:t>
      </w:r>
      <w:r w:rsidR="00F83F1C" w:rsidRPr="00CD2ADD">
        <w:rPr>
          <w:color w:val="000000" w:themeColor="text1"/>
        </w:rPr>
        <w:t>ă</w:t>
      </w:r>
      <w:r w:rsidRPr="00CD2ADD">
        <w:rPr>
          <w:color w:val="000000" w:themeColor="text1"/>
        </w:rPr>
        <w:t xml:space="preserve"> și comunități vulnerabile. </w:t>
      </w:r>
      <w:bookmarkEnd w:id="28"/>
      <w:bookmarkEnd w:id="35"/>
      <w:bookmarkEnd w:id="38"/>
    </w:p>
    <w:p w14:paraId="3FCA384C" w14:textId="77777777" w:rsidR="005F669D" w:rsidRPr="00CD2ADD" w:rsidRDefault="005F669D" w:rsidP="00F209DF">
      <w:pPr>
        <w:pStyle w:val="ListParagraph"/>
        <w:spacing w:after="0"/>
        <w:ind w:left="360" w:firstLine="0"/>
        <w:jc w:val="center"/>
        <w:rPr>
          <w:rFonts w:ascii="Times New Roman" w:hAnsi="Times New Roman" w:cs="Times New Roman"/>
          <w:b/>
          <w:bCs/>
          <w:i/>
          <w:iCs/>
          <w:color w:val="000000" w:themeColor="text1"/>
          <w:sz w:val="24"/>
          <w:szCs w:val="24"/>
        </w:rPr>
      </w:pPr>
    </w:p>
    <w:p w14:paraId="41091C2A" w14:textId="77777777" w:rsidR="009C6D6A" w:rsidRPr="00CD2ADD" w:rsidRDefault="009C6D6A" w:rsidP="00590E37">
      <w:pPr>
        <w:pStyle w:val="Heading2"/>
        <w:spacing w:before="0"/>
        <w:jc w:val="center"/>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Secțiunea a 7-a</w:t>
      </w:r>
    </w:p>
    <w:p w14:paraId="158A42A3" w14:textId="77777777" w:rsidR="009C6D6A" w:rsidRPr="00CD2ADD" w:rsidRDefault="009C6D6A" w:rsidP="00590E37">
      <w:pPr>
        <w:pStyle w:val="Heading2"/>
        <w:spacing w:before="0"/>
        <w:jc w:val="center"/>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Analiza pe tipuri de risc: profil, impact, vulnerabilitate, expunere și capacitate de adaptare</w:t>
      </w:r>
    </w:p>
    <w:p w14:paraId="26A2CF96" w14:textId="77777777" w:rsidR="009C6D6A" w:rsidRPr="00CD2ADD" w:rsidRDefault="009C6D6A" w:rsidP="00F209DF">
      <w:pPr>
        <w:pStyle w:val="ListParagraph"/>
        <w:spacing w:after="0"/>
        <w:ind w:left="360" w:firstLine="0"/>
        <w:jc w:val="both"/>
        <w:rPr>
          <w:rFonts w:ascii="Times New Roman" w:hAnsi="Times New Roman" w:cs="Times New Roman"/>
          <w:b/>
          <w:bCs/>
          <w:i/>
          <w:iCs/>
          <w:color w:val="000000" w:themeColor="text1"/>
          <w:sz w:val="24"/>
          <w:szCs w:val="24"/>
        </w:rPr>
      </w:pPr>
    </w:p>
    <w:bookmarkEnd w:id="4"/>
    <w:bookmarkEnd w:id="36"/>
    <w:p w14:paraId="5824D993" w14:textId="77777777" w:rsidR="00F209DF" w:rsidRPr="00CD2ADD" w:rsidRDefault="004A7E2D">
      <w:pPr>
        <w:pStyle w:val="ListParagraph"/>
        <w:numPr>
          <w:ilvl w:val="0"/>
          <w:numId w:val="42"/>
        </w:numPr>
        <w:spacing w:after="0"/>
        <w:ind w:left="0" w:firstLine="360"/>
        <w:jc w:val="both"/>
        <w:rPr>
          <w:rFonts w:ascii="Times New Roman" w:hAnsi="Times New Roman" w:cs="Times New Roman"/>
          <w:b/>
          <w:bCs/>
          <w:i/>
          <w:iCs/>
          <w:color w:val="000000" w:themeColor="text1"/>
          <w:sz w:val="24"/>
          <w:szCs w:val="24"/>
        </w:rPr>
      </w:pPr>
      <w:r w:rsidRPr="00CD2ADD">
        <w:rPr>
          <w:rFonts w:ascii="Times New Roman" w:hAnsi="Times New Roman" w:cs="Times New Roman"/>
          <w:color w:val="000000" w:themeColor="text1"/>
          <w:sz w:val="24"/>
          <w:szCs w:val="24"/>
        </w:rPr>
        <w:lastRenderedPageBreak/>
        <w:t xml:space="preserve">În cadrul </w:t>
      </w:r>
      <w:r w:rsidR="006A776B" w:rsidRPr="00CD2ADD">
        <w:rPr>
          <w:rFonts w:ascii="Times New Roman" w:hAnsi="Times New Roman" w:cs="Times New Roman"/>
          <w:color w:val="000000" w:themeColor="text1"/>
          <w:sz w:val="24"/>
          <w:szCs w:val="24"/>
        </w:rPr>
        <w:t>PNRRD</w:t>
      </w:r>
      <w:r w:rsidR="00C2765B" w:rsidRPr="00CD2ADD">
        <w:rPr>
          <w:rFonts w:ascii="Times New Roman" w:hAnsi="Times New Roman" w:cs="Times New Roman"/>
          <w:color w:val="000000" w:themeColor="text1"/>
          <w:sz w:val="24"/>
          <w:szCs w:val="24"/>
        </w:rPr>
        <w:t>N</w:t>
      </w:r>
      <w:r w:rsidR="00F83F1C" w:rsidRPr="00CD2ADD">
        <w:rPr>
          <w:rFonts w:ascii="Times New Roman" w:hAnsi="Times New Roman" w:cs="Times New Roman"/>
          <w:color w:val="000000" w:themeColor="text1"/>
          <w:sz w:val="24"/>
          <w:szCs w:val="24"/>
        </w:rPr>
        <w:t xml:space="preserve"> 2030</w:t>
      </w:r>
      <w:r w:rsidRPr="00CD2ADD">
        <w:rPr>
          <w:rFonts w:ascii="Times New Roman" w:hAnsi="Times New Roman" w:cs="Times New Roman"/>
          <w:color w:val="000000" w:themeColor="text1"/>
          <w:sz w:val="24"/>
          <w:szCs w:val="24"/>
        </w:rPr>
        <w:t xml:space="preserve">, </w:t>
      </w:r>
      <w:r w:rsidR="001A4732" w:rsidRPr="00CD2ADD">
        <w:rPr>
          <w:rFonts w:ascii="Times New Roman" w:hAnsi="Times New Roman" w:cs="Times New Roman"/>
          <w:color w:val="000000" w:themeColor="text1"/>
          <w:sz w:val="24"/>
          <w:szCs w:val="24"/>
        </w:rPr>
        <w:t>sunt</w:t>
      </w:r>
      <w:r w:rsidRPr="00CD2ADD">
        <w:rPr>
          <w:rFonts w:ascii="Times New Roman" w:hAnsi="Times New Roman" w:cs="Times New Roman"/>
          <w:color w:val="000000" w:themeColor="text1"/>
          <w:sz w:val="24"/>
          <w:szCs w:val="24"/>
        </w:rPr>
        <w:t xml:space="preserve"> analizate riscurile identificate în S</w:t>
      </w:r>
      <w:r w:rsidR="00F83F1C" w:rsidRPr="00CD2ADD">
        <w:rPr>
          <w:rFonts w:ascii="Times New Roman" w:hAnsi="Times New Roman" w:cs="Times New Roman"/>
          <w:color w:val="000000" w:themeColor="text1"/>
          <w:sz w:val="24"/>
          <w:szCs w:val="24"/>
        </w:rPr>
        <w:t>NRRD 2024-2030</w:t>
      </w:r>
      <w:r w:rsidRPr="00CD2ADD">
        <w:rPr>
          <w:rFonts w:ascii="Times New Roman" w:hAnsi="Times New Roman" w:cs="Times New Roman"/>
          <w:color w:val="000000" w:themeColor="text1"/>
          <w:sz w:val="24"/>
          <w:szCs w:val="24"/>
        </w:rPr>
        <w:t xml:space="preserve">. Identificarea </w:t>
      </w:r>
      <w:r w:rsidR="00F83F1C" w:rsidRPr="00CD2ADD">
        <w:rPr>
          <w:rFonts w:ascii="Times New Roman" w:hAnsi="Times New Roman" w:cs="Times New Roman"/>
          <w:color w:val="000000" w:themeColor="text1"/>
          <w:sz w:val="24"/>
          <w:szCs w:val="24"/>
        </w:rPr>
        <w:t>ș</w:t>
      </w:r>
      <w:r w:rsidRPr="00CD2ADD">
        <w:rPr>
          <w:rFonts w:ascii="Times New Roman" w:hAnsi="Times New Roman" w:cs="Times New Roman"/>
          <w:color w:val="000000" w:themeColor="text1"/>
          <w:sz w:val="24"/>
          <w:szCs w:val="24"/>
        </w:rPr>
        <w:t xml:space="preserve">i evaluarea riscurilor naturale </w:t>
      </w:r>
      <w:r w:rsidR="00F209DF" w:rsidRPr="00CD2ADD">
        <w:rPr>
          <w:rFonts w:ascii="Times New Roman" w:hAnsi="Times New Roman" w:cs="Times New Roman"/>
          <w:color w:val="000000" w:themeColor="text1"/>
          <w:sz w:val="24"/>
          <w:szCs w:val="24"/>
        </w:rPr>
        <w:t>ș</w:t>
      </w:r>
      <w:r w:rsidR="00585F24" w:rsidRPr="00CD2ADD">
        <w:rPr>
          <w:rFonts w:ascii="Times New Roman" w:hAnsi="Times New Roman" w:cs="Times New Roman"/>
          <w:color w:val="000000" w:themeColor="text1"/>
          <w:sz w:val="24"/>
          <w:szCs w:val="24"/>
        </w:rPr>
        <w:t xml:space="preserve">i biologico-sociale </w:t>
      </w:r>
      <w:r w:rsidRPr="00CD2ADD">
        <w:rPr>
          <w:rFonts w:ascii="Times New Roman" w:hAnsi="Times New Roman" w:cs="Times New Roman"/>
          <w:color w:val="000000" w:themeColor="text1"/>
          <w:sz w:val="24"/>
          <w:szCs w:val="24"/>
        </w:rPr>
        <w:t xml:space="preserve">a fost realizata </w:t>
      </w:r>
      <w:r w:rsidR="003658CD" w:rsidRPr="00CD2ADD">
        <w:rPr>
          <w:rFonts w:ascii="Times New Roman" w:hAnsi="Times New Roman" w:cs="Times New Roman"/>
          <w:color w:val="000000" w:themeColor="text1"/>
          <w:sz w:val="24"/>
          <w:szCs w:val="24"/>
        </w:rPr>
        <w:t>în cursul anului 2024 în cadrul procesului de elaborare a SNRRD</w:t>
      </w:r>
      <w:r w:rsidR="00F83F1C" w:rsidRPr="00CD2ADD">
        <w:rPr>
          <w:rFonts w:ascii="Times New Roman" w:hAnsi="Times New Roman" w:cs="Times New Roman"/>
          <w:color w:val="000000" w:themeColor="text1"/>
          <w:sz w:val="24"/>
          <w:szCs w:val="24"/>
        </w:rPr>
        <w:t xml:space="preserve"> 2024-2030</w:t>
      </w:r>
      <w:r w:rsidR="003658CD"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 xml:space="preserve">prin aplicarea unei metodologii structurate de evaluare bazată pe matricea de risc. </w:t>
      </w:r>
      <w:r w:rsidR="0076163B" w:rsidRPr="00CD2ADD">
        <w:rPr>
          <w:rFonts w:ascii="Times New Roman" w:hAnsi="Times New Roman" w:cs="Times New Roman"/>
          <w:color w:val="000000" w:themeColor="text1"/>
          <w:sz w:val="24"/>
          <w:szCs w:val="24"/>
        </w:rPr>
        <w:t>Aceast</w:t>
      </w:r>
      <w:r w:rsidR="00F83F1C" w:rsidRPr="00CD2ADD">
        <w:rPr>
          <w:rFonts w:ascii="Times New Roman" w:hAnsi="Times New Roman" w:cs="Times New Roman"/>
          <w:color w:val="000000" w:themeColor="text1"/>
          <w:sz w:val="24"/>
          <w:szCs w:val="24"/>
        </w:rPr>
        <w:t>ă</w:t>
      </w:r>
      <w:r w:rsidR="0076163B" w:rsidRPr="00CD2ADD">
        <w:rPr>
          <w:rFonts w:ascii="Times New Roman" w:hAnsi="Times New Roman" w:cs="Times New Roman"/>
          <w:color w:val="000000" w:themeColor="text1"/>
          <w:sz w:val="24"/>
          <w:szCs w:val="24"/>
        </w:rPr>
        <w:t xml:space="preserve"> metodologie este recomandat</w:t>
      </w:r>
      <w:r w:rsidR="00F83F1C" w:rsidRPr="00CD2ADD">
        <w:rPr>
          <w:rFonts w:ascii="Times New Roman" w:hAnsi="Times New Roman" w:cs="Times New Roman"/>
          <w:color w:val="000000" w:themeColor="text1"/>
          <w:sz w:val="24"/>
          <w:szCs w:val="24"/>
        </w:rPr>
        <w:t>ă</w:t>
      </w:r>
      <w:r w:rsidR="003658CD" w:rsidRPr="00CD2ADD">
        <w:rPr>
          <w:rFonts w:ascii="Times New Roman" w:hAnsi="Times New Roman" w:cs="Times New Roman"/>
          <w:color w:val="000000" w:themeColor="text1"/>
          <w:sz w:val="24"/>
          <w:szCs w:val="24"/>
        </w:rPr>
        <w:t xml:space="preserve"> </w:t>
      </w:r>
      <w:r w:rsidR="00AE7394" w:rsidRPr="00CD2ADD">
        <w:rPr>
          <w:rFonts w:ascii="Times New Roman" w:hAnsi="Times New Roman" w:cs="Times New Roman"/>
          <w:color w:val="000000" w:themeColor="text1"/>
          <w:sz w:val="24"/>
          <w:szCs w:val="24"/>
        </w:rPr>
        <w:t>atât</w:t>
      </w:r>
      <w:r w:rsidR="003658CD" w:rsidRPr="00CD2ADD">
        <w:rPr>
          <w:rFonts w:ascii="Times New Roman" w:hAnsi="Times New Roman" w:cs="Times New Roman"/>
          <w:color w:val="000000" w:themeColor="text1"/>
          <w:sz w:val="24"/>
          <w:szCs w:val="24"/>
        </w:rPr>
        <w:t xml:space="preserve"> </w:t>
      </w:r>
      <w:r w:rsidR="0076163B" w:rsidRPr="00CD2ADD">
        <w:rPr>
          <w:rFonts w:ascii="Times New Roman" w:hAnsi="Times New Roman" w:cs="Times New Roman"/>
          <w:color w:val="000000" w:themeColor="text1"/>
          <w:sz w:val="24"/>
          <w:szCs w:val="24"/>
        </w:rPr>
        <w:t>de</w:t>
      </w:r>
      <w:r w:rsidR="00AE7394" w:rsidRPr="00CD2ADD">
        <w:rPr>
          <w:rFonts w:ascii="Times New Roman" w:hAnsi="Times New Roman" w:cs="Times New Roman"/>
          <w:color w:val="000000" w:themeColor="text1"/>
          <w:sz w:val="24"/>
          <w:szCs w:val="24"/>
        </w:rPr>
        <w:t xml:space="preserve"> către</w:t>
      </w:r>
      <w:r w:rsidR="0076163B" w:rsidRPr="00CD2ADD">
        <w:rPr>
          <w:rFonts w:ascii="Times New Roman" w:hAnsi="Times New Roman" w:cs="Times New Roman"/>
          <w:color w:val="000000" w:themeColor="text1"/>
          <w:sz w:val="24"/>
          <w:szCs w:val="24"/>
        </w:rPr>
        <w:t xml:space="preserve"> UNDRR </w:t>
      </w:r>
      <w:r w:rsidR="00F83F1C" w:rsidRPr="00CD2ADD">
        <w:rPr>
          <w:rFonts w:ascii="Times New Roman" w:hAnsi="Times New Roman" w:cs="Times New Roman"/>
          <w:color w:val="000000" w:themeColor="text1"/>
          <w:sz w:val="24"/>
          <w:szCs w:val="24"/>
        </w:rPr>
        <w:t>î</w:t>
      </w:r>
      <w:r w:rsidR="0076163B" w:rsidRPr="00CD2ADD">
        <w:rPr>
          <w:rFonts w:ascii="Times New Roman" w:hAnsi="Times New Roman" w:cs="Times New Roman"/>
          <w:color w:val="000000" w:themeColor="text1"/>
          <w:sz w:val="24"/>
          <w:szCs w:val="24"/>
        </w:rPr>
        <w:t>n Ghidul tehnic privind evaluarea și planificarea cuprinzătoare a riscurilor în contextul schimbărilor climatice</w:t>
      </w:r>
      <w:r w:rsidR="0076163B" w:rsidRPr="00CD2ADD">
        <w:rPr>
          <w:rStyle w:val="FootnoteReference"/>
          <w:rFonts w:ascii="Times New Roman" w:hAnsi="Times New Roman" w:cs="Times New Roman"/>
          <w:color w:val="000000" w:themeColor="text1"/>
          <w:sz w:val="24"/>
          <w:szCs w:val="24"/>
        </w:rPr>
        <w:footnoteReference w:id="10"/>
      </w:r>
      <w:r w:rsidR="0076163B" w:rsidRPr="00CD2ADD">
        <w:rPr>
          <w:rFonts w:ascii="Times New Roman" w:hAnsi="Times New Roman" w:cs="Times New Roman"/>
          <w:color w:val="000000" w:themeColor="text1"/>
          <w:sz w:val="24"/>
          <w:szCs w:val="24"/>
        </w:rPr>
        <w:t xml:space="preserve"> </w:t>
      </w:r>
      <w:r w:rsidR="00807EAB" w:rsidRPr="00CD2ADD">
        <w:rPr>
          <w:rFonts w:ascii="Times New Roman" w:hAnsi="Times New Roman" w:cs="Times New Roman"/>
          <w:color w:val="000000" w:themeColor="text1"/>
          <w:sz w:val="24"/>
          <w:szCs w:val="24"/>
        </w:rPr>
        <w:t>c</w:t>
      </w:r>
      <w:r w:rsidR="00753412" w:rsidRPr="00CD2ADD">
        <w:rPr>
          <w:rFonts w:ascii="Times New Roman" w:hAnsi="Times New Roman" w:cs="Times New Roman"/>
          <w:color w:val="000000" w:themeColor="text1"/>
          <w:sz w:val="24"/>
          <w:szCs w:val="24"/>
        </w:rPr>
        <w:t>â</w:t>
      </w:r>
      <w:r w:rsidR="00807EAB" w:rsidRPr="00CD2ADD">
        <w:rPr>
          <w:rFonts w:ascii="Times New Roman" w:hAnsi="Times New Roman" w:cs="Times New Roman"/>
          <w:color w:val="000000" w:themeColor="text1"/>
          <w:sz w:val="24"/>
          <w:szCs w:val="24"/>
        </w:rPr>
        <w:t xml:space="preserve">t </w:t>
      </w:r>
      <w:r w:rsidR="00F209DF" w:rsidRPr="00CD2ADD">
        <w:rPr>
          <w:rFonts w:ascii="Times New Roman" w:hAnsi="Times New Roman" w:cs="Times New Roman"/>
          <w:color w:val="000000" w:themeColor="text1"/>
          <w:sz w:val="24"/>
          <w:szCs w:val="24"/>
        </w:rPr>
        <w:t>ș</w:t>
      </w:r>
      <w:r w:rsidR="00807EAB" w:rsidRPr="00CD2ADD">
        <w:rPr>
          <w:rFonts w:ascii="Times New Roman" w:hAnsi="Times New Roman" w:cs="Times New Roman"/>
          <w:color w:val="000000" w:themeColor="text1"/>
          <w:sz w:val="24"/>
          <w:szCs w:val="24"/>
        </w:rPr>
        <w:t xml:space="preserve">i de </w:t>
      </w:r>
      <w:r w:rsidR="00753412" w:rsidRPr="00CD2ADD">
        <w:rPr>
          <w:rFonts w:ascii="Times New Roman" w:hAnsi="Times New Roman" w:cs="Times New Roman"/>
          <w:color w:val="000000" w:themeColor="text1"/>
          <w:sz w:val="24"/>
          <w:szCs w:val="24"/>
        </w:rPr>
        <w:t>Liniile directoare de raportare privind gestionarea riscurilor de dezastru, articolul 6 alineatul (1) litera d din Decizia nr. 1313/2013/UE (2019/C 428/07).</w:t>
      </w:r>
      <w:r w:rsidR="00753412" w:rsidRPr="00CD2ADD">
        <w:rPr>
          <w:rStyle w:val="FootnoteReference"/>
          <w:rFonts w:ascii="Times New Roman" w:hAnsi="Times New Roman" w:cs="Times New Roman"/>
          <w:color w:val="000000" w:themeColor="text1"/>
          <w:sz w:val="24"/>
          <w:szCs w:val="24"/>
        </w:rPr>
        <w:footnoteReference w:id="11"/>
      </w:r>
    </w:p>
    <w:p w14:paraId="1FAEACF4" w14:textId="77777777" w:rsidR="00F209DF" w:rsidRPr="00CD2ADD" w:rsidRDefault="004A7E2D" w:rsidP="00F209DF">
      <w:pPr>
        <w:ind w:firstLine="360"/>
        <w:jc w:val="both"/>
        <w:rPr>
          <w:rFonts w:eastAsiaTheme="minorHAnsi"/>
          <w:b/>
          <w:bCs/>
          <w:i/>
          <w:iCs/>
          <w:color w:val="000000" w:themeColor="text1"/>
        </w:rPr>
      </w:pPr>
      <w:r w:rsidRPr="00CD2ADD">
        <w:rPr>
          <w:color w:val="000000" w:themeColor="text1"/>
        </w:rPr>
        <w:t xml:space="preserve">Aceasta combină probabilitatea de apariție a fiecărui tip de hazard cu impactul potențial asupra sectoarelor cheie ale economiei și societății. </w:t>
      </w:r>
      <w:r w:rsidR="00DC7A81" w:rsidRPr="00CD2ADD">
        <w:rPr>
          <w:rFonts w:eastAsia="Arial Unicode MS"/>
          <w:color w:val="000000" w:themeColor="text1"/>
          <w:u w:color="000000"/>
          <w:bdr w:val="nil"/>
        </w:rPr>
        <w:t>Probabilitatea apariției riscului, a fost evaluată pe o scară de la aproape nulă până la foarte înaltă, și impactul riscului, a fost evaluat pe o scară de la impact minimal până la impact sever. Valoarea riscului se determină la intersecția între nivelurile atribuite probabilității și impactului.</w:t>
      </w:r>
    </w:p>
    <w:p w14:paraId="0796B043" w14:textId="19CF87F8" w:rsidR="00C85BB7" w:rsidRPr="00CD2ADD" w:rsidRDefault="00DC7A81" w:rsidP="00F209DF">
      <w:pPr>
        <w:ind w:firstLine="360"/>
        <w:jc w:val="both"/>
        <w:rPr>
          <w:b/>
          <w:bCs/>
          <w:i/>
          <w:iCs/>
          <w:color w:val="000000" w:themeColor="text1"/>
        </w:rPr>
      </w:pPr>
      <w:r w:rsidRPr="00CD2ADD">
        <w:rPr>
          <w:rFonts w:eastAsia="Arial Unicode MS"/>
          <w:color w:val="000000" w:themeColor="text1"/>
          <w:u w:color="000000"/>
          <w:bdr w:val="nil"/>
        </w:rPr>
        <w:t>Pentru o vizibilitate și relevanță mai mare fiecărui nivel de risc i se atribuie un cod color și anume: risc jos – cod color verde, risc moderat – cod color galben, risc înalt – color portocali și risc foarte înalt – cod color roșu.</w:t>
      </w:r>
      <w:r w:rsidR="00ED0131">
        <w:rPr>
          <w:rFonts w:eastAsia="Arial Unicode MS"/>
          <w:color w:val="000000" w:themeColor="text1"/>
          <w:u w:color="000000"/>
          <w:bdr w:val="nil"/>
        </w:rPr>
        <w:t xml:space="preserve"> </w:t>
      </w:r>
      <w:r w:rsidR="00D72F0E" w:rsidRPr="00CD2ADD">
        <w:rPr>
          <w:color w:val="000000" w:themeColor="text1"/>
        </w:rPr>
        <w:t>În mod complementar, consolidarea capacității de aplicare coerentă a acestei metodologii la nivel local și național necesită investiții dedicate în instruirea personalului, instrumente digitale de analiză și sisteme integrate de colectare a datelor. Aceste aspecte sunt reflectate în capitolul de măsuri al Programului, sub forma unor acțiuni prioritare.</w:t>
      </w:r>
    </w:p>
    <w:p w14:paraId="32CE5615" w14:textId="77777777" w:rsidR="00F209DF" w:rsidRPr="00CD2ADD" w:rsidRDefault="00F209DF" w:rsidP="00F209DF">
      <w:pPr>
        <w:pStyle w:val="ListParagraph"/>
        <w:spacing w:after="0"/>
        <w:ind w:left="644" w:firstLine="0"/>
        <w:jc w:val="right"/>
        <w:rPr>
          <w:rFonts w:ascii="Times New Roman" w:hAnsi="Times New Roman" w:cs="Times New Roman"/>
          <w:b/>
          <w:bCs/>
          <w:color w:val="000000" w:themeColor="text1"/>
          <w:sz w:val="24"/>
          <w:szCs w:val="24"/>
        </w:rPr>
      </w:pPr>
      <w:r w:rsidRPr="00CD2ADD">
        <w:rPr>
          <w:rFonts w:ascii="Times New Roman" w:hAnsi="Times New Roman" w:cs="Times New Roman"/>
          <w:b/>
          <w:bCs/>
          <w:color w:val="000000" w:themeColor="text1"/>
          <w:sz w:val="24"/>
          <w:szCs w:val="24"/>
        </w:rPr>
        <w:t xml:space="preserve">Tabelul 2. </w:t>
      </w:r>
    </w:p>
    <w:p w14:paraId="30C93082" w14:textId="1E920C1F" w:rsidR="00F209DF" w:rsidRPr="00CD2ADD" w:rsidRDefault="00F209DF" w:rsidP="00F209DF">
      <w:pPr>
        <w:pStyle w:val="ListParagraph"/>
        <w:ind w:left="644" w:firstLine="0"/>
        <w:jc w:val="center"/>
        <w:rPr>
          <w:rFonts w:ascii="Times New Roman" w:hAnsi="Times New Roman" w:cs="Times New Roman"/>
          <w:b/>
          <w:bCs/>
          <w:color w:val="000000" w:themeColor="text1"/>
          <w:sz w:val="24"/>
          <w:szCs w:val="24"/>
        </w:rPr>
      </w:pPr>
      <w:r w:rsidRPr="00CD2ADD">
        <w:rPr>
          <w:rFonts w:ascii="Times New Roman" w:hAnsi="Times New Roman" w:cs="Times New Roman"/>
          <w:b/>
          <w:bCs/>
          <w:color w:val="000000" w:themeColor="text1"/>
          <w:sz w:val="24"/>
          <w:szCs w:val="24"/>
        </w:rPr>
        <w:t>Lista dezastrelor naturale identificate conform</w:t>
      </w:r>
    </w:p>
    <w:p w14:paraId="3156ACA4" w14:textId="77777777" w:rsidR="00F209DF" w:rsidRPr="00CD2ADD" w:rsidRDefault="00F209DF" w:rsidP="00ED6C76">
      <w:pPr>
        <w:pStyle w:val="ListParagraph"/>
        <w:spacing w:after="0"/>
        <w:ind w:left="644" w:firstLine="0"/>
        <w:jc w:val="center"/>
        <w:rPr>
          <w:rFonts w:ascii="Times New Roman" w:hAnsi="Times New Roman" w:cs="Times New Roman"/>
          <w:b/>
          <w:bCs/>
          <w:color w:val="000000" w:themeColor="text1"/>
          <w:sz w:val="24"/>
          <w:szCs w:val="24"/>
        </w:rPr>
      </w:pPr>
      <w:r w:rsidRPr="00CD2ADD">
        <w:rPr>
          <w:rFonts w:ascii="Times New Roman" w:hAnsi="Times New Roman" w:cs="Times New Roman"/>
          <w:b/>
          <w:bCs/>
          <w:color w:val="000000" w:themeColor="text1"/>
          <w:sz w:val="24"/>
          <w:szCs w:val="24"/>
        </w:rPr>
        <w:t>Strategiei Naționale de Reducere a Riscurilor de Dezastre, 2024</w:t>
      </w:r>
    </w:p>
    <w:tbl>
      <w:tblPr>
        <w:tblStyle w:val="GridTable1Light-Accent1"/>
        <w:tblpPr w:leftFromText="180" w:rightFromText="180" w:vertAnchor="text" w:horzAnchor="margin" w:tblpXSpec="center" w:tblpY="163"/>
        <w:tblW w:w="9493" w:type="dxa"/>
        <w:tblLook w:val="04A0" w:firstRow="1" w:lastRow="0" w:firstColumn="1" w:lastColumn="0" w:noHBand="0" w:noVBand="1"/>
      </w:tblPr>
      <w:tblGrid>
        <w:gridCol w:w="496"/>
        <w:gridCol w:w="4818"/>
        <w:gridCol w:w="556"/>
        <w:gridCol w:w="3623"/>
      </w:tblGrid>
      <w:tr w:rsidR="00F209DF" w:rsidRPr="00CD2ADD" w14:paraId="53BDAE3E" w14:textId="77777777" w:rsidTr="002C4956">
        <w:trPr>
          <w:cnfStyle w:val="100000000000" w:firstRow="1" w:lastRow="0" w:firstColumn="0" w:lastColumn="0" w:oddVBand="0" w:evenVBand="0" w:oddHBand="0" w:evenHBand="0" w:firstRowFirstColumn="0" w:firstRowLastColumn="0" w:lastRowFirstColumn="0" w:lastRowLastColumn="0"/>
          <w:trHeight w:val="11"/>
        </w:trPr>
        <w:tc>
          <w:tcPr>
            <w:cnfStyle w:val="001000000000" w:firstRow="0" w:lastRow="0" w:firstColumn="1" w:lastColumn="0" w:oddVBand="0" w:evenVBand="0" w:oddHBand="0" w:evenHBand="0" w:firstRowFirstColumn="0" w:firstRowLastColumn="0" w:lastRowFirstColumn="0" w:lastRowLastColumn="0"/>
            <w:tcW w:w="473" w:type="dxa"/>
          </w:tcPr>
          <w:p w14:paraId="6529D902" w14:textId="77777777" w:rsidR="00F209DF" w:rsidRPr="00CD2ADD" w:rsidRDefault="00F209DF" w:rsidP="002C4956">
            <w:pPr>
              <w:rPr>
                <w:rFonts w:eastAsia="Arial Unicode MS"/>
                <w:b w:val="0"/>
                <w:u w:color="000000"/>
                <w:bdr w:val="nil"/>
              </w:rPr>
            </w:pPr>
            <w:r w:rsidRPr="00CD2ADD">
              <w:rPr>
                <w:rFonts w:eastAsia="Arial Unicode MS"/>
                <w:u w:color="000000"/>
                <w:bdr w:val="nil"/>
              </w:rPr>
              <w:t>Nr</w:t>
            </w:r>
          </w:p>
        </w:tc>
        <w:tc>
          <w:tcPr>
            <w:tcW w:w="4909" w:type="dxa"/>
          </w:tcPr>
          <w:p w14:paraId="1176FBDE" w14:textId="77777777" w:rsidR="00F209DF" w:rsidRPr="00CD2ADD" w:rsidRDefault="00F209DF" w:rsidP="002C4956">
            <w:pPr>
              <w:cnfStyle w:val="100000000000" w:firstRow="1" w:lastRow="0" w:firstColumn="0" w:lastColumn="0" w:oddVBand="0" w:evenVBand="0" w:oddHBand="0" w:evenHBand="0" w:firstRowFirstColumn="0" w:firstRowLastColumn="0" w:lastRowFirstColumn="0" w:lastRowLastColumn="0"/>
              <w:rPr>
                <w:rFonts w:eastAsia="Arial Unicode MS"/>
                <w:b w:val="0"/>
                <w:u w:color="000000"/>
                <w:bdr w:val="nil"/>
              </w:rPr>
            </w:pPr>
            <w:r w:rsidRPr="00CD2ADD">
              <w:rPr>
                <w:rFonts w:eastAsia="Arial Unicode MS"/>
                <w:u w:color="000000"/>
                <w:bdr w:val="nil"/>
              </w:rPr>
              <w:t>Pericol / Dezastru Natural</w:t>
            </w:r>
          </w:p>
        </w:tc>
        <w:tc>
          <w:tcPr>
            <w:tcW w:w="425" w:type="dxa"/>
          </w:tcPr>
          <w:p w14:paraId="1CA93AD5" w14:textId="77777777" w:rsidR="00F209DF" w:rsidRPr="00CD2ADD" w:rsidRDefault="00F209DF" w:rsidP="002C4956">
            <w:pPr>
              <w:cnfStyle w:val="100000000000" w:firstRow="1" w:lastRow="0" w:firstColumn="0" w:lastColumn="0" w:oddVBand="0" w:evenVBand="0" w:oddHBand="0" w:evenHBand="0" w:firstRowFirstColumn="0" w:firstRowLastColumn="0" w:lastRowFirstColumn="0" w:lastRowLastColumn="0"/>
              <w:rPr>
                <w:rFonts w:eastAsia="Arial Unicode MS"/>
                <w:b w:val="0"/>
                <w:u w:color="000000"/>
                <w:bdr w:val="nil"/>
              </w:rPr>
            </w:pPr>
            <w:r w:rsidRPr="00CD2ADD">
              <w:rPr>
                <w:rFonts w:eastAsia="Arial Unicode MS"/>
                <w:u w:color="000000"/>
                <w:bdr w:val="nil"/>
              </w:rPr>
              <w:t>Nr.</w:t>
            </w:r>
          </w:p>
        </w:tc>
        <w:tc>
          <w:tcPr>
            <w:tcW w:w="3686" w:type="dxa"/>
          </w:tcPr>
          <w:p w14:paraId="2342C649" w14:textId="77777777" w:rsidR="00F209DF" w:rsidRPr="00CD2ADD" w:rsidRDefault="00F209DF" w:rsidP="002C4956">
            <w:pPr>
              <w:cnfStyle w:val="100000000000" w:firstRow="1" w:lastRow="0" w:firstColumn="0" w:lastColumn="0" w:oddVBand="0" w:evenVBand="0" w:oddHBand="0" w:evenHBand="0" w:firstRowFirstColumn="0" w:firstRowLastColumn="0" w:lastRowFirstColumn="0" w:lastRowLastColumn="0"/>
              <w:rPr>
                <w:rFonts w:eastAsia="Arial Unicode MS"/>
                <w:b w:val="0"/>
                <w:u w:color="000000"/>
                <w:bdr w:val="nil"/>
              </w:rPr>
            </w:pPr>
            <w:r w:rsidRPr="00CD2ADD">
              <w:rPr>
                <w:rFonts w:eastAsia="Arial Unicode MS"/>
                <w:u w:color="000000"/>
                <w:bdr w:val="nil"/>
              </w:rPr>
              <w:t>Pericol / Dezastru Natural</w:t>
            </w:r>
          </w:p>
        </w:tc>
      </w:tr>
      <w:tr w:rsidR="00F209DF" w:rsidRPr="00CD2ADD" w14:paraId="33FDE9CF" w14:textId="77777777" w:rsidTr="002C4956">
        <w:trPr>
          <w:trHeight w:val="11"/>
        </w:trPr>
        <w:tc>
          <w:tcPr>
            <w:cnfStyle w:val="001000000000" w:firstRow="0" w:lastRow="0" w:firstColumn="1" w:lastColumn="0" w:oddVBand="0" w:evenVBand="0" w:oddHBand="0" w:evenHBand="0" w:firstRowFirstColumn="0" w:firstRowLastColumn="0" w:lastRowFirstColumn="0" w:lastRowLastColumn="0"/>
            <w:tcW w:w="473" w:type="dxa"/>
          </w:tcPr>
          <w:p w14:paraId="2ED2648E" w14:textId="77777777" w:rsidR="00F209DF" w:rsidRPr="00CD2ADD" w:rsidRDefault="00F209DF" w:rsidP="002C4956">
            <w:pPr>
              <w:rPr>
                <w:rFonts w:eastAsia="Arial Unicode MS"/>
                <w:b w:val="0"/>
                <w:u w:color="000000"/>
                <w:bdr w:val="nil"/>
              </w:rPr>
            </w:pPr>
            <w:r w:rsidRPr="00CD2ADD">
              <w:rPr>
                <w:rFonts w:eastAsia="Arial Unicode MS"/>
                <w:u w:color="000000"/>
                <w:bdr w:val="nil"/>
              </w:rPr>
              <w:t>1</w:t>
            </w:r>
          </w:p>
        </w:tc>
        <w:tc>
          <w:tcPr>
            <w:tcW w:w="4909" w:type="dxa"/>
          </w:tcPr>
          <w:p w14:paraId="586861DE" w14:textId="77777777" w:rsidR="00F209DF" w:rsidRPr="00CD2ADD" w:rsidRDefault="00F209DF" w:rsidP="002C4956">
            <w:pPr>
              <w:cnfStyle w:val="000000000000" w:firstRow="0" w:lastRow="0" w:firstColumn="0" w:lastColumn="0" w:oddVBand="0" w:evenVBand="0" w:oddHBand="0" w:evenHBand="0" w:firstRowFirstColumn="0" w:firstRowLastColumn="0" w:lastRowFirstColumn="0" w:lastRowLastColumn="0"/>
              <w:rPr>
                <w:rFonts w:eastAsia="Arial Unicode MS"/>
                <w:u w:color="000000"/>
                <w:bdr w:val="nil"/>
              </w:rPr>
            </w:pPr>
            <w:r w:rsidRPr="00CD2ADD">
              <w:rPr>
                <w:rFonts w:eastAsia="Arial Unicode MS"/>
                <w:u w:color="000000"/>
                <w:bdr w:val="nil"/>
              </w:rPr>
              <w:t xml:space="preserve">Secetă </w:t>
            </w:r>
          </w:p>
        </w:tc>
        <w:tc>
          <w:tcPr>
            <w:tcW w:w="425" w:type="dxa"/>
          </w:tcPr>
          <w:p w14:paraId="377F6A06" w14:textId="77777777" w:rsidR="00F209DF" w:rsidRPr="00CD2ADD" w:rsidRDefault="00F209DF" w:rsidP="002C4956">
            <w:pPr>
              <w:cnfStyle w:val="000000000000" w:firstRow="0" w:lastRow="0" w:firstColumn="0" w:lastColumn="0" w:oddVBand="0" w:evenVBand="0" w:oddHBand="0" w:evenHBand="0" w:firstRowFirstColumn="0" w:firstRowLastColumn="0" w:lastRowFirstColumn="0" w:lastRowLastColumn="0"/>
              <w:rPr>
                <w:rFonts w:eastAsia="Arial Unicode MS"/>
                <w:b/>
                <w:u w:color="000000"/>
                <w:bdr w:val="nil"/>
              </w:rPr>
            </w:pPr>
            <w:r w:rsidRPr="00CD2ADD">
              <w:rPr>
                <w:rFonts w:eastAsia="Arial Unicode MS"/>
                <w:b/>
                <w:u w:color="000000"/>
                <w:bdr w:val="nil"/>
              </w:rPr>
              <w:t>7</w:t>
            </w:r>
          </w:p>
        </w:tc>
        <w:tc>
          <w:tcPr>
            <w:tcW w:w="3686" w:type="dxa"/>
          </w:tcPr>
          <w:p w14:paraId="2E1342FF" w14:textId="77777777" w:rsidR="00F209DF" w:rsidRPr="00CD2ADD" w:rsidRDefault="00F209DF" w:rsidP="002C4956">
            <w:pPr>
              <w:cnfStyle w:val="000000000000" w:firstRow="0" w:lastRow="0" w:firstColumn="0" w:lastColumn="0" w:oddVBand="0" w:evenVBand="0" w:oddHBand="0" w:evenHBand="0" w:firstRowFirstColumn="0" w:firstRowLastColumn="0" w:lastRowFirstColumn="0" w:lastRowLastColumn="0"/>
              <w:rPr>
                <w:rFonts w:eastAsia="Arial Unicode MS"/>
                <w:u w:color="000000"/>
                <w:bdr w:val="nil"/>
              </w:rPr>
            </w:pPr>
            <w:r w:rsidRPr="00CD2ADD">
              <w:rPr>
                <w:rFonts w:eastAsia="Arial Unicode MS"/>
                <w:u w:color="000000"/>
                <w:bdr w:val="nil"/>
              </w:rPr>
              <w:t xml:space="preserve">Ninsori abundente, viscol </w:t>
            </w:r>
          </w:p>
        </w:tc>
      </w:tr>
      <w:tr w:rsidR="00F209DF" w:rsidRPr="00CD2ADD" w14:paraId="59FF4CBE" w14:textId="77777777" w:rsidTr="002C4956">
        <w:trPr>
          <w:trHeight w:val="11"/>
        </w:trPr>
        <w:tc>
          <w:tcPr>
            <w:cnfStyle w:val="001000000000" w:firstRow="0" w:lastRow="0" w:firstColumn="1" w:lastColumn="0" w:oddVBand="0" w:evenVBand="0" w:oddHBand="0" w:evenHBand="0" w:firstRowFirstColumn="0" w:firstRowLastColumn="0" w:lastRowFirstColumn="0" w:lastRowLastColumn="0"/>
            <w:tcW w:w="473" w:type="dxa"/>
          </w:tcPr>
          <w:p w14:paraId="2EFF7461" w14:textId="77777777" w:rsidR="00F209DF" w:rsidRPr="00CD2ADD" w:rsidRDefault="00F209DF" w:rsidP="002C4956">
            <w:pPr>
              <w:rPr>
                <w:rFonts w:eastAsia="Arial Unicode MS"/>
                <w:b w:val="0"/>
                <w:u w:color="000000"/>
                <w:bdr w:val="nil"/>
              </w:rPr>
            </w:pPr>
            <w:r w:rsidRPr="00CD2ADD">
              <w:rPr>
                <w:rFonts w:eastAsia="Arial Unicode MS"/>
                <w:u w:color="000000"/>
                <w:bdr w:val="nil"/>
              </w:rPr>
              <w:t>2</w:t>
            </w:r>
          </w:p>
        </w:tc>
        <w:tc>
          <w:tcPr>
            <w:tcW w:w="4909" w:type="dxa"/>
          </w:tcPr>
          <w:p w14:paraId="19208056" w14:textId="77777777" w:rsidR="00F209DF" w:rsidRPr="00CD2ADD" w:rsidRDefault="00F209DF" w:rsidP="002C4956">
            <w:pPr>
              <w:cnfStyle w:val="000000000000" w:firstRow="0" w:lastRow="0" w:firstColumn="0" w:lastColumn="0" w:oddVBand="0" w:evenVBand="0" w:oddHBand="0" w:evenHBand="0" w:firstRowFirstColumn="0" w:firstRowLastColumn="0" w:lastRowFirstColumn="0" w:lastRowLastColumn="0"/>
              <w:rPr>
                <w:rFonts w:eastAsia="Arial Unicode MS"/>
                <w:u w:color="000000"/>
                <w:bdr w:val="nil"/>
              </w:rPr>
            </w:pPr>
            <w:r w:rsidRPr="00CD2ADD">
              <w:rPr>
                <w:rFonts w:eastAsia="Arial Unicode MS"/>
                <w:u w:color="000000"/>
                <w:bdr w:val="nil"/>
              </w:rPr>
              <w:t xml:space="preserve">Inundații </w:t>
            </w:r>
          </w:p>
        </w:tc>
        <w:tc>
          <w:tcPr>
            <w:tcW w:w="425" w:type="dxa"/>
          </w:tcPr>
          <w:p w14:paraId="0EE82795" w14:textId="77777777" w:rsidR="00F209DF" w:rsidRPr="00CD2ADD" w:rsidRDefault="00F209DF" w:rsidP="002C4956">
            <w:pPr>
              <w:cnfStyle w:val="000000000000" w:firstRow="0" w:lastRow="0" w:firstColumn="0" w:lastColumn="0" w:oddVBand="0" w:evenVBand="0" w:oddHBand="0" w:evenHBand="0" w:firstRowFirstColumn="0" w:firstRowLastColumn="0" w:lastRowFirstColumn="0" w:lastRowLastColumn="0"/>
              <w:rPr>
                <w:rFonts w:eastAsia="Arial Unicode MS"/>
                <w:b/>
                <w:u w:color="000000"/>
                <w:bdr w:val="nil"/>
              </w:rPr>
            </w:pPr>
            <w:r w:rsidRPr="00CD2ADD">
              <w:rPr>
                <w:rFonts w:eastAsia="Arial Unicode MS"/>
                <w:b/>
                <w:u w:color="000000"/>
                <w:bdr w:val="nil"/>
              </w:rPr>
              <w:t>8</w:t>
            </w:r>
          </w:p>
        </w:tc>
        <w:tc>
          <w:tcPr>
            <w:tcW w:w="3686" w:type="dxa"/>
          </w:tcPr>
          <w:p w14:paraId="7B43256A" w14:textId="77777777" w:rsidR="00F209DF" w:rsidRPr="00CD2ADD" w:rsidRDefault="00F209DF" w:rsidP="002C4956">
            <w:pPr>
              <w:cnfStyle w:val="000000000000" w:firstRow="0" w:lastRow="0" w:firstColumn="0" w:lastColumn="0" w:oddVBand="0" w:evenVBand="0" w:oddHBand="0" w:evenHBand="0" w:firstRowFirstColumn="0" w:firstRowLastColumn="0" w:lastRowFirstColumn="0" w:lastRowLastColumn="0"/>
              <w:rPr>
                <w:rFonts w:eastAsia="Arial Unicode MS"/>
                <w:u w:color="000000"/>
                <w:bdr w:val="nil"/>
              </w:rPr>
            </w:pPr>
            <w:r w:rsidRPr="00CD2ADD">
              <w:rPr>
                <w:rFonts w:eastAsia="Arial Unicode MS"/>
                <w:u w:color="000000"/>
                <w:bdr w:val="nil"/>
              </w:rPr>
              <w:t>Înghețuri, ger puternic</w:t>
            </w:r>
          </w:p>
        </w:tc>
      </w:tr>
      <w:tr w:rsidR="00F209DF" w:rsidRPr="00CD2ADD" w14:paraId="0C085CCF" w14:textId="77777777" w:rsidTr="002C4956">
        <w:trPr>
          <w:trHeight w:val="11"/>
        </w:trPr>
        <w:tc>
          <w:tcPr>
            <w:cnfStyle w:val="001000000000" w:firstRow="0" w:lastRow="0" w:firstColumn="1" w:lastColumn="0" w:oddVBand="0" w:evenVBand="0" w:oddHBand="0" w:evenHBand="0" w:firstRowFirstColumn="0" w:firstRowLastColumn="0" w:lastRowFirstColumn="0" w:lastRowLastColumn="0"/>
            <w:tcW w:w="473" w:type="dxa"/>
          </w:tcPr>
          <w:p w14:paraId="322FEAF8" w14:textId="77777777" w:rsidR="00F209DF" w:rsidRPr="00CD2ADD" w:rsidRDefault="00F209DF" w:rsidP="002C4956">
            <w:pPr>
              <w:rPr>
                <w:rFonts w:eastAsia="Arial Unicode MS"/>
                <w:b w:val="0"/>
                <w:u w:color="000000"/>
                <w:bdr w:val="nil"/>
              </w:rPr>
            </w:pPr>
            <w:r w:rsidRPr="00CD2ADD">
              <w:rPr>
                <w:rFonts w:eastAsia="Arial Unicode MS"/>
                <w:u w:color="000000"/>
                <w:bdr w:val="nil"/>
              </w:rPr>
              <w:t>3</w:t>
            </w:r>
          </w:p>
        </w:tc>
        <w:tc>
          <w:tcPr>
            <w:tcW w:w="4909" w:type="dxa"/>
          </w:tcPr>
          <w:p w14:paraId="7355ECAE" w14:textId="77777777" w:rsidR="00F209DF" w:rsidRPr="00CD2ADD" w:rsidRDefault="00F209DF" w:rsidP="002C4956">
            <w:pPr>
              <w:cnfStyle w:val="000000000000" w:firstRow="0" w:lastRow="0" w:firstColumn="0" w:lastColumn="0" w:oddVBand="0" w:evenVBand="0" w:oddHBand="0" w:evenHBand="0" w:firstRowFirstColumn="0" w:firstRowLastColumn="0" w:lastRowFirstColumn="0" w:lastRowLastColumn="0"/>
              <w:rPr>
                <w:rFonts w:eastAsia="Arial Unicode MS"/>
                <w:u w:color="000000"/>
                <w:bdr w:val="nil"/>
              </w:rPr>
            </w:pPr>
            <w:r w:rsidRPr="00CD2ADD">
              <w:rPr>
                <w:rFonts w:eastAsia="Arial Unicode MS"/>
                <w:u w:color="000000"/>
                <w:bdr w:val="nil"/>
              </w:rPr>
              <w:t xml:space="preserve">Ploi torențiale însoțite cu grindină și vînt puternic </w:t>
            </w:r>
          </w:p>
        </w:tc>
        <w:tc>
          <w:tcPr>
            <w:tcW w:w="425" w:type="dxa"/>
          </w:tcPr>
          <w:p w14:paraId="4265BF14" w14:textId="77777777" w:rsidR="00F209DF" w:rsidRPr="00CD2ADD" w:rsidRDefault="00F209DF" w:rsidP="002C4956">
            <w:pPr>
              <w:cnfStyle w:val="000000000000" w:firstRow="0" w:lastRow="0" w:firstColumn="0" w:lastColumn="0" w:oddVBand="0" w:evenVBand="0" w:oddHBand="0" w:evenHBand="0" w:firstRowFirstColumn="0" w:firstRowLastColumn="0" w:lastRowFirstColumn="0" w:lastRowLastColumn="0"/>
              <w:rPr>
                <w:rFonts w:eastAsia="Arial Unicode MS"/>
                <w:b/>
                <w:u w:color="000000"/>
                <w:bdr w:val="nil"/>
              </w:rPr>
            </w:pPr>
            <w:r w:rsidRPr="00CD2ADD">
              <w:rPr>
                <w:rFonts w:eastAsia="Arial Unicode MS"/>
                <w:b/>
                <w:u w:color="000000"/>
                <w:bdr w:val="nil"/>
              </w:rPr>
              <w:t>9</w:t>
            </w:r>
          </w:p>
        </w:tc>
        <w:tc>
          <w:tcPr>
            <w:tcW w:w="3686" w:type="dxa"/>
          </w:tcPr>
          <w:p w14:paraId="54604372" w14:textId="77777777" w:rsidR="00F209DF" w:rsidRPr="00CD2ADD" w:rsidRDefault="00F209DF" w:rsidP="002C4956">
            <w:pPr>
              <w:cnfStyle w:val="000000000000" w:firstRow="0" w:lastRow="0" w:firstColumn="0" w:lastColumn="0" w:oddVBand="0" w:evenVBand="0" w:oddHBand="0" w:evenHBand="0" w:firstRowFirstColumn="0" w:firstRowLastColumn="0" w:lastRowFirstColumn="0" w:lastRowLastColumn="0"/>
              <w:rPr>
                <w:rFonts w:eastAsia="Arial Unicode MS"/>
                <w:u w:color="000000"/>
                <w:bdr w:val="nil"/>
              </w:rPr>
            </w:pPr>
            <w:r w:rsidRPr="00CD2ADD">
              <w:rPr>
                <w:rFonts w:eastAsia="Arial Unicode MS"/>
                <w:u w:color="000000"/>
                <w:bdr w:val="nil"/>
              </w:rPr>
              <w:t>Depuneri de gheață (chiciură, polei)</w:t>
            </w:r>
          </w:p>
        </w:tc>
      </w:tr>
      <w:tr w:rsidR="00F209DF" w:rsidRPr="00CD2ADD" w14:paraId="76076604" w14:textId="77777777" w:rsidTr="002C4956">
        <w:trPr>
          <w:trHeight w:val="11"/>
        </w:trPr>
        <w:tc>
          <w:tcPr>
            <w:cnfStyle w:val="001000000000" w:firstRow="0" w:lastRow="0" w:firstColumn="1" w:lastColumn="0" w:oddVBand="0" w:evenVBand="0" w:oddHBand="0" w:evenHBand="0" w:firstRowFirstColumn="0" w:firstRowLastColumn="0" w:lastRowFirstColumn="0" w:lastRowLastColumn="0"/>
            <w:tcW w:w="473" w:type="dxa"/>
          </w:tcPr>
          <w:p w14:paraId="37DD365C" w14:textId="77777777" w:rsidR="00F209DF" w:rsidRPr="00CD2ADD" w:rsidRDefault="00F209DF" w:rsidP="002C4956">
            <w:pPr>
              <w:rPr>
                <w:rFonts w:eastAsia="Arial Unicode MS"/>
                <w:b w:val="0"/>
                <w:u w:color="000000"/>
                <w:bdr w:val="nil"/>
              </w:rPr>
            </w:pPr>
            <w:r w:rsidRPr="00CD2ADD">
              <w:rPr>
                <w:rFonts w:eastAsia="Arial Unicode MS"/>
                <w:u w:color="000000"/>
                <w:bdr w:val="nil"/>
              </w:rPr>
              <w:t>4</w:t>
            </w:r>
          </w:p>
        </w:tc>
        <w:tc>
          <w:tcPr>
            <w:tcW w:w="4909" w:type="dxa"/>
          </w:tcPr>
          <w:p w14:paraId="3C7B3400" w14:textId="77777777" w:rsidR="00F209DF" w:rsidRPr="00CD2ADD" w:rsidRDefault="00F209DF" w:rsidP="002C4956">
            <w:pPr>
              <w:cnfStyle w:val="000000000000" w:firstRow="0" w:lastRow="0" w:firstColumn="0" w:lastColumn="0" w:oddVBand="0" w:evenVBand="0" w:oddHBand="0" w:evenHBand="0" w:firstRowFirstColumn="0" w:firstRowLastColumn="0" w:lastRowFirstColumn="0" w:lastRowLastColumn="0"/>
              <w:rPr>
                <w:rFonts w:eastAsia="Arial Unicode MS"/>
                <w:u w:color="000000"/>
                <w:bdr w:val="nil"/>
              </w:rPr>
            </w:pPr>
            <w:r w:rsidRPr="00CD2ADD">
              <w:rPr>
                <w:rFonts w:eastAsia="Arial Unicode MS"/>
                <w:u w:color="000000"/>
                <w:bdr w:val="nil"/>
              </w:rPr>
              <w:t xml:space="preserve">Temperaturi ridicate, valuri de căldură, arșiță </w:t>
            </w:r>
          </w:p>
        </w:tc>
        <w:tc>
          <w:tcPr>
            <w:tcW w:w="425" w:type="dxa"/>
          </w:tcPr>
          <w:p w14:paraId="5D86AFE7" w14:textId="77777777" w:rsidR="00F209DF" w:rsidRPr="00CD2ADD" w:rsidRDefault="00F209DF" w:rsidP="002C4956">
            <w:pPr>
              <w:cnfStyle w:val="000000000000" w:firstRow="0" w:lastRow="0" w:firstColumn="0" w:lastColumn="0" w:oddVBand="0" w:evenVBand="0" w:oddHBand="0" w:evenHBand="0" w:firstRowFirstColumn="0" w:firstRowLastColumn="0" w:lastRowFirstColumn="0" w:lastRowLastColumn="0"/>
              <w:rPr>
                <w:rFonts w:eastAsia="Arial Unicode MS"/>
                <w:b/>
                <w:u w:color="000000"/>
                <w:bdr w:val="nil"/>
              </w:rPr>
            </w:pPr>
            <w:r w:rsidRPr="00CD2ADD">
              <w:rPr>
                <w:rFonts w:eastAsia="Arial Unicode MS"/>
                <w:b/>
                <w:u w:color="000000"/>
                <w:bdr w:val="nil"/>
              </w:rPr>
              <w:t>10</w:t>
            </w:r>
          </w:p>
        </w:tc>
        <w:tc>
          <w:tcPr>
            <w:tcW w:w="3686" w:type="dxa"/>
          </w:tcPr>
          <w:p w14:paraId="13170AD6" w14:textId="77777777" w:rsidR="00F209DF" w:rsidRPr="00CD2ADD" w:rsidRDefault="00F209DF" w:rsidP="002C4956">
            <w:pPr>
              <w:cnfStyle w:val="000000000000" w:firstRow="0" w:lastRow="0" w:firstColumn="0" w:lastColumn="0" w:oddVBand="0" w:evenVBand="0" w:oddHBand="0" w:evenHBand="0" w:firstRowFirstColumn="0" w:firstRowLastColumn="0" w:lastRowFirstColumn="0" w:lastRowLastColumn="0"/>
              <w:rPr>
                <w:rFonts w:eastAsia="Arial Unicode MS"/>
                <w:u w:color="000000"/>
                <w:bdr w:val="nil"/>
              </w:rPr>
            </w:pPr>
            <w:r w:rsidRPr="00CD2ADD">
              <w:rPr>
                <w:rFonts w:eastAsia="Arial Unicode MS"/>
                <w:u w:color="000000"/>
                <w:bdr w:val="nil"/>
              </w:rPr>
              <w:t xml:space="preserve">Cutremure de pământ </w:t>
            </w:r>
          </w:p>
        </w:tc>
      </w:tr>
      <w:tr w:rsidR="00F209DF" w:rsidRPr="00CD2ADD" w14:paraId="724815D3" w14:textId="77777777" w:rsidTr="002C4956">
        <w:trPr>
          <w:trHeight w:val="11"/>
        </w:trPr>
        <w:tc>
          <w:tcPr>
            <w:cnfStyle w:val="001000000000" w:firstRow="0" w:lastRow="0" w:firstColumn="1" w:lastColumn="0" w:oddVBand="0" w:evenVBand="0" w:oddHBand="0" w:evenHBand="0" w:firstRowFirstColumn="0" w:firstRowLastColumn="0" w:lastRowFirstColumn="0" w:lastRowLastColumn="0"/>
            <w:tcW w:w="473" w:type="dxa"/>
          </w:tcPr>
          <w:p w14:paraId="14E1A316" w14:textId="77777777" w:rsidR="00F209DF" w:rsidRPr="00CD2ADD" w:rsidRDefault="00F209DF" w:rsidP="002C4956">
            <w:pPr>
              <w:rPr>
                <w:rFonts w:eastAsia="Arial Unicode MS"/>
                <w:b w:val="0"/>
                <w:u w:color="000000"/>
                <w:bdr w:val="nil"/>
              </w:rPr>
            </w:pPr>
            <w:r w:rsidRPr="00CD2ADD">
              <w:rPr>
                <w:rFonts w:eastAsia="Arial Unicode MS"/>
                <w:u w:color="000000"/>
                <w:bdr w:val="nil"/>
              </w:rPr>
              <w:t>5</w:t>
            </w:r>
          </w:p>
        </w:tc>
        <w:tc>
          <w:tcPr>
            <w:tcW w:w="4909" w:type="dxa"/>
          </w:tcPr>
          <w:p w14:paraId="2F3A51BE" w14:textId="77777777" w:rsidR="00F209DF" w:rsidRPr="00CD2ADD" w:rsidRDefault="00F209DF" w:rsidP="002C4956">
            <w:pPr>
              <w:cnfStyle w:val="000000000000" w:firstRow="0" w:lastRow="0" w:firstColumn="0" w:lastColumn="0" w:oddVBand="0" w:evenVBand="0" w:oddHBand="0" w:evenHBand="0" w:firstRowFirstColumn="0" w:firstRowLastColumn="0" w:lastRowFirstColumn="0" w:lastRowLastColumn="0"/>
              <w:rPr>
                <w:rFonts w:eastAsia="Arial Unicode MS"/>
                <w:u w:color="000000"/>
                <w:bdr w:val="nil"/>
              </w:rPr>
            </w:pPr>
            <w:r w:rsidRPr="00CD2ADD">
              <w:rPr>
                <w:rFonts w:eastAsia="Arial Unicode MS"/>
                <w:u w:color="000000"/>
                <w:bdr w:val="nil"/>
              </w:rPr>
              <w:t>Vânturi puternice, uragane, furtuni cu descărcări electrice</w:t>
            </w:r>
          </w:p>
        </w:tc>
        <w:tc>
          <w:tcPr>
            <w:tcW w:w="425" w:type="dxa"/>
          </w:tcPr>
          <w:p w14:paraId="6B5EBC30" w14:textId="77777777" w:rsidR="00F209DF" w:rsidRPr="00CD2ADD" w:rsidRDefault="00F209DF" w:rsidP="002C4956">
            <w:pPr>
              <w:cnfStyle w:val="000000000000" w:firstRow="0" w:lastRow="0" w:firstColumn="0" w:lastColumn="0" w:oddVBand="0" w:evenVBand="0" w:oddHBand="0" w:evenHBand="0" w:firstRowFirstColumn="0" w:firstRowLastColumn="0" w:lastRowFirstColumn="0" w:lastRowLastColumn="0"/>
              <w:rPr>
                <w:rFonts w:eastAsia="Arial Unicode MS"/>
                <w:b/>
                <w:u w:color="000000"/>
                <w:bdr w:val="nil"/>
              </w:rPr>
            </w:pPr>
            <w:r w:rsidRPr="00CD2ADD">
              <w:rPr>
                <w:rFonts w:eastAsia="Arial Unicode MS"/>
                <w:b/>
                <w:u w:color="000000"/>
                <w:bdr w:val="nil"/>
              </w:rPr>
              <w:t>11</w:t>
            </w:r>
          </w:p>
        </w:tc>
        <w:tc>
          <w:tcPr>
            <w:tcW w:w="3686" w:type="dxa"/>
          </w:tcPr>
          <w:p w14:paraId="2C66794C" w14:textId="77777777" w:rsidR="00F209DF" w:rsidRPr="00CD2ADD" w:rsidRDefault="00F209DF" w:rsidP="002C4956">
            <w:pPr>
              <w:cnfStyle w:val="000000000000" w:firstRow="0" w:lastRow="0" w:firstColumn="0" w:lastColumn="0" w:oddVBand="0" w:evenVBand="0" w:oddHBand="0" w:evenHBand="0" w:firstRowFirstColumn="0" w:firstRowLastColumn="0" w:lastRowFirstColumn="0" w:lastRowLastColumn="0"/>
            </w:pPr>
            <w:r w:rsidRPr="00CD2ADD">
              <w:rPr>
                <w:rFonts w:eastAsia="Arial Unicode MS"/>
                <w:u w:color="000000"/>
                <w:bdr w:val="nil"/>
              </w:rPr>
              <w:t xml:space="preserve">Alunecări de teren, surpări, eroziunea solurilor. </w:t>
            </w:r>
          </w:p>
        </w:tc>
      </w:tr>
      <w:tr w:rsidR="00F209DF" w:rsidRPr="00CD2ADD" w14:paraId="23D14736" w14:textId="77777777" w:rsidTr="002C4956">
        <w:trPr>
          <w:trHeight w:val="11"/>
        </w:trPr>
        <w:tc>
          <w:tcPr>
            <w:cnfStyle w:val="001000000000" w:firstRow="0" w:lastRow="0" w:firstColumn="1" w:lastColumn="0" w:oddVBand="0" w:evenVBand="0" w:oddHBand="0" w:evenHBand="0" w:firstRowFirstColumn="0" w:firstRowLastColumn="0" w:lastRowFirstColumn="0" w:lastRowLastColumn="0"/>
            <w:tcW w:w="473" w:type="dxa"/>
          </w:tcPr>
          <w:p w14:paraId="527A28DA" w14:textId="77777777" w:rsidR="00F209DF" w:rsidRPr="00CD2ADD" w:rsidRDefault="00F209DF" w:rsidP="002C4956">
            <w:pPr>
              <w:rPr>
                <w:rFonts w:eastAsia="Arial Unicode MS"/>
                <w:b w:val="0"/>
                <w:u w:color="000000"/>
                <w:bdr w:val="nil"/>
              </w:rPr>
            </w:pPr>
            <w:r w:rsidRPr="00CD2ADD">
              <w:rPr>
                <w:rFonts w:eastAsia="Arial Unicode MS"/>
                <w:u w:color="000000"/>
                <w:bdr w:val="nil"/>
              </w:rPr>
              <w:t>6</w:t>
            </w:r>
          </w:p>
        </w:tc>
        <w:tc>
          <w:tcPr>
            <w:tcW w:w="4909" w:type="dxa"/>
          </w:tcPr>
          <w:p w14:paraId="337E0DEF" w14:textId="77777777" w:rsidR="00F209DF" w:rsidRPr="00CD2ADD" w:rsidRDefault="00F209DF" w:rsidP="002C4956">
            <w:pPr>
              <w:cnfStyle w:val="000000000000" w:firstRow="0" w:lastRow="0" w:firstColumn="0" w:lastColumn="0" w:oddVBand="0" w:evenVBand="0" w:oddHBand="0" w:evenHBand="0" w:firstRowFirstColumn="0" w:firstRowLastColumn="0" w:lastRowFirstColumn="0" w:lastRowLastColumn="0"/>
              <w:rPr>
                <w:rFonts w:eastAsia="Arial Unicode MS"/>
                <w:u w:color="000000"/>
                <w:bdr w:val="nil"/>
              </w:rPr>
            </w:pPr>
            <w:r w:rsidRPr="00CD2ADD">
              <w:rPr>
                <w:rFonts w:eastAsia="Arial Unicode MS"/>
                <w:u w:color="000000"/>
                <w:bdr w:val="nil"/>
              </w:rPr>
              <w:t>Grindină mare</w:t>
            </w:r>
          </w:p>
        </w:tc>
        <w:tc>
          <w:tcPr>
            <w:tcW w:w="425" w:type="dxa"/>
          </w:tcPr>
          <w:p w14:paraId="05E96265" w14:textId="77777777" w:rsidR="00F209DF" w:rsidRPr="00CD2ADD" w:rsidRDefault="00F209DF" w:rsidP="002C4956">
            <w:pPr>
              <w:cnfStyle w:val="000000000000" w:firstRow="0" w:lastRow="0" w:firstColumn="0" w:lastColumn="0" w:oddVBand="0" w:evenVBand="0" w:oddHBand="0" w:evenHBand="0" w:firstRowFirstColumn="0" w:firstRowLastColumn="0" w:lastRowFirstColumn="0" w:lastRowLastColumn="0"/>
              <w:rPr>
                <w:rFonts w:eastAsia="Arial Unicode MS"/>
                <w:b/>
                <w:u w:color="000000"/>
                <w:bdr w:val="nil"/>
              </w:rPr>
            </w:pPr>
            <w:r w:rsidRPr="00CD2ADD">
              <w:rPr>
                <w:rFonts w:eastAsia="Arial Unicode MS"/>
                <w:b/>
                <w:u w:color="000000"/>
                <w:bdr w:val="nil"/>
              </w:rPr>
              <w:t>12</w:t>
            </w:r>
          </w:p>
        </w:tc>
        <w:tc>
          <w:tcPr>
            <w:tcW w:w="3686" w:type="dxa"/>
          </w:tcPr>
          <w:p w14:paraId="657064A0" w14:textId="77777777" w:rsidR="00F209DF" w:rsidRPr="00CD2ADD" w:rsidRDefault="00F209DF" w:rsidP="002C4956">
            <w:pPr>
              <w:cnfStyle w:val="000000000000" w:firstRow="0" w:lastRow="0" w:firstColumn="0" w:lastColumn="0" w:oddVBand="0" w:evenVBand="0" w:oddHBand="0" w:evenHBand="0" w:firstRowFirstColumn="0" w:firstRowLastColumn="0" w:lastRowFirstColumn="0" w:lastRowLastColumn="0"/>
              <w:rPr>
                <w:rFonts w:eastAsia="Arial Unicode MS"/>
                <w:u w:color="000000"/>
                <w:bdr w:val="nil"/>
              </w:rPr>
            </w:pPr>
            <w:r w:rsidRPr="00CD2ADD">
              <w:rPr>
                <w:rFonts w:eastAsia="Arial Unicode MS"/>
                <w:u w:color="000000"/>
                <w:bdr w:val="nil"/>
              </w:rPr>
              <w:t>Riscurile biologico-sociale</w:t>
            </w:r>
          </w:p>
        </w:tc>
      </w:tr>
    </w:tbl>
    <w:p w14:paraId="51F78338" w14:textId="125B164D" w:rsidR="00F209DF" w:rsidRPr="00CD2ADD" w:rsidRDefault="00F209DF" w:rsidP="00ED6C76">
      <w:pPr>
        <w:pStyle w:val="ListParagraph"/>
        <w:spacing w:after="120"/>
        <w:ind w:left="644" w:firstLine="0"/>
        <w:jc w:val="center"/>
        <w:rPr>
          <w:rFonts w:ascii="Times New Roman" w:hAnsi="Times New Roman" w:cs="Times New Roman"/>
          <w:i/>
          <w:iCs/>
          <w:color w:val="000000" w:themeColor="text1"/>
          <w:sz w:val="20"/>
          <w:szCs w:val="20"/>
        </w:rPr>
      </w:pPr>
      <w:r w:rsidRPr="00CD2ADD">
        <w:rPr>
          <w:rFonts w:ascii="Times New Roman" w:hAnsi="Times New Roman" w:cs="Times New Roman"/>
          <w:i/>
          <w:iCs/>
          <w:color w:val="000000" w:themeColor="text1"/>
          <w:sz w:val="20"/>
          <w:szCs w:val="20"/>
        </w:rPr>
        <w:t>Sursa: Strategia Naționala de Reducere a Riscurilor de Dezastre, 2024</w:t>
      </w:r>
    </w:p>
    <w:p w14:paraId="32DA886C" w14:textId="67BD1AAE" w:rsidR="00F06DA8" w:rsidRPr="00CD2ADD" w:rsidRDefault="00F06DA8">
      <w:pPr>
        <w:pStyle w:val="ListParagraph"/>
        <w:numPr>
          <w:ilvl w:val="0"/>
          <w:numId w:val="42"/>
        </w:numPr>
        <w:spacing w:before="240" w:after="0"/>
        <w:ind w:left="0" w:firstLine="360"/>
        <w:jc w:val="both"/>
        <w:rPr>
          <w:rFonts w:ascii="Times New Roman" w:hAnsi="Times New Roman" w:cs="Times New Roman"/>
          <w:b/>
          <w:bCs/>
          <w:i/>
          <w:iCs/>
          <w:color w:val="000000" w:themeColor="text1"/>
          <w:sz w:val="24"/>
          <w:szCs w:val="24"/>
        </w:rPr>
      </w:pPr>
      <w:r w:rsidRPr="00CD2ADD">
        <w:rPr>
          <w:rFonts w:ascii="Times New Roman" w:hAnsi="Times New Roman" w:cs="Times New Roman"/>
          <w:color w:val="000000" w:themeColor="text1"/>
          <w:sz w:val="24"/>
          <w:szCs w:val="24"/>
        </w:rPr>
        <w:t xml:space="preserve">Tabelul de mai sus sintetizează tipurile de risc prioritare </w:t>
      </w:r>
      <w:r w:rsidR="003B0266" w:rsidRPr="00CD2ADD">
        <w:rPr>
          <w:rFonts w:ascii="Times New Roman" w:hAnsi="Times New Roman" w:cs="Times New Roman"/>
          <w:color w:val="000000" w:themeColor="text1"/>
          <w:sz w:val="24"/>
          <w:szCs w:val="24"/>
        </w:rPr>
        <w:t>identificate în SN</w:t>
      </w:r>
      <w:r w:rsidRPr="00CD2ADD">
        <w:rPr>
          <w:rFonts w:ascii="Times New Roman" w:hAnsi="Times New Roman" w:cs="Times New Roman"/>
          <w:color w:val="000000" w:themeColor="text1"/>
          <w:sz w:val="24"/>
          <w:szCs w:val="24"/>
        </w:rPr>
        <w:t>RRD, urmând ca fiecare dintre acestea să fie analizat individual în secțiunile următoare, cu accent pe expunere, vulnerabilitate, capacitate de răspuns și posibile măsuri de reducere a riscului.</w:t>
      </w:r>
    </w:p>
    <w:p w14:paraId="082A9105" w14:textId="6CAC9F6E" w:rsidR="00DC7A81" w:rsidRPr="00CD2ADD" w:rsidRDefault="00A07BB1">
      <w:pPr>
        <w:pStyle w:val="ListParagraph"/>
        <w:numPr>
          <w:ilvl w:val="0"/>
          <w:numId w:val="42"/>
        </w:numPr>
        <w:spacing w:after="0"/>
        <w:ind w:left="0" w:firstLine="360"/>
        <w:jc w:val="both"/>
        <w:rPr>
          <w:rFonts w:ascii="Times New Roman" w:hAnsi="Times New Roman" w:cs="Times New Roman"/>
          <w:b/>
          <w:bCs/>
          <w:i/>
          <w:iCs/>
          <w:color w:val="000000" w:themeColor="text1"/>
          <w:sz w:val="24"/>
          <w:szCs w:val="24"/>
        </w:rPr>
      </w:pPr>
      <w:r w:rsidRPr="00CD2ADD">
        <w:rPr>
          <w:rFonts w:ascii="Times New Roman" w:eastAsia="Arial Unicode MS" w:hAnsi="Times New Roman" w:cs="Times New Roman"/>
          <w:bCs/>
          <w:color w:val="000000" w:themeColor="text1"/>
          <w:sz w:val="24"/>
          <w:szCs w:val="24"/>
          <w:u w:color="000000"/>
          <w:bdr w:val="nil"/>
        </w:rPr>
        <w:t xml:space="preserve">Tabelul </w:t>
      </w:r>
      <w:r w:rsidR="00F209DF" w:rsidRPr="00CD2ADD">
        <w:rPr>
          <w:rFonts w:ascii="Times New Roman" w:eastAsia="Arial Unicode MS" w:hAnsi="Times New Roman" w:cs="Times New Roman"/>
          <w:bCs/>
          <w:color w:val="000000" w:themeColor="text1"/>
          <w:sz w:val="24"/>
          <w:szCs w:val="24"/>
          <w:u w:color="000000"/>
          <w:bdr w:val="nil"/>
        </w:rPr>
        <w:t>3</w:t>
      </w:r>
      <w:r w:rsidRPr="00CD2ADD">
        <w:rPr>
          <w:rFonts w:ascii="Times New Roman" w:eastAsia="Arial Unicode MS" w:hAnsi="Times New Roman" w:cs="Times New Roman"/>
          <w:bCs/>
          <w:color w:val="000000" w:themeColor="text1"/>
          <w:sz w:val="24"/>
          <w:szCs w:val="24"/>
          <w:u w:color="000000"/>
          <w:bdr w:val="nil"/>
        </w:rPr>
        <w:t xml:space="preserve"> </w:t>
      </w:r>
      <w:r w:rsidR="00E16DAE" w:rsidRPr="00CD2ADD">
        <w:rPr>
          <w:rFonts w:ascii="Times New Roman" w:eastAsia="Arial Unicode MS" w:hAnsi="Times New Roman" w:cs="Times New Roman"/>
          <w:bCs/>
          <w:color w:val="000000" w:themeColor="text1"/>
          <w:sz w:val="24"/>
          <w:szCs w:val="24"/>
          <w:u w:color="000000"/>
          <w:bdr w:val="nil"/>
        </w:rPr>
        <w:t>afișează rezultatul evaluării</w:t>
      </w:r>
      <w:r w:rsidR="00DC7A81" w:rsidRPr="00CD2ADD">
        <w:rPr>
          <w:rFonts w:ascii="Times New Roman" w:eastAsia="Arial Unicode MS" w:hAnsi="Times New Roman" w:cs="Times New Roman"/>
          <w:bCs/>
          <w:color w:val="000000" w:themeColor="text1"/>
          <w:sz w:val="24"/>
          <w:szCs w:val="24"/>
          <w:u w:color="000000"/>
          <w:bdr w:val="nil"/>
        </w:rPr>
        <w:t xml:space="preserve"> riscurilor cauzate de </w:t>
      </w:r>
      <w:r w:rsidR="00E16DAE" w:rsidRPr="00CD2ADD">
        <w:rPr>
          <w:rFonts w:ascii="Times New Roman" w:eastAsia="Arial Unicode MS" w:hAnsi="Times New Roman" w:cs="Times New Roman"/>
          <w:bCs/>
          <w:color w:val="000000" w:themeColor="text1"/>
          <w:sz w:val="24"/>
          <w:szCs w:val="24"/>
          <w:u w:color="000000"/>
          <w:bdr w:val="nil"/>
        </w:rPr>
        <w:t>dezastre</w:t>
      </w:r>
      <w:r w:rsidR="00DC7A81" w:rsidRPr="00CD2ADD">
        <w:rPr>
          <w:rFonts w:ascii="Times New Roman" w:eastAsia="Arial Unicode MS" w:hAnsi="Times New Roman" w:cs="Times New Roman"/>
          <w:bCs/>
          <w:color w:val="000000" w:themeColor="text1"/>
          <w:sz w:val="24"/>
          <w:szCs w:val="24"/>
          <w:u w:color="000000"/>
          <w:bdr w:val="nil"/>
        </w:rPr>
        <w:t xml:space="preserve"> naturale</w:t>
      </w:r>
      <w:r w:rsidR="00E16DAE" w:rsidRPr="00CD2ADD">
        <w:rPr>
          <w:rFonts w:ascii="Times New Roman" w:hAnsi="Times New Roman" w:cs="Times New Roman"/>
          <w:color w:val="000000" w:themeColor="text1"/>
          <w:sz w:val="24"/>
          <w:szCs w:val="24"/>
        </w:rPr>
        <w:t xml:space="preserve">. Astfel, riscul cu numărul 2 - inundațiile este clasificat ca având cel mai ridicat nivel de severitate, fiind încadrat în zona critică a matricei (probabilitate înaltă, impact major). Alte riscuri semnificative, precum cele numerotate 3, 4 și 6, prezintă o probabilitate înaltă și un impact moderat, necesitând acțiuni prioritare de reducere și adaptare. Riscurile  1 - seceta și 7 </w:t>
      </w:r>
      <w:r w:rsidR="00921C53" w:rsidRPr="00CD2ADD">
        <w:rPr>
          <w:rFonts w:ascii="Times New Roman" w:hAnsi="Times New Roman" w:cs="Times New Roman"/>
          <w:color w:val="000000" w:themeColor="text1"/>
          <w:sz w:val="24"/>
          <w:szCs w:val="24"/>
        </w:rPr>
        <w:t xml:space="preserve">- </w:t>
      </w:r>
      <w:r w:rsidR="00E16DAE" w:rsidRPr="00CD2ADD">
        <w:rPr>
          <w:rFonts w:ascii="Times New Roman" w:hAnsi="Times New Roman" w:cs="Times New Roman"/>
          <w:color w:val="000000" w:themeColor="text1"/>
          <w:sz w:val="24"/>
          <w:szCs w:val="24"/>
        </w:rPr>
        <w:t>grindina mare, cu probabilitate moderată dar impact sever, și riscurile 11 și 12, deși cu probabilitate joasă, dar cu potențial de impact major, indică de asemenea necesitatea unei monitorizări continue și a unor măsuri adaptate. Această clasificare oferă o bază solidă pentru prioritizarea intervențiilor în cadrul PRRD</w:t>
      </w:r>
      <w:r w:rsidR="00600181" w:rsidRPr="00CD2ADD">
        <w:rPr>
          <w:rFonts w:ascii="Times New Roman" w:hAnsi="Times New Roman" w:cs="Times New Roman"/>
          <w:color w:val="000000" w:themeColor="text1"/>
          <w:sz w:val="24"/>
          <w:szCs w:val="24"/>
        </w:rPr>
        <w:t>N</w:t>
      </w:r>
      <w:r w:rsidR="00F83F1C" w:rsidRPr="00CD2ADD">
        <w:rPr>
          <w:rFonts w:ascii="Times New Roman" w:hAnsi="Times New Roman" w:cs="Times New Roman"/>
          <w:color w:val="000000" w:themeColor="text1"/>
          <w:sz w:val="24"/>
          <w:szCs w:val="24"/>
        </w:rPr>
        <w:t xml:space="preserve"> 2030</w:t>
      </w:r>
      <w:r w:rsidR="00C75116" w:rsidRPr="00CD2ADD">
        <w:rPr>
          <w:rFonts w:ascii="Times New Roman" w:hAnsi="Times New Roman" w:cs="Times New Roman"/>
          <w:color w:val="000000" w:themeColor="text1"/>
          <w:sz w:val="24"/>
          <w:szCs w:val="24"/>
        </w:rPr>
        <w:t>.</w:t>
      </w:r>
    </w:p>
    <w:p w14:paraId="0449B422" w14:textId="127A9097" w:rsidR="006665B9" w:rsidRPr="00CD2ADD" w:rsidRDefault="00497C96">
      <w:pPr>
        <w:pStyle w:val="ListParagraph"/>
        <w:numPr>
          <w:ilvl w:val="0"/>
          <w:numId w:val="42"/>
        </w:numPr>
        <w:spacing w:after="0"/>
        <w:ind w:left="0" w:firstLine="360"/>
        <w:jc w:val="both"/>
        <w:rPr>
          <w:rFonts w:ascii="Times New Roman" w:hAnsi="Times New Roman" w:cs="Times New Roman"/>
          <w:b/>
          <w:bCs/>
          <w:i/>
          <w:iCs/>
          <w:color w:val="000000" w:themeColor="text1"/>
          <w:sz w:val="24"/>
          <w:szCs w:val="24"/>
        </w:rPr>
      </w:pPr>
      <w:r w:rsidRPr="00CD2ADD">
        <w:rPr>
          <w:rFonts w:ascii="Times New Roman" w:hAnsi="Times New Roman" w:cs="Times New Roman"/>
          <w:color w:val="000000" w:themeColor="text1"/>
          <w:sz w:val="24"/>
          <w:szCs w:val="24"/>
        </w:rPr>
        <w:t xml:space="preserve">Riscul de insuficiență acută de apă potabilă în urma secării surselor de apă sau a poluării acestora este tratat transversal în cadrul Programului. Acesta este abordat, pe de o parte, în capitolul dedicat secetei, din perspectiva disponibilității și utilizării resurselor de apă, iar pe de altă parte, în capitolul privind riscurile biologico-sociale, din perspectiva poluării surselor de apă și a impactului </w:t>
      </w:r>
      <w:r w:rsidRPr="00CD2ADD">
        <w:rPr>
          <w:rFonts w:ascii="Times New Roman" w:hAnsi="Times New Roman" w:cs="Times New Roman"/>
          <w:color w:val="000000" w:themeColor="text1"/>
          <w:sz w:val="24"/>
          <w:szCs w:val="24"/>
        </w:rPr>
        <w:lastRenderedPageBreak/>
        <w:t>asupra sănătății publice. Având în vedere această abordare integrată, riscul nu este dezvoltat într-un profil de risc separat, pentru a evita duplicarea analizelor și a măsurilor propuse.</w:t>
      </w:r>
    </w:p>
    <w:p w14:paraId="198E349C" w14:textId="77777777" w:rsidR="00631155" w:rsidRPr="00CD2ADD" w:rsidRDefault="00ED7B91" w:rsidP="00631155">
      <w:pPr>
        <w:jc w:val="right"/>
        <w:rPr>
          <w:b/>
          <w:bCs/>
          <w:color w:val="000000" w:themeColor="text1"/>
        </w:rPr>
      </w:pPr>
      <w:r w:rsidRPr="00CD2ADD">
        <w:rPr>
          <w:b/>
          <w:bCs/>
          <w:color w:val="000000" w:themeColor="text1"/>
        </w:rPr>
        <w:t xml:space="preserve">Tabelul 3. </w:t>
      </w:r>
    </w:p>
    <w:p w14:paraId="2BCEB45D" w14:textId="77777777" w:rsidR="00631155" w:rsidRPr="00CD2ADD" w:rsidRDefault="00ED7B91" w:rsidP="00631155">
      <w:pPr>
        <w:jc w:val="center"/>
        <w:rPr>
          <w:b/>
          <w:bCs/>
          <w:color w:val="000000" w:themeColor="text1"/>
        </w:rPr>
      </w:pPr>
      <w:r w:rsidRPr="00CD2ADD">
        <w:rPr>
          <w:b/>
          <w:bCs/>
          <w:color w:val="000000" w:themeColor="text1"/>
        </w:rPr>
        <w:t xml:space="preserve">Evaluarea riscurilor de dezastre naturale, </w:t>
      </w:r>
    </w:p>
    <w:p w14:paraId="596BA33B" w14:textId="05B8BF08" w:rsidR="00631155" w:rsidRPr="00CD2ADD" w:rsidRDefault="00631155" w:rsidP="00631155">
      <w:pPr>
        <w:jc w:val="center"/>
        <w:rPr>
          <w:b/>
          <w:bCs/>
          <w:color w:val="000000" w:themeColor="text1"/>
        </w:rPr>
      </w:pPr>
      <w:r w:rsidRPr="00CD2ADD">
        <w:rPr>
          <w:b/>
          <w:bCs/>
          <w:color w:val="000000" w:themeColor="text1"/>
        </w:rPr>
        <w:t>conform Strategiei Naționale de Reducere a Riscurilor de Dezastre, 2024</w:t>
      </w:r>
    </w:p>
    <w:tbl>
      <w:tblPr>
        <w:tblpPr w:leftFromText="180" w:rightFromText="180" w:vertAnchor="text" w:horzAnchor="margin" w:tblpXSpec="center" w:tblpY="239"/>
        <w:tblW w:w="9245"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56"/>
        <w:gridCol w:w="3075"/>
        <w:gridCol w:w="1118"/>
        <w:gridCol w:w="1162"/>
        <w:gridCol w:w="1132"/>
        <w:gridCol w:w="1133"/>
        <w:gridCol w:w="969"/>
      </w:tblGrid>
      <w:tr w:rsidR="00F1733E" w:rsidRPr="00CD2ADD" w14:paraId="50DB9D16" w14:textId="77777777" w:rsidTr="00F209DF">
        <w:trPr>
          <w:cantSplit/>
          <w:trHeight w:val="596"/>
        </w:trPr>
        <w:tc>
          <w:tcPr>
            <w:tcW w:w="0" w:type="auto"/>
            <w:vMerge w:val="restart"/>
            <w:tcMar>
              <w:top w:w="15" w:type="dxa"/>
              <w:left w:w="108" w:type="dxa"/>
              <w:bottom w:w="0" w:type="dxa"/>
              <w:right w:w="108" w:type="dxa"/>
            </w:tcMar>
            <w:textDirection w:val="btLr"/>
            <w:hideMark/>
          </w:tcPr>
          <w:p w14:paraId="769889F3" w14:textId="77777777" w:rsidR="00F1733E" w:rsidRPr="00CD2ADD" w:rsidRDefault="00F1733E" w:rsidP="00F1733E">
            <w:pPr>
              <w:ind w:firstLine="709"/>
              <w:rPr>
                <w:sz w:val="22"/>
              </w:rPr>
            </w:pPr>
            <w:r w:rsidRPr="00CD2ADD">
              <w:rPr>
                <w:b/>
                <w:bCs/>
                <w:sz w:val="22"/>
                <w:szCs w:val="22"/>
              </w:rPr>
              <w:t>PROBABILITATE</w:t>
            </w:r>
          </w:p>
        </w:tc>
        <w:tc>
          <w:tcPr>
            <w:tcW w:w="3075" w:type="dxa"/>
            <w:tcMar>
              <w:top w:w="15" w:type="dxa"/>
              <w:left w:w="108" w:type="dxa"/>
              <w:bottom w:w="0" w:type="dxa"/>
              <w:right w:w="108" w:type="dxa"/>
            </w:tcMar>
            <w:vAlign w:val="center"/>
            <w:hideMark/>
          </w:tcPr>
          <w:p w14:paraId="54F1193A" w14:textId="77777777" w:rsidR="00F1733E" w:rsidRPr="00CD2ADD" w:rsidRDefault="00F1733E" w:rsidP="00F1733E">
            <w:pPr>
              <w:ind w:firstLine="2"/>
              <w:jc w:val="both"/>
              <w:rPr>
                <w:sz w:val="22"/>
              </w:rPr>
            </w:pPr>
            <w:r w:rsidRPr="00CD2ADD">
              <w:rPr>
                <w:b/>
                <w:bCs/>
                <w:sz w:val="22"/>
                <w:szCs w:val="22"/>
              </w:rPr>
              <w:t>Probabilitate foarte înaltă</w:t>
            </w:r>
          </w:p>
        </w:tc>
        <w:tc>
          <w:tcPr>
            <w:tcW w:w="1118" w:type="dxa"/>
            <w:shd w:val="clear" w:color="auto" w:fill="00B050"/>
            <w:tcMar>
              <w:top w:w="15" w:type="dxa"/>
              <w:left w:w="108" w:type="dxa"/>
              <w:bottom w:w="0" w:type="dxa"/>
              <w:right w:w="108" w:type="dxa"/>
            </w:tcMar>
            <w:vAlign w:val="center"/>
          </w:tcPr>
          <w:p w14:paraId="406199EA" w14:textId="77777777" w:rsidR="00F1733E" w:rsidRPr="00CD2ADD" w:rsidRDefault="00F1733E" w:rsidP="00F1733E">
            <w:pPr>
              <w:jc w:val="center"/>
              <w:rPr>
                <w:b/>
                <w:sz w:val="22"/>
              </w:rPr>
            </w:pPr>
          </w:p>
        </w:tc>
        <w:tc>
          <w:tcPr>
            <w:tcW w:w="1162" w:type="dxa"/>
            <w:shd w:val="clear" w:color="auto" w:fill="FFFF00"/>
            <w:tcMar>
              <w:top w:w="15" w:type="dxa"/>
              <w:left w:w="108" w:type="dxa"/>
              <w:bottom w:w="0" w:type="dxa"/>
              <w:right w:w="108" w:type="dxa"/>
            </w:tcMar>
            <w:vAlign w:val="center"/>
          </w:tcPr>
          <w:p w14:paraId="7B5A89A9" w14:textId="77777777" w:rsidR="00F1733E" w:rsidRPr="00CD2ADD" w:rsidRDefault="00F1733E" w:rsidP="00F1733E">
            <w:pPr>
              <w:ind w:hanging="17"/>
              <w:jc w:val="center"/>
              <w:rPr>
                <w:b/>
                <w:sz w:val="22"/>
              </w:rPr>
            </w:pPr>
          </w:p>
        </w:tc>
        <w:tc>
          <w:tcPr>
            <w:tcW w:w="1132" w:type="dxa"/>
            <w:shd w:val="clear" w:color="auto" w:fill="FF9900"/>
            <w:tcMar>
              <w:top w:w="15" w:type="dxa"/>
              <w:left w:w="108" w:type="dxa"/>
              <w:bottom w:w="0" w:type="dxa"/>
              <w:right w:w="108" w:type="dxa"/>
            </w:tcMar>
            <w:vAlign w:val="center"/>
          </w:tcPr>
          <w:p w14:paraId="5B600890" w14:textId="77777777" w:rsidR="00F1733E" w:rsidRPr="00CD2ADD" w:rsidRDefault="00F1733E" w:rsidP="00F1733E">
            <w:pPr>
              <w:jc w:val="center"/>
              <w:rPr>
                <w:b/>
                <w:sz w:val="22"/>
              </w:rPr>
            </w:pPr>
          </w:p>
        </w:tc>
        <w:tc>
          <w:tcPr>
            <w:tcW w:w="1133" w:type="dxa"/>
            <w:shd w:val="clear" w:color="auto" w:fill="FF0000"/>
            <w:tcMar>
              <w:top w:w="15" w:type="dxa"/>
              <w:left w:w="108" w:type="dxa"/>
              <w:bottom w:w="0" w:type="dxa"/>
              <w:right w:w="108" w:type="dxa"/>
            </w:tcMar>
            <w:vAlign w:val="center"/>
          </w:tcPr>
          <w:p w14:paraId="0E355302" w14:textId="77777777" w:rsidR="00F1733E" w:rsidRPr="00CD2ADD" w:rsidRDefault="00F1733E" w:rsidP="00F1733E">
            <w:pPr>
              <w:ind w:hanging="42"/>
              <w:jc w:val="center"/>
              <w:rPr>
                <w:b/>
                <w:sz w:val="22"/>
              </w:rPr>
            </w:pPr>
          </w:p>
        </w:tc>
        <w:tc>
          <w:tcPr>
            <w:tcW w:w="969" w:type="dxa"/>
            <w:shd w:val="clear" w:color="auto" w:fill="FF0000"/>
            <w:tcMar>
              <w:top w:w="15" w:type="dxa"/>
              <w:left w:w="108" w:type="dxa"/>
              <w:bottom w:w="0" w:type="dxa"/>
              <w:right w:w="108" w:type="dxa"/>
            </w:tcMar>
            <w:vAlign w:val="center"/>
          </w:tcPr>
          <w:p w14:paraId="2EBE2D46" w14:textId="77777777" w:rsidR="00F1733E" w:rsidRPr="00CD2ADD" w:rsidRDefault="00F1733E" w:rsidP="00F1733E">
            <w:pPr>
              <w:jc w:val="center"/>
              <w:rPr>
                <w:b/>
                <w:sz w:val="22"/>
              </w:rPr>
            </w:pPr>
          </w:p>
        </w:tc>
      </w:tr>
      <w:tr w:rsidR="00F1733E" w:rsidRPr="00CD2ADD" w14:paraId="6B08EB71" w14:textId="77777777" w:rsidTr="002403FC">
        <w:trPr>
          <w:cantSplit/>
          <w:trHeight w:val="485"/>
        </w:trPr>
        <w:tc>
          <w:tcPr>
            <w:tcW w:w="0" w:type="auto"/>
            <w:vMerge/>
            <w:vAlign w:val="center"/>
            <w:hideMark/>
          </w:tcPr>
          <w:p w14:paraId="142639D9" w14:textId="77777777" w:rsidR="00F1733E" w:rsidRPr="00CD2ADD" w:rsidRDefault="00F1733E" w:rsidP="00F1733E">
            <w:pPr>
              <w:ind w:firstLine="709"/>
              <w:jc w:val="both"/>
              <w:rPr>
                <w:sz w:val="22"/>
              </w:rPr>
            </w:pPr>
          </w:p>
        </w:tc>
        <w:tc>
          <w:tcPr>
            <w:tcW w:w="3075" w:type="dxa"/>
            <w:tcMar>
              <w:top w:w="15" w:type="dxa"/>
              <w:left w:w="108" w:type="dxa"/>
              <w:bottom w:w="0" w:type="dxa"/>
              <w:right w:w="108" w:type="dxa"/>
            </w:tcMar>
            <w:vAlign w:val="center"/>
            <w:hideMark/>
          </w:tcPr>
          <w:p w14:paraId="1986000B" w14:textId="77777777" w:rsidR="00F1733E" w:rsidRPr="00CD2ADD" w:rsidRDefault="00F1733E" w:rsidP="00F1733E">
            <w:pPr>
              <w:ind w:firstLine="2"/>
              <w:jc w:val="both"/>
              <w:rPr>
                <w:sz w:val="22"/>
              </w:rPr>
            </w:pPr>
            <w:r w:rsidRPr="00CD2ADD">
              <w:rPr>
                <w:b/>
                <w:bCs/>
                <w:sz w:val="22"/>
                <w:szCs w:val="22"/>
              </w:rPr>
              <w:t>Probabilitate înaltă</w:t>
            </w:r>
          </w:p>
        </w:tc>
        <w:tc>
          <w:tcPr>
            <w:tcW w:w="1118" w:type="dxa"/>
            <w:shd w:val="clear" w:color="auto" w:fill="00B050"/>
            <w:tcMar>
              <w:top w:w="15" w:type="dxa"/>
              <w:left w:w="108" w:type="dxa"/>
              <w:bottom w:w="0" w:type="dxa"/>
              <w:right w:w="108" w:type="dxa"/>
            </w:tcMar>
            <w:vAlign w:val="center"/>
          </w:tcPr>
          <w:p w14:paraId="44BC610A" w14:textId="77777777" w:rsidR="00F1733E" w:rsidRPr="00CD2ADD" w:rsidRDefault="00F1733E" w:rsidP="00F1733E">
            <w:pPr>
              <w:jc w:val="center"/>
              <w:rPr>
                <w:b/>
                <w:sz w:val="22"/>
              </w:rPr>
            </w:pPr>
          </w:p>
        </w:tc>
        <w:tc>
          <w:tcPr>
            <w:tcW w:w="1162" w:type="dxa"/>
            <w:shd w:val="clear" w:color="auto" w:fill="FFFF00"/>
            <w:tcMar>
              <w:top w:w="15" w:type="dxa"/>
              <w:left w:w="108" w:type="dxa"/>
              <w:bottom w:w="0" w:type="dxa"/>
              <w:right w:w="108" w:type="dxa"/>
            </w:tcMar>
            <w:vAlign w:val="center"/>
          </w:tcPr>
          <w:p w14:paraId="09E39B92" w14:textId="77777777" w:rsidR="00F1733E" w:rsidRPr="00CD2ADD" w:rsidRDefault="00F1733E" w:rsidP="00F1733E">
            <w:pPr>
              <w:ind w:hanging="17"/>
              <w:jc w:val="center"/>
              <w:rPr>
                <w:b/>
                <w:sz w:val="22"/>
              </w:rPr>
            </w:pPr>
          </w:p>
        </w:tc>
        <w:tc>
          <w:tcPr>
            <w:tcW w:w="1132" w:type="dxa"/>
            <w:shd w:val="clear" w:color="auto" w:fill="FF9900"/>
            <w:tcMar>
              <w:top w:w="15" w:type="dxa"/>
              <w:left w:w="108" w:type="dxa"/>
              <w:bottom w:w="0" w:type="dxa"/>
              <w:right w:w="108" w:type="dxa"/>
            </w:tcMar>
            <w:vAlign w:val="center"/>
          </w:tcPr>
          <w:p w14:paraId="7BD3E8D5" w14:textId="77777777" w:rsidR="00F1733E" w:rsidRPr="00CD2ADD" w:rsidRDefault="00F1733E" w:rsidP="00F1733E">
            <w:pPr>
              <w:jc w:val="center"/>
              <w:rPr>
                <w:b/>
                <w:sz w:val="22"/>
              </w:rPr>
            </w:pPr>
            <w:r w:rsidRPr="00CD2ADD">
              <w:rPr>
                <w:b/>
                <w:sz w:val="22"/>
                <w:szCs w:val="22"/>
              </w:rPr>
              <w:t>3,4,6</w:t>
            </w:r>
          </w:p>
        </w:tc>
        <w:tc>
          <w:tcPr>
            <w:tcW w:w="1133" w:type="dxa"/>
            <w:shd w:val="clear" w:color="auto" w:fill="FF0000"/>
            <w:tcMar>
              <w:top w:w="15" w:type="dxa"/>
              <w:left w:w="108" w:type="dxa"/>
              <w:bottom w:w="0" w:type="dxa"/>
              <w:right w:w="108" w:type="dxa"/>
            </w:tcMar>
            <w:vAlign w:val="center"/>
          </w:tcPr>
          <w:p w14:paraId="0B982772" w14:textId="77777777" w:rsidR="00F1733E" w:rsidRPr="00CD2ADD" w:rsidRDefault="00F1733E" w:rsidP="00F1733E">
            <w:pPr>
              <w:ind w:hanging="42"/>
              <w:jc w:val="center"/>
              <w:rPr>
                <w:b/>
                <w:sz w:val="22"/>
              </w:rPr>
            </w:pPr>
            <w:r w:rsidRPr="00CD2ADD">
              <w:rPr>
                <w:b/>
                <w:sz w:val="22"/>
                <w:szCs w:val="22"/>
              </w:rPr>
              <w:t>2</w:t>
            </w:r>
          </w:p>
        </w:tc>
        <w:tc>
          <w:tcPr>
            <w:tcW w:w="969" w:type="dxa"/>
            <w:shd w:val="clear" w:color="auto" w:fill="FF0000"/>
            <w:tcMar>
              <w:top w:w="15" w:type="dxa"/>
              <w:left w:w="108" w:type="dxa"/>
              <w:bottom w:w="0" w:type="dxa"/>
              <w:right w:w="108" w:type="dxa"/>
            </w:tcMar>
            <w:vAlign w:val="center"/>
          </w:tcPr>
          <w:p w14:paraId="672E01D3" w14:textId="77777777" w:rsidR="00F1733E" w:rsidRPr="00CD2ADD" w:rsidRDefault="00F1733E" w:rsidP="00F1733E">
            <w:pPr>
              <w:jc w:val="center"/>
              <w:rPr>
                <w:b/>
                <w:sz w:val="22"/>
              </w:rPr>
            </w:pPr>
          </w:p>
        </w:tc>
      </w:tr>
      <w:tr w:rsidR="00F1733E" w:rsidRPr="00CD2ADD" w14:paraId="0E3D6BCA" w14:textId="77777777" w:rsidTr="002403FC">
        <w:trPr>
          <w:cantSplit/>
          <w:trHeight w:val="527"/>
        </w:trPr>
        <w:tc>
          <w:tcPr>
            <w:tcW w:w="0" w:type="auto"/>
            <w:vMerge/>
            <w:tcBorders>
              <w:top w:val="single" w:sz="6" w:space="0" w:color="auto"/>
            </w:tcBorders>
            <w:vAlign w:val="center"/>
            <w:hideMark/>
          </w:tcPr>
          <w:p w14:paraId="503D4E8D" w14:textId="77777777" w:rsidR="00F1733E" w:rsidRPr="00CD2ADD" w:rsidRDefault="00F1733E" w:rsidP="00F1733E">
            <w:pPr>
              <w:ind w:firstLine="709"/>
              <w:jc w:val="both"/>
              <w:rPr>
                <w:sz w:val="22"/>
              </w:rPr>
            </w:pPr>
          </w:p>
        </w:tc>
        <w:tc>
          <w:tcPr>
            <w:tcW w:w="3075" w:type="dxa"/>
            <w:tcBorders>
              <w:top w:val="single" w:sz="6" w:space="0" w:color="auto"/>
            </w:tcBorders>
            <w:tcMar>
              <w:top w:w="15" w:type="dxa"/>
              <w:left w:w="108" w:type="dxa"/>
              <w:bottom w:w="0" w:type="dxa"/>
              <w:right w:w="108" w:type="dxa"/>
            </w:tcMar>
            <w:vAlign w:val="center"/>
            <w:hideMark/>
          </w:tcPr>
          <w:p w14:paraId="5AFB64D7" w14:textId="77777777" w:rsidR="00F1733E" w:rsidRPr="00CD2ADD" w:rsidRDefault="00F1733E" w:rsidP="00F1733E">
            <w:pPr>
              <w:ind w:firstLine="2"/>
              <w:jc w:val="both"/>
              <w:rPr>
                <w:sz w:val="22"/>
              </w:rPr>
            </w:pPr>
            <w:r w:rsidRPr="00CD2ADD">
              <w:rPr>
                <w:b/>
                <w:bCs/>
                <w:sz w:val="22"/>
                <w:szCs w:val="22"/>
              </w:rPr>
              <w:t>Probabilitate moderată</w:t>
            </w:r>
          </w:p>
        </w:tc>
        <w:tc>
          <w:tcPr>
            <w:tcW w:w="1118" w:type="dxa"/>
            <w:tcBorders>
              <w:top w:val="single" w:sz="6" w:space="0" w:color="auto"/>
            </w:tcBorders>
            <w:shd w:val="clear" w:color="auto" w:fill="00B050"/>
            <w:tcMar>
              <w:top w:w="15" w:type="dxa"/>
              <w:left w:w="108" w:type="dxa"/>
              <w:bottom w:w="0" w:type="dxa"/>
              <w:right w:w="108" w:type="dxa"/>
            </w:tcMar>
            <w:vAlign w:val="center"/>
          </w:tcPr>
          <w:p w14:paraId="79588257" w14:textId="77777777" w:rsidR="00F1733E" w:rsidRPr="00CD2ADD" w:rsidRDefault="00F1733E" w:rsidP="00F1733E">
            <w:pPr>
              <w:jc w:val="center"/>
              <w:rPr>
                <w:b/>
                <w:sz w:val="22"/>
              </w:rPr>
            </w:pPr>
          </w:p>
        </w:tc>
        <w:tc>
          <w:tcPr>
            <w:tcW w:w="1162" w:type="dxa"/>
            <w:tcBorders>
              <w:top w:val="single" w:sz="6" w:space="0" w:color="auto"/>
            </w:tcBorders>
            <w:shd w:val="clear" w:color="auto" w:fill="FFFF00"/>
            <w:tcMar>
              <w:top w:w="15" w:type="dxa"/>
              <w:left w:w="108" w:type="dxa"/>
              <w:bottom w:w="0" w:type="dxa"/>
              <w:right w:w="108" w:type="dxa"/>
            </w:tcMar>
            <w:vAlign w:val="center"/>
          </w:tcPr>
          <w:p w14:paraId="538D3592" w14:textId="77777777" w:rsidR="00F1733E" w:rsidRPr="00CD2ADD" w:rsidRDefault="00F1733E" w:rsidP="00F1733E">
            <w:pPr>
              <w:ind w:hanging="17"/>
              <w:jc w:val="center"/>
              <w:rPr>
                <w:b/>
                <w:sz w:val="22"/>
              </w:rPr>
            </w:pPr>
          </w:p>
        </w:tc>
        <w:tc>
          <w:tcPr>
            <w:tcW w:w="1132" w:type="dxa"/>
            <w:tcBorders>
              <w:top w:val="single" w:sz="6" w:space="0" w:color="auto"/>
            </w:tcBorders>
            <w:shd w:val="clear" w:color="auto" w:fill="FF9900"/>
            <w:tcMar>
              <w:top w:w="15" w:type="dxa"/>
              <w:left w:w="108" w:type="dxa"/>
              <w:bottom w:w="0" w:type="dxa"/>
              <w:right w:w="108" w:type="dxa"/>
            </w:tcMar>
            <w:vAlign w:val="center"/>
          </w:tcPr>
          <w:p w14:paraId="6B4D0684" w14:textId="77777777" w:rsidR="00F1733E" w:rsidRPr="00CD2ADD" w:rsidRDefault="00F1733E" w:rsidP="00F1733E">
            <w:pPr>
              <w:jc w:val="center"/>
              <w:rPr>
                <w:b/>
                <w:sz w:val="22"/>
              </w:rPr>
            </w:pPr>
            <w:r w:rsidRPr="00CD2ADD">
              <w:rPr>
                <w:b/>
                <w:sz w:val="22"/>
                <w:szCs w:val="22"/>
              </w:rPr>
              <w:t>5,8</w:t>
            </w:r>
          </w:p>
        </w:tc>
        <w:tc>
          <w:tcPr>
            <w:tcW w:w="1133" w:type="dxa"/>
            <w:tcBorders>
              <w:top w:val="single" w:sz="6" w:space="0" w:color="auto"/>
            </w:tcBorders>
            <w:shd w:val="clear" w:color="auto" w:fill="FF9900"/>
            <w:tcMar>
              <w:top w:w="15" w:type="dxa"/>
              <w:left w:w="108" w:type="dxa"/>
              <w:bottom w:w="0" w:type="dxa"/>
              <w:right w:w="108" w:type="dxa"/>
            </w:tcMar>
            <w:vAlign w:val="center"/>
          </w:tcPr>
          <w:p w14:paraId="04FFE60D" w14:textId="77777777" w:rsidR="00F1733E" w:rsidRPr="00CD2ADD" w:rsidRDefault="00F1733E" w:rsidP="00F1733E">
            <w:pPr>
              <w:ind w:hanging="42"/>
              <w:jc w:val="center"/>
              <w:rPr>
                <w:b/>
                <w:sz w:val="22"/>
              </w:rPr>
            </w:pPr>
            <w:r w:rsidRPr="00CD2ADD">
              <w:rPr>
                <w:b/>
                <w:sz w:val="22"/>
                <w:szCs w:val="22"/>
              </w:rPr>
              <w:t>1,7</w:t>
            </w:r>
          </w:p>
        </w:tc>
        <w:tc>
          <w:tcPr>
            <w:tcW w:w="969" w:type="dxa"/>
            <w:tcBorders>
              <w:top w:val="single" w:sz="6" w:space="0" w:color="auto"/>
            </w:tcBorders>
            <w:shd w:val="clear" w:color="auto" w:fill="FF0000"/>
            <w:tcMar>
              <w:top w:w="15" w:type="dxa"/>
              <w:left w:w="108" w:type="dxa"/>
              <w:bottom w:w="0" w:type="dxa"/>
              <w:right w:w="108" w:type="dxa"/>
            </w:tcMar>
            <w:vAlign w:val="center"/>
          </w:tcPr>
          <w:p w14:paraId="68292A02" w14:textId="77777777" w:rsidR="00F1733E" w:rsidRPr="00CD2ADD" w:rsidRDefault="00F1733E" w:rsidP="00F1733E">
            <w:pPr>
              <w:jc w:val="center"/>
              <w:rPr>
                <w:b/>
                <w:sz w:val="22"/>
              </w:rPr>
            </w:pPr>
          </w:p>
        </w:tc>
      </w:tr>
      <w:tr w:rsidR="00F1733E" w:rsidRPr="00CD2ADD" w14:paraId="33E778ED" w14:textId="77777777" w:rsidTr="002403FC">
        <w:trPr>
          <w:cantSplit/>
          <w:trHeight w:val="544"/>
        </w:trPr>
        <w:tc>
          <w:tcPr>
            <w:tcW w:w="0" w:type="auto"/>
            <w:vMerge/>
            <w:vAlign w:val="center"/>
            <w:hideMark/>
          </w:tcPr>
          <w:p w14:paraId="655CEEC9" w14:textId="77777777" w:rsidR="00F1733E" w:rsidRPr="00CD2ADD" w:rsidRDefault="00F1733E" w:rsidP="00F1733E">
            <w:pPr>
              <w:ind w:firstLine="709"/>
              <w:jc w:val="both"/>
              <w:rPr>
                <w:sz w:val="22"/>
              </w:rPr>
            </w:pPr>
          </w:p>
        </w:tc>
        <w:tc>
          <w:tcPr>
            <w:tcW w:w="3075" w:type="dxa"/>
            <w:tcMar>
              <w:top w:w="15" w:type="dxa"/>
              <w:left w:w="108" w:type="dxa"/>
              <w:bottom w:w="0" w:type="dxa"/>
              <w:right w:w="108" w:type="dxa"/>
            </w:tcMar>
            <w:vAlign w:val="center"/>
            <w:hideMark/>
          </w:tcPr>
          <w:p w14:paraId="39417D05" w14:textId="77777777" w:rsidR="00F1733E" w:rsidRPr="00CD2ADD" w:rsidRDefault="00F1733E" w:rsidP="00F1733E">
            <w:pPr>
              <w:ind w:firstLine="2"/>
              <w:jc w:val="both"/>
              <w:rPr>
                <w:sz w:val="22"/>
              </w:rPr>
            </w:pPr>
            <w:r w:rsidRPr="00CD2ADD">
              <w:rPr>
                <w:b/>
                <w:bCs/>
                <w:sz w:val="22"/>
                <w:szCs w:val="22"/>
              </w:rPr>
              <w:t>Probabilitate joasă</w:t>
            </w:r>
          </w:p>
        </w:tc>
        <w:tc>
          <w:tcPr>
            <w:tcW w:w="1118" w:type="dxa"/>
            <w:shd w:val="clear" w:color="auto" w:fill="00B050"/>
            <w:tcMar>
              <w:top w:w="15" w:type="dxa"/>
              <w:left w:w="108" w:type="dxa"/>
              <w:bottom w:w="0" w:type="dxa"/>
              <w:right w:w="108" w:type="dxa"/>
            </w:tcMar>
            <w:vAlign w:val="center"/>
          </w:tcPr>
          <w:p w14:paraId="20660727" w14:textId="77777777" w:rsidR="00F1733E" w:rsidRPr="00CD2ADD" w:rsidRDefault="00F1733E" w:rsidP="00F1733E">
            <w:pPr>
              <w:jc w:val="center"/>
              <w:rPr>
                <w:b/>
                <w:sz w:val="22"/>
              </w:rPr>
            </w:pPr>
          </w:p>
        </w:tc>
        <w:tc>
          <w:tcPr>
            <w:tcW w:w="1162" w:type="dxa"/>
            <w:shd w:val="clear" w:color="auto" w:fill="00B050"/>
            <w:tcMar>
              <w:top w:w="15" w:type="dxa"/>
              <w:left w:w="108" w:type="dxa"/>
              <w:bottom w:w="0" w:type="dxa"/>
              <w:right w:w="108" w:type="dxa"/>
            </w:tcMar>
            <w:vAlign w:val="center"/>
          </w:tcPr>
          <w:p w14:paraId="052D30F3" w14:textId="77777777" w:rsidR="00F1733E" w:rsidRPr="00CD2ADD" w:rsidRDefault="00F1733E" w:rsidP="00F1733E">
            <w:pPr>
              <w:ind w:hanging="17"/>
              <w:jc w:val="center"/>
              <w:rPr>
                <w:b/>
                <w:sz w:val="22"/>
              </w:rPr>
            </w:pPr>
          </w:p>
        </w:tc>
        <w:tc>
          <w:tcPr>
            <w:tcW w:w="1132" w:type="dxa"/>
            <w:shd w:val="clear" w:color="auto" w:fill="FFFF00"/>
            <w:tcMar>
              <w:top w:w="15" w:type="dxa"/>
              <w:left w:w="108" w:type="dxa"/>
              <w:bottom w:w="0" w:type="dxa"/>
              <w:right w:w="108" w:type="dxa"/>
            </w:tcMar>
            <w:vAlign w:val="center"/>
          </w:tcPr>
          <w:p w14:paraId="31BB7C39" w14:textId="77777777" w:rsidR="00F1733E" w:rsidRPr="00CD2ADD" w:rsidRDefault="00F1733E" w:rsidP="00F1733E">
            <w:pPr>
              <w:jc w:val="center"/>
              <w:rPr>
                <w:b/>
                <w:sz w:val="22"/>
              </w:rPr>
            </w:pPr>
            <w:r w:rsidRPr="00CD2ADD">
              <w:rPr>
                <w:b/>
                <w:sz w:val="22"/>
                <w:szCs w:val="22"/>
              </w:rPr>
              <w:t>9,10</w:t>
            </w:r>
          </w:p>
        </w:tc>
        <w:tc>
          <w:tcPr>
            <w:tcW w:w="1133" w:type="dxa"/>
            <w:shd w:val="clear" w:color="auto" w:fill="FF9900"/>
            <w:tcMar>
              <w:top w:w="15" w:type="dxa"/>
              <w:left w:w="108" w:type="dxa"/>
              <w:bottom w:w="0" w:type="dxa"/>
              <w:right w:w="108" w:type="dxa"/>
            </w:tcMar>
            <w:vAlign w:val="center"/>
          </w:tcPr>
          <w:p w14:paraId="0099550D" w14:textId="77777777" w:rsidR="00F1733E" w:rsidRPr="00CD2ADD" w:rsidRDefault="00F1733E" w:rsidP="00F1733E">
            <w:pPr>
              <w:ind w:hanging="42"/>
              <w:jc w:val="center"/>
              <w:rPr>
                <w:b/>
                <w:sz w:val="22"/>
              </w:rPr>
            </w:pPr>
            <w:r w:rsidRPr="00CD2ADD">
              <w:rPr>
                <w:b/>
                <w:sz w:val="22"/>
                <w:szCs w:val="22"/>
              </w:rPr>
              <w:t>11,12</w:t>
            </w:r>
          </w:p>
        </w:tc>
        <w:tc>
          <w:tcPr>
            <w:tcW w:w="969" w:type="dxa"/>
            <w:shd w:val="clear" w:color="auto" w:fill="FF9900"/>
            <w:tcMar>
              <w:top w:w="15" w:type="dxa"/>
              <w:left w:w="108" w:type="dxa"/>
              <w:bottom w:w="0" w:type="dxa"/>
              <w:right w:w="108" w:type="dxa"/>
            </w:tcMar>
            <w:vAlign w:val="center"/>
          </w:tcPr>
          <w:p w14:paraId="15608BFF" w14:textId="77777777" w:rsidR="00F1733E" w:rsidRPr="00CD2ADD" w:rsidRDefault="00F1733E" w:rsidP="00F1733E">
            <w:pPr>
              <w:jc w:val="center"/>
              <w:rPr>
                <w:b/>
                <w:sz w:val="22"/>
              </w:rPr>
            </w:pPr>
          </w:p>
        </w:tc>
      </w:tr>
      <w:tr w:rsidR="00F1733E" w:rsidRPr="00CD2ADD" w14:paraId="16EA1D74" w14:textId="77777777" w:rsidTr="002403FC">
        <w:trPr>
          <w:cantSplit/>
          <w:trHeight w:val="524"/>
        </w:trPr>
        <w:tc>
          <w:tcPr>
            <w:tcW w:w="0" w:type="auto"/>
            <w:vMerge/>
            <w:vAlign w:val="center"/>
            <w:hideMark/>
          </w:tcPr>
          <w:p w14:paraId="5216DF6C" w14:textId="77777777" w:rsidR="00F1733E" w:rsidRPr="00CD2ADD" w:rsidRDefault="00F1733E" w:rsidP="00F1733E">
            <w:pPr>
              <w:ind w:firstLine="709"/>
              <w:jc w:val="both"/>
              <w:rPr>
                <w:sz w:val="22"/>
              </w:rPr>
            </w:pPr>
          </w:p>
        </w:tc>
        <w:tc>
          <w:tcPr>
            <w:tcW w:w="3075" w:type="dxa"/>
            <w:tcMar>
              <w:top w:w="15" w:type="dxa"/>
              <w:left w:w="108" w:type="dxa"/>
              <w:bottom w:w="0" w:type="dxa"/>
              <w:right w:w="108" w:type="dxa"/>
            </w:tcMar>
            <w:vAlign w:val="center"/>
            <w:hideMark/>
          </w:tcPr>
          <w:p w14:paraId="528600B9" w14:textId="77777777" w:rsidR="00F1733E" w:rsidRPr="00CD2ADD" w:rsidRDefault="00F1733E" w:rsidP="00F1733E">
            <w:pPr>
              <w:ind w:firstLine="2"/>
              <w:jc w:val="both"/>
              <w:rPr>
                <w:sz w:val="22"/>
              </w:rPr>
            </w:pPr>
            <w:r w:rsidRPr="00CD2ADD">
              <w:rPr>
                <w:b/>
                <w:bCs/>
                <w:sz w:val="22"/>
                <w:szCs w:val="22"/>
              </w:rPr>
              <w:t>Probabilitate aproape nulă</w:t>
            </w:r>
          </w:p>
        </w:tc>
        <w:tc>
          <w:tcPr>
            <w:tcW w:w="1118" w:type="dxa"/>
            <w:shd w:val="clear" w:color="auto" w:fill="00B050"/>
            <w:tcMar>
              <w:top w:w="15" w:type="dxa"/>
              <w:left w:w="108" w:type="dxa"/>
              <w:bottom w:w="0" w:type="dxa"/>
              <w:right w:w="108" w:type="dxa"/>
            </w:tcMar>
            <w:vAlign w:val="center"/>
          </w:tcPr>
          <w:p w14:paraId="79D68A20" w14:textId="77777777" w:rsidR="00F1733E" w:rsidRPr="00CD2ADD" w:rsidRDefault="00F1733E" w:rsidP="00F1733E">
            <w:pPr>
              <w:jc w:val="center"/>
              <w:rPr>
                <w:b/>
                <w:sz w:val="22"/>
              </w:rPr>
            </w:pPr>
          </w:p>
        </w:tc>
        <w:tc>
          <w:tcPr>
            <w:tcW w:w="1162" w:type="dxa"/>
            <w:shd w:val="clear" w:color="auto" w:fill="00B050"/>
            <w:tcMar>
              <w:top w:w="15" w:type="dxa"/>
              <w:left w:w="108" w:type="dxa"/>
              <w:bottom w:w="0" w:type="dxa"/>
              <w:right w:w="108" w:type="dxa"/>
            </w:tcMar>
            <w:vAlign w:val="center"/>
          </w:tcPr>
          <w:p w14:paraId="367DF46C" w14:textId="77777777" w:rsidR="00F1733E" w:rsidRPr="00CD2ADD" w:rsidRDefault="00F1733E" w:rsidP="00F1733E">
            <w:pPr>
              <w:rPr>
                <w:b/>
                <w:sz w:val="22"/>
              </w:rPr>
            </w:pPr>
          </w:p>
        </w:tc>
        <w:tc>
          <w:tcPr>
            <w:tcW w:w="1132" w:type="dxa"/>
            <w:shd w:val="clear" w:color="auto" w:fill="FFFF00"/>
            <w:tcMar>
              <w:top w:w="15" w:type="dxa"/>
              <w:left w:w="108" w:type="dxa"/>
              <w:bottom w:w="0" w:type="dxa"/>
              <w:right w:w="108" w:type="dxa"/>
            </w:tcMar>
            <w:vAlign w:val="center"/>
          </w:tcPr>
          <w:p w14:paraId="1916A462" w14:textId="77777777" w:rsidR="00F1733E" w:rsidRPr="00CD2ADD" w:rsidRDefault="00F1733E" w:rsidP="00F1733E">
            <w:pPr>
              <w:jc w:val="center"/>
              <w:rPr>
                <w:b/>
                <w:sz w:val="22"/>
              </w:rPr>
            </w:pPr>
          </w:p>
        </w:tc>
        <w:tc>
          <w:tcPr>
            <w:tcW w:w="1133" w:type="dxa"/>
            <w:shd w:val="clear" w:color="auto" w:fill="FF9900"/>
            <w:tcMar>
              <w:top w:w="15" w:type="dxa"/>
              <w:left w:w="108" w:type="dxa"/>
              <w:bottom w:w="0" w:type="dxa"/>
              <w:right w:w="108" w:type="dxa"/>
            </w:tcMar>
            <w:vAlign w:val="center"/>
          </w:tcPr>
          <w:p w14:paraId="14AD1294" w14:textId="77777777" w:rsidR="00F1733E" w:rsidRPr="00CD2ADD" w:rsidRDefault="00F1733E" w:rsidP="00F1733E">
            <w:pPr>
              <w:ind w:hanging="42"/>
              <w:jc w:val="center"/>
              <w:rPr>
                <w:b/>
                <w:sz w:val="22"/>
              </w:rPr>
            </w:pPr>
          </w:p>
        </w:tc>
        <w:tc>
          <w:tcPr>
            <w:tcW w:w="969" w:type="dxa"/>
            <w:shd w:val="clear" w:color="auto" w:fill="FF9900"/>
            <w:tcMar>
              <w:top w:w="15" w:type="dxa"/>
              <w:left w:w="108" w:type="dxa"/>
              <w:bottom w:w="0" w:type="dxa"/>
              <w:right w:w="108" w:type="dxa"/>
            </w:tcMar>
            <w:vAlign w:val="center"/>
          </w:tcPr>
          <w:p w14:paraId="4EAE7C79" w14:textId="77777777" w:rsidR="00F1733E" w:rsidRPr="00CD2ADD" w:rsidRDefault="00F1733E" w:rsidP="00F1733E">
            <w:pPr>
              <w:jc w:val="center"/>
              <w:rPr>
                <w:b/>
                <w:sz w:val="22"/>
              </w:rPr>
            </w:pPr>
          </w:p>
        </w:tc>
      </w:tr>
      <w:tr w:rsidR="00F1733E" w:rsidRPr="00CD2ADD" w14:paraId="26DFA130" w14:textId="77777777" w:rsidTr="002403FC">
        <w:trPr>
          <w:trHeight w:val="248"/>
        </w:trPr>
        <w:tc>
          <w:tcPr>
            <w:tcW w:w="0" w:type="auto"/>
            <w:vMerge/>
            <w:vAlign w:val="center"/>
            <w:hideMark/>
          </w:tcPr>
          <w:p w14:paraId="2E78A968" w14:textId="77777777" w:rsidR="00F1733E" w:rsidRPr="00CD2ADD" w:rsidRDefault="00F1733E" w:rsidP="00F1733E">
            <w:pPr>
              <w:ind w:firstLine="709"/>
              <w:jc w:val="both"/>
              <w:rPr>
                <w:sz w:val="22"/>
              </w:rPr>
            </w:pPr>
          </w:p>
        </w:tc>
        <w:tc>
          <w:tcPr>
            <w:tcW w:w="3075" w:type="dxa"/>
            <w:tcMar>
              <w:top w:w="15" w:type="dxa"/>
              <w:left w:w="108" w:type="dxa"/>
              <w:bottom w:w="0" w:type="dxa"/>
              <w:right w:w="108" w:type="dxa"/>
            </w:tcMar>
            <w:hideMark/>
          </w:tcPr>
          <w:p w14:paraId="6607D272" w14:textId="77777777" w:rsidR="00F1733E" w:rsidRPr="00CD2ADD" w:rsidRDefault="00F1733E" w:rsidP="00F1733E">
            <w:pPr>
              <w:ind w:firstLine="709"/>
              <w:jc w:val="both"/>
              <w:rPr>
                <w:sz w:val="22"/>
              </w:rPr>
            </w:pPr>
            <w:r w:rsidRPr="00CD2ADD">
              <w:rPr>
                <w:sz w:val="22"/>
                <w:szCs w:val="22"/>
              </w:rPr>
              <w:t> </w:t>
            </w:r>
          </w:p>
        </w:tc>
        <w:tc>
          <w:tcPr>
            <w:tcW w:w="1118" w:type="dxa"/>
            <w:tcMar>
              <w:top w:w="15" w:type="dxa"/>
              <w:left w:w="108" w:type="dxa"/>
              <w:bottom w:w="0" w:type="dxa"/>
              <w:right w:w="108" w:type="dxa"/>
            </w:tcMar>
            <w:vAlign w:val="center"/>
            <w:hideMark/>
          </w:tcPr>
          <w:p w14:paraId="55214D2F" w14:textId="77777777" w:rsidR="00F1733E" w:rsidRPr="00CD2ADD" w:rsidRDefault="00F1733E" w:rsidP="00F1733E">
            <w:pPr>
              <w:jc w:val="both"/>
              <w:rPr>
                <w:sz w:val="22"/>
              </w:rPr>
            </w:pPr>
            <w:r w:rsidRPr="00CD2ADD">
              <w:rPr>
                <w:b/>
                <w:bCs/>
                <w:sz w:val="22"/>
                <w:szCs w:val="22"/>
              </w:rPr>
              <w:t>Minimal</w:t>
            </w:r>
          </w:p>
        </w:tc>
        <w:tc>
          <w:tcPr>
            <w:tcW w:w="1162" w:type="dxa"/>
            <w:tcMar>
              <w:top w:w="15" w:type="dxa"/>
              <w:left w:w="108" w:type="dxa"/>
              <w:bottom w:w="0" w:type="dxa"/>
              <w:right w:w="108" w:type="dxa"/>
            </w:tcMar>
            <w:vAlign w:val="center"/>
            <w:hideMark/>
          </w:tcPr>
          <w:p w14:paraId="799AE1E2" w14:textId="77777777" w:rsidR="00F1733E" w:rsidRPr="00CD2ADD" w:rsidRDefault="00F1733E" w:rsidP="00F1733E">
            <w:pPr>
              <w:jc w:val="center"/>
              <w:rPr>
                <w:sz w:val="22"/>
              </w:rPr>
            </w:pPr>
            <w:r w:rsidRPr="00CD2ADD">
              <w:rPr>
                <w:b/>
                <w:bCs/>
                <w:sz w:val="22"/>
                <w:szCs w:val="22"/>
              </w:rPr>
              <w:t>Minor</w:t>
            </w:r>
          </w:p>
        </w:tc>
        <w:tc>
          <w:tcPr>
            <w:tcW w:w="1132" w:type="dxa"/>
            <w:tcMar>
              <w:top w:w="15" w:type="dxa"/>
              <w:left w:w="108" w:type="dxa"/>
              <w:bottom w:w="0" w:type="dxa"/>
              <w:right w:w="108" w:type="dxa"/>
            </w:tcMar>
            <w:vAlign w:val="center"/>
            <w:hideMark/>
          </w:tcPr>
          <w:p w14:paraId="45D884D3" w14:textId="77777777" w:rsidR="00F1733E" w:rsidRPr="00CD2ADD" w:rsidRDefault="00F1733E" w:rsidP="00F1733E">
            <w:pPr>
              <w:jc w:val="center"/>
              <w:rPr>
                <w:sz w:val="22"/>
              </w:rPr>
            </w:pPr>
            <w:r w:rsidRPr="00CD2ADD">
              <w:rPr>
                <w:b/>
                <w:bCs/>
                <w:sz w:val="22"/>
                <w:szCs w:val="22"/>
              </w:rPr>
              <w:t>Moderat</w:t>
            </w:r>
          </w:p>
        </w:tc>
        <w:tc>
          <w:tcPr>
            <w:tcW w:w="1133" w:type="dxa"/>
            <w:tcMar>
              <w:top w:w="15" w:type="dxa"/>
              <w:left w:w="108" w:type="dxa"/>
              <w:bottom w:w="0" w:type="dxa"/>
              <w:right w:w="108" w:type="dxa"/>
            </w:tcMar>
            <w:vAlign w:val="center"/>
            <w:hideMark/>
          </w:tcPr>
          <w:p w14:paraId="1E6C77E2" w14:textId="77777777" w:rsidR="00F1733E" w:rsidRPr="00CD2ADD" w:rsidRDefault="00F1733E" w:rsidP="00F1733E">
            <w:pPr>
              <w:jc w:val="center"/>
              <w:rPr>
                <w:sz w:val="22"/>
              </w:rPr>
            </w:pPr>
            <w:r w:rsidRPr="00CD2ADD">
              <w:rPr>
                <w:b/>
                <w:bCs/>
                <w:sz w:val="22"/>
                <w:szCs w:val="22"/>
              </w:rPr>
              <w:t>Major</w:t>
            </w:r>
          </w:p>
        </w:tc>
        <w:tc>
          <w:tcPr>
            <w:tcW w:w="969" w:type="dxa"/>
            <w:tcMar>
              <w:top w:w="15" w:type="dxa"/>
              <w:left w:w="108" w:type="dxa"/>
              <w:bottom w:w="0" w:type="dxa"/>
              <w:right w:w="108" w:type="dxa"/>
            </w:tcMar>
            <w:vAlign w:val="center"/>
            <w:hideMark/>
          </w:tcPr>
          <w:p w14:paraId="423FDBCA" w14:textId="77777777" w:rsidR="00F1733E" w:rsidRPr="00CD2ADD" w:rsidRDefault="00F1733E" w:rsidP="00F1733E">
            <w:pPr>
              <w:jc w:val="center"/>
              <w:rPr>
                <w:sz w:val="22"/>
              </w:rPr>
            </w:pPr>
            <w:r w:rsidRPr="00CD2ADD">
              <w:rPr>
                <w:b/>
                <w:bCs/>
                <w:sz w:val="22"/>
                <w:szCs w:val="22"/>
              </w:rPr>
              <w:t>Sever</w:t>
            </w:r>
          </w:p>
        </w:tc>
      </w:tr>
      <w:tr w:rsidR="00F1733E" w:rsidRPr="00CD2ADD" w14:paraId="24BF73A8" w14:textId="77777777" w:rsidTr="00F209DF">
        <w:trPr>
          <w:trHeight w:val="89"/>
        </w:trPr>
        <w:tc>
          <w:tcPr>
            <w:tcW w:w="0" w:type="auto"/>
            <w:gridSpan w:val="7"/>
            <w:tcMar>
              <w:top w:w="15" w:type="dxa"/>
              <w:left w:w="108" w:type="dxa"/>
              <w:bottom w:w="0" w:type="dxa"/>
              <w:right w:w="108" w:type="dxa"/>
            </w:tcMar>
            <w:vAlign w:val="center"/>
            <w:hideMark/>
          </w:tcPr>
          <w:p w14:paraId="6C3768E1" w14:textId="77777777" w:rsidR="00F1733E" w:rsidRPr="00CD2ADD" w:rsidRDefault="00F1733E" w:rsidP="00F1733E">
            <w:pPr>
              <w:ind w:firstLine="709"/>
              <w:jc w:val="center"/>
              <w:rPr>
                <w:sz w:val="22"/>
              </w:rPr>
            </w:pPr>
            <w:r w:rsidRPr="00CD2ADD">
              <w:rPr>
                <w:b/>
                <w:bCs/>
                <w:sz w:val="22"/>
                <w:szCs w:val="22"/>
              </w:rPr>
              <w:t>IMPACT</w:t>
            </w:r>
          </w:p>
        </w:tc>
      </w:tr>
    </w:tbl>
    <w:p w14:paraId="0DA54FFE" w14:textId="5723518A" w:rsidR="00F1733E" w:rsidRPr="00CD2ADD" w:rsidRDefault="00F1733E" w:rsidP="002403FC">
      <w:pPr>
        <w:spacing w:before="120" w:after="120"/>
        <w:jc w:val="center"/>
        <w:rPr>
          <w:i/>
          <w:iCs/>
          <w:sz w:val="20"/>
          <w:szCs w:val="20"/>
        </w:rPr>
      </w:pPr>
      <w:r w:rsidRPr="00CD2ADD">
        <w:rPr>
          <w:i/>
          <w:iCs/>
          <w:sz w:val="20"/>
          <w:szCs w:val="20"/>
        </w:rPr>
        <w:t>Sursa: Strategia națională de reducere a riscurilor dezastrelor pentru perioada 2024-2030</w:t>
      </w:r>
    </w:p>
    <w:p w14:paraId="40A0CD17" w14:textId="77777777" w:rsidR="006665B9" w:rsidRPr="00CD2ADD" w:rsidRDefault="006665B9" w:rsidP="00F1733E">
      <w:pPr>
        <w:rPr>
          <w:b/>
          <w:bCs/>
        </w:rPr>
      </w:pPr>
    </w:p>
    <w:p w14:paraId="2DFA1BAD" w14:textId="52382B0C" w:rsidR="00ED7B91" w:rsidRPr="00CD2ADD" w:rsidRDefault="00ED7B91" w:rsidP="00590E37">
      <w:pPr>
        <w:pStyle w:val="Heading3"/>
        <w:spacing w:before="0"/>
        <w:jc w:val="center"/>
        <w:rPr>
          <w:rFonts w:ascii="Times New Roman" w:hAnsi="Times New Roman" w:cs="Times New Roman"/>
          <w:b/>
          <w:bCs w:val="0"/>
          <w:color w:val="000000" w:themeColor="text1"/>
          <w:szCs w:val="24"/>
        </w:rPr>
      </w:pPr>
      <w:r w:rsidRPr="00CD2ADD">
        <w:rPr>
          <w:rFonts w:ascii="Times New Roman" w:hAnsi="Times New Roman" w:cs="Times New Roman"/>
          <w:b/>
          <w:bCs w:val="0"/>
          <w:color w:val="000000" w:themeColor="text1"/>
          <w:szCs w:val="24"/>
        </w:rPr>
        <w:t>Subsecțiunea 1</w:t>
      </w:r>
    </w:p>
    <w:p w14:paraId="6F049708" w14:textId="77777777" w:rsidR="00ED7B91" w:rsidRPr="00CD2ADD" w:rsidRDefault="00ED7B91" w:rsidP="00590E37">
      <w:pPr>
        <w:pStyle w:val="Heading3"/>
        <w:spacing w:before="0"/>
        <w:jc w:val="center"/>
        <w:rPr>
          <w:rFonts w:ascii="Times New Roman" w:hAnsi="Times New Roman" w:cs="Times New Roman"/>
          <w:b/>
          <w:bCs w:val="0"/>
          <w:color w:val="000000" w:themeColor="text1"/>
          <w:szCs w:val="24"/>
        </w:rPr>
      </w:pPr>
      <w:r w:rsidRPr="00CD2ADD">
        <w:rPr>
          <w:rFonts w:ascii="Times New Roman" w:hAnsi="Times New Roman" w:cs="Times New Roman"/>
          <w:b/>
          <w:bCs w:val="0"/>
          <w:color w:val="000000" w:themeColor="text1"/>
          <w:szCs w:val="24"/>
        </w:rPr>
        <w:t>Profilul secetei în Republica Moldova- studiu de caz</w:t>
      </w:r>
    </w:p>
    <w:p w14:paraId="48A637AA" w14:textId="77777777" w:rsidR="00FF792F" w:rsidRPr="00CD2ADD" w:rsidRDefault="00FF792F" w:rsidP="00ED7B91">
      <w:pPr>
        <w:jc w:val="center"/>
        <w:rPr>
          <w:b/>
          <w:bCs/>
        </w:rPr>
      </w:pPr>
    </w:p>
    <w:p w14:paraId="36433050" w14:textId="77F43512" w:rsidR="00ED7B91" w:rsidRPr="00CD2ADD" w:rsidRDefault="00FF792F" w:rsidP="00B66B8C">
      <w:pPr>
        <w:jc w:val="center"/>
        <w:rPr>
          <w:b/>
          <w:bCs/>
        </w:rPr>
      </w:pPr>
      <w:r w:rsidRPr="00CD2ADD">
        <w:rPr>
          <w:b/>
          <w:bCs/>
        </w:rPr>
        <w:t>Impactul secetei asupra sectorului agricol</w:t>
      </w:r>
    </w:p>
    <w:p w14:paraId="04A58AB2" w14:textId="77777777" w:rsidR="00D36A01" w:rsidRPr="00CD2ADD" w:rsidRDefault="00D36A01">
      <w:pPr>
        <w:pStyle w:val="ListParagraph"/>
        <w:numPr>
          <w:ilvl w:val="0"/>
          <w:numId w:val="42"/>
        </w:numPr>
        <w:spacing w:after="0"/>
        <w:ind w:left="0" w:firstLine="360"/>
        <w:jc w:val="both"/>
        <w:rPr>
          <w:rFonts w:ascii="Times New Roman" w:hAnsi="Times New Roman" w:cs="Times New Roman"/>
          <w:b/>
          <w:bCs/>
          <w:i/>
          <w:iCs/>
          <w:color w:val="000000" w:themeColor="text1"/>
          <w:sz w:val="24"/>
          <w:szCs w:val="24"/>
        </w:rPr>
      </w:pPr>
      <w:bookmarkStart w:id="39" w:name="OLE_LINK24"/>
      <w:r w:rsidRPr="00CD2ADD">
        <w:rPr>
          <w:rFonts w:ascii="Times New Roman" w:hAnsi="Times New Roman" w:cs="Times New Roman"/>
          <w:color w:val="000000" w:themeColor="text1"/>
          <w:sz w:val="24"/>
          <w:szCs w:val="24"/>
        </w:rPr>
        <w:t>Seceta este un fenomen complex caracterizat printr-o perioadă prelungită de precipitații insuficiente, care duce la deficit de apă în sol, afectând negativ ecosistemele, agricultura și rezervele de apă. Conform Organizației Meteorologice Mondiale (OMM), seceta poate fi definită ca o "lipsă prelungită și semnificativă de precipitații". Există mai multe tipuri de secetă: meteorologică (reducerea precipitațiilor), agricolă (umiditate insuficientă în sol pentru culturi), hidrologică (scăderea nivelurilor apei în râuri și lacuri) și socio-economică (impactul asupra cererii și ofertei de apă). Cauzele principale ale secetei includ schimbările climatice, defrișarea, agricultura intensivă și cererea crescută de resurse de apă pentru diverse scopuri.</w:t>
      </w:r>
      <w:r w:rsidRPr="00CD2ADD">
        <w:rPr>
          <w:rStyle w:val="FootnoteReference"/>
          <w:rFonts w:ascii="Times New Roman" w:hAnsi="Times New Roman" w:cs="Times New Roman"/>
          <w:color w:val="000000" w:themeColor="text1"/>
          <w:sz w:val="24"/>
          <w:szCs w:val="24"/>
        </w:rPr>
        <w:footnoteReference w:id="12"/>
      </w:r>
      <w:r w:rsidRPr="00CD2ADD">
        <w:rPr>
          <w:rFonts w:ascii="Times New Roman" w:hAnsi="Times New Roman" w:cs="Times New Roman"/>
          <w:color w:val="000000" w:themeColor="text1"/>
          <w:sz w:val="24"/>
          <w:szCs w:val="24"/>
        </w:rPr>
        <w:t xml:space="preserve"> </w:t>
      </w:r>
    </w:p>
    <w:p w14:paraId="5DC67B3F" w14:textId="4962B745" w:rsidR="00D36A01" w:rsidRPr="00CD2ADD" w:rsidRDefault="00D36A01" w:rsidP="00594F08">
      <w:pPr>
        <w:ind w:firstLine="360"/>
        <w:jc w:val="both"/>
        <w:rPr>
          <w:b/>
          <w:bCs/>
          <w:i/>
          <w:iCs/>
          <w:color w:val="000000" w:themeColor="text1"/>
        </w:rPr>
      </w:pPr>
      <w:r w:rsidRPr="00CD2ADD">
        <w:rPr>
          <w:color w:val="000000" w:themeColor="text1"/>
        </w:rPr>
        <w:t xml:space="preserve">Seceta afectează în special sectorul agricol, unul din sectoarele principale în economia națională. Totodată, secetele afectează zonele rurale, în care circa 45% din populație folosește fântânele de mină ca sursă principală de apă potabilă. Conform studiilor recente ale Băncii Mondiale și ale Facilității Globale pentru Reducerea Riscului de Dezastre și Recuperare, seceta afectează Republica Moldova la fiecare 3-10 ani, fiind resimțită mai mult sau mai puțin în funcție de locația geografică. </w:t>
      </w:r>
    </w:p>
    <w:p w14:paraId="7F33480A" w14:textId="17E9903D" w:rsidR="00ED6C76" w:rsidRPr="00CD2ADD" w:rsidRDefault="00D36A01" w:rsidP="002403FC">
      <w:pPr>
        <w:ind w:firstLine="360"/>
        <w:jc w:val="both"/>
        <w:rPr>
          <w:color w:val="000000" w:themeColor="text1"/>
        </w:rPr>
      </w:pPr>
      <w:r w:rsidRPr="00CD2ADD">
        <w:rPr>
          <w:color w:val="000000" w:themeColor="text1"/>
        </w:rPr>
        <w:t>Conform datelor IGSU în 2007, țara a suferit de o secetă gravă, care a afectat 80% din teritoriu si circa 135</w:t>
      </w:r>
      <w:r w:rsidR="005B7C12" w:rsidRPr="00CD2ADD">
        <w:rPr>
          <w:color w:val="000000" w:themeColor="text1"/>
        </w:rPr>
        <w:t>.</w:t>
      </w:r>
      <w:r w:rsidRPr="00CD2ADD">
        <w:rPr>
          <w:color w:val="000000" w:themeColor="text1"/>
        </w:rPr>
        <w:t xml:space="preserve">000 persoane, cauzând pierderi aproape de un miliard de dolari. Seceta din anul 2012 a afectat 1,068 ha livezi, 11,136 ha vii și 361,215 ha semănături, cauzând pierderi directe de 1 miliard 252 mln lei. Seceta din 2020 a cauzat o reducere de peste 26% a producției agricole și a avut un impact socioeconomic semnificativ, </w:t>
      </w:r>
      <w:r w:rsidRPr="00CD2ADD">
        <w:rPr>
          <w:b/>
          <w:i/>
          <w:color w:val="000000" w:themeColor="text1"/>
        </w:rPr>
        <w:t>egalat cu o pagubă materială de 5 mlrd 897 mln lei</w:t>
      </w:r>
      <w:r w:rsidR="006B4FE2" w:rsidRPr="00CD2ADD">
        <w:rPr>
          <w:b/>
          <w:bCs/>
          <w:i/>
          <w:iCs/>
          <w:color w:val="000000" w:themeColor="text1"/>
        </w:rPr>
        <w:t>, echivalentul a 3.3% din PIB pe 2020</w:t>
      </w:r>
      <w:r w:rsidRPr="00CD2ADD">
        <w:rPr>
          <w:color w:val="000000" w:themeColor="text1"/>
        </w:rPr>
        <w:t xml:space="preserve">. </w:t>
      </w:r>
    </w:p>
    <w:p w14:paraId="415403B2" w14:textId="77777777" w:rsidR="00F173D9" w:rsidRPr="00CD2ADD" w:rsidRDefault="00F173D9" w:rsidP="007B0F22">
      <w:pPr>
        <w:spacing w:before="120" w:after="120"/>
        <w:jc w:val="center"/>
        <w:rPr>
          <w:b/>
          <w:bCs/>
          <w:color w:val="000000" w:themeColor="text1"/>
        </w:rPr>
      </w:pPr>
    </w:p>
    <w:p w14:paraId="6702B336" w14:textId="77777777" w:rsidR="00F173D9" w:rsidRPr="00CD2ADD" w:rsidRDefault="00F173D9" w:rsidP="007B0F22">
      <w:pPr>
        <w:spacing w:before="120" w:after="120"/>
        <w:jc w:val="center"/>
        <w:rPr>
          <w:b/>
          <w:bCs/>
          <w:color w:val="000000" w:themeColor="text1"/>
        </w:rPr>
      </w:pPr>
    </w:p>
    <w:p w14:paraId="74EEBDB5" w14:textId="4F1EADE9" w:rsidR="007B0F22" w:rsidRPr="00CD2ADD" w:rsidRDefault="007B0F22" w:rsidP="007B0F22">
      <w:pPr>
        <w:spacing w:before="120" w:after="120"/>
        <w:jc w:val="center"/>
        <w:rPr>
          <w:rFonts w:eastAsiaTheme="minorHAnsi"/>
          <w:b/>
          <w:bCs/>
          <w:i/>
          <w:iCs/>
          <w:color w:val="000000" w:themeColor="text1"/>
          <w:lang w:eastAsia="en-US"/>
        </w:rPr>
      </w:pPr>
      <w:r w:rsidRPr="00CD2ADD">
        <w:rPr>
          <w:b/>
          <w:bCs/>
          <w:color w:val="000000" w:themeColor="text1"/>
        </w:rPr>
        <w:lastRenderedPageBreak/>
        <w:t>Figura 9</w:t>
      </w:r>
      <w:r w:rsidRPr="00CD2ADD">
        <w:rPr>
          <w:color w:val="000000" w:themeColor="text1"/>
        </w:rPr>
        <w:t>. Frecvența secetelor în Republica Moldova, 2010-2024</w:t>
      </w:r>
    </w:p>
    <w:p w14:paraId="53E2B7F9" w14:textId="439831A7" w:rsidR="007B0F22" w:rsidRPr="00CD2ADD" w:rsidRDefault="007B0F22" w:rsidP="00ED6C76">
      <w:pPr>
        <w:jc w:val="center"/>
        <w:rPr>
          <w:b/>
          <w:bCs/>
          <w:i/>
          <w:iCs/>
          <w:color w:val="000000" w:themeColor="text1"/>
        </w:rPr>
      </w:pPr>
      <w:r w:rsidRPr="00CD2ADD">
        <w:rPr>
          <w:noProof/>
        </w:rPr>
        <w:drawing>
          <wp:inline distT="0" distB="0" distL="0" distR="0" wp14:anchorId="40B5AD5B" wp14:editId="388B9288">
            <wp:extent cx="4343400" cy="2047875"/>
            <wp:effectExtent l="0" t="0" r="0" b="9525"/>
            <wp:docPr id="1474789451" name="Chart 1">
              <a:extLst xmlns:a="http://schemas.openxmlformats.org/drawingml/2006/main">
                <a:ext uri="{FF2B5EF4-FFF2-40B4-BE49-F238E27FC236}">
                  <a16:creationId xmlns:a16="http://schemas.microsoft.com/office/drawing/2014/main" id="{E1A229CD-FAEF-5E31-78DE-28487E79C9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726B38B" w14:textId="3901E77A" w:rsidR="007B0F22" w:rsidRPr="00CD2ADD" w:rsidRDefault="007B0F22" w:rsidP="007B0F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i/>
          <w:iCs/>
          <w:sz w:val="20"/>
          <w:szCs w:val="20"/>
          <w:lang w:eastAsia="en-US"/>
        </w:rPr>
      </w:pPr>
      <w:r w:rsidRPr="00CD2ADD">
        <w:rPr>
          <w:i/>
          <w:iCs/>
          <w:sz w:val="20"/>
          <w:szCs w:val="20"/>
        </w:rPr>
        <w:t>Sursa:</w:t>
      </w:r>
      <w:r w:rsidRPr="00CD2ADD">
        <w:rPr>
          <w:i/>
          <w:iCs/>
          <w:sz w:val="20"/>
          <w:szCs w:val="20"/>
          <w:lang w:eastAsia="en-US"/>
        </w:rPr>
        <w:t xml:space="preserve"> IGSU – Analiza Situațiilor Excepționale, 2010–2024</w:t>
      </w:r>
    </w:p>
    <w:p w14:paraId="1A4BFED1" w14:textId="3566A368" w:rsidR="003C3858" w:rsidRPr="00CD2ADD" w:rsidRDefault="003C3858" w:rsidP="00594F08">
      <w:pPr>
        <w:spacing w:before="120"/>
        <w:ind w:firstLine="360"/>
        <w:jc w:val="both"/>
        <w:rPr>
          <w:b/>
          <w:bCs/>
          <w:i/>
          <w:iCs/>
          <w:color w:val="000000" w:themeColor="text1"/>
        </w:rPr>
      </w:pPr>
      <w:r w:rsidRPr="00CD2ADD">
        <w:rPr>
          <w:color w:val="000000" w:themeColor="text1"/>
        </w:rPr>
        <w:t xml:space="preserve">În urma secetei din 2022 au fost afectate 30 de raioane, în care au avut de suferit 378 ha de semănături, 730 ha de livada și 45 ha de vii. Paguba materială în urma acestei situații a constituit suma de 4 mlrd 937 mln 248 mii lei. Lipsa precipitațiilor din perioada de primăvară și vară a anului 2024 a creat situații precedente anilor 2020 și 2022 unde seceta a afectat majoritatea teritoriului republicii: </w:t>
      </w:r>
      <w:r w:rsidR="004F5A53" w:rsidRPr="00CD2ADD">
        <w:rPr>
          <w:color w:val="000000" w:themeColor="text1"/>
        </w:rPr>
        <w:t>m</w:t>
      </w:r>
      <w:r w:rsidRPr="00CD2ADD">
        <w:rPr>
          <w:color w:val="000000" w:themeColor="text1"/>
        </w:rPr>
        <w:t xml:space="preserve">un. Chișinău (sec. Ciocana), </w:t>
      </w:r>
      <w:r w:rsidR="004F5A53" w:rsidRPr="00CD2ADD">
        <w:rPr>
          <w:color w:val="000000" w:themeColor="text1"/>
        </w:rPr>
        <w:t>m</w:t>
      </w:r>
      <w:r w:rsidRPr="00CD2ADD">
        <w:rPr>
          <w:color w:val="000000" w:themeColor="text1"/>
        </w:rPr>
        <w:t>un. Bălți, UTA Găgăuzia și 30 de raioane și în urma acestui fenomen au fost afectate 859 ha de livadă, 1246 ha de vie, 107 ha de grădini particulare și 349147 ha semănături, fiind înregistrată o pagubă materială de 3 mlrd 805 mln 855 mii 300 lei.</w:t>
      </w:r>
      <w:r w:rsidRPr="00CD2ADD">
        <w:rPr>
          <w:rStyle w:val="FootnoteReference"/>
          <w:color w:val="000000" w:themeColor="text1"/>
        </w:rPr>
        <w:footnoteReference w:id="13"/>
      </w:r>
    </w:p>
    <w:p w14:paraId="189CE261" w14:textId="3322F23E" w:rsidR="007B0F22" w:rsidRPr="00CD2ADD" w:rsidRDefault="007B0F22" w:rsidP="00FF792F">
      <w:pPr>
        <w:pStyle w:val="Subtitle"/>
        <w:numPr>
          <w:ilvl w:val="0"/>
          <w:numId w:val="0"/>
        </w:numPr>
        <w:spacing w:after="0" w:line="240" w:lineRule="auto"/>
        <w:ind w:firstLine="360"/>
        <w:rPr>
          <w:rFonts w:ascii="Times New Roman" w:hAnsi="Times New Roman" w:cs="Times New Roman"/>
          <w:b/>
          <w:bCs/>
          <w:color w:val="000000" w:themeColor="text1"/>
          <w:sz w:val="24"/>
        </w:rPr>
      </w:pPr>
      <w:r w:rsidRPr="00CD2ADD">
        <w:rPr>
          <w:rStyle w:val="IntenseEmphasis"/>
          <w:rFonts w:ascii="Times New Roman" w:hAnsi="Times New Roman" w:cs="Times New Roman"/>
          <w:color w:val="000000" w:themeColor="text1"/>
          <w:sz w:val="24"/>
        </w:rPr>
        <w:t>Impactul socio-economic al secetei asupra sectorului agricol</w:t>
      </w:r>
    </w:p>
    <w:p w14:paraId="369270A6" w14:textId="77777777" w:rsidR="00F173D9" w:rsidRPr="00CD2ADD" w:rsidRDefault="00D36A01">
      <w:pPr>
        <w:pStyle w:val="ListParagraph"/>
        <w:numPr>
          <w:ilvl w:val="0"/>
          <w:numId w:val="42"/>
        </w:numPr>
        <w:spacing w:after="0"/>
        <w:ind w:left="0" w:firstLine="360"/>
        <w:jc w:val="both"/>
        <w:rPr>
          <w:rFonts w:ascii="Times New Roman" w:hAnsi="Times New Roman" w:cs="Times New Roman"/>
          <w:b/>
          <w:bCs/>
          <w:i/>
          <w:iCs/>
          <w:color w:val="000000" w:themeColor="text1"/>
          <w:sz w:val="24"/>
          <w:szCs w:val="24"/>
        </w:rPr>
      </w:pPr>
      <w:bookmarkStart w:id="40" w:name="OLE_LINK8"/>
      <w:bookmarkStart w:id="41" w:name="OLE_LINK9"/>
      <w:r w:rsidRPr="00CD2ADD">
        <w:rPr>
          <w:rFonts w:ascii="Times New Roman" w:hAnsi="Times New Roman" w:cs="Times New Roman"/>
          <w:color w:val="000000" w:themeColor="text1"/>
          <w:sz w:val="24"/>
          <w:szCs w:val="24"/>
        </w:rPr>
        <w:t>Seceta reprezintă cel mai frecvent și devastator risc natural pentru sectorul agricol din Republica Moldova. În contextul schimbărilor climatice, acest fenomen capătă o frecventa mai mare, o durată mai lungă și efecte socio</w:t>
      </w:r>
      <w:r w:rsidR="00772CA7" w:rsidRPr="00CD2ADD">
        <w:rPr>
          <w:rFonts w:ascii="Times New Roman" w:hAnsi="Times New Roman" w:cs="Times New Roman"/>
          <w:color w:val="000000" w:themeColor="text1"/>
          <w:sz w:val="24"/>
          <w:szCs w:val="24"/>
        </w:rPr>
        <w:t>-</w:t>
      </w:r>
      <w:r w:rsidRPr="00CD2ADD">
        <w:rPr>
          <w:rFonts w:ascii="Times New Roman" w:hAnsi="Times New Roman" w:cs="Times New Roman"/>
          <w:color w:val="000000" w:themeColor="text1"/>
          <w:sz w:val="24"/>
          <w:szCs w:val="24"/>
        </w:rPr>
        <w:t xml:space="preserve">economice tot mai grave. Agricultura moldovenească este structural vulnerabilă la secetă, având o orientare preponderent cerealieră și tehnică, culturi sensibile la stresul hidric și la distribuția variabilă a precipitațiilor. </w:t>
      </w:r>
    </w:p>
    <w:p w14:paraId="1AB5D777" w14:textId="77777777" w:rsidR="00F173D9" w:rsidRPr="00CD2ADD" w:rsidRDefault="00F173D9">
      <w:pPr>
        <w:pStyle w:val="ListParagraph"/>
        <w:numPr>
          <w:ilvl w:val="0"/>
          <w:numId w:val="42"/>
        </w:numPr>
        <w:spacing w:after="0"/>
        <w:ind w:left="0" w:firstLine="284"/>
        <w:jc w:val="both"/>
        <w:rPr>
          <w:rFonts w:ascii="Times New Roman" w:hAnsi="Times New Roman" w:cs="Times New Roman"/>
          <w:b/>
          <w:bCs/>
          <w:i/>
          <w:iCs/>
          <w:color w:val="000000" w:themeColor="text1"/>
          <w:sz w:val="24"/>
          <w:szCs w:val="24"/>
        </w:rPr>
      </w:pPr>
      <w:r w:rsidRPr="00CD2ADD">
        <w:rPr>
          <w:rFonts w:ascii="Times New Roman" w:hAnsi="Times New Roman" w:cs="Times New Roman"/>
          <w:color w:val="000000" w:themeColor="text1"/>
          <w:sz w:val="24"/>
          <w:szCs w:val="24"/>
        </w:rPr>
        <w:t>Suprafețele agricole ocupă peste 70% din fondul funciar național, iar culturile cerealiere și tehnice reprezintă mai mult de 90% din totalul terenurilor cultivate. Această dominanță evidențiază un risc major de expunere: în lipsa unui sistem eficient de irigare și a unor tehnologii adaptative, o mare parte din producția agricolă este direct afectată de variația și distribuția inegală a precipitațiilor și temperaturilor (Figura 10 ).</w:t>
      </w:r>
    </w:p>
    <w:p w14:paraId="395B7F58" w14:textId="77777777" w:rsidR="00F173D9" w:rsidRPr="00CD2ADD" w:rsidRDefault="00F173D9" w:rsidP="00F173D9">
      <w:pPr>
        <w:pStyle w:val="ListParagraph"/>
        <w:spacing w:before="120" w:after="120"/>
        <w:ind w:left="644" w:firstLine="0"/>
        <w:jc w:val="center"/>
        <w:rPr>
          <w:rFonts w:ascii="Times New Roman" w:hAnsi="Times New Roman" w:cs="Times New Roman"/>
          <w:color w:val="000000" w:themeColor="text1"/>
          <w:sz w:val="24"/>
          <w:szCs w:val="24"/>
        </w:rPr>
      </w:pPr>
      <w:r w:rsidRPr="00CD2ADD">
        <w:rPr>
          <w:rFonts w:ascii="Times New Roman" w:hAnsi="Times New Roman" w:cs="Times New Roman"/>
          <w:b/>
          <w:bCs/>
          <w:color w:val="000000" w:themeColor="text1"/>
          <w:sz w:val="24"/>
          <w:szCs w:val="24"/>
        </w:rPr>
        <w:t>Figura 10.</w:t>
      </w:r>
      <w:r w:rsidRPr="00CD2ADD">
        <w:rPr>
          <w:rFonts w:ascii="Times New Roman" w:hAnsi="Times New Roman" w:cs="Times New Roman"/>
          <w:b/>
          <w:bCs/>
          <w:i/>
          <w:iCs/>
          <w:color w:val="000000" w:themeColor="text1"/>
          <w:sz w:val="24"/>
          <w:szCs w:val="24"/>
        </w:rPr>
        <w:t xml:space="preserve"> </w:t>
      </w:r>
      <w:r w:rsidRPr="00CD2ADD">
        <w:rPr>
          <w:rFonts w:ascii="Times New Roman" w:hAnsi="Times New Roman" w:cs="Times New Roman"/>
          <w:color w:val="000000" w:themeColor="text1"/>
          <w:sz w:val="24"/>
          <w:szCs w:val="24"/>
        </w:rPr>
        <w:t>Fondul funciar pe categorii de terenuri și ani</w:t>
      </w:r>
    </w:p>
    <w:p w14:paraId="4246F68D" w14:textId="071F8AF8" w:rsidR="00F173D9" w:rsidRPr="00CD2ADD" w:rsidRDefault="00F173D9" w:rsidP="00F173D9">
      <w:pPr>
        <w:jc w:val="center"/>
        <w:rPr>
          <w:b/>
          <w:bCs/>
          <w:i/>
          <w:iCs/>
          <w:color w:val="000000" w:themeColor="text1"/>
        </w:rPr>
      </w:pPr>
      <w:r w:rsidRPr="00CD2ADD">
        <w:rPr>
          <w:noProof/>
          <w14:ligatures w14:val="standardContextual"/>
        </w:rPr>
        <w:drawing>
          <wp:inline distT="0" distB="0" distL="0" distR="0" wp14:anchorId="6022F65A" wp14:editId="3851C59E">
            <wp:extent cx="5534025" cy="2305050"/>
            <wp:effectExtent l="0" t="0" r="9525" b="0"/>
            <wp:docPr id="1355175456" name="Chart 1">
              <a:extLst xmlns:a="http://schemas.openxmlformats.org/drawingml/2006/main">
                <a:ext uri="{FF2B5EF4-FFF2-40B4-BE49-F238E27FC236}">
                  <a16:creationId xmlns:a16="http://schemas.microsoft.com/office/drawing/2014/main" id="{E85D0C5F-18B5-F2CD-49B4-675E2BDE7F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6F3B8B" w14:textId="0BA81125" w:rsidR="00F173D9" w:rsidRPr="00CD2ADD" w:rsidRDefault="00F173D9" w:rsidP="00F173D9">
      <w:pPr>
        <w:jc w:val="center"/>
        <w:rPr>
          <w:b/>
          <w:bCs/>
          <w:i/>
          <w:iCs/>
          <w:color w:val="000000" w:themeColor="text1"/>
          <w:sz w:val="20"/>
          <w:szCs w:val="20"/>
        </w:rPr>
      </w:pPr>
      <w:r w:rsidRPr="00CD2ADD">
        <w:rPr>
          <w:i/>
          <w:iCs/>
          <w:sz w:val="20"/>
          <w:szCs w:val="20"/>
        </w:rPr>
        <w:t xml:space="preserve">Sursa: BNS 2025. </w:t>
      </w:r>
      <w:hyperlink r:id="rId25" w:history="1">
        <w:r w:rsidRPr="00CD2ADD">
          <w:rPr>
            <w:rStyle w:val="Hyperlink"/>
            <w:i/>
            <w:iCs/>
            <w:sz w:val="20"/>
            <w:szCs w:val="20"/>
          </w:rPr>
          <w:t>Mediul înconjurător - Fondul funciar si fondul silvic</w:t>
        </w:r>
      </w:hyperlink>
    </w:p>
    <w:p w14:paraId="4FCAA8CA" w14:textId="77777777" w:rsidR="008E7F54" w:rsidRPr="00CD2ADD" w:rsidRDefault="00D36A01">
      <w:pPr>
        <w:pStyle w:val="ListParagraph"/>
        <w:numPr>
          <w:ilvl w:val="0"/>
          <w:numId w:val="42"/>
        </w:numPr>
        <w:spacing w:after="0"/>
        <w:ind w:left="0" w:firstLine="360"/>
        <w:jc w:val="both"/>
        <w:rPr>
          <w:rFonts w:ascii="Times New Roman" w:hAnsi="Times New Roman" w:cs="Times New Roman"/>
          <w:b/>
          <w:bCs/>
          <w:i/>
          <w:iCs/>
          <w:color w:val="000000" w:themeColor="text1"/>
          <w:sz w:val="24"/>
          <w:szCs w:val="24"/>
        </w:rPr>
      </w:pPr>
      <w:r w:rsidRPr="00CD2ADD">
        <w:rPr>
          <w:rFonts w:ascii="Times New Roman" w:hAnsi="Times New Roman" w:cs="Times New Roman"/>
          <w:color w:val="000000" w:themeColor="text1"/>
          <w:sz w:val="24"/>
          <w:szCs w:val="24"/>
        </w:rPr>
        <w:lastRenderedPageBreak/>
        <w:t xml:space="preserve">Producția agricolă globală exprimată în milioane </w:t>
      </w:r>
      <w:r w:rsidR="007F59A1" w:rsidRPr="00CD2ADD">
        <w:rPr>
          <w:rFonts w:ascii="Times New Roman" w:hAnsi="Times New Roman" w:cs="Times New Roman"/>
          <w:color w:val="000000" w:themeColor="text1"/>
          <w:sz w:val="24"/>
          <w:szCs w:val="24"/>
        </w:rPr>
        <w:t>lei</w:t>
      </w:r>
      <w:r w:rsidRPr="00CD2ADD">
        <w:rPr>
          <w:rFonts w:ascii="Times New Roman" w:hAnsi="Times New Roman" w:cs="Times New Roman"/>
          <w:color w:val="000000" w:themeColor="text1"/>
          <w:sz w:val="24"/>
          <w:szCs w:val="24"/>
        </w:rPr>
        <w:t xml:space="preserve"> (Figura </w:t>
      </w:r>
      <w:r w:rsidR="00904495" w:rsidRPr="00CD2ADD">
        <w:rPr>
          <w:rFonts w:ascii="Times New Roman" w:hAnsi="Times New Roman" w:cs="Times New Roman"/>
          <w:color w:val="000000" w:themeColor="text1"/>
          <w:sz w:val="24"/>
          <w:szCs w:val="24"/>
        </w:rPr>
        <w:t>1</w:t>
      </w:r>
      <w:r w:rsidR="00BA5BE9" w:rsidRPr="00CD2ADD">
        <w:rPr>
          <w:rFonts w:ascii="Times New Roman" w:hAnsi="Times New Roman" w:cs="Times New Roman"/>
          <w:color w:val="000000" w:themeColor="text1"/>
          <w:sz w:val="24"/>
          <w:szCs w:val="24"/>
        </w:rPr>
        <w:t>1</w:t>
      </w:r>
      <w:r w:rsidRPr="00CD2ADD">
        <w:rPr>
          <w:rFonts w:ascii="Times New Roman" w:hAnsi="Times New Roman" w:cs="Times New Roman"/>
          <w:color w:val="000000" w:themeColor="text1"/>
          <w:sz w:val="24"/>
          <w:szCs w:val="24"/>
        </w:rPr>
        <w:t xml:space="preserve">) relevă o tendință generală de creștere, dominată de ramura vegetală, care contribuie cu peste 70% din valoarea totală. </w:t>
      </w:r>
      <w:bookmarkStart w:id="42" w:name="_Toc195539554"/>
    </w:p>
    <w:p w14:paraId="71DB076A" w14:textId="77777777" w:rsidR="008E7F54" w:rsidRPr="00CD2ADD" w:rsidRDefault="00F00D0D" w:rsidP="008E7F54">
      <w:pPr>
        <w:ind w:firstLine="284"/>
        <w:jc w:val="both"/>
        <w:rPr>
          <w:color w:val="000000" w:themeColor="text1"/>
        </w:rPr>
      </w:pPr>
      <w:r w:rsidRPr="00CD2ADD">
        <w:rPr>
          <w:color w:val="000000" w:themeColor="text1"/>
        </w:rPr>
        <w:t>Pe lângă impactul asupra producției, seceta influențează și structura ocupării în agricultură. Datele disponibile arată că numărul salariaților din sectorul „agricultură, silvicultură și pescuit” a scăzut constant în ultimul deceniu, de la 39</w:t>
      </w:r>
      <w:r w:rsidR="00BA5BE9" w:rsidRPr="00CD2ADD">
        <w:rPr>
          <w:color w:val="000000" w:themeColor="text1"/>
        </w:rPr>
        <w:t>,</w:t>
      </w:r>
      <w:r w:rsidRPr="00CD2ADD">
        <w:rPr>
          <w:color w:val="000000" w:themeColor="text1"/>
        </w:rPr>
        <w:t>538 în 2013 la 32</w:t>
      </w:r>
      <w:r w:rsidR="00BA5BE9" w:rsidRPr="00CD2ADD">
        <w:rPr>
          <w:color w:val="000000" w:themeColor="text1"/>
        </w:rPr>
        <w:t>,</w:t>
      </w:r>
      <w:r w:rsidRPr="00CD2ADD">
        <w:rPr>
          <w:color w:val="000000" w:themeColor="text1"/>
        </w:rPr>
        <w:t>983 în 2023</w:t>
      </w:r>
      <w:r w:rsidR="00BA5BE9" w:rsidRPr="00CD2ADD">
        <w:rPr>
          <w:color w:val="000000" w:themeColor="text1"/>
        </w:rPr>
        <w:t xml:space="preserve">, reprezentând </w:t>
      </w:r>
      <w:r w:rsidRPr="00CD2ADD">
        <w:rPr>
          <w:color w:val="000000" w:themeColor="text1"/>
        </w:rPr>
        <w:t>o reducere de 17%</w:t>
      </w:r>
      <w:r w:rsidR="00301435" w:rsidRPr="00CD2ADD">
        <w:rPr>
          <w:rStyle w:val="FootnoteReference"/>
          <w:color w:val="000000" w:themeColor="text1"/>
        </w:rPr>
        <w:footnoteReference w:id="14"/>
      </w:r>
      <w:r w:rsidRPr="00CD2ADD">
        <w:rPr>
          <w:color w:val="000000" w:themeColor="text1"/>
        </w:rPr>
        <w:t>.</w:t>
      </w:r>
    </w:p>
    <w:p w14:paraId="46B92B46" w14:textId="77777777" w:rsidR="008E7F54" w:rsidRPr="00CD2ADD" w:rsidRDefault="00F00D0D" w:rsidP="008E7F54">
      <w:pPr>
        <w:ind w:firstLine="284"/>
        <w:jc w:val="both"/>
        <w:rPr>
          <w:b/>
          <w:bCs/>
          <w:i/>
          <w:iCs/>
          <w:color w:val="000000" w:themeColor="text1"/>
        </w:rPr>
      </w:pPr>
      <w:r w:rsidRPr="00CD2ADD">
        <w:rPr>
          <w:color w:val="000000" w:themeColor="text1"/>
        </w:rPr>
        <w:t>Această tendință este parțial corelată cu frecvența crescută a episoadelor de secetă severă, care reduc veniturile din agricultură și stimulează deplasarea forței de muncă spre alte sectoare sau regiuni. În lipsa unor măsuri active de sprijin și adaptare, se înregistrează o dublă vulnerabilitate: scăderea capacității locale de producție agricolă și creșterea migrației interne (rural-urban) și internaționale, în special în rândul populației tinere din mediul rural.</w:t>
      </w:r>
    </w:p>
    <w:p w14:paraId="10BBEC3C" w14:textId="48BDF3CC" w:rsidR="008E7F54" w:rsidRPr="00CD2ADD" w:rsidRDefault="00666066" w:rsidP="008E7F54">
      <w:pPr>
        <w:ind w:firstLine="284"/>
        <w:jc w:val="both"/>
        <w:rPr>
          <w:b/>
          <w:bCs/>
          <w:i/>
          <w:iCs/>
          <w:color w:val="000000" w:themeColor="text1"/>
        </w:rPr>
      </w:pPr>
      <w:r w:rsidRPr="00CD2ADD">
        <w:rPr>
          <w:color w:val="000000" w:themeColor="text1"/>
        </w:rPr>
        <w:t>Suprafața cultivată în 2024 arată menținerea modelului agricol orientat spre culturi sensibile la secetă. Fără intervenții sistemice și măsuri de adaptare (irigații, diversificare, asigurări), agricultura moldovenească va rămâne expusă riscurilor climatice, iar crizele alimentare locale vor deveni mai frecvente și mai severe. În acest context, analiza integrată a riscurilor climatice și politici adaptate devin esențiale pentru reziliența sistemului agroalimentar.</w:t>
      </w:r>
      <w:r w:rsidR="008E7F54" w:rsidRPr="00CD2ADD">
        <w:rPr>
          <w:color w:val="000000" w:themeColor="text1"/>
        </w:rPr>
        <w:t xml:space="preserve"> Cu toate acestea, anii marcați de secetă severă (2007, 2012, 2020, 2022) sunt caracterizați de scăderi abrupte ale valorii producției vegetale. Randamentele culturilor de cereale și leguminoase (Figura 12) variază puternic: 4.700 kg/ha în 2021, an cu precipitații favorabile, față de sub 1.800 kg/ha în 2020 și 2022. Aceste fluctuații demonstrează că randamentul agricol este mult mai vulnerabil la secetă decât suprafața cultivată, care rămâne relativ stabilă.</w:t>
      </w:r>
    </w:p>
    <w:p w14:paraId="25BFF952" w14:textId="77777777" w:rsidR="008E7F54" w:rsidRPr="00CD2ADD" w:rsidRDefault="008E7F54" w:rsidP="008E7F54">
      <w:pPr>
        <w:jc w:val="both"/>
        <w:rPr>
          <w:b/>
          <w:bCs/>
          <w:i/>
          <w:iCs/>
          <w:color w:val="000000" w:themeColor="text1"/>
        </w:rPr>
        <w:sectPr w:rsidR="008E7F54" w:rsidRPr="00CD2ADD" w:rsidSect="00851023">
          <w:footerReference w:type="even" r:id="rId26"/>
          <w:footerReference w:type="default" r:id="rId27"/>
          <w:pgSz w:w="11906" w:h="16838"/>
          <w:pgMar w:top="1440" w:right="1080" w:bottom="1440" w:left="1080" w:header="567" w:footer="567" w:gutter="0"/>
          <w:pgNumType w:start="0"/>
          <w:cols w:space="708"/>
          <w:titlePg/>
          <w:docGrid w:linePitch="360"/>
        </w:sectPr>
      </w:pPr>
    </w:p>
    <w:p w14:paraId="7BC38458" w14:textId="17A92D05" w:rsidR="007B0F22" w:rsidRPr="00CD2ADD" w:rsidRDefault="007B0F22" w:rsidP="008E7F54">
      <w:pPr>
        <w:jc w:val="center"/>
        <w:rPr>
          <w:color w:val="000000" w:themeColor="text1"/>
        </w:rPr>
      </w:pPr>
      <w:r w:rsidRPr="00CD2ADD">
        <w:rPr>
          <w:b/>
          <w:bCs/>
          <w:color w:val="000000" w:themeColor="text1"/>
        </w:rPr>
        <w:t>Figura 11.</w:t>
      </w:r>
      <w:r w:rsidRPr="00CD2ADD">
        <w:rPr>
          <w:color w:val="000000" w:themeColor="text1"/>
        </w:rPr>
        <w:t xml:space="preserve"> Producția globală agricolă pe ramuri ale agriculturii și ani în mln. MDL</w:t>
      </w:r>
    </w:p>
    <w:p w14:paraId="1A099F40" w14:textId="703C7293" w:rsidR="007B0F22" w:rsidRPr="00CD2ADD" w:rsidRDefault="007B0F22" w:rsidP="00F173D9">
      <w:pPr>
        <w:spacing w:before="120"/>
        <w:jc w:val="center"/>
        <w:rPr>
          <w:b/>
          <w:bCs/>
          <w:i/>
          <w:iCs/>
          <w:color w:val="000000" w:themeColor="text1"/>
          <w:sz w:val="20"/>
          <w:szCs w:val="20"/>
        </w:rPr>
      </w:pPr>
      <w:r w:rsidRPr="00CD2ADD">
        <w:rPr>
          <w:noProof/>
          <w:sz w:val="20"/>
          <w:szCs w:val="20"/>
          <w14:ligatures w14:val="standardContextual"/>
        </w:rPr>
        <w:drawing>
          <wp:inline distT="0" distB="0" distL="0" distR="0" wp14:anchorId="0D810E5B" wp14:editId="02B5A464">
            <wp:extent cx="2971800" cy="2124075"/>
            <wp:effectExtent l="0" t="0" r="0" b="9525"/>
            <wp:docPr id="1171621677" name="Chart 1">
              <a:extLst xmlns:a="http://schemas.openxmlformats.org/drawingml/2006/main">
                <a:ext uri="{FF2B5EF4-FFF2-40B4-BE49-F238E27FC236}">
                  <a16:creationId xmlns:a16="http://schemas.microsoft.com/office/drawing/2014/main" id="{DE7A1071-D4CA-8AD0-07E3-B27371092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18677AE" w14:textId="657A236F" w:rsidR="008E7F54" w:rsidRPr="00CD2ADD" w:rsidRDefault="007B0F22" w:rsidP="008E7F54">
      <w:pPr>
        <w:spacing w:after="240"/>
        <w:jc w:val="center"/>
        <w:rPr>
          <w:i/>
          <w:iCs/>
          <w:sz w:val="20"/>
          <w:szCs w:val="20"/>
        </w:rPr>
      </w:pPr>
      <w:r w:rsidRPr="00CD2ADD">
        <w:rPr>
          <w:i/>
          <w:iCs/>
          <w:sz w:val="20"/>
          <w:szCs w:val="20"/>
        </w:rPr>
        <w:t xml:space="preserve">Sursa: BNS 2025. </w:t>
      </w:r>
      <w:hyperlink r:id="rId29" w:history="1">
        <w:r w:rsidRPr="00CD2ADD">
          <w:rPr>
            <w:rStyle w:val="Hyperlink"/>
            <w:i/>
            <w:iCs/>
            <w:sz w:val="20"/>
            <w:szCs w:val="20"/>
          </w:rPr>
          <w:t>Statistica economica - Agricultura - Principalii indicatori in agricultura</w:t>
        </w:r>
      </w:hyperlink>
      <w:bookmarkEnd w:id="42"/>
    </w:p>
    <w:p w14:paraId="05FFD6AF" w14:textId="2E572DD8" w:rsidR="00851023" w:rsidRPr="00CD2ADD" w:rsidRDefault="00851023" w:rsidP="008E7F54">
      <w:pPr>
        <w:spacing w:before="120"/>
        <w:jc w:val="center"/>
      </w:pPr>
      <w:r w:rsidRPr="00CD2ADD">
        <w:rPr>
          <w:b/>
          <w:bCs/>
        </w:rPr>
        <w:t>Figura 12.</w:t>
      </w:r>
      <w:r w:rsidRPr="00CD2ADD">
        <w:t xml:space="preserve"> Suprafața însemnată (mii hectare), recolta globală (mii tone) și randament (kg/ha) pentru culturi cerealiere și leguminoase cu boabe</w:t>
      </w:r>
    </w:p>
    <w:p w14:paraId="737D1337" w14:textId="59962BD5" w:rsidR="00851023" w:rsidRPr="00CD2ADD" w:rsidRDefault="00851023" w:rsidP="008E7F54">
      <w:pPr>
        <w:jc w:val="center"/>
      </w:pPr>
      <w:r w:rsidRPr="00CD2ADD">
        <w:rPr>
          <w:noProof/>
          <w14:ligatures w14:val="standardContextual"/>
        </w:rPr>
        <w:drawing>
          <wp:inline distT="0" distB="0" distL="0" distR="0" wp14:anchorId="711C72D4" wp14:editId="0DF245C4">
            <wp:extent cx="2781300" cy="1771650"/>
            <wp:effectExtent l="0" t="0" r="0" b="0"/>
            <wp:docPr id="1893591382" name="Chart 1">
              <a:extLst xmlns:a="http://schemas.openxmlformats.org/drawingml/2006/main">
                <a:ext uri="{FF2B5EF4-FFF2-40B4-BE49-F238E27FC236}">
                  <a16:creationId xmlns:a16="http://schemas.microsoft.com/office/drawing/2014/main" id="{71A30DFE-E1D5-7574-48F5-22949649A1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21176C8" w14:textId="0C588E87" w:rsidR="00851023" w:rsidRPr="00CD2ADD" w:rsidRDefault="00851023" w:rsidP="00851023">
      <w:pPr>
        <w:spacing w:before="120" w:after="120"/>
        <w:jc w:val="center"/>
        <w:rPr>
          <w:i/>
          <w:iCs/>
          <w:sz w:val="20"/>
          <w:szCs w:val="20"/>
        </w:rPr>
      </w:pPr>
      <w:r w:rsidRPr="00CD2ADD">
        <w:rPr>
          <w:i/>
          <w:iCs/>
          <w:sz w:val="20"/>
          <w:szCs w:val="20"/>
        </w:rPr>
        <w:t xml:space="preserve">Sursa: BNS 2025. </w:t>
      </w:r>
      <w:hyperlink r:id="rId31" w:history="1">
        <w:r w:rsidRPr="00CD2ADD">
          <w:rPr>
            <w:rStyle w:val="Hyperlink"/>
            <w:i/>
            <w:iCs/>
            <w:sz w:val="20"/>
            <w:szCs w:val="20"/>
          </w:rPr>
          <w:t>Statistica economica - Agricultura - Cultura plantelor</w:t>
        </w:r>
      </w:hyperlink>
    </w:p>
    <w:p w14:paraId="50CC7590" w14:textId="77777777" w:rsidR="008E7F54" w:rsidRPr="00CD2ADD" w:rsidRDefault="008E7F54" w:rsidP="00FF792F">
      <w:pPr>
        <w:spacing w:before="120" w:after="120"/>
        <w:ind w:firstLine="426"/>
        <w:jc w:val="both"/>
        <w:rPr>
          <w:color w:val="000000" w:themeColor="text1"/>
        </w:rPr>
        <w:sectPr w:rsidR="008E7F54" w:rsidRPr="00CD2ADD" w:rsidSect="008E7F54">
          <w:type w:val="continuous"/>
          <w:pgSz w:w="11906" w:h="16838"/>
          <w:pgMar w:top="1440" w:right="1080" w:bottom="1440" w:left="1080" w:header="567" w:footer="567" w:gutter="0"/>
          <w:pgNumType w:start="0"/>
          <w:cols w:num="2" w:space="708"/>
          <w:titlePg/>
          <w:docGrid w:linePitch="360"/>
        </w:sectPr>
      </w:pPr>
    </w:p>
    <w:p w14:paraId="6B0857C9" w14:textId="77777777" w:rsidR="008E7F54" w:rsidRPr="00AB18CF" w:rsidRDefault="00D36A01">
      <w:pPr>
        <w:pStyle w:val="ListParagraph"/>
        <w:numPr>
          <w:ilvl w:val="0"/>
          <w:numId w:val="46"/>
        </w:numPr>
        <w:spacing w:before="120" w:after="0"/>
        <w:ind w:left="0" w:firstLine="284"/>
        <w:jc w:val="both"/>
        <w:rPr>
          <w:rFonts w:ascii="Times New Roman" w:hAnsi="Times New Roman" w:cs="Times New Roman"/>
          <w:b/>
          <w:bCs/>
          <w:i/>
          <w:iCs/>
          <w:color w:val="000000" w:themeColor="text1"/>
          <w:sz w:val="24"/>
          <w:szCs w:val="24"/>
        </w:rPr>
      </w:pPr>
      <w:r w:rsidRPr="00CD2ADD">
        <w:rPr>
          <w:rFonts w:ascii="Times New Roman" w:hAnsi="Times New Roman" w:cs="Times New Roman"/>
          <w:color w:val="000000" w:themeColor="text1"/>
          <w:sz w:val="24"/>
          <w:szCs w:val="24"/>
        </w:rPr>
        <w:t xml:space="preserve">Graficul privind suprafețele afectate (Figura </w:t>
      </w:r>
      <w:r w:rsidR="00A73834" w:rsidRPr="00CD2ADD">
        <w:rPr>
          <w:rFonts w:ascii="Times New Roman" w:hAnsi="Times New Roman" w:cs="Times New Roman"/>
          <w:color w:val="000000" w:themeColor="text1"/>
          <w:sz w:val="24"/>
          <w:szCs w:val="24"/>
        </w:rPr>
        <w:t>13</w:t>
      </w:r>
      <w:r w:rsidRPr="00CD2ADD">
        <w:rPr>
          <w:rFonts w:ascii="Times New Roman" w:hAnsi="Times New Roman" w:cs="Times New Roman"/>
          <w:color w:val="000000" w:themeColor="text1"/>
          <w:sz w:val="24"/>
          <w:szCs w:val="24"/>
        </w:rPr>
        <w:t>) confirmă o diminuare a terenurilor cultivate cu porumb, grâu și floarea-soarelui în 2022, urmată de o revenire parțială în 2024, indicând decizii prudente din partea fermierilor în funcție de condițiile climatice anticipate.</w:t>
      </w:r>
    </w:p>
    <w:p w14:paraId="27AEC219" w14:textId="77777777" w:rsidR="00AB18CF" w:rsidRDefault="00AB18CF" w:rsidP="00AB18CF">
      <w:pPr>
        <w:spacing w:before="120"/>
        <w:jc w:val="both"/>
        <w:rPr>
          <w:b/>
          <w:bCs/>
          <w:i/>
          <w:iCs/>
          <w:color w:val="000000" w:themeColor="text1"/>
        </w:rPr>
      </w:pPr>
    </w:p>
    <w:p w14:paraId="45706604" w14:textId="77777777" w:rsidR="00AB18CF" w:rsidRDefault="00AB18CF" w:rsidP="00AB18CF">
      <w:pPr>
        <w:spacing w:before="120"/>
        <w:jc w:val="both"/>
        <w:rPr>
          <w:b/>
          <w:bCs/>
          <w:i/>
          <w:iCs/>
          <w:color w:val="000000" w:themeColor="text1"/>
        </w:rPr>
      </w:pPr>
    </w:p>
    <w:p w14:paraId="05FA4A2F" w14:textId="77777777" w:rsidR="00AB18CF" w:rsidRDefault="00AB18CF" w:rsidP="00AB18CF">
      <w:pPr>
        <w:spacing w:before="120"/>
        <w:jc w:val="both"/>
        <w:rPr>
          <w:b/>
          <w:bCs/>
          <w:i/>
          <w:iCs/>
          <w:color w:val="000000" w:themeColor="text1"/>
        </w:rPr>
      </w:pPr>
    </w:p>
    <w:p w14:paraId="10600A9F" w14:textId="77777777" w:rsidR="00AB18CF" w:rsidRPr="00AB18CF" w:rsidRDefault="00AB18CF" w:rsidP="00AB18CF">
      <w:pPr>
        <w:spacing w:before="120"/>
        <w:jc w:val="both"/>
        <w:rPr>
          <w:b/>
          <w:bCs/>
          <w:i/>
          <w:iCs/>
          <w:color w:val="000000" w:themeColor="text1"/>
        </w:rPr>
      </w:pPr>
    </w:p>
    <w:p w14:paraId="55E683AB" w14:textId="77777777" w:rsidR="00683648" w:rsidRPr="00CD2ADD" w:rsidRDefault="00683648" w:rsidP="00683648">
      <w:pPr>
        <w:spacing w:before="120" w:after="120"/>
        <w:jc w:val="center"/>
        <w:rPr>
          <w:color w:val="000000" w:themeColor="text1"/>
        </w:rPr>
      </w:pPr>
      <w:r w:rsidRPr="00CD2ADD">
        <w:rPr>
          <w:b/>
          <w:bCs/>
          <w:color w:val="000000" w:themeColor="text1"/>
        </w:rPr>
        <w:lastRenderedPageBreak/>
        <w:t xml:space="preserve">Figura 13. </w:t>
      </w:r>
      <w:r w:rsidRPr="00CD2ADD">
        <w:rPr>
          <w:color w:val="000000" w:themeColor="text1"/>
        </w:rPr>
        <w:t>Suprafețele culturilor agricole cele mai afectate de secetă (ha)</w:t>
      </w:r>
    </w:p>
    <w:p w14:paraId="30E17B6A" w14:textId="77777777" w:rsidR="00683648" w:rsidRPr="00CD2ADD" w:rsidRDefault="00683648" w:rsidP="00683648">
      <w:pPr>
        <w:pStyle w:val="ListParagraph"/>
        <w:spacing w:before="120" w:after="0"/>
        <w:ind w:left="284" w:firstLine="0"/>
        <w:jc w:val="both"/>
        <w:rPr>
          <w:rFonts w:ascii="Times New Roman" w:hAnsi="Times New Roman" w:cs="Times New Roman"/>
          <w:color w:val="000000" w:themeColor="text1"/>
          <w:sz w:val="24"/>
          <w:szCs w:val="24"/>
        </w:rPr>
      </w:pPr>
    </w:p>
    <w:p w14:paraId="54B5B93D" w14:textId="74D8D090" w:rsidR="00683648" w:rsidRPr="00CD2ADD" w:rsidRDefault="00683648" w:rsidP="00F25633">
      <w:pPr>
        <w:pStyle w:val="ListParagraph"/>
        <w:spacing w:before="120" w:after="0"/>
        <w:ind w:left="284" w:firstLine="0"/>
        <w:jc w:val="both"/>
        <w:rPr>
          <w:rFonts w:ascii="Times New Roman" w:hAnsi="Times New Roman" w:cs="Times New Roman"/>
          <w:b/>
          <w:bCs/>
          <w:i/>
          <w:iCs/>
          <w:color w:val="000000" w:themeColor="text1"/>
          <w:sz w:val="24"/>
          <w:szCs w:val="24"/>
        </w:rPr>
      </w:pPr>
      <w:r w:rsidRPr="00CD2ADD">
        <w:rPr>
          <w:noProof/>
          <w:color w:val="FFFFFF" w:themeColor="background1"/>
          <w14:ligatures w14:val="standardContextual"/>
        </w:rPr>
        <w:drawing>
          <wp:inline distT="0" distB="0" distL="0" distR="0" wp14:anchorId="3CC61DFF" wp14:editId="177998E1">
            <wp:extent cx="5641975" cy="2667000"/>
            <wp:effectExtent l="0" t="0" r="9525" b="12700"/>
            <wp:docPr id="1838013227" name="Chart 1">
              <a:extLst xmlns:a="http://schemas.openxmlformats.org/drawingml/2006/main">
                <a:ext uri="{FF2B5EF4-FFF2-40B4-BE49-F238E27FC236}">
                  <a16:creationId xmlns:a16="http://schemas.microsoft.com/office/drawing/2014/main" id="{8BFAB26C-551A-2B02-B6E9-DDEDCEC4EF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511B749" w14:textId="77777777" w:rsidR="00683648" w:rsidRPr="00CD2ADD" w:rsidRDefault="00683648" w:rsidP="00683648">
      <w:pPr>
        <w:spacing w:before="120"/>
        <w:jc w:val="center"/>
        <w:rPr>
          <w:i/>
          <w:iCs/>
          <w:sz w:val="20"/>
          <w:szCs w:val="20"/>
        </w:rPr>
      </w:pPr>
      <w:r w:rsidRPr="00CD2ADD">
        <w:rPr>
          <w:i/>
          <w:iCs/>
          <w:sz w:val="20"/>
          <w:szCs w:val="20"/>
        </w:rPr>
        <w:t xml:space="preserve">Sursa: </w:t>
      </w:r>
      <w:r w:rsidRPr="00CD2ADD">
        <w:rPr>
          <w:i/>
          <w:iCs/>
          <w:sz w:val="20"/>
          <w:szCs w:val="20"/>
          <w:lang w:eastAsia="en-US"/>
        </w:rPr>
        <w:t>IGSU – Analiza Situațiilor Excepționale, 2010–2024</w:t>
      </w:r>
    </w:p>
    <w:p w14:paraId="5E93F659" w14:textId="77777777" w:rsidR="00683648" w:rsidRPr="00CD2ADD" w:rsidRDefault="00683648" w:rsidP="00683648">
      <w:pPr>
        <w:pStyle w:val="ListParagraph"/>
        <w:spacing w:before="120" w:after="0"/>
        <w:ind w:left="284" w:firstLine="0"/>
        <w:jc w:val="both"/>
        <w:rPr>
          <w:rFonts w:ascii="Times New Roman" w:hAnsi="Times New Roman" w:cs="Times New Roman"/>
          <w:b/>
          <w:bCs/>
          <w:i/>
          <w:iCs/>
          <w:color w:val="000000" w:themeColor="text1"/>
          <w:sz w:val="24"/>
          <w:szCs w:val="24"/>
        </w:rPr>
      </w:pPr>
    </w:p>
    <w:p w14:paraId="69D2548F" w14:textId="193093E0" w:rsidR="00994C70" w:rsidRPr="00CD2ADD" w:rsidRDefault="008E7F54">
      <w:pPr>
        <w:pStyle w:val="ListParagraph"/>
        <w:numPr>
          <w:ilvl w:val="0"/>
          <w:numId w:val="46"/>
        </w:numPr>
        <w:spacing w:before="120"/>
        <w:ind w:left="0" w:firstLine="284"/>
        <w:jc w:val="both"/>
        <w:rPr>
          <w:rFonts w:ascii="Times New Roman" w:hAnsi="Times New Roman" w:cs="Times New Roman"/>
          <w:b/>
          <w:bCs/>
          <w:i/>
          <w:iCs/>
          <w:color w:val="000000" w:themeColor="text1"/>
          <w:sz w:val="24"/>
          <w:szCs w:val="24"/>
        </w:rPr>
      </w:pPr>
      <w:r w:rsidRPr="00CD2ADD">
        <w:rPr>
          <w:rFonts w:ascii="Times New Roman" w:hAnsi="Times New Roman" w:cs="Times New Roman"/>
          <w:color w:val="000000" w:themeColor="text1"/>
          <w:sz w:val="24"/>
          <w:szCs w:val="24"/>
        </w:rPr>
        <w:t>Această dinamică se reflectă și în prețurile medii de vânzare ale produselor agricole (Figura 14). Floarea-soarelui a atins valori record în 2022 (peste 10.000 MDL/tonă), iar grâul și porumbul au înregistrat creșteri semnificative în anii cu producții scăzute. Corelația dintre secetă, randament scăzut și prețuri mari este clară și reflectă presiunea asupra securității alimentare și a veniturilor fermierilor.</w:t>
      </w:r>
    </w:p>
    <w:p w14:paraId="2423B58A" w14:textId="77777777" w:rsidR="00AB18CF" w:rsidRDefault="00AB18CF" w:rsidP="0040683B">
      <w:pPr>
        <w:pStyle w:val="ListParagraph"/>
        <w:spacing w:before="120" w:after="120"/>
        <w:ind w:left="360" w:firstLine="0"/>
        <w:jc w:val="center"/>
        <w:rPr>
          <w:rFonts w:ascii="Times New Roman" w:hAnsi="Times New Roman" w:cs="Times New Roman"/>
          <w:b/>
          <w:bCs/>
          <w:color w:val="000000" w:themeColor="text1"/>
          <w:sz w:val="24"/>
          <w:szCs w:val="24"/>
        </w:rPr>
      </w:pPr>
    </w:p>
    <w:p w14:paraId="7F239DF9" w14:textId="4F239BFA" w:rsidR="008F7CD1" w:rsidRPr="00CD2ADD" w:rsidRDefault="0040683B" w:rsidP="0040683B">
      <w:pPr>
        <w:pStyle w:val="ListParagraph"/>
        <w:spacing w:before="120" w:after="120"/>
        <w:ind w:left="360" w:firstLine="0"/>
        <w:jc w:val="center"/>
        <w:rPr>
          <w:rFonts w:ascii="Times New Roman" w:hAnsi="Times New Roman" w:cs="Times New Roman"/>
          <w:color w:val="000000" w:themeColor="text1"/>
          <w:sz w:val="24"/>
          <w:szCs w:val="24"/>
        </w:rPr>
      </w:pPr>
      <w:r w:rsidRPr="00CD2ADD">
        <w:rPr>
          <w:rFonts w:ascii="Times New Roman" w:hAnsi="Times New Roman" w:cs="Times New Roman"/>
          <w:b/>
          <w:bCs/>
          <w:color w:val="000000" w:themeColor="text1"/>
          <w:sz w:val="24"/>
          <w:szCs w:val="24"/>
        </w:rPr>
        <w:t>Figura 14</w:t>
      </w:r>
      <w:r w:rsidRPr="00CD2ADD">
        <w:rPr>
          <w:rFonts w:ascii="Times New Roman" w:hAnsi="Times New Roman" w:cs="Times New Roman"/>
          <w:color w:val="000000" w:themeColor="text1"/>
          <w:sz w:val="24"/>
          <w:szCs w:val="24"/>
        </w:rPr>
        <w:t xml:space="preserve">. Prețurile medii de vânzare a producției agricole pe 3 tipuri </w:t>
      </w:r>
    </w:p>
    <w:p w14:paraId="69E74663" w14:textId="41A8ADE2" w:rsidR="0040683B" w:rsidRPr="00CD2ADD" w:rsidRDefault="0040683B" w:rsidP="0040683B">
      <w:pPr>
        <w:pStyle w:val="ListParagraph"/>
        <w:spacing w:before="120" w:after="120"/>
        <w:ind w:left="360" w:firstLine="0"/>
        <w:jc w:val="center"/>
        <w:rPr>
          <w:rFonts w:ascii="Times New Roman" w:hAnsi="Times New Roman" w:cs="Times New Roman"/>
          <w:b/>
          <w:bCs/>
          <w:i/>
          <w:iCs/>
          <w:color w:val="000000" w:themeColor="text1"/>
          <w:sz w:val="28"/>
          <w:szCs w:val="28"/>
        </w:rPr>
      </w:pPr>
      <w:r w:rsidRPr="00CD2ADD">
        <w:rPr>
          <w:rFonts w:ascii="Times New Roman" w:hAnsi="Times New Roman" w:cs="Times New Roman"/>
          <w:color w:val="000000" w:themeColor="text1"/>
          <w:sz w:val="24"/>
          <w:szCs w:val="24"/>
        </w:rPr>
        <w:t>de produse agricole și ani (MDL/Tona)</w:t>
      </w:r>
    </w:p>
    <w:p w14:paraId="6B497288" w14:textId="794F83E7" w:rsidR="0040683B" w:rsidRPr="00CD2ADD" w:rsidRDefault="0040683B" w:rsidP="00683648">
      <w:pPr>
        <w:spacing w:before="120"/>
        <w:jc w:val="center"/>
        <w:rPr>
          <w:b/>
          <w:bCs/>
          <w:i/>
          <w:iCs/>
          <w:color w:val="000000" w:themeColor="text1"/>
        </w:rPr>
      </w:pPr>
      <w:r w:rsidRPr="00CD2ADD">
        <w:rPr>
          <w:noProof/>
        </w:rPr>
        <w:drawing>
          <wp:inline distT="0" distB="0" distL="0" distR="0" wp14:anchorId="7A842036" wp14:editId="39D4BC04">
            <wp:extent cx="5740400" cy="2844800"/>
            <wp:effectExtent l="0" t="0" r="12700" b="12700"/>
            <wp:docPr id="1528570316" name="Chart 1">
              <a:extLst xmlns:a="http://schemas.openxmlformats.org/drawingml/2006/main">
                <a:ext uri="{FF2B5EF4-FFF2-40B4-BE49-F238E27FC236}">
                  <a16:creationId xmlns:a16="http://schemas.microsoft.com/office/drawing/2014/main" id="{A6D37757-EBF3-F32C-9A3A-5C94365A49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E03D48C" w14:textId="0FF93927" w:rsidR="0040683B" w:rsidRPr="00CD2ADD" w:rsidRDefault="0040683B" w:rsidP="00683648">
      <w:pPr>
        <w:pStyle w:val="NormalWeb"/>
        <w:spacing w:before="0" w:beforeAutospacing="0" w:after="120" w:afterAutospacing="0" w:line="240" w:lineRule="auto"/>
        <w:jc w:val="center"/>
        <w:rPr>
          <w:rFonts w:ascii="Times New Roman" w:hAnsi="Times New Roman" w:cs="Times New Roman"/>
          <w:i/>
          <w:iCs/>
          <w:sz w:val="20"/>
          <w:szCs w:val="20"/>
        </w:rPr>
      </w:pPr>
      <w:r w:rsidRPr="00CD2ADD">
        <w:rPr>
          <w:rFonts w:ascii="Times New Roman" w:hAnsi="Times New Roman" w:cs="Times New Roman"/>
          <w:i/>
          <w:iCs/>
          <w:sz w:val="20"/>
          <w:szCs w:val="20"/>
        </w:rPr>
        <w:t xml:space="preserve">Sursa: BNS 2025. </w:t>
      </w:r>
      <w:hyperlink r:id="rId34" w:history="1">
        <w:r w:rsidRPr="00CD2ADD">
          <w:rPr>
            <w:rStyle w:val="Hyperlink"/>
            <w:rFonts w:ascii="Times New Roman" w:hAnsi="Times New Roman" w:cs="Times New Roman"/>
            <w:i/>
            <w:iCs/>
            <w:sz w:val="20"/>
            <w:szCs w:val="20"/>
          </w:rPr>
          <w:t>Statistica economica - Preturi - Preturile si indicii preturilor de vânzare producției agricole</w:t>
        </w:r>
      </w:hyperlink>
    </w:p>
    <w:p w14:paraId="4515E293" w14:textId="30B07299" w:rsidR="0040683B" w:rsidRPr="00CD2ADD" w:rsidRDefault="00D36A01" w:rsidP="00FF792F">
      <w:pPr>
        <w:spacing w:before="120" w:after="120"/>
        <w:ind w:firstLine="426"/>
        <w:jc w:val="both"/>
        <w:rPr>
          <w:b/>
          <w:bCs/>
          <w:i/>
          <w:iCs/>
          <w:color w:val="000000" w:themeColor="text1"/>
          <w:sz w:val="28"/>
          <w:szCs w:val="28"/>
        </w:rPr>
      </w:pPr>
      <w:r w:rsidRPr="00CD2ADD">
        <w:rPr>
          <w:color w:val="000000" w:themeColor="text1"/>
        </w:rPr>
        <w:t xml:space="preserve">Sectorul zootehnic este afectat indirect de secetă, prin reducerea disponibilității de furaje și degradarea pajiștilor. Datele privind efectivele de animale (Figura </w:t>
      </w:r>
      <w:r w:rsidR="005220D9" w:rsidRPr="00CD2ADD">
        <w:rPr>
          <w:color w:val="000000" w:themeColor="text1"/>
        </w:rPr>
        <w:t>1</w:t>
      </w:r>
      <w:r w:rsidR="00A73834" w:rsidRPr="00CD2ADD">
        <w:rPr>
          <w:color w:val="000000" w:themeColor="text1"/>
        </w:rPr>
        <w:t>5</w:t>
      </w:r>
      <w:r w:rsidRPr="00CD2ADD">
        <w:rPr>
          <w:color w:val="000000" w:themeColor="text1"/>
        </w:rPr>
        <w:t>) arată o scădere dramatică încă din anii ’90, fără o redresare reală în ultimele decenii. Seceta contribuie suplimentar la vulnerabilitatea acestui sector, prin reducerea productivității și creșterea dependenței de importuri.</w:t>
      </w:r>
      <w:bookmarkStart w:id="43" w:name="_Toc197960213"/>
      <w:bookmarkStart w:id="44" w:name="_Toc197960484"/>
    </w:p>
    <w:p w14:paraId="744F06E7" w14:textId="2828DA8C" w:rsidR="007417AE" w:rsidRPr="00CD2ADD" w:rsidRDefault="007417AE" w:rsidP="007417AE">
      <w:pPr>
        <w:spacing w:before="120" w:after="120"/>
        <w:jc w:val="center"/>
        <w:rPr>
          <w:b/>
          <w:bCs/>
          <w:color w:val="000000" w:themeColor="text1"/>
        </w:rPr>
      </w:pPr>
      <w:r w:rsidRPr="00CD2ADD">
        <w:rPr>
          <w:b/>
          <w:bCs/>
          <w:color w:val="000000" w:themeColor="text1"/>
        </w:rPr>
        <w:lastRenderedPageBreak/>
        <w:t xml:space="preserve">Figura 15. </w:t>
      </w:r>
      <w:r w:rsidRPr="00CD2ADD">
        <w:rPr>
          <w:color w:val="000000" w:themeColor="text1"/>
        </w:rPr>
        <w:t>Efectivul de animale pe specii de animale și ani</w:t>
      </w:r>
    </w:p>
    <w:p w14:paraId="16A1DDEE" w14:textId="5203D488" w:rsidR="007417AE" w:rsidRPr="00CD2ADD" w:rsidRDefault="007417AE" w:rsidP="008F7CD1">
      <w:pPr>
        <w:jc w:val="center"/>
        <w:rPr>
          <w:b/>
          <w:bCs/>
          <w:i/>
          <w:iCs/>
          <w:color w:val="000000" w:themeColor="text1"/>
          <w:sz w:val="28"/>
          <w:szCs w:val="28"/>
        </w:rPr>
      </w:pPr>
      <w:r w:rsidRPr="00CD2ADD">
        <w:rPr>
          <w:noProof/>
          <w14:ligatures w14:val="standardContextual"/>
        </w:rPr>
        <w:drawing>
          <wp:inline distT="0" distB="0" distL="0" distR="0" wp14:anchorId="7687752F" wp14:editId="45A7859C">
            <wp:extent cx="5805377" cy="3423684"/>
            <wp:effectExtent l="0" t="0" r="11430" b="6985"/>
            <wp:docPr id="620019310" name="Chart 1">
              <a:extLst xmlns:a="http://schemas.openxmlformats.org/drawingml/2006/main">
                <a:ext uri="{FF2B5EF4-FFF2-40B4-BE49-F238E27FC236}">
                  <a16:creationId xmlns:a16="http://schemas.microsoft.com/office/drawing/2014/main" id="{BC34A9BC-B67E-BF88-6CB1-3B84FE8151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86BCFD7" w14:textId="77FD4157" w:rsidR="007417AE" w:rsidRPr="00CD2ADD" w:rsidRDefault="007417AE" w:rsidP="008F7C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i/>
          <w:iCs/>
          <w:sz w:val="20"/>
          <w:szCs w:val="20"/>
        </w:rPr>
      </w:pPr>
      <w:r w:rsidRPr="00CD2ADD">
        <w:rPr>
          <w:i/>
          <w:iCs/>
          <w:sz w:val="20"/>
          <w:szCs w:val="20"/>
        </w:rPr>
        <w:t xml:space="preserve">Sursa: BNS 2025. </w:t>
      </w:r>
      <w:hyperlink r:id="rId36" w:history="1">
        <w:r w:rsidRPr="00CD2ADD">
          <w:rPr>
            <w:rStyle w:val="Hyperlink"/>
            <w:i/>
            <w:iCs/>
            <w:sz w:val="20"/>
            <w:szCs w:val="20"/>
          </w:rPr>
          <w:t>Statistica economica - Agricultura - Sectorul zootehnic</w:t>
        </w:r>
      </w:hyperlink>
    </w:p>
    <w:p w14:paraId="7E114D6C" w14:textId="31B9C5B1" w:rsidR="007417AE" w:rsidRPr="00CD2ADD" w:rsidRDefault="007417AE" w:rsidP="00FF792F">
      <w:pPr>
        <w:pStyle w:val="Subtitle"/>
        <w:spacing w:after="0" w:line="240" w:lineRule="auto"/>
        <w:ind w:firstLine="360"/>
        <w:rPr>
          <w:rFonts w:ascii="Times New Roman" w:hAnsi="Times New Roman" w:cs="Times New Roman"/>
          <w:b/>
          <w:bCs/>
          <w:color w:val="000000" w:themeColor="text1"/>
          <w:sz w:val="24"/>
        </w:rPr>
      </w:pPr>
      <w:r w:rsidRPr="00CD2ADD">
        <w:rPr>
          <w:rStyle w:val="IntenseEmphasis"/>
          <w:rFonts w:ascii="Times New Roman" w:hAnsi="Times New Roman" w:cs="Times New Roman"/>
          <w:color w:val="000000" w:themeColor="text1"/>
          <w:sz w:val="24"/>
        </w:rPr>
        <w:t>Vulnerabilitate, expunere și capacitate de adaptare în agricultură</w:t>
      </w:r>
    </w:p>
    <w:bookmarkEnd w:id="43"/>
    <w:bookmarkEnd w:id="44"/>
    <w:p w14:paraId="303379FE" w14:textId="42788F8A" w:rsidR="004C7795" w:rsidRPr="00CD2ADD" w:rsidRDefault="004C7795">
      <w:pPr>
        <w:pStyle w:val="ListParagraph"/>
        <w:numPr>
          <w:ilvl w:val="0"/>
          <w:numId w:val="42"/>
        </w:numPr>
        <w:spacing w:after="0"/>
        <w:ind w:left="0" w:firstLine="360"/>
        <w:jc w:val="both"/>
        <w:rPr>
          <w:rFonts w:ascii="Times New Roman" w:hAnsi="Times New Roman" w:cs="Times New Roman"/>
          <w:b/>
          <w:bCs/>
          <w:i/>
          <w:iCs/>
          <w:color w:val="000000" w:themeColor="text1"/>
          <w:sz w:val="24"/>
          <w:szCs w:val="24"/>
        </w:rPr>
      </w:pPr>
      <w:r w:rsidRPr="00CD2ADD">
        <w:rPr>
          <w:rFonts w:ascii="Times New Roman" w:hAnsi="Times New Roman" w:cs="Times New Roman"/>
          <w:color w:val="000000" w:themeColor="text1"/>
          <w:sz w:val="24"/>
          <w:szCs w:val="24"/>
        </w:rPr>
        <w:t>Agricultura reprezintă unul dintre cele mai expuse sectoare economice la riscurile climatice din Republica Moldova, în special la secetă și fenomene asociate, precum valurile de căldură, lipsa precipitațiilor, grindina în perioadele critice de vegetație. Expunerea geografică este ridicată în mai multe raioane din sudul și centrul țării, conform platformei INFORM Moldova (2023), care indică scoruri de risc de secetă de peste 7 în raioanele Leova (7,3), Găgăuzia (7,3), Căușeni (7,1), Florești (7,1), Glodeni (7,0), Rîșcani (7,0), și altele. Aceste regiuni coincid frecvent cu zone colinare sau de câmpie, unde vulnerabilitatea sistemelor de producție agricolă este agravată de accesul limitat la irigare, tehnologii moderne și masuri de conservare a apei și solului.</w:t>
      </w:r>
    </w:p>
    <w:p w14:paraId="41DBDD04" w14:textId="79716429" w:rsidR="004C7795" w:rsidRPr="00CD2ADD" w:rsidRDefault="004C7795" w:rsidP="00594F08">
      <w:pPr>
        <w:ind w:firstLine="360"/>
        <w:jc w:val="both"/>
        <w:rPr>
          <w:b/>
          <w:bCs/>
          <w:i/>
          <w:iCs/>
          <w:color w:val="000000" w:themeColor="text1"/>
        </w:rPr>
      </w:pPr>
      <w:r w:rsidRPr="00CD2ADD">
        <w:rPr>
          <w:color w:val="000000" w:themeColor="text1"/>
        </w:rPr>
        <w:t>La nivel structural, vulnerabilitățile sectorului agricol sunt amplificate de fragmentarea terenurilor, preponderența culturilor sensibile la secetă (cereale și plante tehnice), lipsa asigurărilor agricole funcționale, precum și subfinanțarea sistemică a ferm</w:t>
      </w:r>
      <w:r w:rsidR="00AC17BF" w:rsidRPr="00CD2ADD">
        <w:rPr>
          <w:color w:val="000000" w:themeColor="text1"/>
        </w:rPr>
        <w:t>i</w:t>
      </w:r>
      <w:r w:rsidRPr="00CD2ADD">
        <w:rPr>
          <w:color w:val="000000" w:themeColor="text1"/>
        </w:rPr>
        <w:t>e</w:t>
      </w:r>
      <w:r w:rsidR="00AC17BF" w:rsidRPr="00CD2ADD">
        <w:rPr>
          <w:color w:val="000000" w:themeColor="text1"/>
        </w:rPr>
        <w:t>ri</w:t>
      </w:r>
      <w:r w:rsidRPr="00CD2ADD">
        <w:rPr>
          <w:color w:val="000000" w:themeColor="text1"/>
        </w:rPr>
        <w:t>lor mici și mijlocii. Lipsa unui sistem eficient de avertizare timpurie accesibil fermierilor</w:t>
      </w:r>
      <w:r w:rsidR="00C70B62" w:rsidRPr="00CD2ADD">
        <w:rPr>
          <w:color w:val="000000" w:themeColor="text1"/>
        </w:rPr>
        <w:t xml:space="preserve"> </w:t>
      </w:r>
      <w:r w:rsidRPr="00CD2ADD">
        <w:rPr>
          <w:color w:val="000000" w:themeColor="text1"/>
        </w:rPr>
        <w:t>contribuie la întârzierea reacțiilor și la pierderi semnificative în perioadele de stres hidric.</w:t>
      </w:r>
    </w:p>
    <w:p w14:paraId="2ABAB0D4" w14:textId="7C820095" w:rsidR="004C7795" w:rsidRPr="00CD2ADD" w:rsidRDefault="004C7795" w:rsidP="00594F08">
      <w:pPr>
        <w:ind w:firstLine="360"/>
        <w:jc w:val="both"/>
        <w:rPr>
          <w:b/>
          <w:bCs/>
          <w:i/>
          <w:iCs/>
          <w:color w:val="000000" w:themeColor="text1"/>
        </w:rPr>
      </w:pPr>
      <w:r w:rsidRPr="00CD2ADD">
        <w:rPr>
          <w:color w:val="000000" w:themeColor="text1"/>
        </w:rPr>
        <w:t>În fața unei frecvențe crescânde a secetei și a intensificării riscurilor climatice, capacitatea de adaptare a sectorului agricol depinde tot mai mult de inițiativele individuale și comunitare. O tendință observată în ultimii ani este implicarea migraților reveniți în dezvoltarea de soluții adaptative în agricultură, prin investiții realizate din economiile acumulate peste hotare. De exemplu, o parte dintre aceștia au contribuit la instalarea sistemelor moderne de irigare (inclusiv prin picurare), diversificarea culturilor și inițiative de agroturism în gospodăriile rurale. Deși nu există date statistice centralizate privind amploarea acestor investiții, experiențele locale și programe precum PARE 1+1 sugerează un potențial semnificativ al remitențelor pentru sprijinirea rezilienței climatice în mediul rural.</w:t>
      </w:r>
    </w:p>
    <w:p w14:paraId="22728818" w14:textId="046DA243" w:rsidR="004C7795" w:rsidRPr="00CD2ADD" w:rsidRDefault="004C7795" w:rsidP="00594F08">
      <w:pPr>
        <w:ind w:firstLine="360"/>
        <w:jc w:val="both"/>
        <w:rPr>
          <w:b/>
          <w:bCs/>
          <w:i/>
          <w:iCs/>
          <w:color w:val="000000" w:themeColor="text1"/>
        </w:rPr>
      </w:pPr>
      <w:r w:rsidRPr="00CD2ADD">
        <w:rPr>
          <w:color w:val="000000" w:themeColor="text1"/>
        </w:rPr>
        <w:t>În concluzie, riscurile climatice în agricultură din Republica Moldova sunt adâncite de o combinație de expunere teritorială ridicată, vulnerabilități structurale și limitări instituționale, dar și de inegalități în capacitatea de adaptare la nivel local. Reducerea riscurilor necesită o abordare teritorială diferențiată, corelată cu investiții în infrastructura de irigare, extinderea mecanismelor de asigurare, consolidarea serviciilor de consiliere climatică pentru fermieri și valorificarea potențialului economic al diasporei pentru tranziția spre practici agricole reziliente.</w:t>
      </w:r>
    </w:p>
    <w:p w14:paraId="6A5E4324" w14:textId="5B20543D" w:rsidR="007417AE" w:rsidRPr="00CD2ADD" w:rsidRDefault="00A453DD">
      <w:pPr>
        <w:pStyle w:val="ListParagraph"/>
        <w:numPr>
          <w:ilvl w:val="0"/>
          <w:numId w:val="42"/>
        </w:numPr>
        <w:spacing w:after="0"/>
        <w:ind w:left="0" w:firstLine="360"/>
        <w:jc w:val="both"/>
        <w:rPr>
          <w:rFonts w:ascii="Times New Roman" w:hAnsi="Times New Roman" w:cs="Times New Roman"/>
          <w:b/>
          <w:bCs/>
          <w:i/>
          <w:iCs/>
          <w:color w:val="000000" w:themeColor="text1"/>
          <w:sz w:val="24"/>
          <w:szCs w:val="24"/>
        </w:rPr>
      </w:pPr>
      <w:r w:rsidRPr="00CD2ADD">
        <w:rPr>
          <w:rFonts w:ascii="Times New Roman" w:hAnsi="Times New Roman" w:cs="Times New Roman"/>
          <w:color w:val="000000" w:themeColor="text1"/>
          <w:sz w:val="24"/>
          <w:szCs w:val="24"/>
        </w:rPr>
        <w:lastRenderedPageBreak/>
        <w:t xml:space="preserve">Așa cum s-a demonstrat </w:t>
      </w:r>
      <w:r w:rsidR="008F7CD1" w:rsidRPr="00CD2ADD">
        <w:rPr>
          <w:rFonts w:ascii="Times New Roman" w:hAnsi="Times New Roman" w:cs="Times New Roman"/>
          <w:color w:val="000000" w:themeColor="text1"/>
          <w:sz w:val="24"/>
          <w:szCs w:val="24"/>
        </w:rPr>
        <w:t>ș</w:t>
      </w:r>
      <w:r w:rsidRPr="00CD2ADD">
        <w:rPr>
          <w:rFonts w:ascii="Times New Roman" w:hAnsi="Times New Roman" w:cs="Times New Roman"/>
          <w:color w:val="000000" w:themeColor="text1"/>
          <w:sz w:val="24"/>
          <w:szCs w:val="24"/>
        </w:rPr>
        <w:t>i mai sus a</w:t>
      </w:r>
      <w:r w:rsidR="00D36A01" w:rsidRPr="00CD2ADD">
        <w:rPr>
          <w:rFonts w:ascii="Times New Roman" w:hAnsi="Times New Roman" w:cs="Times New Roman"/>
          <w:color w:val="000000" w:themeColor="text1"/>
          <w:sz w:val="24"/>
          <w:szCs w:val="24"/>
        </w:rPr>
        <w:t>gricultura</w:t>
      </w:r>
      <w:r w:rsidR="00064BF3" w:rsidRPr="00CD2ADD">
        <w:rPr>
          <w:rFonts w:ascii="Times New Roman" w:hAnsi="Times New Roman" w:cs="Times New Roman"/>
          <w:color w:val="000000" w:themeColor="text1"/>
          <w:sz w:val="24"/>
          <w:szCs w:val="24"/>
        </w:rPr>
        <w:t xml:space="preserve">, care reprezintă 7.1% din PIB </w:t>
      </w:r>
      <w:r w:rsidR="008F7CD1" w:rsidRPr="00CD2ADD">
        <w:rPr>
          <w:rFonts w:ascii="Times New Roman" w:hAnsi="Times New Roman" w:cs="Times New Roman"/>
          <w:color w:val="000000" w:themeColor="text1"/>
          <w:sz w:val="24"/>
          <w:szCs w:val="24"/>
        </w:rPr>
        <w:t>î</w:t>
      </w:r>
      <w:r w:rsidR="00064BF3" w:rsidRPr="00CD2ADD">
        <w:rPr>
          <w:rFonts w:ascii="Times New Roman" w:hAnsi="Times New Roman" w:cs="Times New Roman"/>
          <w:color w:val="000000" w:themeColor="text1"/>
          <w:sz w:val="24"/>
          <w:szCs w:val="24"/>
        </w:rPr>
        <w:t>n 2024</w:t>
      </w:r>
      <w:r w:rsidR="00064BF3" w:rsidRPr="00CD2ADD">
        <w:rPr>
          <w:rStyle w:val="FootnoteReference"/>
          <w:rFonts w:ascii="Times New Roman" w:hAnsi="Times New Roman" w:cs="Times New Roman"/>
          <w:color w:val="000000" w:themeColor="text1"/>
          <w:sz w:val="24"/>
          <w:szCs w:val="24"/>
        </w:rPr>
        <w:footnoteReference w:id="15"/>
      </w:r>
      <w:r w:rsidR="00064BF3" w:rsidRPr="00CD2ADD">
        <w:rPr>
          <w:rFonts w:ascii="Times New Roman" w:hAnsi="Times New Roman" w:cs="Times New Roman"/>
          <w:color w:val="000000" w:themeColor="text1"/>
          <w:sz w:val="24"/>
          <w:szCs w:val="24"/>
        </w:rPr>
        <w:t xml:space="preserve"> </w:t>
      </w:r>
      <w:r w:rsidR="00CB6712" w:rsidRPr="00CD2ADD">
        <w:rPr>
          <w:rFonts w:ascii="Times New Roman" w:hAnsi="Times New Roman" w:cs="Times New Roman"/>
          <w:color w:val="000000" w:themeColor="text1"/>
          <w:sz w:val="24"/>
          <w:szCs w:val="24"/>
        </w:rPr>
        <w:t xml:space="preserve">(-50% </w:t>
      </w:r>
      <w:r w:rsidR="008F7CD1" w:rsidRPr="00CD2ADD">
        <w:rPr>
          <w:rFonts w:ascii="Times New Roman" w:hAnsi="Times New Roman" w:cs="Times New Roman"/>
          <w:color w:val="000000" w:themeColor="text1"/>
          <w:sz w:val="24"/>
          <w:szCs w:val="24"/>
        </w:rPr>
        <w:t>î</w:t>
      </w:r>
      <w:r w:rsidR="00CB6712" w:rsidRPr="00CD2ADD">
        <w:rPr>
          <w:rFonts w:ascii="Times New Roman" w:hAnsi="Times New Roman" w:cs="Times New Roman"/>
          <w:color w:val="000000" w:themeColor="text1"/>
          <w:sz w:val="24"/>
          <w:szCs w:val="24"/>
        </w:rPr>
        <w:t xml:space="preserve">n comparație cu anul 2014) </w:t>
      </w:r>
      <w:r w:rsidR="008F7CD1" w:rsidRPr="00CD2ADD">
        <w:rPr>
          <w:rFonts w:ascii="Times New Roman" w:hAnsi="Times New Roman" w:cs="Times New Roman"/>
          <w:color w:val="000000" w:themeColor="text1"/>
          <w:sz w:val="24"/>
          <w:szCs w:val="24"/>
        </w:rPr>
        <w:t>ș</w:t>
      </w:r>
      <w:r w:rsidR="00064BF3" w:rsidRPr="00CD2ADD">
        <w:rPr>
          <w:rFonts w:ascii="Times New Roman" w:hAnsi="Times New Roman" w:cs="Times New Roman"/>
          <w:color w:val="000000" w:themeColor="text1"/>
          <w:sz w:val="24"/>
          <w:szCs w:val="24"/>
        </w:rPr>
        <w:t>i concentrează 5.1%</w:t>
      </w:r>
      <w:r w:rsidR="00064BF3" w:rsidRPr="00CD2ADD">
        <w:rPr>
          <w:rStyle w:val="FootnoteReference"/>
          <w:rFonts w:ascii="Times New Roman" w:hAnsi="Times New Roman" w:cs="Times New Roman"/>
          <w:color w:val="000000" w:themeColor="text1"/>
          <w:sz w:val="24"/>
          <w:szCs w:val="24"/>
        </w:rPr>
        <w:footnoteReference w:id="16"/>
      </w:r>
      <w:r w:rsidR="00064BF3" w:rsidRPr="00CD2ADD">
        <w:rPr>
          <w:rFonts w:ascii="Times New Roman" w:hAnsi="Times New Roman" w:cs="Times New Roman"/>
          <w:color w:val="000000" w:themeColor="text1"/>
          <w:sz w:val="24"/>
          <w:szCs w:val="24"/>
        </w:rPr>
        <w:t xml:space="preserve"> din forța de munc</w:t>
      </w:r>
      <w:r w:rsidR="008F1AC1" w:rsidRPr="00CD2ADD">
        <w:rPr>
          <w:rFonts w:ascii="Times New Roman" w:hAnsi="Times New Roman" w:cs="Times New Roman"/>
          <w:color w:val="000000" w:themeColor="text1"/>
          <w:sz w:val="24"/>
          <w:szCs w:val="24"/>
        </w:rPr>
        <w:t>ă</w:t>
      </w:r>
      <w:r w:rsidR="00064BF3" w:rsidRPr="00CD2ADD">
        <w:rPr>
          <w:rFonts w:ascii="Times New Roman" w:hAnsi="Times New Roman" w:cs="Times New Roman"/>
          <w:color w:val="000000" w:themeColor="text1"/>
          <w:sz w:val="24"/>
          <w:szCs w:val="24"/>
        </w:rPr>
        <w:t xml:space="preserve"> activ</w:t>
      </w:r>
      <w:r w:rsidR="008F1AC1" w:rsidRPr="00CD2ADD">
        <w:rPr>
          <w:rFonts w:ascii="Times New Roman" w:hAnsi="Times New Roman" w:cs="Times New Roman"/>
          <w:color w:val="000000" w:themeColor="text1"/>
          <w:sz w:val="24"/>
          <w:szCs w:val="24"/>
        </w:rPr>
        <w:t>ă</w:t>
      </w:r>
      <w:r w:rsidR="00064BF3" w:rsidRPr="00CD2ADD">
        <w:rPr>
          <w:rFonts w:ascii="Times New Roman" w:hAnsi="Times New Roman" w:cs="Times New Roman"/>
          <w:color w:val="000000" w:themeColor="text1"/>
          <w:sz w:val="24"/>
          <w:szCs w:val="24"/>
        </w:rPr>
        <w:t xml:space="preserve"> </w:t>
      </w:r>
      <w:r w:rsidR="00D36A01" w:rsidRPr="00CD2ADD">
        <w:rPr>
          <w:rFonts w:ascii="Times New Roman" w:hAnsi="Times New Roman" w:cs="Times New Roman"/>
          <w:color w:val="000000" w:themeColor="text1"/>
          <w:sz w:val="24"/>
          <w:szCs w:val="24"/>
        </w:rPr>
        <w:t>este unul dintre cele mai vulnerabile sectoare la riscurile climatice din Republica Moldova, în special la secetă, scăderea precipitațiilor</w:t>
      </w:r>
      <w:r w:rsidR="008F2463" w:rsidRPr="00CD2ADD">
        <w:rPr>
          <w:rFonts w:ascii="Times New Roman" w:hAnsi="Times New Roman" w:cs="Times New Roman"/>
          <w:color w:val="000000" w:themeColor="text1"/>
          <w:sz w:val="24"/>
          <w:szCs w:val="24"/>
        </w:rPr>
        <w:t>,</w:t>
      </w:r>
      <w:r w:rsidR="00D36A01" w:rsidRPr="00CD2ADD">
        <w:rPr>
          <w:rFonts w:ascii="Times New Roman" w:hAnsi="Times New Roman" w:cs="Times New Roman"/>
          <w:color w:val="000000" w:themeColor="text1"/>
          <w:sz w:val="24"/>
          <w:szCs w:val="24"/>
        </w:rPr>
        <w:t xml:space="preserve"> creșterea temperaturilor</w:t>
      </w:r>
      <w:r w:rsidR="008F2463" w:rsidRPr="00CD2ADD">
        <w:rPr>
          <w:rFonts w:ascii="Times New Roman" w:hAnsi="Times New Roman" w:cs="Times New Roman"/>
          <w:color w:val="000000" w:themeColor="text1"/>
          <w:sz w:val="24"/>
          <w:szCs w:val="24"/>
        </w:rPr>
        <w:t xml:space="preserve"> și alte fenomene meteorologice precum grindina.</w:t>
      </w:r>
      <w:r w:rsidR="00D36A01"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 xml:space="preserve"> </w:t>
      </w:r>
      <w:r w:rsidR="00D36A01" w:rsidRPr="00CD2ADD">
        <w:rPr>
          <w:rFonts w:ascii="Times New Roman" w:hAnsi="Times New Roman" w:cs="Times New Roman"/>
          <w:color w:val="000000" w:themeColor="text1"/>
          <w:sz w:val="24"/>
          <w:szCs w:val="24"/>
        </w:rPr>
        <w:t>Pentru a reduce aceste vulnerabilități</w:t>
      </w:r>
      <w:r w:rsidR="008869F7" w:rsidRPr="00CD2ADD">
        <w:rPr>
          <w:rFonts w:ascii="Times New Roman" w:hAnsi="Times New Roman" w:cs="Times New Roman"/>
          <w:color w:val="000000" w:themeColor="text1"/>
          <w:sz w:val="24"/>
          <w:szCs w:val="24"/>
        </w:rPr>
        <w:t xml:space="preserve">, </w:t>
      </w:r>
      <w:r w:rsidR="00D36A01" w:rsidRPr="00CD2ADD">
        <w:rPr>
          <w:rFonts w:ascii="Times New Roman" w:hAnsi="Times New Roman" w:cs="Times New Roman"/>
          <w:color w:val="000000" w:themeColor="text1"/>
          <w:sz w:val="24"/>
          <w:szCs w:val="24"/>
        </w:rPr>
        <w:t>a transforma agricultura într-un sector mai rezilient,</w:t>
      </w:r>
      <w:r w:rsidR="008869F7" w:rsidRPr="00CD2ADD">
        <w:rPr>
          <w:rFonts w:ascii="Times New Roman" w:hAnsi="Times New Roman" w:cs="Times New Roman"/>
          <w:color w:val="000000" w:themeColor="text1"/>
          <w:sz w:val="24"/>
          <w:szCs w:val="24"/>
        </w:rPr>
        <w:t xml:space="preserve"> și</w:t>
      </w:r>
      <w:r w:rsidR="00D36A01" w:rsidRPr="00CD2ADD">
        <w:rPr>
          <w:rFonts w:ascii="Times New Roman" w:hAnsi="Times New Roman" w:cs="Times New Roman"/>
          <w:color w:val="000000" w:themeColor="text1"/>
          <w:sz w:val="24"/>
          <w:szCs w:val="24"/>
        </w:rPr>
        <w:t xml:space="preserve"> </w:t>
      </w:r>
      <w:r w:rsidR="008869F7" w:rsidRPr="00CD2ADD">
        <w:rPr>
          <w:rFonts w:ascii="Times New Roman" w:hAnsi="Times New Roman" w:cs="Times New Roman"/>
          <w:color w:val="000000" w:themeColor="text1"/>
          <w:sz w:val="24"/>
          <w:szCs w:val="24"/>
        </w:rPr>
        <w:t xml:space="preserve">pentru reducerea riscurilor de secetă în agricultură </w:t>
      </w:r>
      <w:r w:rsidR="00D36A01" w:rsidRPr="00CD2ADD">
        <w:rPr>
          <w:rFonts w:ascii="Times New Roman" w:hAnsi="Times New Roman" w:cs="Times New Roman"/>
          <w:color w:val="000000" w:themeColor="text1"/>
          <w:sz w:val="24"/>
          <w:szCs w:val="24"/>
        </w:rPr>
        <w:t>sunt necesare intervenții integrate, orientate pe mai multe paliere</w:t>
      </w:r>
      <w:r w:rsidR="008F1AC1" w:rsidRPr="00CD2ADD">
        <w:rPr>
          <w:rFonts w:ascii="Times New Roman" w:hAnsi="Times New Roman" w:cs="Times New Roman"/>
          <w:color w:val="000000" w:themeColor="text1"/>
          <w:sz w:val="24"/>
          <w:szCs w:val="24"/>
        </w:rPr>
        <w:t>.</w:t>
      </w:r>
    </w:p>
    <w:p w14:paraId="13AD92CB" w14:textId="51937908" w:rsidR="008F7CD1" w:rsidRPr="00CD2ADD" w:rsidRDefault="008F7CD1" w:rsidP="008F7CD1">
      <w:pPr>
        <w:pStyle w:val="ListParagraph"/>
        <w:spacing w:after="0"/>
        <w:ind w:left="360" w:firstLine="0"/>
        <w:jc w:val="right"/>
        <w:rPr>
          <w:rFonts w:ascii="Times New Roman" w:hAnsi="Times New Roman" w:cs="Times New Roman"/>
          <w:b/>
          <w:bCs/>
          <w:color w:val="000000" w:themeColor="text1"/>
          <w:sz w:val="24"/>
          <w:szCs w:val="24"/>
        </w:rPr>
      </w:pPr>
      <w:r w:rsidRPr="00CD2ADD">
        <w:rPr>
          <w:rFonts w:ascii="Times New Roman" w:hAnsi="Times New Roman" w:cs="Times New Roman"/>
          <w:b/>
          <w:bCs/>
          <w:color w:val="000000" w:themeColor="text1"/>
          <w:sz w:val="24"/>
          <w:szCs w:val="24"/>
        </w:rPr>
        <w:t>Tabelul 4</w:t>
      </w:r>
    </w:p>
    <w:p w14:paraId="39392D6A" w14:textId="2A6E9200" w:rsidR="008F7CD1" w:rsidRPr="00CD2ADD" w:rsidRDefault="008F7CD1" w:rsidP="008F7CD1">
      <w:pPr>
        <w:pStyle w:val="Subtitle"/>
        <w:numPr>
          <w:ilvl w:val="0"/>
          <w:numId w:val="0"/>
        </w:numPr>
        <w:spacing w:after="0" w:line="240" w:lineRule="auto"/>
        <w:ind w:firstLine="360"/>
        <w:jc w:val="center"/>
        <w:rPr>
          <w:rFonts w:ascii="Times New Roman" w:hAnsi="Times New Roman" w:cs="Times New Roman"/>
          <w:b/>
          <w:bCs/>
          <w:i/>
          <w:iCs w:val="0"/>
          <w:color w:val="000000" w:themeColor="text1"/>
          <w:sz w:val="24"/>
        </w:rPr>
      </w:pPr>
      <w:r w:rsidRPr="00CD2ADD">
        <w:rPr>
          <w:rStyle w:val="IntenseEmphasis"/>
          <w:rFonts w:ascii="Times New Roman" w:hAnsi="Times New Roman" w:cs="Times New Roman"/>
          <w:i w:val="0"/>
          <w:iCs/>
          <w:color w:val="000000" w:themeColor="text1"/>
          <w:sz w:val="24"/>
        </w:rPr>
        <w:t>Măsuri de combatere a riscului de secetă în agricultură</w:t>
      </w:r>
    </w:p>
    <w:tbl>
      <w:tblPr>
        <w:tblStyle w:val="GridTable1Light-Accent41"/>
        <w:tblpPr w:leftFromText="180" w:rightFromText="180" w:vertAnchor="text" w:horzAnchor="margin" w:tblpY="80"/>
        <w:tblW w:w="9776" w:type="dxa"/>
        <w:tblLook w:val="04A0" w:firstRow="1" w:lastRow="0" w:firstColumn="1" w:lastColumn="0" w:noHBand="0" w:noVBand="1"/>
      </w:tblPr>
      <w:tblGrid>
        <w:gridCol w:w="2760"/>
        <w:gridCol w:w="3189"/>
        <w:gridCol w:w="3827"/>
      </w:tblGrid>
      <w:tr w:rsidR="007417AE" w:rsidRPr="00CD2ADD" w14:paraId="31C8EF24" w14:textId="77777777" w:rsidTr="00594F08">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2760" w:type="dxa"/>
            <w:hideMark/>
          </w:tcPr>
          <w:p w14:paraId="538D1B7E" w14:textId="1C65994C" w:rsidR="007417AE" w:rsidRPr="00CD2ADD" w:rsidRDefault="007417AE" w:rsidP="007417AE">
            <w:pPr>
              <w:rPr>
                <w:sz w:val="21"/>
                <w:szCs w:val="21"/>
              </w:rPr>
            </w:pPr>
            <w:r w:rsidRPr="00CD2ADD">
              <w:rPr>
                <w:color w:val="000000"/>
                <w:sz w:val="21"/>
                <w:szCs w:val="21"/>
              </w:rPr>
              <w:t xml:space="preserve">Seceta </w:t>
            </w:r>
            <w:r w:rsidR="008F7CD1" w:rsidRPr="00CD2ADD">
              <w:rPr>
                <w:color w:val="000000"/>
                <w:sz w:val="21"/>
                <w:szCs w:val="21"/>
              </w:rPr>
              <w:t>ș</w:t>
            </w:r>
            <w:r w:rsidRPr="00CD2ADD">
              <w:rPr>
                <w:color w:val="000000"/>
                <w:sz w:val="21"/>
                <w:szCs w:val="21"/>
              </w:rPr>
              <w:t>i riscuri asociate secetei</w:t>
            </w:r>
          </w:p>
        </w:tc>
        <w:tc>
          <w:tcPr>
            <w:tcW w:w="3189" w:type="dxa"/>
            <w:hideMark/>
          </w:tcPr>
          <w:p w14:paraId="6764A1EA" w14:textId="77777777" w:rsidR="007417AE" w:rsidRPr="00CD2ADD" w:rsidRDefault="007417AE" w:rsidP="007417AE">
            <w:pPr>
              <w:cnfStyle w:val="100000000000" w:firstRow="1"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Vulnerabilități specifice sectorului agricol</w:t>
            </w:r>
          </w:p>
        </w:tc>
        <w:tc>
          <w:tcPr>
            <w:tcW w:w="3827" w:type="dxa"/>
            <w:hideMark/>
          </w:tcPr>
          <w:p w14:paraId="1AA4727D" w14:textId="205F7ABF" w:rsidR="007417AE" w:rsidRPr="00CD2ADD" w:rsidRDefault="007417AE" w:rsidP="007417AE">
            <w:pPr>
              <w:cnfStyle w:val="100000000000" w:firstRow="1"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Recomandări</w:t>
            </w:r>
            <w:r w:rsidR="008F7CD1" w:rsidRPr="00CD2ADD">
              <w:rPr>
                <w:color w:val="000000"/>
                <w:sz w:val="21"/>
                <w:szCs w:val="21"/>
              </w:rPr>
              <w:t xml:space="preserve"> de</w:t>
            </w:r>
            <w:r w:rsidRPr="00CD2ADD">
              <w:rPr>
                <w:color w:val="000000"/>
                <w:sz w:val="21"/>
                <w:szCs w:val="21"/>
              </w:rPr>
              <w:t xml:space="preserve"> RRD și măsuri de adaptare</w:t>
            </w:r>
          </w:p>
        </w:tc>
      </w:tr>
      <w:tr w:rsidR="007417AE" w:rsidRPr="00CD2ADD" w14:paraId="1B0A919E" w14:textId="77777777" w:rsidTr="00594F08">
        <w:trPr>
          <w:trHeight w:val="180"/>
        </w:trPr>
        <w:tc>
          <w:tcPr>
            <w:cnfStyle w:val="001000000000" w:firstRow="0" w:lastRow="0" w:firstColumn="1" w:lastColumn="0" w:oddVBand="0" w:evenVBand="0" w:oddHBand="0" w:evenHBand="0" w:firstRowFirstColumn="0" w:firstRowLastColumn="0" w:lastRowFirstColumn="0" w:lastRowLastColumn="0"/>
            <w:tcW w:w="2760" w:type="dxa"/>
            <w:hideMark/>
          </w:tcPr>
          <w:p w14:paraId="048B07BB" w14:textId="77777777" w:rsidR="007417AE" w:rsidRPr="00CD2ADD" w:rsidRDefault="007417AE" w:rsidP="007417AE">
            <w:pPr>
              <w:rPr>
                <w:sz w:val="21"/>
                <w:szCs w:val="21"/>
              </w:rPr>
            </w:pPr>
            <w:r w:rsidRPr="00CD2ADD">
              <w:rPr>
                <w:color w:val="000000"/>
                <w:sz w:val="21"/>
                <w:szCs w:val="21"/>
              </w:rPr>
              <w:t>Reducerea precipitațiilor și creșterea temperaturilor</w:t>
            </w:r>
          </w:p>
        </w:tc>
        <w:tc>
          <w:tcPr>
            <w:tcW w:w="3189" w:type="dxa"/>
            <w:hideMark/>
          </w:tcPr>
          <w:p w14:paraId="64B447A1" w14:textId="77777777" w:rsidR="007417AE" w:rsidRPr="00CD2ADD" w:rsidRDefault="007417AE" w:rsidP="007417AE">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Sisteme de irigații vechi, insuficiente sau inaccesibile</w:t>
            </w:r>
          </w:p>
        </w:tc>
        <w:tc>
          <w:tcPr>
            <w:tcW w:w="3827" w:type="dxa"/>
            <w:hideMark/>
          </w:tcPr>
          <w:p w14:paraId="732CDC41" w14:textId="77777777" w:rsidR="007417AE" w:rsidRPr="00CD2ADD" w:rsidRDefault="007417AE" w:rsidP="007417AE">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Modernizarea și extinderea sistemelor de irigații, inclusiv micro-irigații</w:t>
            </w:r>
          </w:p>
        </w:tc>
      </w:tr>
      <w:tr w:rsidR="007417AE" w:rsidRPr="00CD2ADD" w14:paraId="5C120CE2" w14:textId="77777777" w:rsidTr="00594F08">
        <w:trPr>
          <w:trHeight w:val="165"/>
        </w:trPr>
        <w:tc>
          <w:tcPr>
            <w:cnfStyle w:val="001000000000" w:firstRow="0" w:lastRow="0" w:firstColumn="1" w:lastColumn="0" w:oddVBand="0" w:evenVBand="0" w:oddHBand="0" w:evenHBand="0" w:firstRowFirstColumn="0" w:firstRowLastColumn="0" w:lastRowFirstColumn="0" w:lastRowLastColumn="0"/>
            <w:tcW w:w="2760" w:type="dxa"/>
            <w:hideMark/>
          </w:tcPr>
          <w:p w14:paraId="7F81125E" w14:textId="77777777" w:rsidR="007417AE" w:rsidRPr="00CD2ADD" w:rsidRDefault="007417AE" w:rsidP="007417AE">
            <w:pPr>
              <w:rPr>
                <w:sz w:val="21"/>
                <w:szCs w:val="21"/>
              </w:rPr>
            </w:pPr>
            <w:r w:rsidRPr="00CD2ADD">
              <w:rPr>
                <w:color w:val="000000"/>
                <w:sz w:val="21"/>
                <w:szCs w:val="21"/>
              </w:rPr>
              <w:t>Frecvența crescută a grindinii și fenomenelor extreme</w:t>
            </w:r>
          </w:p>
        </w:tc>
        <w:tc>
          <w:tcPr>
            <w:tcW w:w="3189" w:type="dxa"/>
            <w:hideMark/>
          </w:tcPr>
          <w:p w14:paraId="15AA944A" w14:textId="77777777" w:rsidR="007417AE" w:rsidRPr="00CD2ADD" w:rsidRDefault="007417AE" w:rsidP="007417AE">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Prevalența monoculturilor sensibile la secetă</w:t>
            </w:r>
          </w:p>
        </w:tc>
        <w:tc>
          <w:tcPr>
            <w:tcW w:w="3827" w:type="dxa"/>
            <w:hideMark/>
          </w:tcPr>
          <w:p w14:paraId="4C07A357" w14:textId="77777777" w:rsidR="007417AE" w:rsidRPr="00CD2ADD" w:rsidRDefault="007417AE" w:rsidP="007417AE">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Diversificarea culturilor și utilizarea hibrizilor rezistenți la secetă</w:t>
            </w:r>
          </w:p>
        </w:tc>
      </w:tr>
      <w:tr w:rsidR="007417AE" w:rsidRPr="00CD2ADD" w14:paraId="1B477E0F" w14:textId="77777777" w:rsidTr="00594F08">
        <w:trPr>
          <w:trHeight w:val="165"/>
        </w:trPr>
        <w:tc>
          <w:tcPr>
            <w:cnfStyle w:val="001000000000" w:firstRow="0" w:lastRow="0" w:firstColumn="1" w:lastColumn="0" w:oddVBand="0" w:evenVBand="0" w:oddHBand="0" w:evenHBand="0" w:firstRowFirstColumn="0" w:firstRowLastColumn="0" w:lastRowFirstColumn="0" w:lastRowLastColumn="0"/>
            <w:tcW w:w="2760" w:type="dxa"/>
            <w:hideMark/>
          </w:tcPr>
          <w:p w14:paraId="3B85107F" w14:textId="77777777" w:rsidR="007417AE" w:rsidRPr="00CD2ADD" w:rsidRDefault="007417AE" w:rsidP="007417AE">
            <w:pPr>
              <w:rPr>
                <w:sz w:val="21"/>
                <w:szCs w:val="21"/>
              </w:rPr>
            </w:pPr>
            <w:r w:rsidRPr="00CD2ADD">
              <w:rPr>
                <w:color w:val="000000"/>
                <w:sz w:val="21"/>
                <w:szCs w:val="21"/>
              </w:rPr>
              <w:t>Uscarea solului și pierderea fertilității</w:t>
            </w:r>
          </w:p>
        </w:tc>
        <w:tc>
          <w:tcPr>
            <w:tcW w:w="3189" w:type="dxa"/>
            <w:hideMark/>
          </w:tcPr>
          <w:p w14:paraId="7AD69C2B" w14:textId="77777777" w:rsidR="007417AE" w:rsidRPr="00CD2ADD" w:rsidRDefault="007417AE" w:rsidP="007417AE">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Soluri degradate și lipsa practicilor de protecție a solului</w:t>
            </w:r>
          </w:p>
        </w:tc>
        <w:tc>
          <w:tcPr>
            <w:tcW w:w="3827" w:type="dxa"/>
            <w:hideMark/>
          </w:tcPr>
          <w:p w14:paraId="16321B21" w14:textId="77777777" w:rsidR="007417AE" w:rsidRPr="00CD2ADD" w:rsidRDefault="007417AE" w:rsidP="007417AE">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Promovarea agriculturii regenerative și conservativă</w:t>
            </w:r>
            <w:r w:rsidRPr="00CD2ADD">
              <w:rPr>
                <w:rStyle w:val="FootnoteReference"/>
                <w:color w:val="000000"/>
                <w:sz w:val="21"/>
                <w:szCs w:val="21"/>
              </w:rPr>
              <w:footnoteReference w:id="17"/>
            </w:r>
            <w:r w:rsidRPr="00CD2ADD">
              <w:rPr>
                <w:color w:val="000000"/>
                <w:sz w:val="21"/>
                <w:szCs w:val="21"/>
              </w:rPr>
              <w:t xml:space="preserve"> (rotația culturilor, mulcire)</w:t>
            </w:r>
          </w:p>
        </w:tc>
      </w:tr>
      <w:tr w:rsidR="007417AE" w:rsidRPr="00CD2ADD" w14:paraId="6851F414" w14:textId="77777777" w:rsidTr="00594F08">
        <w:trPr>
          <w:trHeight w:val="165"/>
        </w:trPr>
        <w:tc>
          <w:tcPr>
            <w:cnfStyle w:val="001000000000" w:firstRow="0" w:lastRow="0" w:firstColumn="1" w:lastColumn="0" w:oddVBand="0" w:evenVBand="0" w:oddHBand="0" w:evenHBand="0" w:firstRowFirstColumn="0" w:firstRowLastColumn="0" w:lastRowFirstColumn="0" w:lastRowLastColumn="0"/>
            <w:tcW w:w="2760" w:type="dxa"/>
            <w:hideMark/>
          </w:tcPr>
          <w:p w14:paraId="20BBBA5A" w14:textId="77777777" w:rsidR="007417AE" w:rsidRPr="00CD2ADD" w:rsidRDefault="007417AE" w:rsidP="007417AE">
            <w:pPr>
              <w:rPr>
                <w:sz w:val="21"/>
                <w:szCs w:val="21"/>
              </w:rPr>
            </w:pPr>
            <w:r w:rsidRPr="00CD2ADD">
              <w:rPr>
                <w:color w:val="000000"/>
                <w:sz w:val="21"/>
                <w:szCs w:val="21"/>
              </w:rPr>
              <w:t>Schimbări bruște de temperatură și stres hidric prelungit</w:t>
            </w:r>
          </w:p>
        </w:tc>
        <w:tc>
          <w:tcPr>
            <w:tcW w:w="3189" w:type="dxa"/>
            <w:hideMark/>
          </w:tcPr>
          <w:p w14:paraId="5CE8CB50" w14:textId="77777777" w:rsidR="007417AE" w:rsidRPr="00CD2ADD" w:rsidRDefault="007417AE" w:rsidP="007417AE">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Fermieri mici cu acces limitat la asigurări și sprijin financiar</w:t>
            </w:r>
          </w:p>
        </w:tc>
        <w:tc>
          <w:tcPr>
            <w:tcW w:w="3827" w:type="dxa"/>
            <w:hideMark/>
          </w:tcPr>
          <w:p w14:paraId="69CC93E0" w14:textId="77777777" w:rsidR="007417AE" w:rsidRPr="00CD2ADD" w:rsidRDefault="007417AE" w:rsidP="007417AE">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Crearea de mecanisme de asigurare agricolă climatică și sprijin pentru gospodării vulnerabile</w:t>
            </w:r>
          </w:p>
        </w:tc>
      </w:tr>
    </w:tbl>
    <w:p w14:paraId="1B1D8F8E" w14:textId="77777777" w:rsidR="005119B5" w:rsidRPr="00CD2ADD" w:rsidRDefault="005119B5" w:rsidP="007417AE">
      <w:pPr>
        <w:pStyle w:val="ListParagraph"/>
        <w:spacing w:after="0"/>
        <w:ind w:left="360" w:firstLine="0"/>
        <w:jc w:val="both"/>
        <w:rPr>
          <w:rFonts w:ascii="Times New Roman" w:hAnsi="Times New Roman" w:cs="Times New Roman"/>
          <w:b/>
          <w:bCs/>
          <w:i/>
          <w:iCs/>
          <w:color w:val="000000" w:themeColor="text1"/>
          <w:sz w:val="24"/>
          <w:szCs w:val="24"/>
        </w:rPr>
      </w:pPr>
    </w:p>
    <w:p w14:paraId="49A5B630" w14:textId="3290A6A4" w:rsidR="005119B5" w:rsidRPr="00CD2ADD" w:rsidRDefault="005119B5" w:rsidP="00B66B8C">
      <w:pPr>
        <w:pStyle w:val="Subtitle"/>
        <w:spacing w:after="0" w:line="240" w:lineRule="auto"/>
        <w:ind w:firstLine="360"/>
        <w:jc w:val="center"/>
        <w:rPr>
          <w:rFonts w:ascii="Times New Roman" w:hAnsi="Times New Roman" w:cs="Times New Roman"/>
          <w:b/>
          <w:bCs/>
          <w:color w:val="156082" w:themeColor="accent1"/>
          <w:sz w:val="24"/>
        </w:rPr>
      </w:pPr>
      <w:r w:rsidRPr="00CD2ADD">
        <w:rPr>
          <w:rStyle w:val="IntenseEmphasis"/>
          <w:rFonts w:ascii="Times New Roman" w:hAnsi="Times New Roman" w:cs="Times New Roman"/>
          <w:i w:val="0"/>
          <w:iCs/>
          <w:color w:val="000000" w:themeColor="text1"/>
          <w:sz w:val="24"/>
        </w:rPr>
        <w:t>Impactul secetei asupra sectorului forestier</w:t>
      </w:r>
    </w:p>
    <w:p w14:paraId="1317EEE3" w14:textId="0CE71CF0" w:rsidR="00B14999" w:rsidRPr="00FD2DEC" w:rsidRDefault="00D36A01" w:rsidP="00FD2DEC">
      <w:pPr>
        <w:pStyle w:val="ListParagraph"/>
        <w:numPr>
          <w:ilvl w:val="0"/>
          <w:numId w:val="42"/>
        </w:numPr>
        <w:spacing w:after="0"/>
        <w:ind w:left="0" w:firstLine="360"/>
        <w:jc w:val="both"/>
        <w:rPr>
          <w:rFonts w:ascii="Times New Roman" w:hAnsi="Times New Roman" w:cs="Times New Roman"/>
          <w:b/>
          <w:bCs/>
          <w:i/>
          <w:iCs/>
          <w:color w:val="000000" w:themeColor="text1"/>
          <w:sz w:val="24"/>
          <w:szCs w:val="24"/>
        </w:rPr>
      </w:pPr>
      <w:bookmarkStart w:id="45" w:name="OLE_LINK12"/>
      <w:bookmarkStart w:id="46" w:name="OLE_LINK31"/>
      <w:bookmarkEnd w:id="39"/>
      <w:bookmarkEnd w:id="40"/>
      <w:bookmarkEnd w:id="41"/>
      <w:r w:rsidRPr="00FD2DEC">
        <w:rPr>
          <w:rFonts w:ascii="Times New Roman" w:hAnsi="Times New Roman" w:cs="Times New Roman"/>
          <w:color w:val="000000" w:themeColor="text1"/>
          <w:sz w:val="24"/>
          <w:szCs w:val="24"/>
        </w:rPr>
        <w:t xml:space="preserve">Rezultatele acestui subcapitol sunt preluate si actualizate in măsura datelor disponibile din Raportul </w:t>
      </w:r>
      <w:r w:rsidR="00AC17BF" w:rsidRPr="00FD2DEC">
        <w:rPr>
          <w:rFonts w:ascii="Times New Roman" w:hAnsi="Times New Roman" w:cs="Times New Roman"/>
          <w:color w:val="000000" w:themeColor="text1"/>
          <w:sz w:val="24"/>
          <w:szCs w:val="24"/>
        </w:rPr>
        <w:t>i</w:t>
      </w:r>
      <w:r w:rsidRPr="00FD2DEC">
        <w:rPr>
          <w:rFonts w:ascii="Times New Roman" w:hAnsi="Times New Roman" w:cs="Times New Roman"/>
          <w:color w:val="000000" w:themeColor="text1"/>
          <w:sz w:val="24"/>
          <w:szCs w:val="24"/>
        </w:rPr>
        <w:t>ntegrat privind evaluarea nevoilor în tehnologii de adaptare la schimbările climatice pe sectorul forestier din Republica Moldova. Acest Raport a fost elaborat in cadrul proiectului PNA -</w:t>
      </w:r>
      <w:r w:rsidR="005664E2" w:rsidRPr="00FD2DEC">
        <w:rPr>
          <w:rFonts w:ascii="Times New Roman" w:hAnsi="Times New Roman" w:cs="Times New Roman"/>
          <w:color w:val="000000" w:themeColor="text1"/>
          <w:sz w:val="24"/>
          <w:szCs w:val="24"/>
        </w:rPr>
        <w:t xml:space="preserve"> </w:t>
      </w:r>
      <w:r w:rsidRPr="00FD2DEC">
        <w:rPr>
          <w:rFonts w:ascii="Times New Roman" w:hAnsi="Times New Roman" w:cs="Times New Roman"/>
          <w:color w:val="000000" w:themeColor="text1"/>
          <w:sz w:val="24"/>
          <w:szCs w:val="24"/>
        </w:rPr>
        <w:t xml:space="preserve">2 si este rezultatul unei analize comprehensive, amănunțite realizate de experți forestieri. </w:t>
      </w:r>
    </w:p>
    <w:p w14:paraId="740270FC" w14:textId="77777777" w:rsidR="008F1AC1" w:rsidRPr="00CD2ADD" w:rsidRDefault="00B14999">
      <w:pPr>
        <w:pStyle w:val="ListParagraph"/>
        <w:numPr>
          <w:ilvl w:val="0"/>
          <w:numId w:val="42"/>
        </w:numPr>
        <w:spacing w:after="0"/>
        <w:ind w:left="0" w:firstLine="360"/>
        <w:jc w:val="both"/>
        <w:rPr>
          <w:rFonts w:ascii="Times New Roman" w:hAnsi="Times New Roman" w:cs="Times New Roman"/>
          <w:b/>
          <w:bCs/>
          <w:i/>
          <w:iCs/>
          <w:color w:val="auto"/>
          <w:sz w:val="24"/>
          <w:szCs w:val="24"/>
        </w:rPr>
      </w:pPr>
      <w:r w:rsidRPr="00CD2ADD">
        <w:rPr>
          <w:rFonts w:ascii="Times New Roman" w:hAnsi="Times New Roman" w:cs="Times New Roman"/>
          <w:b/>
          <w:bCs/>
          <w:i/>
          <w:iCs/>
          <w:color w:val="000000" w:themeColor="text1"/>
          <w:sz w:val="24"/>
          <w:szCs w:val="24"/>
        </w:rPr>
        <w:t xml:space="preserve"> </w:t>
      </w:r>
      <w:r w:rsidR="00D36A01" w:rsidRPr="00CD2ADD">
        <w:rPr>
          <w:rFonts w:ascii="Times New Roman" w:hAnsi="Times New Roman" w:cs="Times New Roman"/>
          <w:color w:val="auto"/>
          <w:sz w:val="24"/>
          <w:szCs w:val="24"/>
        </w:rPr>
        <w:t>Pădurile din Republica Moldova joacă un rol strategic în reducerea riscurilor climatice, având funcții climatice, hidrologice, antierozional</w:t>
      </w:r>
      <w:r w:rsidR="009845FA" w:rsidRPr="00CD2ADD">
        <w:rPr>
          <w:rFonts w:ascii="Times New Roman" w:hAnsi="Times New Roman" w:cs="Times New Roman"/>
          <w:color w:val="auto"/>
          <w:sz w:val="24"/>
          <w:szCs w:val="24"/>
        </w:rPr>
        <w:t>e</w:t>
      </w:r>
      <w:r w:rsidR="00D36A01" w:rsidRPr="00CD2ADD">
        <w:rPr>
          <w:rFonts w:ascii="Times New Roman" w:hAnsi="Times New Roman" w:cs="Times New Roman"/>
          <w:color w:val="auto"/>
          <w:sz w:val="24"/>
          <w:szCs w:val="24"/>
        </w:rPr>
        <w:t xml:space="preserve"> și socio-economice esențiale. Cu toate acestea, suprafața împădurită este redusă (11,2%), fragmentată și vulnerabilă, iar rata de regenerare naturală este insuficientă. Compoziția pădurilor este dominată de specii foioase tari, cu salcâmul (33%) și cvercineele (29%) predominante – specii expuse în mod diferit riscurilor climatice. Comparativ cu alte țări din regiune, resursele forestiere ale Moldovei sunt extrem de reduse: doar 0,095 ha/locuitor și 0,16 m³/an de lemn recoltat per capita. </w:t>
      </w:r>
    </w:p>
    <w:p w14:paraId="247E70C0" w14:textId="308EDEB4" w:rsidR="003D70E2" w:rsidRPr="00CD2ADD" w:rsidRDefault="003D70E2" w:rsidP="008F1AC1">
      <w:pPr>
        <w:ind w:firstLine="360"/>
        <w:jc w:val="both"/>
        <w:rPr>
          <w:b/>
          <w:bCs/>
          <w:i/>
          <w:iCs/>
        </w:rPr>
      </w:pPr>
      <w:r w:rsidRPr="00CD2ADD">
        <w:rPr>
          <w:szCs w:val="28"/>
        </w:rPr>
        <w:t xml:space="preserve">Pădurile joacă un rol central în prevenirea și reducerea riscurilor naturale, printr-o gamă largă de funcții de protecție, de reglare climatică și hidrologică. Funcția climatică se manifestă prin atenuarea temperaturilor excesive cu efect direct asupra microclimatului local. Funcția hidrologică este esențială în diminuarea scurgerii la suprafață și infiltrarea precipitațiilor în sol, contribuind astfel la reducerea riscului de inundații și la refacerea rezervei de apă subterană. Totodată, pădurile exercită o funcție antierozională importantă, protejând structura solului împotriva impactului picăturilor de ploaie și a scurgerii torențiale, prin intermediul coronamentului, litierii și sistemului radicular dens. </w:t>
      </w:r>
    </w:p>
    <w:p w14:paraId="371475A4" w14:textId="77777777" w:rsidR="00AB18CF" w:rsidRDefault="00AB18CF" w:rsidP="008F1AC1">
      <w:pPr>
        <w:pStyle w:val="ListParagraph"/>
        <w:ind w:left="644" w:firstLine="0"/>
        <w:jc w:val="center"/>
        <w:rPr>
          <w:rFonts w:ascii="Times New Roman" w:hAnsi="Times New Roman" w:cs="Times New Roman"/>
          <w:b/>
          <w:bCs/>
          <w:color w:val="000000" w:themeColor="text1"/>
          <w:sz w:val="24"/>
          <w:szCs w:val="24"/>
        </w:rPr>
      </w:pPr>
    </w:p>
    <w:p w14:paraId="27BC4E6B" w14:textId="77777777" w:rsidR="00AB18CF" w:rsidRDefault="00AB18CF" w:rsidP="008F1AC1">
      <w:pPr>
        <w:pStyle w:val="ListParagraph"/>
        <w:ind w:left="644" w:firstLine="0"/>
        <w:jc w:val="center"/>
        <w:rPr>
          <w:rFonts w:ascii="Times New Roman" w:hAnsi="Times New Roman" w:cs="Times New Roman"/>
          <w:b/>
          <w:bCs/>
          <w:color w:val="000000" w:themeColor="text1"/>
          <w:sz w:val="24"/>
          <w:szCs w:val="24"/>
        </w:rPr>
      </w:pPr>
    </w:p>
    <w:p w14:paraId="277F1CDA" w14:textId="77777777" w:rsidR="00AB18CF" w:rsidRDefault="00AB18CF" w:rsidP="008F1AC1">
      <w:pPr>
        <w:pStyle w:val="ListParagraph"/>
        <w:ind w:left="644" w:firstLine="0"/>
        <w:jc w:val="center"/>
        <w:rPr>
          <w:rFonts w:ascii="Times New Roman" w:hAnsi="Times New Roman" w:cs="Times New Roman"/>
          <w:b/>
          <w:bCs/>
          <w:color w:val="000000" w:themeColor="text1"/>
          <w:sz w:val="24"/>
          <w:szCs w:val="24"/>
        </w:rPr>
      </w:pPr>
    </w:p>
    <w:p w14:paraId="79E2C28B" w14:textId="77777777" w:rsidR="00AB18CF" w:rsidRDefault="00AB18CF" w:rsidP="008F1AC1">
      <w:pPr>
        <w:pStyle w:val="ListParagraph"/>
        <w:ind w:left="644" w:firstLine="0"/>
        <w:jc w:val="center"/>
        <w:rPr>
          <w:rFonts w:ascii="Times New Roman" w:hAnsi="Times New Roman" w:cs="Times New Roman"/>
          <w:b/>
          <w:bCs/>
          <w:color w:val="000000" w:themeColor="text1"/>
          <w:sz w:val="24"/>
          <w:szCs w:val="24"/>
        </w:rPr>
      </w:pPr>
    </w:p>
    <w:p w14:paraId="55030839" w14:textId="77777777" w:rsidR="00AB18CF" w:rsidRDefault="00AB18CF" w:rsidP="008F1AC1">
      <w:pPr>
        <w:pStyle w:val="ListParagraph"/>
        <w:ind w:left="644" w:firstLine="0"/>
        <w:jc w:val="center"/>
        <w:rPr>
          <w:rFonts w:ascii="Times New Roman" w:hAnsi="Times New Roman" w:cs="Times New Roman"/>
          <w:b/>
          <w:bCs/>
          <w:color w:val="000000" w:themeColor="text1"/>
          <w:sz w:val="24"/>
          <w:szCs w:val="24"/>
        </w:rPr>
      </w:pPr>
    </w:p>
    <w:p w14:paraId="50C703E9" w14:textId="0B4E46E9" w:rsidR="008F1AC1" w:rsidRPr="00CD2ADD" w:rsidRDefault="008F1AC1" w:rsidP="008F1AC1">
      <w:pPr>
        <w:pStyle w:val="ListParagraph"/>
        <w:ind w:left="644" w:firstLine="0"/>
        <w:jc w:val="center"/>
        <w:rPr>
          <w:rFonts w:ascii="Times New Roman" w:hAnsi="Times New Roman" w:cs="Times New Roman"/>
          <w:color w:val="000000" w:themeColor="text1"/>
          <w:sz w:val="24"/>
          <w:szCs w:val="24"/>
        </w:rPr>
      </w:pPr>
      <w:r w:rsidRPr="00CD2ADD">
        <w:rPr>
          <w:rFonts w:ascii="Times New Roman" w:hAnsi="Times New Roman" w:cs="Times New Roman"/>
          <w:b/>
          <w:bCs/>
          <w:color w:val="000000" w:themeColor="text1"/>
          <w:sz w:val="24"/>
          <w:szCs w:val="24"/>
        </w:rPr>
        <w:t>Figura 16.</w:t>
      </w:r>
      <w:r w:rsidRPr="00CD2ADD">
        <w:rPr>
          <w:rFonts w:ascii="Times New Roman" w:hAnsi="Times New Roman" w:cs="Times New Roman"/>
          <w:color w:val="000000" w:themeColor="text1"/>
          <w:sz w:val="24"/>
          <w:szCs w:val="24"/>
        </w:rPr>
        <w:t xml:space="preserve"> Evoluția suprafețelor acoperite cu păduri</w:t>
      </w:r>
    </w:p>
    <w:p w14:paraId="6F47F65E" w14:textId="17166255" w:rsidR="008F1AC1" w:rsidRPr="00CD2ADD" w:rsidRDefault="008F1AC1" w:rsidP="008F1AC1">
      <w:pPr>
        <w:pStyle w:val="ListParagraph"/>
        <w:ind w:left="644" w:firstLine="0"/>
        <w:jc w:val="center"/>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lastRenderedPageBreak/>
        <w:t>în Republica Moldova în perioada 1848-2022</w:t>
      </w:r>
    </w:p>
    <w:p w14:paraId="4DF43D99" w14:textId="7D1DF75D" w:rsidR="008F1AC1" w:rsidRPr="00CD2ADD" w:rsidRDefault="008F1AC1" w:rsidP="008F1AC1">
      <w:pPr>
        <w:jc w:val="center"/>
        <w:rPr>
          <w:b/>
          <w:bCs/>
          <w:i/>
          <w:iCs/>
          <w:color w:val="000000" w:themeColor="text1"/>
        </w:rPr>
      </w:pPr>
      <w:r w:rsidRPr="00CD2ADD">
        <w:rPr>
          <w:noProof/>
        </w:rPr>
        <w:drawing>
          <wp:inline distT="0" distB="0" distL="0" distR="0" wp14:anchorId="01A7B448" wp14:editId="73C5F2B0">
            <wp:extent cx="6105525" cy="2095500"/>
            <wp:effectExtent l="0" t="0" r="9525" b="0"/>
            <wp:docPr id="2076461467" name="Chart 1">
              <a:extLst xmlns:a="http://schemas.openxmlformats.org/drawingml/2006/main">
                <a:ext uri="{FF2B5EF4-FFF2-40B4-BE49-F238E27FC236}">
                  <a16:creationId xmlns:a16="http://schemas.microsoft.com/office/drawing/2014/main" id="{6C0C7874-DF27-F800-8914-951977AFA9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8E37A6D" w14:textId="057A554A" w:rsidR="008F1AC1" w:rsidRPr="00CD2ADD" w:rsidRDefault="008F1AC1" w:rsidP="008F1AC1">
      <w:pPr>
        <w:jc w:val="center"/>
        <w:rPr>
          <w:i/>
          <w:iCs/>
          <w:sz w:val="22"/>
          <w:szCs w:val="22"/>
        </w:rPr>
      </w:pPr>
      <w:r w:rsidRPr="00CD2ADD">
        <w:rPr>
          <w:i/>
          <w:iCs/>
          <w:sz w:val="22"/>
          <w:szCs w:val="22"/>
        </w:rPr>
        <w:t>Sursa: Adaptare după „Raport Integrat privind evaluarea nevoilor în tehnologii de adaptare la schimbările climatice pe sectorul forestier din Republica Moldova”</w:t>
      </w:r>
    </w:p>
    <w:p w14:paraId="3BD00329" w14:textId="77777777" w:rsidR="008F1AC1" w:rsidRPr="00CD2ADD" w:rsidRDefault="003D70E2" w:rsidP="008F1AC1">
      <w:pPr>
        <w:ind w:firstLine="357"/>
        <w:jc w:val="both"/>
        <w:rPr>
          <w:color w:val="000000" w:themeColor="text1"/>
        </w:rPr>
      </w:pPr>
      <w:r w:rsidRPr="00CD2ADD">
        <w:rPr>
          <w:color w:val="000000" w:themeColor="text1"/>
        </w:rPr>
        <w:t xml:space="preserve">Prin capacitatea lor de consolidare a malurilor și versanților, arborii maturi contribuie la stabilizarea terenurilor susceptibile la alunecări sau colaps structural, fiind recunoscuți drept o infrastructură naturală strategică în scenarii de adaptare climatică. Pădurile produc oxigen și absorb bioxid de carbon, aducând un serviciu esențial în atenuarea schimbărilor climatice. În același timp pădurile contribuie la formarea humusului și la menținerea fertilității solurilor, inclusiv în zonele post-degradare. </w:t>
      </w:r>
    </w:p>
    <w:p w14:paraId="2380280C" w14:textId="614F572B" w:rsidR="00D36A01" w:rsidRPr="00CD2ADD" w:rsidRDefault="00D36A01" w:rsidP="008F1AC1">
      <w:pPr>
        <w:ind w:firstLine="357"/>
        <w:jc w:val="both"/>
        <w:rPr>
          <w:b/>
          <w:bCs/>
          <w:i/>
          <w:iCs/>
        </w:rPr>
      </w:pPr>
      <w:r w:rsidRPr="00CD2ADD">
        <w:t>Nu în ultimul rând, funcția socio-economică a pădurilor precum furnizarea de materii prime lemnoase și nelemnoase, inclusiv lemn de foc, este vitală pentru securitatea energetică locală, mai ales în contextul vulnerabilităților sociale si a crizei sectorului energetic din Moldova in ultimii ani. Din perspectivă umană, pădurile oferă funcții antifonice (prin atenuarea zgomotului ambiental), recreative și estetice, contribuind astfel indirect la reziliența comunităților. Astfel, pădurile trebuie considerate un element cheie al infrastructurii verzi pentru creșterea rezilienței și parte integrantă a strategiilor naționale de reducere a riscurilor de dezastru.</w:t>
      </w:r>
    </w:p>
    <w:p w14:paraId="2CD4055A" w14:textId="52BE5D6B" w:rsidR="008F1AC1" w:rsidRPr="00CD2ADD" w:rsidRDefault="008F1AC1" w:rsidP="008F1AC1">
      <w:pPr>
        <w:pStyle w:val="ListParagraph"/>
        <w:spacing w:after="0"/>
        <w:ind w:left="360" w:firstLine="0"/>
        <w:jc w:val="both"/>
        <w:rPr>
          <w:rFonts w:ascii="Times New Roman" w:hAnsi="Times New Roman" w:cs="Times New Roman"/>
          <w:b/>
          <w:bCs/>
          <w:i/>
          <w:iCs/>
          <w:color w:val="auto"/>
          <w:sz w:val="24"/>
          <w:szCs w:val="24"/>
        </w:rPr>
      </w:pPr>
      <w:r w:rsidRPr="00CD2ADD">
        <w:rPr>
          <w:rStyle w:val="IntenseEmphasis"/>
          <w:rFonts w:ascii="Times New Roman" w:hAnsi="Times New Roman" w:cs="Times New Roman"/>
          <w:color w:val="000000" w:themeColor="text1"/>
          <w:sz w:val="24"/>
        </w:rPr>
        <w:t>Impactul ecologic și socio-economic al secetei asupra pădurilor</w:t>
      </w:r>
    </w:p>
    <w:p w14:paraId="6CB73FCC" w14:textId="5EA64F3A" w:rsidR="00D36A01" w:rsidRPr="00CD2ADD" w:rsidRDefault="00D36A01">
      <w:pPr>
        <w:pStyle w:val="ListParagraph"/>
        <w:numPr>
          <w:ilvl w:val="0"/>
          <w:numId w:val="42"/>
        </w:numPr>
        <w:spacing w:after="0"/>
        <w:ind w:left="0" w:firstLine="360"/>
        <w:jc w:val="both"/>
        <w:rPr>
          <w:rFonts w:ascii="Times New Roman" w:hAnsi="Times New Roman" w:cs="Times New Roman"/>
          <w:b/>
          <w:bCs/>
          <w:i/>
          <w:iCs/>
          <w:color w:val="auto"/>
          <w:sz w:val="24"/>
          <w:szCs w:val="24"/>
        </w:rPr>
      </w:pPr>
      <w:bookmarkStart w:id="47" w:name="_Toc195539562"/>
      <w:bookmarkStart w:id="48" w:name="OLE_LINK13"/>
      <w:r w:rsidRPr="00CD2ADD">
        <w:rPr>
          <w:rFonts w:ascii="Times New Roman" w:eastAsia="Times New Roman" w:hAnsi="Times New Roman" w:cs="Times New Roman"/>
          <w:color w:val="auto"/>
          <w:sz w:val="24"/>
          <w:lang w:eastAsia="en-GB"/>
        </w:rPr>
        <w:t>Seceta prelungită, temperaturile extreme și schimbările de regim pluviometric afectează profund ecosistemele forestiere:</w:t>
      </w:r>
    </w:p>
    <w:p w14:paraId="4D176F8B" w14:textId="2CA0BA19" w:rsidR="00D36A01" w:rsidRPr="00CD2ADD" w:rsidRDefault="006779CE" w:rsidP="006779CE">
      <w:pPr>
        <w:pStyle w:val="Caption"/>
        <w:spacing w:after="0"/>
        <w:ind w:left="426" w:hanging="142"/>
        <w:jc w:val="both"/>
        <w:rPr>
          <w:rFonts w:ascii="Times New Roman" w:eastAsia="Times New Roman" w:hAnsi="Times New Roman" w:cs="Times New Roman"/>
          <w:bCs w:val="0"/>
          <w:smallCaps w:val="0"/>
          <w:color w:val="auto"/>
          <w:spacing w:val="0"/>
          <w:sz w:val="24"/>
          <w:szCs w:val="24"/>
          <w:lang w:eastAsia="en-GB"/>
        </w:rPr>
      </w:pPr>
      <w:r w:rsidRPr="00CD2ADD">
        <w:rPr>
          <w:rFonts w:ascii="Times New Roman" w:eastAsia="Times New Roman" w:hAnsi="Times New Roman" w:cs="Times New Roman"/>
          <w:bCs w:val="0"/>
          <w:smallCaps w:val="0"/>
          <w:color w:val="auto"/>
          <w:spacing w:val="0"/>
          <w:sz w:val="24"/>
          <w:szCs w:val="24"/>
          <w:lang w:eastAsia="en-GB"/>
        </w:rPr>
        <w:t xml:space="preserve">1) </w:t>
      </w:r>
      <w:r w:rsidR="00D36A01" w:rsidRPr="00CD2ADD">
        <w:rPr>
          <w:rFonts w:ascii="Times New Roman" w:eastAsia="Times New Roman" w:hAnsi="Times New Roman" w:cs="Times New Roman"/>
          <w:bCs w:val="0"/>
          <w:smallCaps w:val="0"/>
          <w:color w:val="auto"/>
          <w:spacing w:val="0"/>
          <w:sz w:val="24"/>
          <w:szCs w:val="24"/>
          <w:lang w:eastAsia="en-GB"/>
        </w:rPr>
        <w:t>Slăbirea rezistenței biologice a arborilor și accentuarea proceselor de uscare;</w:t>
      </w:r>
    </w:p>
    <w:p w14:paraId="171EF9D8" w14:textId="106F0ED3" w:rsidR="00D36A01" w:rsidRPr="00CD2ADD" w:rsidRDefault="006779CE" w:rsidP="006779CE">
      <w:pPr>
        <w:pStyle w:val="Caption"/>
        <w:spacing w:after="0"/>
        <w:ind w:left="426" w:hanging="142"/>
        <w:jc w:val="both"/>
        <w:rPr>
          <w:rFonts w:ascii="Times New Roman" w:eastAsia="Times New Roman" w:hAnsi="Times New Roman" w:cs="Times New Roman"/>
          <w:bCs w:val="0"/>
          <w:smallCaps w:val="0"/>
          <w:color w:val="auto"/>
          <w:spacing w:val="0"/>
          <w:sz w:val="24"/>
          <w:szCs w:val="24"/>
          <w:lang w:eastAsia="en-GB"/>
        </w:rPr>
      </w:pPr>
      <w:r w:rsidRPr="00CD2ADD">
        <w:rPr>
          <w:rFonts w:ascii="Times New Roman" w:eastAsia="Times New Roman" w:hAnsi="Times New Roman" w:cs="Times New Roman"/>
          <w:bCs w:val="0"/>
          <w:smallCaps w:val="0"/>
          <w:color w:val="auto"/>
          <w:spacing w:val="0"/>
          <w:sz w:val="24"/>
          <w:szCs w:val="24"/>
          <w:lang w:eastAsia="en-GB"/>
        </w:rPr>
        <w:t xml:space="preserve">2) </w:t>
      </w:r>
      <w:r w:rsidR="00D36A01" w:rsidRPr="00CD2ADD">
        <w:rPr>
          <w:rFonts w:ascii="Times New Roman" w:eastAsia="Times New Roman" w:hAnsi="Times New Roman" w:cs="Times New Roman"/>
          <w:bCs w:val="0"/>
          <w:smallCaps w:val="0"/>
          <w:color w:val="auto"/>
          <w:spacing w:val="0"/>
          <w:sz w:val="24"/>
          <w:szCs w:val="24"/>
          <w:lang w:eastAsia="en-GB"/>
        </w:rPr>
        <w:t>Creșterea incidenței bolilor și dăunătorilor (ex. molia verde a stejarului, omida păroasă);</w:t>
      </w:r>
    </w:p>
    <w:p w14:paraId="1A639ED9" w14:textId="27B9FC07" w:rsidR="00D36A01" w:rsidRPr="00CD2ADD" w:rsidRDefault="006779CE" w:rsidP="006779CE">
      <w:pPr>
        <w:pStyle w:val="Caption"/>
        <w:spacing w:after="0"/>
        <w:ind w:left="426" w:hanging="142"/>
        <w:jc w:val="both"/>
        <w:rPr>
          <w:rFonts w:ascii="Times New Roman" w:eastAsia="Times New Roman" w:hAnsi="Times New Roman" w:cs="Times New Roman"/>
          <w:bCs w:val="0"/>
          <w:smallCaps w:val="0"/>
          <w:color w:val="auto"/>
          <w:spacing w:val="0"/>
          <w:sz w:val="24"/>
          <w:szCs w:val="24"/>
          <w:lang w:eastAsia="en-GB"/>
        </w:rPr>
      </w:pPr>
      <w:r w:rsidRPr="00CD2ADD">
        <w:rPr>
          <w:rFonts w:ascii="Times New Roman" w:eastAsia="Times New Roman" w:hAnsi="Times New Roman" w:cs="Times New Roman"/>
          <w:bCs w:val="0"/>
          <w:smallCaps w:val="0"/>
          <w:color w:val="auto"/>
          <w:spacing w:val="0"/>
          <w:sz w:val="24"/>
          <w:szCs w:val="24"/>
          <w:lang w:eastAsia="en-GB"/>
        </w:rPr>
        <w:t xml:space="preserve">3) </w:t>
      </w:r>
      <w:r w:rsidR="00D36A01" w:rsidRPr="00CD2ADD">
        <w:rPr>
          <w:rFonts w:ascii="Times New Roman" w:eastAsia="Times New Roman" w:hAnsi="Times New Roman" w:cs="Times New Roman"/>
          <w:bCs w:val="0"/>
          <w:smallCaps w:val="0"/>
          <w:color w:val="auto"/>
          <w:spacing w:val="0"/>
          <w:sz w:val="24"/>
          <w:szCs w:val="24"/>
          <w:lang w:eastAsia="en-GB"/>
        </w:rPr>
        <w:t>Risc crescut de incendii forestiere, în special în anii de secetă severă (ex. 2007, 2012);</w:t>
      </w:r>
    </w:p>
    <w:p w14:paraId="7AD1BA54" w14:textId="7DEE50FE" w:rsidR="00D36A01" w:rsidRPr="00CD2ADD" w:rsidRDefault="006779CE" w:rsidP="006779CE">
      <w:pPr>
        <w:pStyle w:val="Caption"/>
        <w:spacing w:after="0"/>
        <w:ind w:left="426" w:hanging="142"/>
        <w:jc w:val="both"/>
        <w:rPr>
          <w:rFonts w:ascii="Times New Roman" w:eastAsia="Times New Roman" w:hAnsi="Times New Roman" w:cs="Times New Roman"/>
          <w:bCs w:val="0"/>
          <w:smallCaps w:val="0"/>
          <w:color w:val="auto"/>
          <w:spacing w:val="0"/>
          <w:sz w:val="24"/>
          <w:szCs w:val="24"/>
          <w:lang w:eastAsia="en-GB"/>
        </w:rPr>
      </w:pPr>
      <w:r w:rsidRPr="00CD2ADD">
        <w:rPr>
          <w:rFonts w:ascii="Times New Roman" w:eastAsia="Times New Roman" w:hAnsi="Times New Roman" w:cs="Times New Roman"/>
          <w:bCs w:val="0"/>
          <w:smallCaps w:val="0"/>
          <w:color w:val="auto"/>
          <w:spacing w:val="0"/>
          <w:sz w:val="24"/>
          <w:szCs w:val="24"/>
          <w:lang w:eastAsia="en-GB"/>
        </w:rPr>
        <w:t xml:space="preserve">4) </w:t>
      </w:r>
      <w:r w:rsidR="00D36A01" w:rsidRPr="00CD2ADD">
        <w:rPr>
          <w:rFonts w:ascii="Times New Roman" w:eastAsia="Times New Roman" w:hAnsi="Times New Roman" w:cs="Times New Roman"/>
          <w:bCs w:val="0"/>
          <w:smallCaps w:val="0"/>
          <w:color w:val="auto"/>
          <w:spacing w:val="0"/>
          <w:sz w:val="24"/>
          <w:szCs w:val="24"/>
          <w:lang w:eastAsia="en-GB"/>
        </w:rPr>
        <w:t>Afectarea capacității de regenerare naturală și reducerea serviciilor ecosistemice.</w:t>
      </w:r>
    </w:p>
    <w:p w14:paraId="1310F8E8" w14:textId="0BFC3863" w:rsidR="00B66B8C" w:rsidRDefault="00D36A01" w:rsidP="008F1AC1">
      <w:pPr>
        <w:pStyle w:val="Caption"/>
        <w:spacing w:after="0"/>
        <w:ind w:firstLine="284"/>
        <w:jc w:val="both"/>
        <w:rPr>
          <w:rFonts w:ascii="Times New Roman" w:eastAsia="Times New Roman" w:hAnsi="Times New Roman" w:cs="Times New Roman"/>
          <w:bCs w:val="0"/>
          <w:smallCaps w:val="0"/>
          <w:color w:val="auto"/>
          <w:spacing w:val="0"/>
          <w:sz w:val="24"/>
          <w:szCs w:val="24"/>
          <w:lang w:eastAsia="en-GB"/>
        </w:rPr>
      </w:pPr>
      <w:r w:rsidRPr="00CD2ADD">
        <w:rPr>
          <w:rFonts w:ascii="Times New Roman" w:eastAsia="Times New Roman" w:hAnsi="Times New Roman" w:cs="Times New Roman"/>
          <w:bCs w:val="0"/>
          <w:smallCaps w:val="0"/>
          <w:color w:val="auto"/>
          <w:spacing w:val="0"/>
          <w:sz w:val="24"/>
          <w:szCs w:val="24"/>
          <w:lang w:eastAsia="en-GB"/>
        </w:rPr>
        <w:t>În ultimii 10 ani, peste 100.000 ha de păduri au fost afectate de uscare sau atacuri fitosanitare. Sistemele de monitorizare și intervenție sunt fragmentare, iar capacitățile tehnice la nivel local rămân limitate.</w:t>
      </w:r>
    </w:p>
    <w:p w14:paraId="14FF71E7" w14:textId="77777777" w:rsidR="00AB18CF" w:rsidRDefault="00AB18CF" w:rsidP="00AB18CF"/>
    <w:p w14:paraId="4D3D679A" w14:textId="77777777" w:rsidR="00AB18CF" w:rsidRDefault="00AB18CF" w:rsidP="00AB18CF"/>
    <w:p w14:paraId="2130B6FA" w14:textId="77777777" w:rsidR="00AB18CF" w:rsidRDefault="00AB18CF" w:rsidP="00AB18CF"/>
    <w:p w14:paraId="3FB9EB4E" w14:textId="77777777" w:rsidR="00AB18CF" w:rsidRPr="00AB18CF" w:rsidRDefault="00AB18CF" w:rsidP="00AB18CF"/>
    <w:p w14:paraId="102464C3" w14:textId="41BCF17A" w:rsidR="006779CE" w:rsidRPr="00CD2ADD" w:rsidRDefault="006779CE" w:rsidP="006779CE">
      <w:pPr>
        <w:jc w:val="center"/>
      </w:pPr>
      <w:r w:rsidRPr="00CD2ADD">
        <w:rPr>
          <w:b/>
          <w:bCs/>
        </w:rPr>
        <w:t>Figura 17</w:t>
      </w:r>
      <w:r w:rsidRPr="00CD2ADD">
        <w:t>. Dinamica proceselor de uscare a pădurilor în Republica Moldova, ha</w:t>
      </w:r>
    </w:p>
    <w:bookmarkEnd w:id="47"/>
    <w:p w14:paraId="008D36FB" w14:textId="77777777" w:rsidR="00D36A01" w:rsidRPr="00CD2ADD" w:rsidRDefault="00D36A01" w:rsidP="006779CE">
      <w:pPr>
        <w:jc w:val="center"/>
        <w:rPr>
          <w:spacing w:val="-2"/>
        </w:rPr>
      </w:pPr>
      <w:r w:rsidRPr="00CD2ADD">
        <w:rPr>
          <w:noProof/>
          <w:color w:val="000000"/>
          <w:shd w:val="clear" w:color="auto" w:fill="9900CC"/>
        </w:rPr>
        <w:lastRenderedPageBreak/>
        <w:drawing>
          <wp:inline distT="0" distB="0" distL="0" distR="0" wp14:anchorId="5D435ECE" wp14:editId="017D3950">
            <wp:extent cx="5772150" cy="18097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54B8749" w14:textId="1BBEDF20" w:rsidR="00AC17BF" w:rsidRPr="00CD2ADD" w:rsidRDefault="00D36A01" w:rsidP="008F1AC1">
      <w:pPr>
        <w:spacing w:before="120" w:after="120"/>
        <w:jc w:val="center"/>
        <w:rPr>
          <w:i/>
          <w:iCs/>
          <w:sz w:val="22"/>
          <w:szCs w:val="22"/>
        </w:rPr>
      </w:pPr>
      <w:r w:rsidRPr="00CD2ADD">
        <w:rPr>
          <w:i/>
          <w:iCs/>
          <w:sz w:val="22"/>
          <w:szCs w:val="22"/>
        </w:rPr>
        <w:t>Sursa: Raport Integrat privind evaluarea nevoilor în tehnologii de adaptare la schimbările climatice pe sectorul forestier din Republica Moldova</w:t>
      </w:r>
    </w:p>
    <w:p w14:paraId="6FC54726" w14:textId="26A18BB4" w:rsidR="00D36A01" w:rsidRPr="00CD2ADD" w:rsidRDefault="00D36A01" w:rsidP="006779CE">
      <w:pPr>
        <w:ind w:firstLine="426"/>
        <w:jc w:val="both"/>
      </w:pPr>
      <w:r w:rsidRPr="00CD2ADD">
        <w:t xml:space="preserve">Un exemplu elocvent al efectului schimbărilor climatice asupra pădurilor </w:t>
      </w:r>
      <w:r w:rsidR="00AC17BF" w:rsidRPr="00CD2ADD">
        <w:t>î</w:t>
      </w:r>
      <w:r w:rsidRPr="00CD2ADD">
        <w:t xml:space="preserve">n </w:t>
      </w:r>
      <w:r w:rsidR="00830430" w:rsidRPr="00CD2ADD">
        <w:t>țară</w:t>
      </w:r>
      <w:r w:rsidRPr="00CD2ADD">
        <w:t xml:space="preserve"> o reprezintă seceta din primăvara-vara anului 2007, care a afectat peste 70% din teritoriul țării. Acest fenomen a prejudiciat considerabil și pădurile pe o suprafață de circa 19 mii ha sau 6,3% din suprafața pădurilor </w:t>
      </w:r>
      <w:r w:rsidR="00AC17BF" w:rsidRPr="00CD2ADD">
        <w:t>administrate</w:t>
      </w:r>
      <w:r w:rsidRPr="00CD2ADD">
        <w:t xml:space="preserve"> de Agenția </w:t>
      </w:r>
      <w:r w:rsidR="00830430" w:rsidRPr="00CD2ADD">
        <w:t>,,</w:t>
      </w:r>
      <w:r w:rsidRPr="00CD2ADD">
        <w:t>Moldsilva</w:t>
      </w:r>
      <w:r w:rsidR="00830430" w:rsidRPr="00CD2ADD">
        <w:t>”</w:t>
      </w:r>
      <w:r w:rsidRPr="00CD2ADD">
        <w:t xml:space="preserve">, în special din sudul și centrul țării. Seceta respectivă a afectat circa 20 de specii forestiere atât autohtone, cât și alogene, printre care: stejarul pedunculat, gorunul, frasinul, paltinul de câmp si de munte, salcâmul, mesteacănul, pinul </w:t>
      </w:r>
      <w:r w:rsidR="00AC419E" w:rsidRPr="00CD2ADD">
        <w:t>ș</w:t>
      </w:r>
      <w:r w:rsidRPr="00CD2ADD">
        <w:t xml:space="preserve">i pin negru de Crimeea. Cele mai afectate au fost salcâmetele, constituind 71,3% (13 mii ha) din suprafața totală a pădurilor afectate de uscare. Seceta din 2007 a avut urmări de lungă durată, consecințele fiind vizibile pe parcursul mai multor ani ulteriori. Astfel, conform datelor de cercetare, suprafața totală a arboretelor degradate și uscate de diferită intensitate a constituit în perioada 2008-2011 peste 33 mii ha sau 11,0% din suprafața pădurilor Agenției </w:t>
      </w:r>
      <w:r w:rsidR="00830430" w:rsidRPr="00CD2ADD">
        <w:t>,,</w:t>
      </w:r>
      <w:r w:rsidRPr="00CD2ADD">
        <w:t>Moldsilva</w:t>
      </w:r>
      <w:r w:rsidR="00830430" w:rsidRPr="00CD2ADD">
        <w:t>”</w:t>
      </w:r>
      <w:r w:rsidRPr="00CD2ADD">
        <w:t xml:space="preserve">. </w:t>
      </w:r>
    </w:p>
    <w:p w14:paraId="7E477330" w14:textId="27AAE8AB" w:rsidR="00D36A01" w:rsidRPr="00CD2ADD" w:rsidRDefault="00D36A01" w:rsidP="006779CE">
      <w:pPr>
        <w:ind w:firstLine="426"/>
        <w:jc w:val="both"/>
      </w:pPr>
      <w:r w:rsidRPr="00CD2ADD">
        <w:t>Aproximativ același efect distrugător asupra pădurilor din R</w:t>
      </w:r>
      <w:r w:rsidR="00AC17BF" w:rsidRPr="00CD2ADD">
        <w:t xml:space="preserve">epublica </w:t>
      </w:r>
      <w:r w:rsidRPr="00CD2ADD">
        <w:t>M</w:t>
      </w:r>
      <w:r w:rsidR="00AC17BF" w:rsidRPr="00CD2ADD">
        <w:t>oldova</w:t>
      </w:r>
      <w:r w:rsidRPr="00CD2ADD">
        <w:t xml:space="preserve"> a avut și seceta din anul 2012. În consecință, în perioada 2012-2015 circa 41 mii ha păduri au fost afectate la diferit grad de uscare, majoritatea fiind atestate în zonele de sud și centru. Procesul de uscare a pădurilor este un fenomen constant în Republica Moldova pe</w:t>
      </w:r>
      <w:r w:rsidR="00465A02" w:rsidRPr="00CD2ADD">
        <w:t xml:space="preserve"> </w:t>
      </w:r>
      <w:r w:rsidRPr="00CD2ADD">
        <w:t>parcursul ultimelor decenii. Conform datelor ICAS pe parcursul ultimului deceniu (inclusiv prognoza pe anul 2021) suprafața pădurilor afectate de uscare a constituit 119,1 mii ha</w:t>
      </w:r>
      <w:r w:rsidRPr="00CD2ADD">
        <w:footnoteReference w:id="18"/>
      </w:r>
      <w:r w:rsidRPr="00CD2ADD">
        <w:t xml:space="preserve"> . </w:t>
      </w:r>
    </w:p>
    <w:p w14:paraId="161AF858" w14:textId="196925DB" w:rsidR="00D36A01" w:rsidRPr="00CD2ADD" w:rsidRDefault="00D36A01" w:rsidP="006779CE">
      <w:pPr>
        <w:ind w:firstLine="426"/>
        <w:jc w:val="both"/>
      </w:pPr>
      <w:r w:rsidRPr="00CD2ADD">
        <w:t xml:space="preserve">Vulnerabilitatea pădurilor din </w:t>
      </w:r>
      <w:r w:rsidR="00830430" w:rsidRPr="00CD2ADD">
        <w:t>țară</w:t>
      </w:r>
      <w:r w:rsidRPr="00CD2ADD">
        <w:t xml:space="preserve"> la schimbările climatice este confirmată </w:t>
      </w:r>
      <w:r w:rsidR="00AC17BF" w:rsidRPr="00CD2ADD">
        <w:t>ș</w:t>
      </w:r>
      <w:r w:rsidRPr="00CD2ADD">
        <w:t xml:space="preserve">i prin starea fitosanitară curentă a ecosistemelor forestiere. Astfel, în rezultatul secetelor care au avut loc în anii 2007, 2011, 2012, 2015, 2019, 2020, 2022 s-a observat o slăbire bruscă a ecosistemelor forestiere, reducerea rezistenței biologice a arborilor la acțiunea factorilor negativi, ceea ce a condus la degradarea arboretelor, intensificarea proceselor de uscare pe suprafețe mari și crearea condițiilor favorabile pentru răspândirea în masă a dăunătorilor fitofagi și xilofagi. Conform datelor statistice, suprafața medie a focarelor de dăunători fitofagi a constituit în perioada 2010-2020 circa 69 mii ha, din care circa 30 mii ha sau 43,5% necesitau măsuri de combatere. Principalii dăunători defoliatori în arboretele gestionate de Agenția </w:t>
      </w:r>
      <w:r w:rsidR="00830430" w:rsidRPr="00CD2ADD">
        <w:t>,,</w:t>
      </w:r>
      <w:r w:rsidRPr="00CD2ADD">
        <w:t>Moldsilva</w:t>
      </w:r>
      <w:r w:rsidR="00830430" w:rsidRPr="00CD2ADD">
        <w:t>”</w:t>
      </w:r>
      <w:r w:rsidRPr="00CD2ADD">
        <w:t xml:space="preserve"> sunt molia verde a stejarului, cotarul verde </w:t>
      </w:r>
      <w:r w:rsidR="00AC17BF" w:rsidRPr="00CD2ADD">
        <w:t>ș</w:t>
      </w:r>
      <w:r w:rsidRPr="00CD2ADD">
        <w:t xml:space="preserve">i cotarul brun, trombarul frunzelor de frasin </w:t>
      </w:r>
      <w:r w:rsidR="00AC17BF" w:rsidRPr="00CD2ADD">
        <w:t>ș</w:t>
      </w:r>
      <w:r w:rsidRPr="00CD2ADD">
        <w:t xml:space="preserve">i omida păroasa a stejarului. </w:t>
      </w:r>
    </w:p>
    <w:p w14:paraId="11E544FA" w14:textId="3FE2FE70" w:rsidR="00465A02" w:rsidRDefault="00D36A01" w:rsidP="006779CE">
      <w:pPr>
        <w:ind w:firstLine="426"/>
        <w:jc w:val="both"/>
      </w:pPr>
      <w:r w:rsidRPr="00CD2ADD">
        <w:t xml:space="preserve">Mai mult, variabilitatea climatică, valorile extreme ale temperaturii și lipsa precipitațiilor pe parcursul unor perioade de secetă favorizează expunerea la incendii a culturilor agricole, depozitelor de furaje, dar </w:t>
      </w:r>
      <w:r w:rsidR="00AC17BF" w:rsidRPr="00CD2ADD">
        <w:t>ș</w:t>
      </w:r>
      <w:r w:rsidRPr="00CD2ADD">
        <w:t>i a  vegetație</w:t>
      </w:r>
      <w:r w:rsidR="00AC17BF" w:rsidRPr="00CD2ADD">
        <w:t>i</w:t>
      </w:r>
      <w:r w:rsidRPr="00CD2ADD">
        <w:t xml:space="preserve"> forestier</w:t>
      </w:r>
      <w:r w:rsidR="00AC17BF" w:rsidRPr="00CD2ADD">
        <w:t>e</w:t>
      </w:r>
      <w:r w:rsidRPr="00CD2ADD">
        <w:t xml:space="preserve">. </w:t>
      </w:r>
    </w:p>
    <w:p w14:paraId="38459145" w14:textId="77777777" w:rsidR="00AB18CF" w:rsidRDefault="00AB18CF" w:rsidP="006779CE">
      <w:pPr>
        <w:ind w:firstLine="426"/>
        <w:jc w:val="both"/>
      </w:pPr>
    </w:p>
    <w:p w14:paraId="1CAD075D" w14:textId="77777777" w:rsidR="00AB18CF" w:rsidRDefault="00AB18CF" w:rsidP="006779CE">
      <w:pPr>
        <w:ind w:firstLine="426"/>
        <w:jc w:val="both"/>
      </w:pPr>
    </w:p>
    <w:p w14:paraId="62D073F3" w14:textId="77777777" w:rsidR="00AB18CF" w:rsidRPr="00CD2ADD" w:rsidRDefault="00AB18CF" w:rsidP="006779CE">
      <w:pPr>
        <w:ind w:firstLine="426"/>
        <w:jc w:val="both"/>
      </w:pPr>
    </w:p>
    <w:p w14:paraId="7F8DD6DB" w14:textId="3462ACBB" w:rsidR="006779CE" w:rsidRPr="00CD2ADD" w:rsidRDefault="006779CE" w:rsidP="00AC419E">
      <w:pPr>
        <w:jc w:val="center"/>
      </w:pPr>
      <w:r w:rsidRPr="00CD2ADD">
        <w:rPr>
          <w:b/>
          <w:bCs/>
        </w:rPr>
        <w:t>Figura 18</w:t>
      </w:r>
      <w:r w:rsidRPr="00CD2ADD">
        <w:t>. Dinamica incendiilor forestiere în Republica Moldova în perioada 2000-2020, ha</w:t>
      </w:r>
    </w:p>
    <w:p w14:paraId="57355FE2" w14:textId="77777777" w:rsidR="00D36A01" w:rsidRPr="00CD2ADD" w:rsidRDefault="00D36A01" w:rsidP="00AC419E">
      <w:pPr>
        <w:spacing w:before="120" w:after="120"/>
        <w:jc w:val="center"/>
        <w:rPr>
          <w:spacing w:val="-2"/>
          <w:sz w:val="22"/>
          <w:szCs w:val="22"/>
        </w:rPr>
      </w:pPr>
      <w:r w:rsidRPr="00CD2ADD">
        <w:rPr>
          <w:noProof/>
          <w:spacing w:val="-2"/>
          <w:sz w:val="22"/>
          <w:szCs w:val="22"/>
        </w:rPr>
        <w:lastRenderedPageBreak/>
        <w:drawing>
          <wp:inline distT="0" distB="0" distL="0" distR="0" wp14:anchorId="13CDD48B" wp14:editId="5A5F9137">
            <wp:extent cx="5930900" cy="2218764"/>
            <wp:effectExtent l="0" t="0" r="12700" b="16510"/>
            <wp:docPr id="1129082347" name="Chart 1129082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BA74AA9" w14:textId="42FC0613" w:rsidR="0019283B" w:rsidRPr="00CD2ADD" w:rsidRDefault="00D36A01" w:rsidP="00AC419E">
      <w:pPr>
        <w:spacing w:after="120"/>
        <w:jc w:val="center"/>
        <w:rPr>
          <w:i/>
          <w:iCs/>
          <w:sz w:val="22"/>
          <w:szCs w:val="22"/>
        </w:rPr>
      </w:pPr>
      <w:r w:rsidRPr="00CD2ADD">
        <w:rPr>
          <w:i/>
          <w:iCs/>
          <w:sz w:val="22"/>
          <w:szCs w:val="22"/>
        </w:rPr>
        <w:t>Sursa: Raport Integrat privind evaluarea nevoilor în tehnologii de adaptare la schimbările climatice pe sectorul forestier din Republica Moldova</w:t>
      </w:r>
    </w:p>
    <w:p w14:paraId="2B6C6094" w14:textId="1109830C" w:rsidR="00D36A01" w:rsidRPr="00CD2ADD" w:rsidRDefault="00D36A01" w:rsidP="006779CE">
      <w:pPr>
        <w:ind w:firstLine="426"/>
        <w:jc w:val="both"/>
      </w:pPr>
      <w:r w:rsidRPr="00CD2ADD">
        <w:t xml:space="preserve">Incendiile forestiere reprezintă un risc climatic semnificativ pentru ecosistemele forestiere ale Republicii Moldova, cu o frecvență crescută în contextul secetelor repetate și al valurilor de căldură. Datele ilustrate în </w:t>
      </w:r>
      <w:r w:rsidRPr="00CD2ADD">
        <w:rPr>
          <w:i/>
          <w:iCs/>
        </w:rPr>
        <w:t xml:space="preserve">Figura </w:t>
      </w:r>
      <w:r w:rsidR="0070508E" w:rsidRPr="00CD2ADD">
        <w:rPr>
          <w:i/>
          <w:iCs/>
        </w:rPr>
        <w:t>18</w:t>
      </w:r>
      <w:r w:rsidRPr="00CD2ADD">
        <w:t xml:space="preserve"> arată o evoluție haotică, cu episoade extreme de creștere în anii 2007 (791,3 ha) și 2012 (672,4 ha), corespunzătoare unor secete severe cu impact național. În afara acestor vârfuri, suprafețele afectate de incendii variază între 0 ha (2014) și 435,4 ha (2020), reflectând caracterul impredictibil al riscului și posibile lacune în prevenție și răspuns.</w:t>
      </w:r>
    </w:p>
    <w:p w14:paraId="61B73B52" w14:textId="0E482CA8" w:rsidR="00D36A01" w:rsidRPr="00CD2ADD" w:rsidRDefault="00D36A01" w:rsidP="00892FB9">
      <w:pPr>
        <w:ind w:firstLine="426"/>
        <w:jc w:val="both"/>
      </w:pPr>
      <w:r w:rsidRPr="00CD2ADD">
        <w:t>După anul 2015 se observă o revenire treptată a incendiilor, cu valori oscilante și o tendință crescătoare în ultimii ani analizați</w:t>
      </w:r>
      <w:r w:rsidR="0019283B" w:rsidRPr="00CD2ADD">
        <w:t xml:space="preserve">: </w:t>
      </w:r>
      <w:r w:rsidRPr="00CD2ADD">
        <w:t xml:space="preserve">2018–2020. Această evoluție este îngrijorătoare și poate fi corelată cu fragilitatea instituțională la nivel local (ex.  </w:t>
      </w:r>
      <w:r w:rsidR="0019283B" w:rsidRPr="00CD2ADD">
        <w:t>pădurile gestionate de</w:t>
      </w:r>
      <w:r w:rsidRPr="00CD2ADD">
        <w:t xml:space="preserve"> APL), sistemele de supraveghere insuficiente și lipsa unui mecanism funcțional de alertă și intervenție timpurie. De asemenea, datele reale ar putea fi semnificativ subestimate, în special pentru pădurile deținute de autorități publice locale, unde multe incendii nu sunt înregistrate oficial.</w:t>
      </w:r>
      <w:r w:rsidR="00F53013" w:rsidRPr="00CD2ADD">
        <w:t xml:space="preserve"> </w:t>
      </w:r>
      <w:r w:rsidRPr="00CD2ADD">
        <w:t xml:space="preserve">În </w:t>
      </w:r>
      <w:r w:rsidR="00F53013" w:rsidRPr="00CD2ADD">
        <w:t xml:space="preserve">consecință, </w:t>
      </w:r>
      <w:r w:rsidRPr="00CD2ADD">
        <w:t xml:space="preserve"> incendiile forestiere, deși relativ rare comparativ cu alte tipuri de riscuri, cauzează daune majore la nivel local și necesită măsuri de prevenție activă, instruire locală, consolidarea capacităților tehnice și extinderea sistemelor de monitorizare și răspuns.</w:t>
      </w:r>
      <w:bookmarkStart w:id="49" w:name="_Toc195539564"/>
    </w:p>
    <w:p w14:paraId="7B2DBB25" w14:textId="2D4249F4" w:rsidR="00524229" w:rsidRPr="00CD2ADD" w:rsidRDefault="00524229" w:rsidP="00892FB9">
      <w:pPr>
        <w:pStyle w:val="Subtitle"/>
        <w:spacing w:after="0" w:line="240" w:lineRule="auto"/>
        <w:ind w:firstLine="284"/>
        <w:rPr>
          <w:rStyle w:val="IntenseEmphasis"/>
          <w:rFonts w:ascii="Times New Roman" w:hAnsi="Times New Roman" w:cs="Times New Roman"/>
          <w:color w:val="000000" w:themeColor="text1"/>
          <w:sz w:val="24"/>
        </w:rPr>
      </w:pPr>
      <w:bookmarkStart w:id="50" w:name="OLE_LINK27"/>
      <w:bookmarkEnd w:id="49"/>
      <w:r w:rsidRPr="00CD2ADD">
        <w:rPr>
          <w:rStyle w:val="IntenseEmphasis"/>
          <w:rFonts w:ascii="Times New Roman" w:hAnsi="Times New Roman" w:cs="Times New Roman"/>
          <w:color w:val="000000" w:themeColor="text1"/>
          <w:sz w:val="24"/>
        </w:rPr>
        <w:t>Vulnerabilitate, expunere și capacitate de adaptare în sectorul forestier</w:t>
      </w:r>
    </w:p>
    <w:p w14:paraId="514C1895" w14:textId="3D32C97A" w:rsidR="00D36A01" w:rsidRPr="00CD2ADD" w:rsidRDefault="00D36A01">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i/>
          <w:iCs/>
          <w:color w:val="000000" w:themeColor="text1"/>
          <w:sz w:val="24"/>
          <w:szCs w:val="24"/>
        </w:rPr>
        <w:t xml:space="preserve">Tabelul </w:t>
      </w:r>
      <w:r w:rsidR="00A23F2F" w:rsidRPr="00CD2ADD">
        <w:rPr>
          <w:rFonts w:ascii="Times New Roman" w:hAnsi="Times New Roman" w:cs="Times New Roman"/>
          <w:i/>
          <w:iCs/>
          <w:color w:val="000000" w:themeColor="text1"/>
          <w:sz w:val="24"/>
          <w:szCs w:val="24"/>
        </w:rPr>
        <w:t>5</w:t>
      </w:r>
      <w:r w:rsidR="00A23F2F"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privind riscurile și vulnerabilitățile asociate secetei în sectorul forestier evidențiază</w:t>
      </w:r>
      <w:r w:rsidR="006779CE"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 xml:space="preserve">o serie de aspecte critice care slăbesc capacitatea pădurilor </w:t>
      </w:r>
      <w:r w:rsidR="00830430" w:rsidRPr="00CD2ADD">
        <w:rPr>
          <w:rFonts w:ascii="Times New Roman" w:hAnsi="Times New Roman" w:cs="Times New Roman"/>
          <w:color w:val="000000" w:themeColor="text1"/>
          <w:sz w:val="24"/>
          <w:szCs w:val="24"/>
        </w:rPr>
        <w:t xml:space="preserve">Republicii </w:t>
      </w:r>
      <w:r w:rsidRPr="00CD2ADD">
        <w:rPr>
          <w:rFonts w:ascii="Times New Roman" w:hAnsi="Times New Roman" w:cs="Times New Roman"/>
          <w:color w:val="000000" w:themeColor="text1"/>
          <w:sz w:val="24"/>
          <w:szCs w:val="24"/>
        </w:rPr>
        <w:t>Moldov</w:t>
      </w:r>
      <w:r w:rsidR="00830430" w:rsidRPr="00CD2ADD">
        <w:rPr>
          <w:rFonts w:ascii="Times New Roman" w:hAnsi="Times New Roman" w:cs="Times New Roman"/>
          <w:color w:val="000000" w:themeColor="text1"/>
          <w:sz w:val="24"/>
          <w:szCs w:val="24"/>
        </w:rPr>
        <w:t>a</w:t>
      </w:r>
      <w:r w:rsidRPr="00CD2ADD">
        <w:rPr>
          <w:rFonts w:ascii="Times New Roman" w:hAnsi="Times New Roman" w:cs="Times New Roman"/>
          <w:color w:val="000000" w:themeColor="text1"/>
          <w:sz w:val="24"/>
          <w:szCs w:val="24"/>
        </w:rPr>
        <w:t xml:space="preserve"> de a face față impacturilor climatice. Dimensiunea redusă a suprafețelor împădurite, fragmentarea acestora și ponderea ridicată a pădurilor slab regenerate constituie vulnerabilități structurale majore, care limitează funcțiile de protecție și de reglare climatică ale ecosistemelor forestiere. În acest context, măsurile de extindere a suprafețelor împădurite, refacerea perdelelor forestiere și modernizarea pepinierelor sunt esențiale pentru a consolida reziliența naturală a acestor ecosisteme.</w:t>
      </w:r>
    </w:p>
    <w:p w14:paraId="06B2127F" w14:textId="77777777" w:rsidR="00892FB9" w:rsidRPr="00CD2ADD" w:rsidRDefault="00892FB9" w:rsidP="003155C2">
      <w:pPr>
        <w:ind w:firstLine="426"/>
        <w:jc w:val="both"/>
        <w:rPr>
          <w:szCs w:val="28"/>
        </w:rPr>
      </w:pPr>
      <w:r w:rsidRPr="00CD2ADD">
        <w:rPr>
          <w:szCs w:val="28"/>
        </w:rPr>
        <w:t xml:space="preserve">Totodată, creșterea incidenței incendiilor de vegetație, forestiere și răspândirea dăunătorilor forestieri reflectă nevoia acută de monitorizare fitosanitară sistematică și de intervenții rapide, susținute de un sistem eficient de alertă timpurie. Multe din aceste riscuri sunt amplificate de capacități instituționale limitate la nivel local, de remanieri frecvente și de lipsa unui cadru de planificare intersectorial coerent. </w:t>
      </w:r>
    </w:p>
    <w:p w14:paraId="3E8D53B8" w14:textId="4FE308E0" w:rsidR="00892FB9" w:rsidRPr="00CD2ADD" w:rsidRDefault="00892FB9" w:rsidP="00403716">
      <w:pPr>
        <w:ind w:firstLine="426"/>
        <w:jc w:val="both"/>
      </w:pPr>
      <w:r w:rsidRPr="00CD2ADD">
        <w:t xml:space="preserve">În plan socio-economic, presiunea asupra pădurilor, alimentată de utilizarea intensivă a lemnului pentru încălzire, impune dezvoltarea unor măsuri de tranziție energetică sustenabilă, precum promovarea biomasei sau acordarea de subvenții pentru protejarea pădurilor comunitare. De asemenea, planificarea și alocarea resurselor financiare pentru lucrările de regenerare și protecție, corelată cu evaluarea valorii economice a serviciilor ecosistemice forestiere, poate asigura continuitatea funcțiilor pădurii în fața riscurilor climatice în creștere. În ansamblu, abordarea RRD în sectorul forestier </w:t>
      </w:r>
      <w:r w:rsidRPr="00CD2ADD">
        <w:lastRenderedPageBreak/>
        <w:t>necesită un echilibru între intervențiile tehnice și cele de politică publică, pentru a transforma pădurile într-un pilon activ de adaptare și reducere a riscurilor dezastrelor naturale în Republica Moldova.</w:t>
      </w:r>
    </w:p>
    <w:p w14:paraId="073BEB62" w14:textId="24A1E837" w:rsidR="00892FB9" w:rsidRPr="00CD2ADD" w:rsidRDefault="00892FB9" w:rsidP="00892FB9">
      <w:pPr>
        <w:jc w:val="right"/>
        <w:rPr>
          <w:b/>
          <w:bCs/>
          <w:color w:val="000000" w:themeColor="text1"/>
        </w:rPr>
      </w:pPr>
      <w:r w:rsidRPr="00CD2ADD">
        <w:rPr>
          <w:b/>
          <w:bCs/>
          <w:color w:val="000000" w:themeColor="text1"/>
        </w:rPr>
        <w:t xml:space="preserve">Tabelul </w:t>
      </w:r>
      <w:r w:rsidR="008F1AC1" w:rsidRPr="00CD2ADD">
        <w:rPr>
          <w:b/>
          <w:bCs/>
          <w:color w:val="000000" w:themeColor="text1"/>
        </w:rPr>
        <w:t>5</w:t>
      </w:r>
    </w:p>
    <w:p w14:paraId="70FCCF67" w14:textId="6EAA92F7" w:rsidR="00D36A01" w:rsidRPr="00CD2ADD" w:rsidRDefault="00892FB9" w:rsidP="00892FB9">
      <w:pPr>
        <w:jc w:val="center"/>
        <w:rPr>
          <w:b/>
          <w:bCs/>
          <w:color w:val="000000" w:themeColor="text1"/>
        </w:rPr>
      </w:pPr>
      <w:r w:rsidRPr="00CD2ADD">
        <w:rPr>
          <w:b/>
          <w:bCs/>
          <w:color w:val="000000" w:themeColor="text1"/>
        </w:rPr>
        <w:t>Matricea RRD - riscuri, vulnerabilități și măsuri legate de secetă în sectorul forestier</w:t>
      </w:r>
    </w:p>
    <w:tbl>
      <w:tblPr>
        <w:tblStyle w:val="GridTable1Light-Accent1"/>
        <w:tblW w:w="9694" w:type="dxa"/>
        <w:jc w:val="center"/>
        <w:tblLook w:val="04A0" w:firstRow="1" w:lastRow="0" w:firstColumn="1" w:lastColumn="0" w:noHBand="0" w:noVBand="1"/>
      </w:tblPr>
      <w:tblGrid>
        <w:gridCol w:w="3429"/>
        <w:gridCol w:w="2962"/>
        <w:gridCol w:w="3303"/>
      </w:tblGrid>
      <w:tr w:rsidR="00D36A01" w:rsidRPr="00CD2ADD" w14:paraId="1C1424E5" w14:textId="77777777" w:rsidTr="00892FB9">
        <w:trPr>
          <w:cnfStyle w:val="100000000000" w:firstRow="1" w:lastRow="0" w:firstColumn="0" w:lastColumn="0" w:oddVBand="0" w:evenVBand="0" w:oddHBand="0" w:evenHBand="0" w:firstRowFirstColumn="0" w:firstRowLastColumn="0" w:lastRowFirstColumn="0" w:lastRowLastColumn="0"/>
          <w:trHeight w:val="59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DAD9E33" w14:textId="29283420" w:rsidR="00D36A01" w:rsidRPr="00CD2ADD" w:rsidRDefault="00193606" w:rsidP="00741F9B">
            <w:pPr>
              <w:spacing w:before="120" w:after="120"/>
              <w:rPr>
                <w:sz w:val="20"/>
                <w:szCs w:val="20"/>
              </w:rPr>
            </w:pPr>
            <w:r w:rsidRPr="00CD2ADD">
              <w:rPr>
                <w:sz w:val="20"/>
                <w:szCs w:val="20"/>
              </w:rPr>
              <w:t xml:space="preserve">Seceta </w:t>
            </w:r>
            <w:r w:rsidR="00892FB9" w:rsidRPr="00CD2ADD">
              <w:rPr>
                <w:sz w:val="20"/>
                <w:szCs w:val="20"/>
              </w:rPr>
              <w:t>ș</w:t>
            </w:r>
            <w:r w:rsidRPr="00CD2ADD">
              <w:rPr>
                <w:sz w:val="20"/>
                <w:szCs w:val="20"/>
              </w:rPr>
              <w:t>i r</w:t>
            </w:r>
            <w:r w:rsidR="00D36A01" w:rsidRPr="00CD2ADD">
              <w:rPr>
                <w:sz w:val="20"/>
                <w:szCs w:val="20"/>
              </w:rPr>
              <w:t>iscuri asociate secetei</w:t>
            </w:r>
          </w:p>
        </w:tc>
        <w:tc>
          <w:tcPr>
            <w:tcW w:w="0" w:type="auto"/>
            <w:hideMark/>
          </w:tcPr>
          <w:p w14:paraId="789AE710" w14:textId="77777777" w:rsidR="00D36A01" w:rsidRPr="00CD2ADD" w:rsidRDefault="00D36A01" w:rsidP="00741F9B">
            <w:pPr>
              <w:spacing w:before="120" w:after="120"/>
              <w:cnfStyle w:val="100000000000" w:firstRow="1" w:lastRow="0" w:firstColumn="0" w:lastColumn="0" w:oddVBand="0" w:evenVBand="0" w:oddHBand="0" w:evenHBand="0" w:firstRowFirstColumn="0" w:firstRowLastColumn="0" w:lastRowFirstColumn="0" w:lastRowLastColumn="0"/>
              <w:rPr>
                <w:sz w:val="20"/>
                <w:szCs w:val="20"/>
              </w:rPr>
            </w:pPr>
            <w:r w:rsidRPr="00CD2ADD">
              <w:rPr>
                <w:sz w:val="20"/>
                <w:szCs w:val="20"/>
              </w:rPr>
              <w:t>Vulnerabilități specifice sectorului forestier</w:t>
            </w:r>
          </w:p>
        </w:tc>
        <w:tc>
          <w:tcPr>
            <w:tcW w:w="0" w:type="auto"/>
            <w:hideMark/>
          </w:tcPr>
          <w:p w14:paraId="699F372A" w14:textId="1F444090" w:rsidR="00D36A01" w:rsidRPr="00CD2ADD" w:rsidRDefault="00D36A01" w:rsidP="00741F9B">
            <w:pPr>
              <w:spacing w:before="120" w:after="120"/>
              <w:cnfStyle w:val="100000000000" w:firstRow="1" w:lastRow="0" w:firstColumn="0" w:lastColumn="0" w:oddVBand="0" w:evenVBand="0" w:oddHBand="0" w:evenHBand="0" w:firstRowFirstColumn="0" w:firstRowLastColumn="0" w:lastRowFirstColumn="0" w:lastRowLastColumn="0"/>
              <w:rPr>
                <w:sz w:val="20"/>
                <w:szCs w:val="20"/>
              </w:rPr>
            </w:pPr>
            <w:r w:rsidRPr="00CD2ADD">
              <w:rPr>
                <w:sz w:val="20"/>
                <w:szCs w:val="20"/>
              </w:rPr>
              <w:t>Recomandări RRD și măsuri de adaptare</w:t>
            </w:r>
          </w:p>
        </w:tc>
      </w:tr>
      <w:tr w:rsidR="00D36A01" w:rsidRPr="00CD2ADD" w14:paraId="358269BA" w14:textId="77777777" w:rsidTr="000A1963">
        <w:trPr>
          <w:trHeight w:val="82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BD8287A" w14:textId="77777777" w:rsidR="00D36A01" w:rsidRPr="00CD2ADD" w:rsidRDefault="00D36A01" w:rsidP="00741F9B">
            <w:pPr>
              <w:spacing w:before="120" w:after="120"/>
              <w:rPr>
                <w:sz w:val="20"/>
                <w:szCs w:val="20"/>
              </w:rPr>
            </w:pPr>
            <w:r w:rsidRPr="00CD2ADD">
              <w:rPr>
                <w:sz w:val="20"/>
                <w:szCs w:val="20"/>
              </w:rPr>
              <w:t>Reducerea precipitațiilor, creșterea temperaturilor, evaporație excesivă</w:t>
            </w:r>
          </w:p>
        </w:tc>
        <w:tc>
          <w:tcPr>
            <w:tcW w:w="0" w:type="auto"/>
            <w:hideMark/>
          </w:tcPr>
          <w:p w14:paraId="3E95AE81" w14:textId="77777777" w:rsidR="00D36A01" w:rsidRPr="00CD2ADD" w:rsidRDefault="00D36A01" w:rsidP="00741F9B">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CD2ADD">
              <w:rPr>
                <w:sz w:val="20"/>
                <w:szCs w:val="20"/>
              </w:rPr>
              <w:t>- Suprafață redusă de păduri (11,2%)</w:t>
            </w:r>
            <w:r w:rsidRPr="00CD2ADD">
              <w:rPr>
                <w:sz w:val="20"/>
                <w:szCs w:val="20"/>
              </w:rPr>
              <w:br/>
              <w:t>- Păduri în trupuri mici, fragmentate și dispersate</w:t>
            </w:r>
          </w:p>
        </w:tc>
        <w:tc>
          <w:tcPr>
            <w:tcW w:w="0" w:type="auto"/>
            <w:hideMark/>
          </w:tcPr>
          <w:p w14:paraId="0F547112" w14:textId="77777777" w:rsidR="00D36A01" w:rsidRPr="00CD2ADD" w:rsidRDefault="00D36A01" w:rsidP="00741F9B">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CD2ADD">
              <w:rPr>
                <w:sz w:val="20"/>
                <w:szCs w:val="20"/>
              </w:rPr>
              <w:t>- Creșterea suprafețelor împădurite (obiectiv: ≥15%)</w:t>
            </w:r>
            <w:r w:rsidRPr="00CD2ADD">
              <w:rPr>
                <w:sz w:val="20"/>
                <w:szCs w:val="20"/>
              </w:rPr>
              <w:br/>
              <w:t>- Refacerea perdelelor forestiere</w:t>
            </w:r>
          </w:p>
        </w:tc>
      </w:tr>
      <w:tr w:rsidR="00D36A01" w:rsidRPr="00CD2ADD" w14:paraId="58B27F35" w14:textId="77777777" w:rsidTr="00892FB9">
        <w:trPr>
          <w:trHeight w:val="79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71EC229" w14:textId="77777777" w:rsidR="00D36A01" w:rsidRPr="00CD2ADD" w:rsidRDefault="00D36A01" w:rsidP="00741F9B">
            <w:pPr>
              <w:spacing w:before="120" w:after="120"/>
              <w:rPr>
                <w:sz w:val="20"/>
                <w:szCs w:val="20"/>
              </w:rPr>
            </w:pPr>
            <w:r w:rsidRPr="00CD2ADD">
              <w:rPr>
                <w:sz w:val="20"/>
                <w:szCs w:val="20"/>
              </w:rPr>
              <w:t>Uscarea arborilor și degradarea fitosanitară</w:t>
            </w:r>
          </w:p>
        </w:tc>
        <w:tc>
          <w:tcPr>
            <w:tcW w:w="0" w:type="auto"/>
            <w:hideMark/>
          </w:tcPr>
          <w:p w14:paraId="220B8493" w14:textId="77777777" w:rsidR="00D36A01" w:rsidRPr="00CD2ADD" w:rsidRDefault="00D36A01" w:rsidP="00741F9B">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CD2ADD">
              <w:rPr>
                <w:sz w:val="20"/>
                <w:szCs w:val="20"/>
              </w:rPr>
              <w:t>- Peste 55% din pădurile de stejar provin din lăstari</w:t>
            </w:r>
            <w:r w:rsidRPr="00CD2ADD">
              <w:rPr>
                <w:sz w:val="20"/>
                <w:szCs w:val="20"/>
              </w:rPr>
              <w:br/>
              <w:t>- Slabă regenerare naturală</w:t>
            </w:r>
          </w:p>
        </w:tc>
        <w:tc>
          <w:tcPr>
            <w:tcW w:w="0" w:type="auto"/>
            <w:hideMark/>
          </w:tcPr>
          <w:p w14:paraId="2EE9C189" w14:textId="77777777" w:rsidR="00D36A01" w:rsidRPr="00CD2ADD" w:rsidRDefault="00D36A01" w:rsidP="00741F9B">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CD2ADD">
              <w:rPr>
                <w:sz w:val="20"/>
                <w:szCs w:val="20"/>
              </w:rPr>
              <w:t>- Regenerare asistată și selecția speciilor rezistente la secetă</w:t>
            </w:r>
            <w:r w:rsidRPr="00CD2ADD">
              <w:rPr>
                <w:sz w:val="20"/>
                <w:szCs w:val="20"/>
              </w:rPr>
              <w:br/>
              <w:t>- Modernizarea pepinierelor</w:t>
            </w:r>
          </w:p>
        </w:tc>
      </w:tr>
      <w:tr w:rsidR="00D36A01" w:rsidRPr="00CD2ADD" w14:paraId="51852B02" w14:textId="77777777" w:rsidTr="00892FB9">
        <w:trPr>
          <w:trHeight w:val="99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2C6F74F" w14:textId="77777777" w:rsidR="00D36A01" w:rsidRPr="00CD2ADD" w:rsidRDefault="00D36A01" w:rsidP="00741F9B">
            <w:pPr>
              <w:spacing w:before="120" w:after="120"/>
              <w:rPr>
                <w:sz w:val="20"/>
                <w:szCs w:val="20"/>
              </w:rPr>
            </w:pPr>
            <w:r w:rsidRPr="00CD2ADD">
              <w:rPr>
                <w:sz w:val="20"/>
                <w:szCs w:val="20"/>
              </w:rPr>
              <w:t>Incendii de vegetație și pădure</w:t>
            </w:r>
          </w:p>
        </w:tc>
        <w:tc>
          <w:tcPr>
            <w:tcW w:w="0" w:type="auto"/>
            <w:hideMark/>
          </w:tcPr>
          <w:p w14:paraId="360A707C" w14:textId="77777777" w:rsidR="00D36A01" w:rsidRPr="00CD2ADD" w:rsidRDefault="00D36A01" w:rsidP="00741F9B">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CD2ADD">
              <w:rPr>
                <w:sz w:val="20"/>
                <w:szCs w:val="20"/>
              </w:rPr>
              <w:t>- Lipsa capacităților locale de intervenție</w:t>
            </w:r>
            <w:r w:rsidRPr="00CD2ADD">
              <w:rPr>
                <w:sz w:val="20"/>
                <w:szCs w:val="20"/>
              </w:rPr>
              <w:br/>
              <w:t>- Lipsa monitorizării sistematice</w:t>
            </w:r>
          </w:p>
        </w:tc>
        <w:tc>
          <w:tcPr>
            <w:tcW w:w="0" w:type="auto"/>
            <w:hideMark/>
          </w:tcPr>
          <w:p w14:paraId="498A1645" w14:textId="349A2A1D" w:rsidR="00D36A01" w:rsidRPr="00CD2ADD" w:rsidRDefault="00D36A01" w:rsidP="00741F9B">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CD2ADD">
              <w:rPr>
                <w:sz w:val="20"/>
                <w:szCs w:val="20"/>
              </w:rPr>
              <w:t>- Crearea unui sistem integrat de avertizare timpurie</w:t>
            </w:r>
            <w:r w:rsidRPr="00CD2ADD">
              <w:rPr>
                <w:sz w:val="20"/>
                <w:szCs w:val="20"/>
              </w:rPr>
              <w:br/>
              <w:t xml:space="preserve">- Dotarea autorităților locale și </w:t>
            </w:r>
            <w:r w:rsidR="00830430" w:rsidRPr="00CD2ADD">
              <w:rPr>
                <w:sz w:val="20"/>
                <w:szCs w:val="20"/>
              </w:rPr>
              <w:t>Agenției ,,</w:t>
            </w:r>
            <w:r w:rsidRPr="00CD2ADD">
              <w:rPr>
                <w:sz w:val="20"/>
                <w:szCs w:val="20"/>
              </w:rPr>
              <w:t>Moldsilva</w:t>
            </w:r>
            <w:r w:rsidR="00830430" w:rsidRPr="00CD2ADD">
              <w:rPr>
                <w:sz w:val="20"/>
                <w:szCs w:val="20"/>
              </w:rPr>
              <w:t>”</w:t>
            </w:r>
          </w:p>
        </w:tc>
      </w:tr>
      <w:tr w:rsidR="00D36A01" w:rsidRPr="00CD2ADD" w14:paraId="7C4612C9" w14:textId="77777777" w:rsidTr="00892FB9">
        <w:trPr>
          <w:trHeight w:val="99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CCFD2AD" w14:textId="77777777" w:rsidR="00D36A01" w:rsidRPr="00CD2ADD" w:rsidRDefault="00D36A01" w:rsidP="00741F9B">
            <w:pPr>
              <w:spacing w:before="120" w:after="120"/>
              <w:rPr>
                <w:sz w:val="20"/>
                <w:szCs w:val="20"/>
              </w:rPr>
            </w:pPr>
            <w:r w:rsidRPr="00CD2ADD">
              <w:rPr>
                <w:sz w:val="20"/>
                <w:szCs w:val="20"/>
              </w:rPr>
              <w:t>Proliferarea bolilor și dăunătorilor</w:t>
            </w:r>
          </w:p>
        </w:tc>
        <w:tc>
          <w:tcPr>
            <w:tcW w:w="0" w:type="auto"/>
            <w:hideMark/>
          </w:tcPr>
          <w:p w14:paraId="4BD226B7" w14:textId="77777777" w:rsidR="00D36A01" w:rsidRPr="00CD2ADD" w:rsidRDefault="00D36A01" w:rsidP="00741F9B">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CD2ADD">
              <w:rPr>
                <w:sz w:val="20"/>
                <w:szCs w:val="20"/>
              </w:rPr>
              <w:t>- Monitorizare fitosanitară discontinuă</w:t>
            </w:r>
            <w:r w:rsidRPr="00CD2ADD">
              <w:rPr>
                <w:sz w:val="20"/>
                <w:szCs w:val="20"/>
              </w:rPr>
              <w:br/>
              <w:t>- Întârziere în aplicarea tratamentelor</w:t>
            </w:r>
          </w:p>
        </w:tc>
        <w:tc>
          <w:tcPr>
            <w:tcW w:w="0" w:type="auto"/>
            <w:hideMark/>
          </w:tcPr>
          <w:p w14:paraId="58241BA9" w14:textId="77777777" w:rsidR="00D36A01" w:rsidRPr="00CD2ADD" w:rsidRDefault="00D36A01" w:rsidP="00741F9B">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CD2ADD">
              <w:rPr>
                <w:sz w:val="20"/>
                <w:szCs w:val="20"/>
              </w:rPr>
              <w:t>- Consolidarea rețelei de monitorizare</w:t>
            </w:r>
            <w:r w:rsidRPr="00CD2ADD">
              <w:rPr>
                <w:sz w:val="20"/>
                <w:szCs w:val="20"/>
              </w:rPr>
              <w:br/>
              <w:t>- Intervenții rapide în faze incipiente</w:t>
            </w:r>
          </w:p>
        </w:tc>
      </w:tr>
      <w:tr w:rsidR="00D36A01" w:rsidRPr="00CD2ADD" w14:paraId="3CD703A4" w14:textId="77777777" w:rsidTr="00892FB9">
        <w:trPr>
          <w:trHeight w:val="116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74B948B" w14:textId="77777777" w:rsidR="00D36A01" w:rsidRPr="00CD2ADD" w:rsidRDefault="00D36A01" w:rsidP="00741F9B">
            <w:pPr>
              <w:spacing w:before="120" w:after="120"/>
              <w:rPr>
                <w:sz w:val="20"/>
                <w:szCs w:val="20"/>
              </w:rPr>
            </w:pPr>
            <w:r w:rsidRPr="00CD2ADD">
              <w:rPr>
                <w:sz w:val="20"/>
                <w:szCs w:val="20"/>
              </w:rPr>
              <w:t>Pierderea serviciilor ecosistemice (carbon, apă, sol)</w:t>
            </w:r>
          </w:p>
        </w:tc>
        <w:tc>
          <w:tcPr>
            <w:tcW w:w="0" w:type="auto"/>
            <w:hideMark/>
          </w:tcPr>
          <w:p w14:paraId="318D0A50" w14:textId="77777777" w:rsidR="00DB5336" w:rsidRPr="00CD2ADD" w:rsidRDefault="00D36A01" w:rsidP="00DB5336">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CD2ADD">
              <w:rPr>
                <w:sz w:val="20"/>
                <w:szCs w:val="20"/>
              </w:rPr>
              <w:t xml:space="preserve">- </w:t>
            </w:r>
            <w:r w:rsidR="00DB5336" w:rsidRPr="00CD2ADD">
              <w:rPr>
                <w:sz w:val="20"/>
                <w:szCs w:val="20"/>
              </w:rPr>
              <w:t>Resurse financiare limitate alocate sectorului</w:t>
            </w:r>
          </w:p>
          <w:p w14:paraId="198E6527" w14:textId="022DC938" w:rsidR="00D36A01" w:rsidRPr="00CD2ADD" w:rsidRDefault="00D36A01" w:rsidP="00DB5336">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CD2ADD">
              <w:rPr>
                <w:sz w:val="20"/>
                <w:szCs w:val="20"/>
              </w:rPr>
              <w:t>- Păduri slab protejate, tăieri ilegale</w:t>
            </w:r>
          </w:p>
        </w:tc>
        <w:tc>
          <w:tcPr>
            <w:tcW w:w="0" w:type="auto"/>
            <w:hideMark/>
          </w:tcPr>
          <w:p w14:paraId="06CB35AE" w14:textId="1B8C9FE5" w:rsidR="00D36A01" w:rsidRPr="00CD2ADD" w:rsidRDefault="00D36A01" w:rsidP="00741F9B">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CD2ADD">
              <w:rPr>
                <w:sz w:val="20"/>
                <w:szCs w:val="20"/>
              </w:rPr>
              <w:t xml:space="preserve">- </w:t>
            </w:r>
            <w:r w:rsidR="002E2A54" w:rsidRPr="00CD2ADD">
              <w:rPr>
                <w:sz w:val="20"/>
                <w:szCs w:val="20"/>
              </w:rPr>
              <w:t>Planificarea și alocarea resurselor financiare pentru</w:t>
            </w:r>
            <w:r w:rsidRPr="00CD2ADD">
              <w:rPr>
                <w:sz w:val="20"/>
                <w:szCs w:val="20"/>
              </w:rPr>
              <w:t xml:space="preserve"> regenerare și</w:t>
            </w:r>
            <w:r w:rsidR="002E2A54" w:rsidRPr="00CD2ADD">
              <w:rPr>
                <w:sz w:val="20"/>
                <w:szCs w:val="20"/>
              </w:rPr>
              <w:t xml:space="preserve"> </w:t>
            </w:r>
            <w:r w:rsidRPr="00CD2ADD">
              <w:rPr>
                <w:sz w:val="20"/>
                <w:szCs w:val="20"/>
              </w:rPr>
              <w:t>protecție</w:t>
            </w:r>
            <w:r w:rsidRPr="00CD2ADD">
              <w:rPr>
                <w:sz w:val="20"/>
                <w:szCs w:val="20"/>
              </w:rPr>
              <w:br/>
              <w:t>- Calcularea valorii monetare a serviciilor ecosistemice</w:t>
            </w:r>
          </w:p>
        </w:tc>
      </w:tr>
      <w:tr w:rsidR="00D36A01" w:rsidRPr="00CD2ADD" w14:paraId="380BF776" w14:textId="77777777" w:rsidTr="00892FB9">
        <w:trPr>
          <w:trHeight w:val="119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FB38398" w14:textId="77777777" w:rsidR="00D36A01" w:rsidRPr="00CD2ADD" w:rsidRDefault="00D36A01" w:rsidP="00741F9B">
            <w:pPr>
              <w:spacing w:before="120" w:after="120"/>
              <w:rPr>
                <w:sz w:val="20"/>
                <w:szCs w:val="20"/>
              </w:rPr>
            </w:pPr>
            <w:r w:rsidRPr="00CD2ADD">
              <w:rPr>
                <w:sz w:val="20"/>
                <w:szCs w:val="20"/>
              </w:rPr>
              <w:t>Creșterea presiunii sociale și economice asupra pădurilor</w:t>
            </w:r>
          </w:p>
        </w:tc>
        <w:tc>
          <w:tcPr>
            <w:tcW w:w="0" w:type="auto"/>
            <w:hideMark/>
          </w:tcPr>
          <w:p w14:paraId="44CC2FF7" w14:textId="77777777" w:rsidR="00D36A01" w:rsidRPr="00CD2ADD" w:rsidRDefault="00D36A01" w:rsidP="00741F9B">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CD2ADD">
              <w:rPr>
                <w:sz w:val="20"/>
                <w:szCs w:val="20"/>
              </w:rPr>
              <w:t>- Utilizare intensivă a lemnului pentru energie</w:t>
            </w:r>
            <w:r w:rsidRPr="00CD2ADD">
              <w:rPr>
                <w:sz w:val="20"/>
                <w:szCs w:val="20"/>
              </w:rPr>
              <w:br/>
              <w:t>- Lipsa alternativelor pentru gospodării vulnerabile</w:t>
            </w:r>
          </w:p>
        </w:tc>
        <w:tc>
          <w:tcPr>
            <w:tcW w:w="0" w:type="auto"/>
            <w:hideMark/>
          </w:tcPr>
          <w:p w14:paraId="6858F716" w14:textId="5302796C" w:rsidR="00D36A01" w:rsidRPr="00CD2ADD" w:rsidRDefault="00D36A01" w:rsidP="00741F9B">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CD2ADD">
              <w:rPr>
                <w:sz w:val="20"/>
                <w:szCs w:val="20"/>
              </w:rPr>
              <w:t>- Sprijin pentru tranziția energetică (ex. biomasă, brichete)</w:t>
            </w:r>
            <w:r w:rsidRPr="00CD2ADD">
              <w:rPr>
                <w:sz w:val="20"/>
                <w:szCs w:val="20"/>
              </w:rPr>
              <w:br/>
              <w:t xml:space="preserve">- </w:t>
            </w:r>
            <w:r w:rsidR="00C24A93" w:rsidRPr="00CD2ADD">
              <w:rPr>
                <w:sz w:val="20"/>
                <w:szCs w:val="20"/>
              </w:rPr>
              <w:t>Alocarea mijloacelor financiare</w:t>
            </w:r>
            <w:r w:rsidRPr="00CD2ADD">
              <w:rPr>
                <w:sz w:val="20"/>
                <w:szCs w:val="20"/>
              </w:rPr>
              <w:t xml:space="preserve"> pentru protejarea pădurilor comunitare</w:t>
            </w:r>
          </w:p>
        </w:tc>
      </w:tr>
      <w:tr w:rsidR="00D36A01" w:rsidRPr="00CD2ADD" w14:paraId="785AA107" w14:textId="77777777" w:rsidTr="00892FB9">
        <w:trPr>
          <w:trHeight w:val="99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E2135FF" w14:textId="77777777" w:rsidR="00D36A01" w:rsidRPr="00CD2ADD" w:rsidRDefault="00D36A01" w:rsidP="00741F9B">
            <w:pPr>
              <w:spacing w:before="120" w:after="120"/>
              <w:rPr>
                <w:sz w:val="20"/>
                <w:szCs w:val="20"/>
              </w:rPr>
            </w:pPr>
            <w:r w:rsidRPr="00CD2ADD">
              <w:rPr>
                <w:sz w:val="20"/>
                <w:szCs w:val="20"/>
              </w:rPr>
              <w:t>Ineficiență instituțională și lipsa cooperării intersectoriale</w:t>
            </w:r>
          </w:p>
        </w:tc>
        <w:tc>
          <w:tcPr>
            <w:tcW w:w="0" w:type="auto"/>
            <w:hideMark/>
          </w:tcPr>
          <w:p w14:paraId="1B214018" w14:textId="77777777" w:rsidR="00D36A01" w:rsidRPr="00CD2ADD" w:rsidRDefault="00D36A01" w:rsidP="00741F9B">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CD2ADD">
              <w:rPr>
                <w:sz w:val="20"/>
                <w:szCs w:val="20"/>
              </w:rPr>
              <w:t>- Remanieri administrative frecvente</w:t>
            </w:r>
            <w:r w:rsidRPr="00CD2ADD">
              <w:rPr>
                <w:sz w:val="20"/>
                <w:szCs w:val="20"/>
              </w:rPr>
              <w:br/>
              <w:t>- Lipsa de reflecție a politicilor forestiere în planificarea locală</w:t>
            </w:r>
          </w:p>
        </w:tc>
        <w:tc>
          <w:tcPr>
            <w:tcW w:w="0" w:type="auto"/>
            <w:hideMark/>
          </w:tcPr>
          <w:p w14:paraId="3897D197" w14:textId="77777777" w:rsidR="00E958CF" w:rsidRPr="00CD2ADD" w:rsidRDefault="00D36A01" w:rsidP="00741F9B">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CD2ADD">
              <w:rPr>
                <w:sz w:val="20"/>
                <w:szCs w:val="20"/>
              </w:rPr>
              <w:t xml:space="preserve">- Consolidarea rolului Agenției </w:t>
            </w:r>
            <w:r w:rsidR="00496B11" w:rsidRPr="00CD2ADD">
              <w:rPr>
                <w:sz w:val="20"/>
                <w:szCs w:val="20"/>
              </w:rPr>
              <w:t>,,</w:t>
            </w:r>
            <w:r w:rsidRPr="00CD2ADD">
              <w:rPr>
                <w:sz w:val="20"/>
                <w:szCs w:val="20"/>
              </w:rPr>
              <w:t>Moldsilva</w:t>
            </w:r>
            <w:r w:rsidR="00496B11" w:rsidRPr="00CD2ADD">
              <w:rPr>
                <w:sz w:val="20"/>
                <w:szCs w:val="20"/>
              </w:rPr>
              <w:t>”</w:t>
            </w:r>
          </w:p>
          <w:p w14:paraId="65A4A4FE" w14:textId="0CA1DC94" w:rsidR="00D36A01" w:rsidRPr="00CD2ADD" w:rsidRDefault="00D36A01" w:rsidP="00741F9B">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sidRPr="00CD2ADD">
              <w:rPr>
                <w:sz w:val="20"/>
                <w:szCs w:val="20"/>
              </w:rPr>
              <w:br/>
            </w:r>
          </w:p>
        </w:tc>
      </w:tr>
    </w:tbl>
    <w:p w14:paraId="2DAA3C70" w14:textId="0664844C" w:rsidR="00280304" w:rsidRPr="00CD2ADD" w:rsidRDefault="00B1095C" w:rsidP="008F1AC1">
      <w:pPr>
        <w:spacing w:after="120"/>
        <w:jc w:val="center"/>
        <w:rPr>
          <w:i/>
          <w:iCs/>
          <w:sz w:val="20"/>
          <w:szCs w:val="20"/>
        </w:rPr>
      </w:pPr>
      <w:r w:rsidRPr="00CD2ADD">
        <w:rPr>
          <w:i/>
          <w:iCs/>
          <w:sz w:val="20"/>
          <w:szCs w:val="20"/>
        </w:rPr>
        <w:t>Sursa: Adaptare după</w:t>
      </w:r>
      <w:r w:rsidRPr="00CD2ADD">
        <w:rPr>
          <w:rStyle w:val="IntenseEmphasis"/>
          <w:i w:val="0"/>
          <w:sz w:val="20"/>
          <w:szCs w:val="20"/>
        </w:rPr>
        <w:t xml:space="preserve"> </w:t>
      </w:r>
      <w:r w:rsidRPr="00CD2ADD">
        <w:rPr>
          <w:i/>
          <w:iCs/>
          <w:sz w:val="20"/>
          <w:szCs w:val="20"/>
        </w:rPr>
        <w:t>Raport Integrat privind evaluarea nevoilor în tehnologii de adaptare la schimbările climatice pe sectorul forestier din Republica Moldova</w:t>
      </w:r>
    </w:p>
    <w:p w14:paraId="2485F924" w14:textId="006EB386" w:rsidR="00524229" w:rsidRPr="00CD2ADD" w:rsidRDefault="00524229" w:rsidP="00892FB9">
      <w:pPr>
        <w:pStyle w:val="Subtitle"/>
        <w:spacing w:after="0" w:line="240" w:lineRule="auto"/>
        <w:ind w:firstLine="426"/>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 xml:space="preserve">Masuri de combatere a secetei asupra sectorul forestier </w:t>
      </w:r>
    </w:p>
    <w:p w14:paraId="42B392CD" w14:textId="77777777" w:rsidR="00524229" w:rsidRDefault="00524229">
      <w:pPr>
        <w:pStyle w:val="ListParagraph"/>
        <w:numPr>
          <w:ilvl w:val="0"/>
          <w:numId w:val="42"/>
        </w:numPr>
        <w:tabs>
          <w:tab w:val="left" w:pos="284"/>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firstLine="426"/>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Graficul de mai jos evidențiază evoluția regenerării pădurilor în fondul silvic de stat în perioada 2010–2022, prin trei forme principale: plantări și semănături, ajutorarea regenerării naturale și regenerarea naturală neasistată. Se observă că forma dominantă de regenerare este ajutorarea regenerării naturale a pădurilor, care variază între aproximativ 2.000 și 3.500 ha anual. Aceasta reflectă o dependență semnificativă de mecanismele naturale de refacere a ecosistemelor forestiere, dar și o posibilă limitare a capacității de împădurire activă. Vârful activităților de regenerare s-a înregistrat în anul 2012/2014, depășind pragul de 5.000 ha, după care se remarcă o tendință descrescătoare, atingând un minim în 2021.</w:t>
      </w:r>
    </w:p>
    <w:p w14:paraId="1712C7DF" w14:textId="77777777" w:rsidR="00AB18CF" w:rsidRDefault="00AB18CF" w:rsidP="00AB18CF">
      <w:pPr>
        <w:pStyle w:val="ListParagraph"/>
        <w:tabs>
          <w:tab w:val="left" w:pos="284"/>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426" w:firstLine="0"/>
        <w:jc w:val="both"/>
        <w:rPr>
          <w:rFonts w:ascii="Times New Roman" w:hAnsi="Times New Roman" w:cs="Times New Roman"/>
          <w:color w:val="000000" w:themeColor="text1"/>
          <w:sz w:val="24"/>
          <w:szCs w:val="24"/>
        </w:rPr>
      </w:pPr>
    </w:p>
    <w:p w14:paraId="470EF14E" w14:textId="77777777" w:rsidR="00AB18CF" w:rsidRPr="00CD2ADD" w:rsidRDefault="00AB18CF" w:rsidP="00AB18CF">
      <w:pPr>
        <w:pStyle w:val="ListParagraph"/>
        <w:tabs>
          <w:tab w:val="left" w:pos="284"/>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426" w:firstLine="0"/>
        <w:jc w:val="both"/>
        <w:rPr>
          <w:rFonts w:ascii="Times New Roman" w:hAnsi="Times New Roman" w:cs="Times New Roman"/>
          <w:color w:val="000000" w:themeColor="text1"/>
          <w:sz w:val="24"/>
          <w:szCs w:val="24"/>
        </w:rPr>
      </w:pPr>
    </w:p>
    <w:p w14:paraId="1C78FB68" w14:textId="7D9397AA" w:rsidR="00524229" w:rsidRPr="00CD2ADD" w:rsidRDefault="00892FB9" w:rsidP="00892FB9">
      <w:pPr>
        <w:pStyle w:val="ListParagraph"/>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426" w:firstLine="0"/>
        <w:jc w:val="center"/>
        <w:rPr>
          <w:rFonts w:ascii="Times New Roman" w:hAnsi="Times New Roman" w:cs="Times New Roman"/>
          <w:color w:val="000000" w:themeColor="text1"/>
          <w:sz w:val="24"/>
          <w:szCs w:val="24"/>
        </w:rPr>
      </w:pPr>
      <w:r w:rsidRPr="00CD2ADD">
        <w:rPr>
          <w:rFonts w:ascii="Times New Roman" w:hAnsi="Times New Roman" w:cs="Times New Roman"/>
          <w:b/>
          <w:bCs/>
          <w:color w:val="000000" w:themeColor="text1"/>
          <w:sz w:val="24"/>
          <w:szCs w:val="24"/>
        </w:rPr>
        <w:lastRenderedPageBreak/>
        <w:t>Figura 19.</w:t>
      </w:r>
      <w:r w:rsidRPr="00CD2ADD">
        <w:rPr>
          <w:rFonts w:ascii="Times New Roman" w:hAnsi="Times New Roman" w:cs="Times New Roman"/>
          <w:color w:val="000000" w:themeColor="text1"/>
          <w:sz w:val="24"/>
          <w:szCs w:val="24"/>
        </w:rPr>
        <w:t xml:space="preserve"> Regenerarea pădurilor în fondul silvic de stat</w:t>
      </w:r>
      <w:bookmarkStart w:id="51" w:name="OLE_LINK32"/>
    </w:p>
    <w:p w14:paraId="68518119" w14:textId="77777777" w:rsidR="00524229" w:rsidRPr="00CD2ADD" w:rsidRDefault="00524229" w:rsidP="000A1963">
      <w:pPr>
        <w:rPr>
          <w:sz w:val="22"/>
          <w:szCs w:val="22"/>
        </w:rPr>
      </w:pPr>
      <w:r w:rsidRPr="00CD2ADD">
        <w:rPr>
          <w:noProof/>
          <w:sz w:val="22"/>
          <w:szCs w:val="22"/>
          <w14:ligatures w14:val="standardContextual"/>
        </w:rPr>
        <w:drawing>
          <wp:inline distT="0" distB="0" distL="0" distR="0" wp14:anchorId="3B4781CB" wp14:editId="69484C1D">
            <wp:extent cx="5972175" cy="2352675"/>
            <wp:effectExtent l="0" t="0" r="9525" b="9525"/>
            <wp:docPr id="742651507" name="Chart 1">
              <a:extLst xmlns:a="http://schemas.openxmlformats.org/drawingml/2006/main">
                <a:ext uri="{FF2B5EF4-FFF2-40B4-BE49-F238E27FC236}">
                  <a16:creationId xmlns:a16="http://schemas.microsoft.com/office/drawing/2014/main" id="{814EFD15-4EF9-6657-1F1D-4D4CD068E3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4350668" w14:textId="0D298EC9" w:rsidR="00524229" w:rsidRPr="00CD2ADD" w:rsidRDefault="00524229" w:rsidP="000A1963">
      <w:pPr>
        <w:jc w:val="center"/>
        <w:rPr>
          <w:i/>
          <w:iCs/>
          <w:sz w:val="20"/>
          <w:szCs w:val="20"/>
        </w:rPr>
      </w:pPr>
      <w:r w:rsidRPr="00CD2ADD">
        <w:rPr>
          <w:i/>
          <w:iCs/>
          <w:sz w:val="20"/>
          <w:szCs w:val="20"/>
        </w:rPr>
        <w:t xml:space="preserve">Sursa: BNS 2025. </w:t>
      </w:r>
      <w:hyperlink r:id="rId41" w:history="1">
        <w:r w:rsidRPr="00CD2ADD">
          <w:rPr>
            <w:rStyle w:val="Hyperlink"/>
            <w:rFonts w:eastAsiaTheme="majorEastAsia"/>
            <w:i/>
            <w:iCs/>
            <w:color w:val="005F9A"/>
            <w:sz w:val="20"/>
            <w:szCs w:val="20"/>
            <w:bdr w:val="none" w:sz="0" w:space="0" w:color="auto" w:frame="1"/>
          </w:rPr>
          <w:t xml:space="preserve">Mediul </w:t>
        </w:r>
        <w:r w:rsidRPr="00CD2ADD">
          <w:rPr>
            <w:rStyle w:val="Hyperlink"/>
            <w:i/>
            <w:iCs/>
            <w:color w:val="005F9A"/>
            <w:sz w:val="20"/>
            <w:szCs w:val="20"/>
            <w:bdr w:val="none" w:sz="0" w:space="0" w:color="auto" w:frame="1"/>
          </w:rPr>
          <w:t>înconjurător</w:t>
        </w:r>
      </w:hyperlink>
      <w:r w:rsidRPr="00CD2ADD">
        <w:rPr>
          <w:i/>
          <w:iCs/>
          <w:color w:val="222222"/>
          <w:sz w:val="20"/>
          <w:szCs w:val="20"/>
          <w:shd w:val="clear" w:color="auto" w:fill="FFFFFF"/>
        </w:rPr>
        <w:t> </w:t>
      </w:r>
      <w:r w:rsidRPr="00CD2ADD">
        <w:rPr>
          <w:rStyle w:val="breadcrumbsep"/>
          <w:i/>
          <w:iCs/>
          <w:color w:val="005F9A"/>
          <w:sz w:val="20"/>
          <w:szCs w:val="20"/>
          <w:bdr w:val="none" w:sz="0" w:space="0" w:color="auto" w:frame="1"/>
        </w:rPr>
        <w:t>-</w:t>
      </w:r>
      <w:r w:rsidRPr="00CD2ADD">
        <w:rPr>
          <w:i/>
          <w:iCs/>
          <w:color w:val="222222"/>
          <w:sz w:val="20"/>
          <w:szCs w:val="20"/>
          <w:shd w:val="clear" w:color="auto" w:fill="FFFFFF"/>
        </w:rPr>
        <w:t> </w:t>
      </w:r>
      <w:hyperlink r:id="rId42" w:history="1">
        <w:r w:rsidRPr="00CD2ADD">
          <w:rPr>
            <w:rStyle w:val="Hyperlink"/>
            <w:rFonts w:eastAsiaTheme="majorEastAsia"/>
            <w:i/>
            <w:iCs/>
            <w:color w:val="005F9A"/>
            <w:sz w:val="20"/>
            <w:szCs w:val="20"/>
            <w:bdr w:val="none" w:sz="0" w:space="0" w:color="auto" w:frame="1"/>
          </w:rPr>
          <w:t>Fondul funciar si fondul silvic</w:t>
        </w:r>
      </w:hyperlink>
      <w:bookmarkEnd w:id="51"/>
    </w:p>
    <w:p w14:paraId="7E138934" w14:textId="5B5D28E2" w:rsidR="00524229" w:rsidRPr="00CD2ADD" w:rsidRDefault="003155C2" w:rsidP="003155C2">
      <w:pPr>
        <w:tabs>
          <w:tab w:val="left" w:pos="426"/>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CD2ADD">
        <w:tab/>
      </w:r>
      <w:r w:rsidR="00524229" w:rsidRPr="00CD2ADD">
        <w:t>Contribuția regenerării naturale propriu-zise (fără intervenție umană) este relativ modestă pe întreaga perioadă, rar depășind 500 ha/an. De asemenea, în ultimii ani (2020–2022), se înregistrează o scădere a plantărilor și semănăturilor, ceea ce poate fi atribuit constrângerilor financiare, instabilității instituționale sau condițiilor climatice nefavorabile. Această dinamică este îngrijorătoare în contextul intensificării riscurilor climatice precum seceta, care afectează atât capacitatea de regenerare naturală, cât și succesul lucrărilor silvice.</w:t>
      </w:r>
    </w:p>
    <w:p w14:paraId="222738F9" w14:textId="6B6A288C" w:rsidR="00524229" w:rsidRPr="00CD2ADD" w:rsidRDefault="003155C2" w:rsidP="003155C2">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Style w:val="IntenseEmphasis"/>
          <w:b w:val="0"/>
          <w:bCs w:val="0"/>
          <w:i w:val="0"/>
          <w:iCs w:val="0"/>
          <w:color w:val="auto"/>
        </w:rPr>
      </w:pPr>
      <w:r w:rsidRPr="00CD2ADD">
        <w:tab/>
      </w:r>
      <w:r w:rsidR="00524229" w:rsidRPr="00CD2ADD">
        <w:t>În concluzie, datele reflectă o dependență crescândă de regenerarea naturală asistată, dar și o capacitate insuficientă de menținere a unui ritm constant de reîmpădurire, aspecte critice pentru reziliența ecosistemelor forestiere în fața schimbărilor climatice și a riscurilor de deșertificare.</w:t>
      </w:r>
      <w:bookmarkEnd w:id="50"/>
    </w:p>
    <w:p w14:paraId="3C6BB3A4" w14:textId="2841FD2C" w:rsidR="001D6A49" w:rsidRPr="00CD2ADD" w:rsidRDefault="00D36A01" w:rsidP="00B66B8C">
      <w:pPr>
        <w:pStyle w:val="Subtitle"/>
        <w:spacing w:before="240" w:after="0"/>
        <w:ind w:firstLine="426"/>
        <w:jc w:val="center"/>
        <w:rPr>
          <w:rStyle w:val="IntenseEmphasis"/>
          <w:rFonts w:ascii="Times New Roman" w:hAnsi="Times New Roman" w:cs="Times New Roman"/>
          <w:i w:val="0"/>
          <w:iCs/>
          <w:color w:val="000000" w:themeColor="text1"/>
          <w:sz w:val="24"/>
        </w:rPr>
      </w:pPr>
      <w:bookmarkStart w:id="52" w:name="OLE_LINK33"/>
      <w:bookmarkStart w:id="53" w:name="OLE_LINK30"/>
      <w:bookmarkEnd w:id="45"/>
      <w:bookmarkEnd w:id="46"/>
      <w:r w:rsidRPr="00CD2ADD">
        <w:rPr>
          <w:rStyle w:val="IntenseEmphasis"/>
          <w:rFonts w:ascii="Times New Roman" w:hAnsi="Times New Roman" w:cs="Times New Roman"/>
          <w:i w:val="0"/>
          <w:iCs/>
          <w:color w:val="000000" w:themeColor="text1"/>
          <w:sz w:val="24"/>
        </w:rPr>
        <w:t xml:space="preserve">Impactul </w:t>
      </w:r>
      <w:r w:rsidR="00FC318B" w:rsidRPr="00CD2ADD">
        <w:rPr>
          <w:rStyle w:val="IntenseEmphasis"/>
          <w:rFonts w:ascii="Times New Roman" w:hAnsi="Times New Roman" w:cs="Times New Roman"/>
          <w:i w:val="0"/>
          <w:iCs/>
          <w:color w:val="000000" w:themeColor="text1"/>
          <w:sz w:val="24"/>
        </w:rPr>
        <w:t>s</w:t>
      </w:r>
      <w:r w:rsidRPr="00CD2ADD">
        <w:rPr>
          <w:rStyle w:val="IntenseEmphasis"/>
          <w:rFonts w:ascii="Times New Roman" w:hAnsi="Times New Roman" w:cs="Times New Roman"/>
          <w:i w:val="0"/>
          <w:iCs/>
          <w:color w:val="000000" w:themeColor="text1"/>
          <w:sz w:val="24"/>
        </w:rPr>
        <w:t>ecetei</w:t>
      </w:r>
      <w:r w:rsidR="00524229" w:rsidRPr="00CD2ADD">
        <w:rPr>
          <w:rStyle w:val="IntenseEmphasis"/>
          <w:rFonts w:ascii="Times New Roman" w:hAnsi="Times New Roman" w:cs="Times New Roman"/>
          <w:i w:val="0"/>
          <w:iCs/>
          <w:color w:val="000000" w:themeColor="text1"/>
          <w:sz w:val="24"/>
        </w:rPr>
        <w:t xml:space="preserve"> </w:t>
      </w:r>
      <w:r w:rsidRPr="00CD2ADD">
        <w:rPr>
          <w:rStyle w:val="IntenseEmphasis"/>
          <w:rFonts w:ascii="Times New Roman" w:hAnsi="Times New Roman" w:cs="Times New Roman"/>
          <w:i w:val="0"/>
          <w:iCs/>
          <w:color w:val="000000" w:themeColor="text1"/>
          <w:sz w:val="24"/>
        </w:rPr>
        <w:t xml:space="preserve">asupra </w:t>
      </w:r>
      <w:r w:rsidR="00830430" w:rsidRPr="00CD2ADD">
        <w:rPr>
          <w:rStyle w:val="IntenseEmphasis"/>
          <w:rFonts w:ascii="Times New Roman" w:hAnsi="Times New Roman" w:cs="Times New Roman"/>
          <w:i w:val="0"/>
          <w:iCs/>
          <w:color w:val="000000" w:themeColor="text1"/>
          <w:sz w:val="24"/>
        </w:rPr>
        <w:t>resurse</w:t>
      </w:r>
      <w:r w:rsidR="00FF5BE8" w:rsidRPr="00CD2ADD">
        <w:rPr>
          <w:rStyle w:val="IntenseEmphasis"/>
          <w:rFonts w:ascii="Times New Roman" w:hAnsi="Times New Roman" w:cs="Times New Roman"/>
          <w:i w:val="0"/>
          <w:iCs/>
          <w:color w:val="000000" w:themeColor="text1"/>
          <w:sz w:val="24"/>
        </w:rPr>
        <w:t>lor</w:t>
      </w:r>
      <w:r w:rsidR="00830430" w:rsidRPr="00CD2ADD">
        <w:rPr>
          <w:rStyle w:val="IntenseEmphasis"/>
          <w:rFonts w:ascii="Times New Roman" w:hAnsi="Times New Roman" w:cs="Times New Roman"/>
          <w:i w:val="0"/>
          <w:iCs/>
          <w:color w:val="000000" w:themeColor="text1"/>
          <w:sz w:val="24"/>
        </w:rPr>
        <w:t xml:space="preserve"> de </w:t>
      </w:r>
      <w:r w:rsidR="00FC318B" w:rsidRPr="00CD2ADD">
        <w:rPr>
          <w:rStyle w:val="IntenseEmphasis"/>
          <w:rFonts w:ascii="Times New Roman" w:hAnsi="Times New Roman" w:cs="Times New Roman"/>
          <w:i w:val="0"/>
          <w:iCs/>
          <w:color w:val="000000" w:themeColor="text1"/>
          <w:sz w:val="24"/>
        </w:rPr>
        <w:t>a</w:t>
      </w:r>
      <w:r w:rsidRPr="00CD2ADD">
        <w:rPr>
          <w:rStyle w:val="IntenseEmphasis"/>
          <w:rFonts w:ascii="Times New Roman" w:hAnsi="Times New Roman" w:cs="Times New Roman"/>
          <w:i w:val="0"/>
          <w:iCs/>
          <w:color w:val="000000" w:themeColor="text1"/>
          <w:sz w:val="24"/>
        </w:rPr>
        <w:t>p</w:t>
      </w:r>
      <w:r w:rsidR="00830430" w:rsidRPr="00CD2ADD">
        <w:rPr>
          <w:rStyle w:val="IntenseEmphasis"/>
          <w:rFonts w:ascii="Times New Roman" w:hAnsi="Times New Roman" w:cs="Times New Roman"/>
          <w:i w:val="0"/>
          <w:iCs/>
          <w:color w:val="000000" w:themeColor="text1"/>
          <w:sz w:val="24"/>
        </w:rPr>
        <w:t>ă</w:t>
      </w:r>
    </w:p>
    <w:p w14:paraId="12EBC1C1" w14:textId="035E6064" w:rsidR="003155C2" w:rsidRPr="00CD2ADD" w:rsidRDefault="001D6A49">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 xml:space="preserve">Seceta hidrologică afectează atât cantitatea, cât și calitatea resurselor de apă, generând dezechilibre în alimentarea cu apă potabilă, irigare, industrie și ecosisteme. </w:t>
      </w:r>
      <w:r w:rsidR="003B1DC0" w:rsidRPr="00CD2ADD">
        <w:rPr>
          <w:rFonts w:ascii="Times New Roman" w:hAnsi="Times New Roman" w:cs="Times New Roman"/>
          <w:color w:val="000000" w:themeColor="text1"/>
          <w:sz w:val="24"/>
          <w:szCs w:val="24"/>
        </w:rPr>
        <w:t>Datele din acest subcapitol sunt extrase din r</w:t>
      </w:r>
      <w:r w:rsidRPr="00CD2ADD">
        <w:rPr>
          <w:rFonts w:ascii="Times New Roman" w:hAnsi="Times New Roman" w:cs="Times New Roman"/>
          <w:color w:val="000000" w:themeColor="text1"/>
          <w:sz w:val="24"/>
          <w:szCs w:val="24"/>
        </w:rPr>
        <w:t xml:space="preserve">aportul </w:t>
      </w:r>
      <w:r w:rsidR="0021228C" w:rsidRPr="00CD2ADD">
        <w:rPr>
          <w:rFonts w:ascii="Times New Roman" w:hAnsi="Times New Roman" w:cs="Times New Roman"/>
          <w:color w:val="000000" w:themeColor="text1"/>
          <w:sz w:val="24"/>
          <w:szCs w:val="24"/>
        </w:rPr>
        <w:t>integrat privind evaluarea nevoilor tehnologice privind adaptarea la schimbările climatice a resurselor de apă din Republica Moldova</w:t>
      </w:r>
      <w:r w:rsidR="003B1DC0" w:rsidRPr="00CD2ADD">
        <w:rPr>
          <w:rFonts w:ascii="Times New Roman" w:hAnsi="Times New Roman" w:cs="Times New Roman"/>
          <w:color w:val="000000" w:themeColor="text1"/>
          <w:sz w:val="24"/>
          <w:szCs w:val="24"/>
        </w:rPr>
        <w:t xml:space="preserve">. Acest Raport a fost elaborat </w:t>
      </w:r>
      <w:r w:rsidR="000A1963" w:rsidRPr="00CD2ADD">
        <w:rPr>
          <w:rFonts w:ascii="Times New Roman" w:hAnsi="Times New Roman" w:cs="Times New Roman"/>
          <w:color w:val="000000" w:themeColor="text1"/>
          <w:sz w:val="24"/>
          <w:szCs w:val="24"/>
        </w:rPr>
        <w:t>î</w:t>
      </w:r>
      <w:r w:rsidR="003B1DC0" w:rsidRPr="00CD2ADD">
        <w:rPr>
          <w:rFonts w:ascii="Times New Roman" w:hAnsi="Times New Roman" w:cs="Times New Roman"/>
          <w:color w:val="000000" w:themeColor="text1"/>
          <w:sz w:val="24"/>
          <w:szCs w:val="24"/>
        </w:rPr>
        <w:t xml:space="preserve">n cadrul proiectului PNA -2 </w:t>
      </w:r>
      <w:r w:rsidR="007527AF" w:rsidRPr="00CD2ADD">
        <w:rPr>
          <w:rFonts w:ascii="Times New Roman" w:hAnsi="Times New Roman" w:cs="Times New Roman"/>
          <w:color w:val="000000" w:themeColor="text1"/>
          <w:sz w:val="24"/>
          <w:szCs w:val="24"/>
        </w:rPr>
        <w:t>ș</w:t>
      </w:r>
      <w:r w:rsidR="003B1DC0" w:rsidRPr="00CD2ADD">
        <w:rPr>
          <w:rFonts w:ascii="Times New Roman" w:hAnsi="Times New Roman" w:cs="Times New Roman"/>
          <w:color w:val="000000" w:themeColor="text1"/>
          <w:sz w:val="24"/>
          <w:szCs w:val="24"/>
        </w:rPr>
        <w:t xml:space="preserve">i este rezultatul unei analize amănunțite realizate de hidrologi si experți în gestionarea durabila a resurselor de apă. Conform  acestui raport, </w:t>
      </w:r>
      <w:r w:rsidRPr="00CD2ADD">
        <w:rPr>
          <w:rFonts w:ascii="Times New Roman" w:hAnsi="Times New Roman" w:cs="Times New Roman"/>
          <w:color w:val="000000" w:themeColor="text1"/>
          <w:sz w:val="24"/>
          <w:szCs w:val="24"/>
        </w:rPr>
        <w:t>Republica Moldova se confruntă cu reducerea disponibilității resurselor din surse de suprafață și subterane, în paralel cu degradarea calității apei cauzată de temperaturi ridicate, evaporare crescută și poluare difuză.</w:t>
      </w:r>
    </w:p>
    <w:p w14:paraId="6BB0F320" w14:textId="42F6D8E6" w:rsidR="000030A6" w:rsidRPr="00CD2ADD" w:rsidRDefault="00B34324" w:rsidP="003155C2">
      <w:pPr>
        <w:ind w:firstLine="426"/>
        <w:jc w:val="both"/>
        <w:rPr>
          <w:color w:val="000000" w:themeColor="text1"/>
          <w:sz w:val="28"/>
          <w:szCs w:val="28"/>
        </w:rPr>
      </w:pPr>
      <w:r w:rsidRPr="00CD2ADD">
        <w:rPr>
          <w:szCs w:val="28"/>
        </w:rPr>
        <w:t>Datele istorice BNS indică faptul că volumul de apă captată din obiective acvatice naturale a rămas relativ constant în ultimii aproximativ 25 de ani (la cca. 850 milioane metri cubi), înregistrând doar variații moderate de la un an la altul, fără schimbări structurale semnificative ale tendinței generale. Această stabilitate sugerează o presiune constantă asupra resurselor subterane de apă, în pofida fluctuațiilor climatice și hidrologice observate în aceeași perioadă.</w:t>
      </w:r>
    </w:p>
    <w:p w14:paraId="7F6C4A5C" w14:textId="025C5719" w:rsidR="0021228C" w:rsidRPr="00CD2ADD" w:rsidRDefault="0021228C" w:rsidP="00403716">
      <w:pPr>
        <w:pStyle w:val="Subtitle"/>
        <w:spacing w:after="0" w:line="240" w:lineRule="auto"/>
        <w:ind w:firstLine="426"/>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Impactul socio-economic al secetei asupra sectorului ape</w:t>
      </w:r>
    </w:p>
    <w:p w14:paraId="7410C6F7" w14:textId="1B64955E" w:rsidR="0021228C" w:rsidRPr="00CD2ADD" w:rsidRDefault="0021228C">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 xml:space="preserve">Raportul </w:t>
      </w:r>
      <w:r w:rsidR="007527AF" w:rsidRPr="00CD2ADD">
        <w:rPr>
          <w:rFonts w:ascii="Times New Roman" w:hAnsi="Times New Roman" w:cs="Times New Roman"/>
          <w:color w:val="000000" w:themeColor="text1"/>
          <w:sz w:val="24"/>
          <w:szCs w:val="24"/>
        </w:rPr>
        <w:t>P</w:t>
      </w:r>
      <w:r w:rsidRPr="00CD2ADD">
        <w:rPr>
          <w:rFonts w:ascii="Times New Roman" w:hAnsi="Times New Roman" w:cs="Times New Roman"/>
          <w:color w:val="000000" w:themeColor="text1"/>
          <w:sz w:val="24"/>
          <w:szCs w:val="24"/>
        </w:rPr>
        <w:t xml:space="preserve">NA </w:t>
      </w:r>
      <w:r w:rsidR="003B1DC0" w:rsidRPr="00CD2ADD">
        <w:rPr>
          <w:rFonts w:ascii="Times New Roman" w:hAnsi="Times New Roman" w:cs="Times New Roman"/>
          <w:color w:val="000000" w:themeColor="text1"/>
          <w:sz w:val="24"/>
          <w:szCs w:val="24"/>
        </w:rPr>
        <w:t xml:space="preserve">menționat mai sus </w:t>
      </w:r>
      <w:r w:rsidRPr="00CD2ADD">
        <w:rPr>
          <w:rFonts w:ascii="Times New Roman" w:hAnsi="Times New Roman" w:cs="Times New Roman"/>
          <w:color w:val="000000" w:themeColor="text1"/>
          <w:sz w:val="24"/>
          <w:szCs w:val="24"/>
        </w:rPr>
        <w:t>subliniază că seceta poate provoca un deficit economic estimat la 95 milioane USD doar din neacoperirea cererii municipale și industriale de apă până în 2040. Zonele cele mai afectate sunt Sudul, Centrul și municipiul Chișinău, regiuni cu densitate demografică mare și presiune ridicată asupra resurselor. Întreruperile în alimentarea cu apă au efecte în lanț asupra agriculturii, sănătății publice și securității alimentare, fiind deja observate scăderi ale volumului de apă utilizat în ultimii 15 ani</w:t>
      </w:r>
      <w:r w:rsidR="0038098B" w:rsidRPr="00CD2ADD">
        <w:rPr>
          <w:rFonts w:ascii="Times New Roman" w:hAnsi="Times New Roman" w:cs="Times New Roman"/>
          <w:color w:val="000000" w:themeColor="text1"/>
          <w:sz w:val="24"/>
          <w:szCs w:val="24"/>
        </w:rPr>
        <w:t xml:space="preserve"> (figura 2</w:t>
      </w:r>
      <w:r w:rsidR="00836A74" w:rsidRPr="00CD2ADD">
        <w:rPr>
          <w:rFonts w:ascii="Times New Roman" w:hAnsi="Times New Roman" w:cs="Times New Roman"/>
          <w:color w:val="000000" w:themeColor="text1"/>
          <w:sz w:val="24"/>
          <w:szCs w:val="24"/>
        </w:rPr>
        <w:t>0</w:t>
      </w:r>
      <w:r w:rsidR="0038098B" w:rsidRPr="00CD2ADD">
        <w:rPr>
          <w:rFonts w:ascii="Times New Roman" w:hAnsi="Times New Roman" w:cs="Times New Roman"/>
          <w:color w:val="000000" w:themeColor="text1"/>
          <w:sz w:val="24"/>
          <w:szCs w:val="24"/>
        </w:rPr>
        <w:t>)</w:t>
      </w:r>
      <w:r w:rsidRPr="00CD2ADD">
        <w:rPr>
          <w:rFonts w:ascii="Times New Roman" w:hAnsi="Times New Roman" w:cs="Times New Roman"/>
          <w:color w:val="000000" w:themeColor="text1"/>
          <w:sz w:val="24"/>
          <w:szCs w:val="24"/>
        </w:rPr>
        <w:t>.</w:t>
      </w:r>
    </w:p>
    <w:p w14:paraId="18DD48ED" w14:textId="2DB42D94" w:rsidR="0021228C" w:rsidRPr="00CD2ADD" w:rsidRDefault="0003101E" w:rsidP="00403716">
      <w:pPr>
        <w:ind w:firstLine="284"/>
        <w:jc w:val="both"/>
      </w:pPr>
      <w:r w:rsidRPr="00CD2ADD">
        <w:t>De asemenea, r</w:t>
      </w:r>
      <w:r w:rsidR="0021228C" w:rsidRPr="00CD2ADD">
        <w:t xml:space="preserve">aportul intitulat „Foaia de Parcurs pentru Întărirea Infrastructurii Critice </w:t>
      </w:r>
      <w:r w:rsidR="00132C2D" w:rsidRPr="00CD2ADD">
        <w:t>î</w:t>
      </w:r>
      <w:r w:rsidR="0021228C" w:rsidRPr="00CD2ADD">
        <w:t xml:space="preserve">n Republica Moldova” </w:t>
      </w:r>
      <w:r w:rsidRPr="00CD2ADD">
        <w:t>întărește concluziile de mai sus si precizează</w:t>
      </w:r>
      <w:r w:rsidR="0021228C" w:rsidRPr="00CD2ADD">
        <w:t xml:space="preserve"> că întreruperile în alimentarea cu apă pot avea un efect domino asupra altor sectoare, precum agricultura, sănătatea </w:t>
      </w:r>
      <w:r w:rsidR="00132C2D" w:rsidRPr="00CD2ADD">
        <w:t xml:space="preserve">și alimentația </w:t>
      </w:r>
      <w:r w:rsidR="0021228C" w:rsidRPr="00CD2ADD">
        <w:t xml:space="preserve">publică. </w:t>
      </w:r>
      <w:r w:rsidR="00132C2D" w:rsidRPr="00CD2ADD">
        <w:t>D</w:t>
      </w:r>
      <w:r w:rsidR="0021228C" w:rsidRPr="00CD2ADD">
        <w:t xml:space="preserve">eși seceta este un fenomen sezonier și, în anumite cazuri, predictibil, lipsa unor mecanisme </w:t>
      </w:r>
      <w:r w:rsidR="0021228C" w:rsidRPr="00CD2ADD">
        <w:lastRenderedPageBreak/>
        <w:t xml:space="preserve">moderne de avertizare timpurie și a hărților de risc detaliate </w:t>
      </w:r>
      <w:r w:rsidR="00132C2D" w:rsidRPr="00CD2ADD">
        <w:t>ș</w:t>
      </w:r>
      <w:r w:rsidR="0021228C" w:rsidRPr="00CD2ADD">
        <w:t xml:space="preserve">i actualizate îngreunează planificarea adecvată și reacția promptă. În plus, lipsa investițiilor și a finanțării pentru infrastructură modernă limitează reziliența sistemului, în special în comunitățile mici, care depind de </w:t>
      </w:r>
      <w:r w:rsidR="002E2A54" w:rsidRPr="00CD2ADD">
        <w:t>alocații adiționale</w:t>
      </w:r>
      <w:r w:rsidR="0021228C" w:rsidRPr="00CD2ADD">
        <w:t xml:space="preserve"> și rareori dispun de resurse proprii pentru intervenții rapide.</w:t>
      </w:r>
    </w:p>
    <w:p w14:paraId="0AA84C05" w14:textId="68344C5A" w:rsidR="00A03711" w:rsidRPr="00CD2ADD" w:rsidRDefault="00403716" w:rsidP="00403716">
      <w:pPr>
        <w:spacing w:after="120"/>
        <w:jc w:val="center"/>
      </w:pPr>
      <w:r w:rsidRPr="00CD2ADD">
        <w:rPr>
          <w:b/>
          <w:bCs/>
        </w:rPr>
        <w:t>Figura 20.</w:t>
      </w:r>
      <w:r w:rsidRPr="00CD2ADD">
        <w:t xml:space="preserve"> Utilizarea apei (mln metru cubi)</w:t>
      </w:r>
    </w:p>
    <w:p w14:paraId="68815437" w14:textId="77777777" w:rsidR="003B1DC0" w:rsidRPr="00CD2ADD" w:rsidRDefault="003B1DC0" w:rsidP="000A19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bookmarkStart w:id="54" w:name="OLE_LINK2"/>
      <w:r w:rsidRPr="00CD2ADD">
        <w:rPr>
          <w:noProof/>
          <w:sz w:val="22"/>
          <w:szCs w:val="22"/>
          <w14:ligatures w14:val="standardContextual"/>
        </w:rPr>
        <w:drawing>
          <wp:inline distT="0" distB="0" distL="0" distR="0" wp14:anchorId="67FB5C9F" wp14:editId="311D1D16">
            <wp:extent cx="6085205" cy="2803357"/>
            <wp:effectExtent l="0" t="0" r="10795" b="16510"/>
            <wp:docPr id="2059074548" name="Chart 1">
              <a:extLst xmlns:a="http://schemas.openxmlformats.org/drawingml/2006/main">
                <a:ext uri="{FF2B5EF4-FFF2-40B4-BE49-F238E27FC236}">
                  <a16:creationId xmlns:a16="http://schemas.microsoft.com/office/drawing/2014/main" id="{ED8C2D03-877A-DD9E-90D7-BF2FEF96C9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488AFC0" w14:textId="3962056B" w:rsidR="003B1DC0" w:rsidRPr="00CD2ADD" w:rsidRDefault="003B1DC0" w:rsidP="000A19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iCs/>
          <w:sz w:val="22"/>
          <w:szCs w:val="22"/>
        </w:rPr>
      </w:pPr>
      <w:r w:rsidRPr="00CD2ADD">
        <w:rPr>
          <w:i/>
          <w:iCs/>
          <w:sz w:val="22"/>
          <w:szCs w:val="22"/>
        </w:rPr>
        <w:t xml:space="preserve">Sursa: BNS 2025. </w:t>
      </w:r>
      <w:hyperlink r:id="rId44" w:history="1">
        <w:r w:rsidRPr="00CD2ADD">
          <w:rPr>
            <w:rStyle w:val="Hyperlink"/>
            <w:rFonts w:eastAsiaTheme="majorEastAsia"/>
            <w:i/>
            <w:iCs/>
            <w:color w:val="005F9A"/>
            <w:sz w:val="22"/>
            <w:szCs w:val="22"/>
            <w:bdr w:val="none" w:sz="0" w:space="0" w:color="auto" w:frame="1"/>
          </w:rPr>
          <w:t xml:space="preserve">Mediul </w:t>
        </w:r>
        <w:r w:rsidRPr="00CD2ADD">
          <w:rPr>
            <w:rStyle w:val="Hyperlink"/>
            <w:i/>
            <w:iCs/>
            <w:color w:val="005F9A"/>
            <w:sz w:val="22"/>
            <w:szCs w:val="22"/>
            <w:bdr w:val="none" w:sz="0" w:space="0" w:color="auto" w:frame="1"/>
          </w:rPr>
          <w:t>înconjurător</w:t>
        </w:r>
      </w:hyperlink>
      <w:r w:rsidRPr="00CD2ADD">
        <w:rPr>
          <w:i/>
          <w:iCs/>
          <w:color w:val="222222"/>
          <w:sz w:val="22"/>
          <w:szCs w:val="22"/>
          <w:shd w:val="clear" w:color="auto" w:fill="FFFFFF"/>
        </w:rPr>
        <w:t> </w:t>
      </w:r>
      <w:r w:rsidRPr="00CD2ADD">
        <w:rPr>
          <w:rStyle w:val="breadcrumbsep"/>
          <w:i/>
          <w:iCs/>
          <w:color w:val="005F9A"/>
          <w:sz w:val="22"/>
          <w:szCs w:val="22"/>
          <w:bdr w:val="none" w:sz="0" w:space="0" w:color="auto" w:frame="1"/>
        </w:rPr>
        <w:t xml:space="preserve">- </w:t>
      </w:r>
      <w:r w:rsidRPr="00CD2ADD">
        <w:rPr>
          <w:i/>
          <w:iCs/>
          <w:color w:val="222222"/>
          <w:sz w:val="22"/>
          <w:szCs w:val="22"/>
          <w:shd w:val="clear" w:color="auto" w:fill="FFFFFF"/>
        </w:rPr>
        <w:t> </w:t>
      </w:r>
      <w:hyperlink r:id="rId45" w:history="1">
        <w:r w:rsidRPr="00CD2ADD">
          <w:rPr>
            <w:rStyle w:val="Hyperlink"/>
            <w:rFonts w:eastAsiaTheme="majorEastAsia"/>
            <w:i/>
            <w:iCs/>
            <w:color w:val="005F9A"/>
            <w:sz w:val="22"/>
            <w:szCs w:val="22"/>
            <w:bdr w:val="none" w:sz="0" w:space="0" w:color="auto" w:frame="1"/>
          </w:rPr>
          <w:t>Utilizarea apei</w:t>
        </w:r>
      </w:hyperlink>
      <w:bookmarkEnd w:id="54"/>
    </w:p>
    <w:p w14:paraId="4ACB368F" w14:textId="77777777" w:rsidR="003B1DC0" w:rsidRPr="00CD2ADD" w:rsidRDefault="003B1DC0" w:rsidP="00403716">
      <w:pPr>
        <w:ind w:firstLine="360"/>
        <w:jc w:val="both"/>
      </w:pPr>
      <w:r w:rsidRPr="00CD2ADD">
        <w:t>Graficul de mai sus ilustrează evoluția anuală a volumului de apă utilizat în Republica Moldova, defalcat pe patru regiuni: Nord, Centru, Sud și municipiul Chișinău. Din analiza datelor prezentate, se pot trasa câteva tendințe relevante pentru evaluarea vulnerabilității sectorului de apă în fața secetei:</w:t>
      </w:r>
    </w:p>
    <w:p w14:paraId="70F8F5AC" w14:textId="495438D0" w:rsidR="003B1DC0" w:rsidRPr="00CD2ADD" w:rsidRDefault="00403716" w:rsidP="00B66B8C">
      <w:pPr>
        <w:ind w:firstLine="426"/>
        <w:jc w:val="both"/>
        <w:rPr>
          <w:color w:val="000000" w:themeColor="text1"/>
          <w:szCs w:val="28"/>
        </w:rPr>
      </w:pPr>
      <w:r w:rsidRPr="00CD2ADD">
        <w:rPr>
          <w:color w:val="000000" w:themeColor="text1"/>
          <w:szCs w:val="28"/>
        </w:rPr>
        <w:t xml:space="preserve">1) </w:t>
      </w:r>
      <w:r w:rsidR="003B1DC0" w:rsidRPr="00CD2ADD">
        <w:rPr>
          <w:color w:val="000000" w:themeColor="text1"/>
          <w:szCs w:val="28"/>
        </w:rPr>
        <w:t>Scădere generală a consumului total de apă. Volumul total utilizat a scăzut de la circa 93,6 milioane m³ în 2008 la 81,1 milioane m³ în 2023, reflectând o reducere treptată și constantă, cu oscilații minore. Această tendință poate fi explicată atât prin factori economici (declinul industrial, eficientizarea consumului), cât și prin factori climatici, cum ar fi secetele prelungite, care afectează disponibilitatea și accesul la resurse de apă.</w:t>
      </w:r>
    </w:p>
    <w:p w14:paraId="19F5ACA4" w14:textId="239AE991" w:rsidR="003B1DC0" w:rsidRPr="00CD2ADD" w:rsidRDefault="00403716" w:rsidP="00B66B8C">
      <w:pPr>
        <w:ind w:firstLine="426"/>
        <w:jc w:val="both"/>
        <w:rPr>
          <w:color w:val="000000" w:themeColor="text1"/>
          <w:szCs w:val="28"/>
        </w:rPr>
      </w:pPr>
      <w:r w:rsidRPr="00CD2ADD">
        <w:rPr>
          <w:color w:val="000000" w:themeColor="text1"/>
          <w:szCs w:val="28"/>
        </w:rPr>
        <w:t xml:space="preserve">2) </w:t>
      </w:r>
      <w:r w:rsidR="003B1DC0" w:rsidRPr="00CD2ADD">
        <w:rPr>
          <w:color w:val="000000" w:themeColor="text1"/>
          <w:szCs w:val="28"/>
        </w:rPr>
        <w:t>Municipiul Chișinău domină consumul național de apă. Capitala consumă constant peste 50% din volumul total de apă utilizat în țară (aprox. 45–50 mil. m³ anual). Această concentrare ridică provocări privind reziliența sistemelor urbane, mai ales în perioade de stres hidrologic.</w:t>
      </w:r>
    </w:p>
    <w:p w14:paraId="73CAB05F" w14:textId="1075F1B3" w:rsidR="000030A6" w:rsidRPr="00CD2ADD" w:rsidRDefault="00403716" w:rsidP="00B66B8C">
      <w:pPr>
        <w:ind w:firstLine="426"/>
        <w:jc w:val="both"/>
        <w:rPr>
          <w:color w:val="000000" w:themeColor="text1"/>
          <w:szCs w:val="28"/>
        </w:rPr>
      </w:pPr>
      <w:r w:rsidRPr="00CD2ADD">
        <w:rPr>
          <w:color w:val="000000" w:themeColor="text1"/>
          <w:szCs w:val="28"/>
        </w:rPr>
        <w:t xml:space="preserve">3) </w:t>
      </w:r>
      <w:r w:rsidR="003B1DC0" w:rsidRPr="00CD2ADD">
        <w:rPr>
          <w:color w:val="000000" w:themeColor="text1"/>
          <w:szCs w:val="28"/>
        </w:rPr>
        <w:t>Regiunea de Sud – consum foarte scăzut și stabil. În mod constant, regiunea de Sud înregistrează cel mai mic consum de apă (doar 2,5</w:t>
      </w:r>
      <w:r w:rsidR="000030A6" w:rsidRPr="00CD2ADD">
        <w:rPr>
          <w:color w:val="000000" w:themeColor="text1"/>
          <w:szCs w:val="28"/>
        </w:rPr>
        <w:t>-</w:t>
      </w:r>
      <w:r w:rsidR="003B1DC0" w:rsidRPr="00CD2ADD">
        <w:rPr>
          <w:color w:val="000000" w:themeColor="text1"/>
          <w:szCs w:val="28"/>
        </w:rPr>
        <w:t xml:space="preserve">3 mil. m³ anual), ceea ce reflectă vulnerabilitatea structurală a acestei zone, deja afectată de lipsa resurselor de apă, secete frecvente și capacitate limitată de stocare. Această realitate este alarmantă, având în vedere că </w:t>
      </w:r>
      <w:r w:rsidR="004F6F22" w:rsidRPr="00CD2ADD">
        <w:rPr>
          <w:color w:val="000000" w:themeColor="text1"/>
          <w:szCs w:val="28"/>
        </w:rPr>
        <w:t xml:space="preserve">regiunea de </w:t>
      </w:r>
      <w:r w:rsidR="003B1DC0" w:rsidRPr="00CD2ADD">
        <w:rPr>
          <w:color w:val="000000" w:themeColor="text1"/>
          <w:szCs w:val="28"/>
        </w:rPr>
        <w:t>Sud este și una dintre regiunile cele mai expuse la deșertificare.</w:t>
      </w:r>
    </w:p>
    <w:p w14:paraId="003D6A6F" w14:textId="503053EE" w:rsidR="00403716" w:rsidRPr="00CD2ADD" w:rsidRDefault="00403716" w:rsidP="00B66B8C">
      <w:pPr>
        <w:ind w:firstLine="426"/>
        <w:jc w:val="both"/>
        <w:rPr>
          <w:rStyle w:val="IntenseEmphasis"/>
          <w:b w:val="0"/>
          <w:bCs w:val="0"/>
          <w:i w:val="0"/>
          <w:iCs w:val="0"/>
          <w:color w:val="000000" w:themeColor="text1"/>
          <w:szCs w:val="28"/>
        </w:rPr>
      </w:pPr>
      <w:r w:rsidRPr="00CD2ADD">
        <w:rPr>
          <w:color w:val="000000" w:themeColor="text1"/>
          <w:szCs w:val="28"/>
        </w:rPr>
        <w:t xml:space="preserve">4) </w:t>
      </w:r>
      <w:r w:rsidR="000030A6" w:rsidRPr="00CD2ADD">
        <w:rPr>
          <w:color w:val="000000" w:themeColor="text1"/>
          <w:szCs w:val="28"/>
        </w:rPr>
        <w:t>Utilizarea totală a apei s-a menținut relativ constantă în perioada 2002-2022, fiind dominată de consumul pentru necesități de producție, în timp ce utilizarea în agricultură, irigare și scopuri menajere a înregistrat variații moderate. Absența reutilizării și a sistemelor de circulație închisă indică un model de utilizare liniară a apei, care menține o presiune constantă asupra resurselor, accentuată de riscurile climatice. Scăderea accentuată a valorilor înregistrate în 2023-2024 necesită o interpretare prudentă, fiind posibil legată de factori metodologici sau de raportare.</w:t>
      </w:r>
    </w:p>
    <w:p w14:paraId="3B15B3D9" w14:textId="675342FA" w:rsidR="003B1DC0" w:rsidRPr="00CD2ADD" w:rsidRDefault="003B1DC0" w:rsidP="00B66B8C">
      <w:pPr>
        <w:pStyle w:val="Subtitle"/>
        <w:spacing w:after="0" w:line="240" w:lineRule="auto"/>
        <w:ind w:firstLine="284"/>
        <w:rPr>
          <w:rFonts w:ascii="Times New Roman" w:hAnsi="Times New Roman" w:cs="Times New Roman"/>
          <w:b/>
          <w:bCs/>
          <w:i/>
          <w:iCs w:val="0"/>
          <w:color w:val="000000" w:themeColor="text1"/>
          <w:sz w:val="24"/>
        </w:rPr>
      </w:pPr>
      <w:r w:rsidRPr="00CD2ADD">
        <w:rPr>
          <w:rStyle w:val="IntenseEmphasis"/>
          <w:rFonts w:ascii="Times New Roman" w:hAnsi="Times New Roman" w:cs="Times New Roman"/>
          <w:color w:val="000000" w:themeColor="text1"/>
          <w:sz w:val="24"/>
        </w:rPr>
        <w:t>Vulnerabilitate, expunere și capacitate de adaptare</w:t>
      </w:r>
    </w:p>
    <w:bookmarkEnd w:id="48"/>
    <w:p w14:paraId="2073A271" w14:textId="3807F954" w:rsidR="00D4562F" w:rsidRPr="00CD2ADD" w:rsidRDefault="00D4562F">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S</w:t>
      </w:r>
      <w:r w:rsidR="003B1DC0" w:rsidRPr="00CD2ADD">
        <w:rPr>
          <w:rFonts w:ascii="Times New Roman" w:hAnsi="Times New Roman" w:cs="Times New Roman"/>
          <w:color w:val="000000" w:themeColor="text1"/>
          <w:sz w:val="24"/>
          <w:szCs w:val="24"/>
        </w:rPr>
        <w:t xml:space="preserve">ectorul </w:t>
      </w:r>
      <w:r w:rsidR="004F6F22" w:rsidRPr="00CD2ADD">
        <w:rPr>
          <w:rFonts w:ascii="Times New Roman" w:hAnsi="Times New Roman" w:cs="Times New Roman"/>
          <w:color w:val="000000" w:themeColor="text1"/>
          <w:sz w:val="24"/>
          <w:szCs w:val="24"/>
        </w:rPr>
        <w:t xml:space="preserve">resurse de </w:t>
      </w:r>
      <w:r w:rsidR="003B1DC0" w:rsidRPr="00CD2ADD">
        <w:rPr>
          <w:rFonts w:ascii="Times New Roman" w:hAnsi="Times New Roman" w:cs="Times New Roman"/>
          <w:color w:val="000000" w:themeColor="text1"/>
          <w:sz w:val="24"/>
          <w:szCs w:val="24"/>
        </w:rPr>
        <w:t xml:space="preserve">ape din Republica Moldova prezintă un profil de risc ridicat în fața secetei, atât prin prisma expunerii geografice, cât și a vulnerabilităților structurale acumulate. Zona de sud a țării este considerată cea mai expusă la deficitul de apă, din cauza lipsei surselor locale sigure și a absenței infrastructurii de transfer al apei pe distanțe medii sau lungi, ceea ce amplifică riscurile în perioadele de secetă severă. </w:t>
      </w:r>
    </w:p>
    <w:p w14:paraId="573A9CCB" w14:textId="24F4CE21" w:rsidR="000E39C2" w:rsidRPr="00CD2ADD" w:rsidRDefault="003B1DC0" w:rsidP="00403716">
      <w:pPr>
        <w:ind w:firstLine="284"/>
        <w:jc w:val="both"/>
        <w:rPr>
          <w:color w:val="000000" w:themeColor="text1"/>
        </w:rPr>
      </w:pPr>
      <w:r w:rsidRPr="00CD2ADD">
        <w:rPr>
          <w:color w:val="000000" w:themeColor="text1"/>
        </w:rPr>
        <w:lastRenderedPageBreak/>
        <w:t>Această expunere este accentuată de vulnerabilități precum infrastructura învechită de captare și distribuție, lipsa planurilor de gestionare integrată a resurselor de apă, lipsa unui sistem funcțional de avertizare timpurie, precum și de fragmentarea bazinelor hidrografice, care împiedică o planificare coerentă la nivel de regiuni. Deși au fost inițiate unele măsuri de reabilitare a digurilor, de construcție a acumulărilor de apă și de consolidare instituțională, și subfinanțarea cronică a infrastructurii din sector limitează semnificativ capacitatea de adaptare și răspuns în fața riscurilor hidrologice.</w:t>
      </w:r>
      <w:r w:rsidR="00D00005" w:rsidRPr="00CD2ADD">
        <w:rPr>
          <w:color w:val="000000" w:themeColor="text1"/>
        </w:rPr>
        <w:t xml:space="preserve"> </w:t>
      </w:r>
    </w:p>
    <w:p w14:paraId="0BF95CCA" w14:textId="5E948DD2" w:rsidR="000E39C2" w:rsidRPr="00CD2ADD" w:rsidRDefault="000E39C2" w:rsidP="00403716">
      <w:pPr>
        <w:pStyle w:val="Subtitle"/>
        <w:spacing w:after="0" w:line="240" w:lineRule="auto"/>
        <w:ind w:firstLine="284"/>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 xml:space="preserve">Măsuri recomandate pentru combaterea secetei în sectorul </w:t>
      </w:r>
      <w:r w:rsidR="004F6F22" w:rsidRPr="00CD2ADD">
        <w:rPr>
          <w:rStyle w:val="IntenseEmphasis"/>
          <w:rFonts w:ascii="Times New Roman" w:hAnsi="Times New Roman" w:cs="Times New Roman"/>
          <w:color w:val="000000" w:themeColor="text1"/>
          <w:sz w:val="24"/>
        </w:rPr>
        <w:t xml:space="preserve">resurse de </w:t>
      </w:r>
      <w:r w:rsidRPr="00CD2ADD">
        <w:rPr>
          <w:rStyle w:val="IntenseEmphasis"/>
          <w:rFonts w:ascii="Times New Roman" w:hAnsi="Times New Roman" w:cs="Times New Roman"/>
          <w:color w:val="000000" w:themeColor="text1"/>
          <w:sz w:val="24"/>
        </w:rPr>
        <w:t>ap</w:t>
      </w:r>
      <w:r w:rsidR="004F6F22" w:rsidRPr="00CD2ADD">
        <w:rPr>
          <w:rStyle w:val="IntenseEmphasis"/>
          <w:rFonts w:ascii="Times New Roman" w:hAnsi="Times New Roman" w:cs="Times New Roman"/>
          <w:color w:val="000000" w:themeColor="text1"/>
          <w:sz w:val="24"/>
        </w:rPr>
        <w:t>ă</w:t>
      </w:r>
    </w:p>
    <w:p w14:paraId="0663A523" w14:textId="2EA65E9A" w:rsidR="000E39C2" w:rsidRPr="00CD2ADD" w:rsidRDefault="00D36A01">
      <w:pPr>
        <w:pStyle w:val="ListParagraph"/>
        <w:numPr>
          <w:ilvl w:val="0"/>
          <w:numId w:val="42"/>
        </w:numPr>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În acest context,</w:t>
      </w:r>
      <w:r w:rsidR="003E446E" w:rsidRPr="00CD2ADD">
        <w:rPr>
          <w:rFonts w:ascii="Times New Roman" w:hAnsi="Times New Roman" w:cs="Times New Roman"/>
          <w:color w:val="000000" w:themeColor="text1"/>
          <w:sz w:val="24"/>
          <w:szCs w:val="24"/>
        </w:rPr>
        <w:t xml:space="preserve"> programul</w:t>
      </w:r>
      <w:r w:rsidRPr="00CD2ADD">
        <w:rPr>
          <w:rFonts w:ascii="Times New Roman" w:hAnsi="Times New Roman" w:cs="Times New Roman"/>
          <w:color w:val="000000" w:themeColor="text1"/>
          <w:sz w:val="24"/>
          <w:szCs w:val="24"/>
        </w:rPr>
        <w:t xml:space="preserve"> recomandă introducerea tehnologiilor eficiente de monitorizare a umidității solului și utilizarea unor soluții de retenție a apei. Integrarea măsurilor de reducere a riscului de secetă în politicile locale și regionale va fi esențială pentru a preveni întreruperi grave în serviciile de apă și pentru a proteja populația vulnerabilă.</w:t>
      </w:r>
      <w:r w:rsidRPr="00CD2ADD">
        <w:rPr>
          <w:rStyle w:val="FootnoteReference"/>
          <w:rFonts w:ascii="Times New Roman" w:hAnsi="Times New Roman" w:cs="Times New Roman"/>
          <w:color w:val="000000" w:themeColor="text1"/>
          <w:sz w:val="24"/>
          <w:szCs w:val="24"/>
        </w:rPr>
        <w:footnoteReference w:id="19"/>
      </w:r>
    </w:p>
    <w:p w14:paraId="2DCC27F7" w14:textId="7FB169C3" w:rsidR="000A1963" w:rsidRPr="00CD2ADD" w:rsidRDefault="000A1963" w:rsidP="000A1963">
      <w:pPr>
        <w:pStyle w:val="ListParagraph"/>
        <w:spacing w:after="0"/>
        <w:ind w:left="284" w:firstLine="0"/>
        <w:jc w:val="right"/>
        <w:rPr>
          <w:rFonts w:ascii="Times New Roman" w:hAnsi="Times New Roman" w:cs="Times New Roman"/>
          <w:b/>
          <w:bCs/>
          <w:color w:val="000000" w:themeColor="text1"/>
          <w:sz w:val="24"/>
          <w:szCs w:val="24"/>
        </w:rPr>
      </w:pPr>
      <w:r w:rsidRPr="00CD2ADD">
        <w:rPr>
          <w:rFonts w:ascii="Times New Roman" w:hAnsi="Times New Roman" w:cs="Times New Roman"/>
          <w:b/>
          <w:bCs/>
          <w:color w:val="000000" w:themeColor="text1"/>
          <w:sz w:val="24"/>
          <w:szCs w:val="24"/>
        </w:rPr>
        <w:t>Tabelul 6</w:t>
      </w:r>
    </w:p>
    <w:p w14:paraId="51442266" w14:textId="735F78D7" w:rsidR="000A1963" w:rsidRPr="00CD2ADD" w:rsidRDefault="000A1963" w:rsidP="000A1963">
      <w:pPr>
        <w:pStyle w:val="Subtitle"/>
        <w:spacing w:line="240" w:lineRule="auto"/>
        <w:ind w:firstLine="284"/>
        <w:jc w:val="center"/>
        <w:rPr>
          <w:rFonts w:ascii="Times New Roman" w:hAnsi="Times New Roman" w:cs="Times New Roman"/>
          <w:b/>
          <w:bCs/>
          <w:i/>
          <w:iCs w:val="0"/>
          <w:color w:val="000000" w:themeColor="text1"/>
          <w:sz w:val="24"/>
        </w:rPr>
      </w:pPr>
      <w:r w:rsidRPr="00CD2ADD">
        <w:rPr>
          <w:rStyle w:val="IntenseEmphasis"/>
          <w:rFonts w:ascii="Times New Roman" w:hAnsi="Times New Roman" w:cs="Times New Roman"/>
          <w:i w:val="0"/>
          <w:color w:val="000000" w:themeColor="text1"/>
          <w:sz w:val="24"/>
        </w:rPr>
        <w:t>Măsuri recomandate pentru combaterea secetei în sectorul resurse de apă</w:t>
      </w:r>
    </w:p>
    <w:tbl>
      <w:tblPr>
        <w:tblStyle w:val="GridTable1Light-Accent41"/>
        <w:tblW w:w="0" w:type="auto"/>
        <w:tblLook w:val="04A0" w:firstRow="1" w:lastRow="0" w:firstColumn="1" w:lastColumn="0" w:noHBand="0" w:noVBand="1"/>
      </w:tblPr>
      <w:tblGrid>
        <w:gridCol w:w="2994"/>
        <w:gridCol w:w="2671"/>
        <w:gridCol w:w="4071"/>
      </w:tblGrid>
      <w:tr w:rsidR="000E39C2" w:rsidRPr="00CD2ADD" w14:paraId="0B4E73E4" w14:textId="77777777" w:rsidTr="00FF7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bookmarkEnd w:id="52"/>
          <w:p w14:paraId="5309B793" w14:textId="77777777" w:rsidR="00D4562F" w:rsidRPr="00CD2ADD" w:rsidRDefault="00D4562F" w:rsidP="000E39C2">
            <w:pPr>
              <w:rPr>
                <w:sz w:val="21"/>
                <w:szCs w:val="21"/>
              </w:rPr>
            </w:pPr>
            <w:r w:rsidRPr="00CD2ADD">
              <w:rPr>
                <w:sz w:val="21"/>
                <w:szCs w:val="21"/>
              </w:rPr>
              <w:t>Riscuri asociate secetei</w:t>
            </w:r>
          </w:p>
        </w:tc>
        <w:tc>
          <w:tcPr>
            <w:tcW w:w="2671" w:type="dxa"/>
            <w:hideMark/>
          </w:tcPr>
          <w:p w14:paraId="36D4659C" w14:textId="77777777" w:rsidR="00D4562F" w:rsidRPr="00CD2ADD" w:rsidRDefault="00D4562F" w:rsidP="000E39C2">
            <w:pPr>
              <w:cnfStyle w:val="100000000000" w:firstRow="1" w:lastRow="0" w:firstColumn="0" w:lastColumn="0" w:oddVBand="0" w:evenVBand="0" w:oddHBand="0" w:evenHBand="0" w:firstRowFirstColumn="0" w:firstRowLastColumn="0" w:lastRowFirstColumn="0" w:lastRowLastColumn="0"/>
              <w:rPr>
                <w:sz w:val="21"/>
                <w:szCs w:val="21"/>
              </w:rPr>
            </w:pPr>
            <w:r w:rsidRPr="00CD2ADD">
              <w:rPr>
                <w:sz w:val="21"/>
                <w:szCs w:val="21"/>
              </w:rPr>
              <w:t>Vulnerabilități specifice sectorului apei</w:t>
            </w:r>
          </w:p>
        </w:tc>
        <w:tc>
          <w:tcPr>
            <w:tcW w:w="4071" w:type="dxa"/>
            <w:hideMark/>
          </w:tcPr>
          <w:p w14:paraId="0D4AD808" w14:textId="305EBB7C" w:rsidR="00D4562F" w:rsidRPr="00CD2ADD" w:rsidRDefault="00D4562F" w:rsidP="000E39C2">
            <w:pPr>
              <w:cnfStyle w:val="100000000000" w:firstRow="1" w:lastRow="0" w:firstColumn="0" w:lastColumn="0" w:oddVBand="0" w:evenVBand="0" w:oddHBand="0" w:evenHBand="0" w:firstRowFirstColumn="0" w:firstRowLastColumn="0" w:lastRowFirstColumn="0" w:lastRowLastColumn="0"/>
              <w:rPr>
                <w:sz w:val="21"/>
                <w:szCs w:val="21"/>
              </w:rPr>
            </w:pPr>
            <w:r w:rsidRPr="00CD2ADD">
              <w:rPr>
                <w:sz w:val="21"/>
                <w:szCs w:val="21"/>
              </w:rPr>
              <w:t>Măsuri RRD și adaptare</w:t>
            </w:r>
          </w:p>
        </w:tc>
      </w:tr>
      <w:tr w:rsidR="000E39C2" w:rsidRPr="00CD2ADD" w14:paraId="7EDA3D9B" w14:textId="77777777" w:rsidTr="00FF792F">
        <w:tc>
          <w:tcPr>
            <w:cnfStyle w:val="001000000000" w:firstRow="0" w:lastRow="0" w:firstColumn="1" w:lastColumn="0" w:oddVBand="0" w:evenVBand="0" w:oddHBand="0" w:evenHBand="0" w:firstRowFirstColumn="0" w:firstRowLastColumn="0" w:lastRowFirstColumn="0" w:lastRowLastColumn="0"/>
            <w:tcW w:w="0" w:type="auto"/>
            <w:hideMark/>
          </w:tcPr>
          <w:p w14:paraId="5BC0A228" w14:textId="77777777" w:rsidR="00D4562F" w:rsidRPr="00CD2ADD" w:rsidRDefault="00D4562F" w:rsidP="000E39C2">
            <w:pPr>
              <w:rPr>
                <w:b w:val="0"/>
                <w:bCs w:val="0"/>
                <w:sz w:val="21"/>
                <w:szCs w:val="21"/>
              </w:rPr>
            </w:pPr>
            <w:r w:rsidRPr="00CD2ADD">
              <w:rPr>
                <w:sz w:val="21"/>
                <w:szCs w:val="21"/>
              </w:rPr>
              <w:t>Reducerea resurselor din surse de suprafață și subterane</w:t>
            </w:r>
          </w:p>
        </w:tc>
        <w:tc>
          <w:tcPr>
            <w:tcW w:w="2671" w:type="dxa"/>
            <w:hideMark/>
          </w:tcPr>
          <w:p w14:paraId="0819B871" w14:textId="1D74E5BB" w:rsidR="00D4562F" w:rsidRPr="00CD2ADD" w:rsidRDefault="00D4562F" w:rsidP="000E39C2">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Lipsa rețelelor de distribuție modernizate</w:t>
            </w:r>
            <w:r w:rsidRPr="00CD2ADD">
              <w:rPr>
                <w:sz w:val="21"/>
                <w:szCs w:val="21"/>
              </w:rPr>
              <w:br/>
              <w:t>- Infrastructură învechită</w:t>
            </w:r>
          </w:p>
        </w:tc>
        <w:tc>
          <w:tcPr>
            <w:tcW w:w="4071" w:type="dxa"/>
            <w:hideMark/>
          </w:tcPr>
          <w:p w14:paraId="5DC58DB5" w14:textId="6077E786" w:rsidR="00D4562F" w:rsidRPr="00CD2ADD" w:rsidRDefault="00D4562F" w:rsidP="000E39C2">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Extinderea infrastructurii de retenție și stocare (micro-rezervoare)</w:t>
            </w:r>
            <w:r w:rsidRPr="00CD2ADD">
              <w:rPr>
                <w:sz w:val="21"/>
                <w:szCs w:val="21"/>
              </w:rPr>
              <w:br/>
              <w:t>- Sisteme de transfer interregional</w:t>
            </w:r>
          </w:p>
        </w:tc>
      </w:tr>
      <w:tr w:rsidR="000E39C2" w:rsidRPr="00CD2ADD" w14:paraId="1674D9ED" w14:textId="77777777" w:rsidTr="00FF792F">
        <w:tc>
          <w:tcPr>
            <w:cnfStyle w:val="001000000000" w:firstRow="0" w:lastRow="0" w:firstColumn="1" w:lastColumn="0" w:oddVBand="0" w:evenVBand="0" w:oddHBand="0" w:evenHBand="0" w:firstRowFirstColumn="0" w:firstRowLastColumn="0" w:lastRowFirstColumn="0" w:lastRowLastColumn="0"/>
            <w:tcW w:w="0" w:type="auto"/>
            <w:hideMark/>
          </w:tcPr>
          <w:p w14:paraId="157A4FE2" w14:textId="77777777" w:rsidR="00D4562F" w:rsidRPr="00CD2ADD" w:rsidRDefault="00D4562F" w:rsidP="000E39C2">
            <w:pPr>
              <w:rPr>
                <w:sz w:val="21"/>
                <w:szCs w:val="21"/>
              </w:rPr>
            </w:pPr>
            <w:r w:rsidRPr="00CD2ADD">
              <w:rPr>
                <w:sz w:val="21"/>
                <w:szCs w:val="21"/>
              </w:rPr>
              <w:t>Creșterea temperaturilor, contaminarea surselor</w:t>
            </w:r>
          </w:p>
        </w:tc>
        <w:tc>
          <w:tcPr>
            <w:tcW w:w="2671" w:type="dxa"/>
            <w:hideMark/>
          </w:tcPr>
          <w:p w14:paraId="10574C39" w14:textId="0010FBE6" w:rsidR="00D4562F" w:rsidRPr="00CD2ADD" w:rsidRDefault="00D4562F" w:rsidP="000E39C2">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Poluare difuză, lipsa stațiilor moderne de epurare</w:t>
            </w:r>
          </w:p>
        </w:tc>
        <w:tc>
          <w:tcPr>
            <w:tcW w:w="4071" w:type="dxa"/>
            <w:hideMark/>
          </w:tcPr>
          <w:p w14:paraId="0013E640" w14:textId="7FF4F04A" w:rsidR="00D4562F" w:rsidRPr="00CD2ADD" w:rsidRDefault="00D4562F" w:rsidP="000E39C2">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xml:space="preserve">- Modernizarea rețelelor de </w:t>
            </w:r>
            <w:r w:rsidR="000E39C2" w:rsidRPr="00CD2ADD">
              <w:rPr>
                <w:sz w:val="21"/>
                <w:szCs w:val="21"/>
              </w:rPr>
              <w:t xml:space="preserve">epurare a apei si de </w:t>
            </w:r>
            <w:r w:rsidRPr="00CD2ADD">
              <w:rPr>
                <w:sz w:val="21"/>
                <w:szCs w:val="21"/>
              </w:rPr>
              <w:t>monitorizare a calității apei</w:t>
            </w:r>
            <w:r w:rsidRPr="00CD2ADD">
              <w:rPr>
                <w:sz w:val="21"/>
                <w:szCs w:val="21"/>
              </w:rPr>
              <w:br/>
              <w:t>- Reducerea pierderilor în rețelele de distribuție</w:t>
            </w:r>
          </w:p>
        </w:tc>
      </w:tr>
      <w:tr w:rsidR="000E39C2" w:rsidRPr="00CD2ADD" w14:paraId="48D9B522" w14:textId="77777777" w:rsidTr="00FF792F">
        <w:tc>
          <w:tcPr>
            <w:cnfStyle w:val="001000000000" w:firstRow="0" w:lastRow="0" w:firstColumn="1" w:lastColumn="0" w:oddVBand="0" w:evenVBand="0" w:oddHBand="0" w:evenHBand="0" w:firstRowFirstColumn="0" w:firstRowLastColumn="0" w:lastRowFirstColumn="0" w:lastRowLastColumn="0"/>
            <w:tcW w:w="0" w:type="auto"/>
            <w:hideMark/>
          </w:tcPr>
          <w:p w14:paraId="1BD9272D" w14:textId="77777777" w:rsidR="00D4562F" w:rsidRPr="00CD2ADD" w:rsidRDefault="00D4562F" w:rsidP="000E39C2">
            <w:pPr>
              <w:rPr>
                <w:sz w:val="21"/>
                <w:szCs w:val="21"/>
              </w:rPr>
            </w:pPr>
            <w:r w:rsidRPr="00CD2ADD">
              <w:rPr>
                <w:sz w:val="21"/>
                <w:szCs w:val="21"/>
              </w:rPr>
              <w:t>Lipsa planificării proactive și a alertelor</w:t>
            </w:r>
          </w:p>
        </w:tc>
        <w:tc>
          <w:tcPr>
            <w:tcW w:w="2671" w:type="dxa"/>
            <w:hideMark/>
          </w:tcPr>
          <w:p w14:paraId="74C0B4D1" w14:textId="715D71B0" w:rsidR="00D4562F" w:rsidRPr="00CD2ADD" w:rsidRDefault="00D4562F" w:rsidP="000E39C2">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Lipsa sistemelor de avertizare timpurie</w:t>
            </w:r>
          </w:p>
        </w:tc>
        <w:tc>
          <w:tcPr>
            <w:tcW w:w="4071" w:type="dxa"/>
            <w:hideMark/>
          </w:tcPr>
          <w:p w14:paraId="1FE5AAE4" w14:textId="58B81801" w:rsidR="00D4562F" w:rsidRPr="00CD2ADD" w:rsidRDefault="00D4562F" w:rsidP="000E39C2">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xml:space="preserve">- Dezvoltarea hărților de risc și a </w:t>
            </w:r>
            <w:r w:rsidR="0070508E" w:rsidRPr="00CD2ADD">
              <w:rPr>
                <w:sz w:val="21"/>
                <w:szCs w:val="21"/>
              </w:rPr>
              <w:t>sistemelor de avertizare timpurie (SAT)</w:t>
            </w:r>
            <w:r w:rsidRPr="00CD2ADD">
              <w:rPr>
                <w:sz w:val="21"/>
                <w:szCs w:val="21"/>
              </w:rPr>
              <w:t xml:space="preserve"> integrate</w:t>
            </w:r>
            <w:r w:rsidRPr="00CD2ADD">
              <w:rPr>
                <w:sz w:val="21"/>
                <w:szCs w:val="21"/>
              </w:rPr>
              <w:br/>
              <w:t>-Digitalizarea proceselor de monitorizare</w:t>
            </w:r>
          </w:p>
        </w:tc>
      </w:tr>
      <w:tr w:rsidR="000E39C2" w:rsidRPr="00CD2ADD" w14:paraId="5CE970F5" w14:textId="77777777" w:rsidTr="00FF792F">
        <w:tc>
          <w:tcPr>
            <w:cnfStyle w:val="001000000000" w:firstRow="0" w:lastRow="0" w:firstColumn="1" w:lastColumn="0" w:oddVBand="0" w:evenVBand="0" w:oddHBand="0" w:evenHBand="0" w:firstRowFirstColumn="0" w:firstRowLastColumn="0" w:lastRowFirstColumn="0" w:lastRowLastColumn="0"/>
            <w:tcW w:w="0" w:type="auto"/>
            <w:hideMark/>
          </w:tcPr>
          <w:p w14:paraId="6306BE0E" w14:textId="77777777" w:rsidR="00D4562F" w:rsidRPr="00CD2ADD" w:rsidRDefault="00D4562F" w:rsidP="000E39C2">
            <w:pPr>
              <w:rPr>
                <w:sz w:val="21"/>
                <w:szCs w:val="21"/>
              </w:rPr>
            </w:pPr>
            <w:r w:rsidRPr="00CD2ADD">
              <w:rPr>
                <w:sz w:val="21"/>
                <w:szCs w:val="21"/>
              </w:rPr>
              <w:t>Stres hidric în zone urbane</w:t>
            </w:r>
          </w:p>
        </w:tc>
        <w:tc>
          <w:tcPr>
            <w:tcW w:w="2671" w:type="dxa"/>
            <w:hideMark/>
          </w:tcPr>
          <w:p w14:paraId="14B5FDB9" w14:textId="7EC3BCDB" w:rsidR="00D4562F" w:rsidRPr="00CD2ADD" w:rsidRDefault="00D4562F" w:rsidP="000E39C2">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xml:space="preserve">- Consumul concentrat în </w:t>
            </w:r>
            <w:r w:rsidR="00681053" w:rsidRPr="00CD2ADD">
              <w:rPr>
                <w:sz w:val="21"/>
                <w:szCs w:val="21"/>
              </w:rPr>
              <w:t xml:space="preserve">mun. </w:t>
            </w:r>
            <w:r w:rsidRPr="00CD2ADD">
              <w:rPr>
                <w:sz w:val="21"/>
                <w:szCs w:val="21"/>
              </w:rPr>
              <w:t>Chișinău, dependență de surse unice</w:t>
            </w:r>
          </w:p>
        </w:tc>
        <w:tc>
          <w:tcPr>
            <w:tcW w:w="4071" w:type="dxa"/>
            <w:hideMark/>
          </w:tcPr>
          <w:p w14:paraId="24D3657F" w14:textId="13CE0688" w:rsidR="00D4562F" w:rsidRPr="00CD2ADD" w:rsidRDefault="00D4562F" w:rsidP="000E39C2">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Diversificarea surselor de aprovizionare</w:t>
            </w:r>
            <w:r w:rsidRPr="00CD2ADD">
              <w:rPr>
                <w:sz w:val="21"/>
                <w:szCs w:val="21"/>
              </w:rPr>
              <w:br/>
              <w:t>- Promovarea consumului responsabil și eficient</w:t>
            </w:r>
          </w:p>
        </w:tc>
      </w:tr>
    </w:tbl>
    <w:p w14:paraId="08B78EC2" w14:textId="77777777" w:rsidR="00E26B47" w:rsidRPr="00CD2ADD" w:rsidRDefault="00E26B47" w:rsidP="00FF792F">
      <w:pPr>
        <w:pStyle w:val="Subtitle"/>
        <w:rPr>
          <w:rStyle w:val="IntenseEmphasis"/>
          <w:rFonts w:ascii="Times New Roman" w:hAnsi="Times New Roman" w:cs="Times New Roman"/>
          <w:i w:val="0"/>
          <w:iCs/>
          <w:color w:val="000000" w:themeColor="text1"/>
          <w:sz w:val="28"/>
          <w:szCs w:val="28"/>
        </w:rPr>
      </w:pPr>
    </w:p>
    <w:p w14:paraId="31490B43" w14:textId="1A62F25C" w:rsidR="003D2395" w:rsidRPr="00CD2ADD" w:rsidRDefault="003D2395" w:rsidP="00B66B8C">
      <w:pPr>
        <w:pStyle w:val="Subtitle"/>
        <w:spacing w:after="0"/>
        <w:ind w:firstLine="284"/>
        <w:jc w:val="center"/>
        <w:rPr>
          <w:rStyle w:val="IntenseEmphasis"/>
          <w:rFonts w:ascii="Times New Roman" w:hAnsi="Times New Roman" w:cs="Times New Roman"/>
          <w:i w:val="0"/>
          <w:iCs/>
          <w:color w:val="000000" w:themeColor="text1"/>
          <w:sz w:val="24"/>
        </w:rPr>
      </w:pPr>
      <w:r w:rsidRPr="00CD2ADD">
        <w:rPr>
          <w:rStyle w:val="IntenseEmphasis"/>
          <w:rFonts w:ascii="Times New Roman" w:hAnsi="Times New Roman" w:cs="Times New Roman"/>
          <w:i w:val="0"/>
          <w:iCs/>
          <w:color w:val="000000" w:themeColor="text1"/>
          <w:sz w:val="24"/>
        </w:rPr>
        <w:t>Impactul secetei asupra sectorului de transport</w:t>
      </w:r>
    </w:p>
    <w:p w14:paraId="15685F35" w14:textId="0845B410" w:rsidR="000976FF" w:rsidRPr="00CD2ADD" w:rsidRDefault="007D160C">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S</w:t>
      </w:r>
      <w:r w:rsidR="00496F77" w:rsidRPr="00CD2ADD">
        <w:rPr>
          <w:rFonts w:ascii="Times New Roman" w:hAnsi="Times New Roman" w:cs="Times New Roman"/>
          <w:color w:val="000000" w:themeColor="text1"/>
          <w:sz w:val="24"/>
          <w:szCs w:val="24"/>
        </w:rPr>
        <w:t>ectorul transporturilor din Republica Moldova reprezintă un pilon esențial al mobilității interne și conectivității regionale, asigurând legătura între centrele urbane, zonele rurale și punctele de frontieră. În 2023, infrastructura rutieră publică totaliza 9.474 km, dintre care 9.183 km aveau îmbrăcăminte rigidă, reflectând un grad ridicat de acoperire dar și o expunere semnificativă la degradarea cauzată de fenomene climatice extreme. Parcul auto este dominat de autoturisme (788.506 unități), urmate de autovehicule pentru transportul mărfurilor (198.265 unități) și autobuze/microbuze (21.136 unități), ceea ce indică o presiune constantă asupra rețelei de transport, atât în mediul urban cât și rural. În plus.</w:t>
      </w:r>
      <w:r w:rsidR="00496F77" w:rsidRPr="00CD2ADD">
        <w:rPr>
          <w:rStyle w:val="FootnoteReference"/>
          <w:rFonts w:ascii="Times New Roman" w:hAnsi="Times New Roman" w:cs="Times New Roman"/>
          <w:color w:val="000000" w:themeColor="text1"/>
          <w:sz w:val="24"/>
          <w:szCs w:val="24"/>
        </w:rPr>
        <w:footnoteReference w:id="20"/>
      </w:r>
      <w:r w:rsidR="00E26B47" w:rsidRPr="00CD2ADD">
        <w:rPr>
          <w:rFonts w:ascii="Times New Roman" w:hAnsi="Times New Roman" w:cs="Times New Roman"/>
          <w:color w:val="000000" w:themeColor="text1"/>
          <w:sz w:val="24"/>
          <w:szCs w:val="24"/>
        </w:rPr>
        <w:t xml:space="preserve"> î</w:t>
      </w:r>
      <w:r w:rsidR="000976FF" w:rsidRPr="00CD2ADD">
        <w:rPr>
          <w:rFonts w:ascii="Times New Roman" w:hAnsi="Times New Roman" w:cs="Times New Roman"/>
          <w:color w:val="000000" w:themeColor="text1"/>
          <w:sz w:val="24"/>
          <w:szCs w:val="24"/>
        </w:rPr>
        <w:t>n contextul schimbărilor climatice, seceta și fenomenele asociate acesteia, exercită presiuni tot mai mari asupra infrastructurii și serviciilor de transport. Aceste fenomene contribuie la deformarea carosabilului, dilatarea șinelor de tren, uscarea terenurilor de fundare, reducerea duratei de viață a drumurilor asfaltate și scăderea navigabilității pe râurile Nistru și Prut. În plus, ele generează costuri suplimentare de întreținere și impun restricții de circulație, afectând inclusiv transportul public și logistic.</w:t>
      </w:r>
    </w:p>
    <w:p w14:paraId="4341DD49" w14:textId="77777777" w:rsidR="00A72DB3" w:rsidRPr="00CD2ADD" w:rsidRDefault="00A72DB3" w:rsidP="00E26B47">
      <w:pPr>
        <w:pStyle w:val="Subtitle"/>
        <w:spacing w:after="0" w:line="240" w:lineRule="auto"/>
        <w:ind w:firstLine="284"/>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Impact socio-economic</w:t>
      </w:r>
    </w:p>
    <w:p w14:paraId="6AE62545" w14:textId="0B715220" w:rsidR="007D160C" w:rsidRPr="00CD2ADD" w:rsidRDefault="007D160C">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 xml:space="preserve">Sectorul transporturilor, care contribuie cu 4,6% la PIB-ul național în 2023 și angajează circa 36.670 de persoane (reprezentând 5,9% din totalul salariaților din economie, în ușoară scădere față de </w:t>
      </w:r>
      <w:r w:rsidRPr="00CD2ADD">
        <w:rPr>
          <w:rFonts w:ascii="Times New Roman" w:hAnsi="Times New Roman" w:cs="Times New Roman"/>
          <w:color w:val="000000" w:themeColor="text1"/>
          <w:sz w:val="24"/>
          <w:szCs w:val="24"/>
        </w:rPr>
        <w:lastRenderedPageBreak/>
        <w:t xml:space="preserve">6,1% în 2013), constituie un sector esențial în economia națională precum și în conectarea comunităților. </w:t>
      </w:r>
    </w:p>
    <w:p w14:paraId="3E1C39BF" w14:textId="162A93EB" w:rsidR="00F22D1C" w:rsidRPr="00CD2ADD" w:rsidRDefault="00F22D1C" w:rsidP="00E26B47">
      <w:pPr>
        <w:ind w:firstLine="284"/>
        <w:jc w:val="both"/>
        <w:rPr>
          <w:color w:val="000000" w:themeColor="text1"/>
        </w:rPr>
      </w:pPr>
      <w:r w:rsidRPr="00CD2ADD">
        <w:rPr>
          <w:color w:val="000000" w:themeColor="text1"/>
        </w:rPr>
        <w:t>Întreruperile cauzate de secetă și stresul termic generează pierderi economice atât directe, cât și indirecte pentru sectorul transporturilor din Republica Moldova. În anii marcați de caniculă severă, precum 2012 și 2019, au fost documentate restricții de circulație, degradări accelerate ale carosabilului și intervenții de urgență la nivelul infrastructurii feroviare. Transportul de marfă este în mod particular afectat de limitările de tonaj și scăderea eficienței logistice în perioadele estivale, în timp ce transportul public suferă din cauza defectării echipamentelor, adesea învechite și neadaptate condițiilor de temperaturi extreme. În zonele rurale, unde opțiunile de mobilitate sunt deja limitate, stresul termic agravează accesul populației la servicii esențiale și oportunități economice, accentuând astfel inegalitățile teritoriale.</w:t>
      </w:r>
    </w:p>
    <w:p w14:paraId="3F54BC72" w14:textId="77777777" w:rsidR="00A72DB3" w:rsidRPr="00CD2ADD" w:rsidRDefault="00A72DB3" w:rsidP="00AB18CF">
      <w:pPr>
        <w:pStyle w:val="Subtitle"/>
        <w:spacing w:after="0" w:line="240" w:lineRule="auto"/>
        <w:ind w:firstLine="284"/>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Vulnerabilitate, expunere și capacitate de adaptare</w:t>
      </w:r>
    </w:p>
    <w:p w14:paraId="7214A62C" w14:textId="6F6FB639" w:rsidR="00A72DB3" w:rsidRPr="00CD2ADD" w:rsidRDefault="00A72DB3">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 xml:space="preserve">Rețeaua rutieră și feroviară a </w:t>
      </w:r>
      <w:r w:rsidR="00097B3C" w:rsidRPr="00CD2ADD">
        <w:rPr>
          <w:rFonts w:ascii="Times New Roman" w:hAnsi="Times New Roman" w:cs="Times New Roman"/>
          <w:color w:val="000000" w:themeColor="text1"/>
          <w:sz w:val="24"/>
          <w:szCs w:val="24"/>
        </w:rPr>
        <w:t xml:space="preserve">Republicii </w:t>
      </w:r>
      <w:r w:rsidRPr="00CD2ADD">
        <w:rPr>
          <w:rFonts w:ascii="Times New Roman" w:hAnsi="Times New Roman" w:cs="Times New Roman"/>
          <w:color w:val="000000" w:themeColor="text1"/>
          <w:sz w:val="24"/>
          <w:szCs w:val="24"/>
        </w:rPr>
        <w:t>Moldov</w:t>
      </w:r>
      <w:r w:rsidR="00097B3C" w:rsidRPr="00CD2ADD">
        <w:rPr>
          <w:rFonts w:ascii="Times New Roman" w:hAnsi="Times New Roman" w:cs="Times New Roman"/>
          <w:color w:val="000000" w:themeColor="text1"/>
          <w:sz w:val="24"/>
          <w:szCs w:val="24"/>
        </w:rPr>
        <w:t>a</w:t>
      </w:r>
      <w:r w:rsidRPr="00CD2ADD">
        <w:rPr>
          <w:rFonts w:ascii="Times New Roman" w:hAnsi="Times New Roman" w:cs="Times New Roman"/>
          <w:color w:val="000000" w:themeColor="text1"/>
          <w:sz w:val="24"/>
          <w:szCs w:val="24"/>
        </w:rPr>
        <w:t xml:space="preserve"> este majoritar construită pe baza unor standarde tehnice care nu reflectă riscurile climatice actuale și viitoare. Multe tronsoane sunt amplasate pe terenuri instabile sau slab consolidate, iar pierderea capacității portante din cauza uscării excesive a solurilor reprezintă un risc major. Zonele sudice sunt deosebit de expuse din cauza temperaturilor ridicate și lipsei vegetației de protecție. Infrastructura fluvială este puțin dezvoltată și neadaptată la scăderile bruște de nivel ale râurilor în perioadele secetoase.</w:t>
      </w:r>
    </w:p>
    <w:p w14:paraId="39686D9D" w14:textId="58B8F779" w:rsidR="00F22D1C" w:rsidRPr="00CD2ADD" w:rsidRDefault="00A72DB3" w:rsidP="00E26B47">
      <w:pPr>
        <w:ind w:firstLine="284"/>
        <w:jc w:val="both"/>
        <w:rPr>
          <w:color w:val="000000" w:themeColor="text1"/>
        </w:rPr>
      </w:pPr>
      <w:r w:rsidRPr="00CD2ADD">
        <w:rPr>
          <w:color w:val="000000" w:themeColor="text1"/>
        </w:rPr>
        <w:t>Deși există inițiative izolate, cum ar fi evaluările de risc climatic pentru proiecte finanțate de donatori sau începutul integrării riscurilor în planificarea regională, capacitatea instituțională rămâne limitată, iar datele relevante pentru adaptare (monitorizare termică, degradarea infrastructurii, scenarii climatice) sunt încă fragmentare.</w:t>
      </w:r>
    </w:p>
    <w:p w14:paraId="68CD6792" w14:textId="084F7CC6" w:rsidR="00A21E4D" w:rsidRPr="00CD2ADD" w:rsidRDefault="00A21E4D" w:rsidP="00A21E4D">
      <w:pPr>
        <w:ind w:firstLine="284"/>
        <w:jc w:val="right"/>
        <w:rPr>
          <w:b/>
          <w:bCs/>
          <w:color w:val="000000" w:themeColor="text1"/>
        </w:rPr>
      </w:pPr>
      <w:r w:rsidRPr="00CD2ADD">
        <w:rPr>
          <w:b/>
          <w:bCs/>
          <w:color w:val="000000" w:themeColor="text1"/>
        </w:rPr>
        <w:t>Tabelul 7</w:t>
      </w:r>
    </w:p>
    <w:p w14:paraId="6E0BFC1F" w14:textId="7ED68441" w:rsidR="003D2395" w:rsidRPr="00CD2ADD" w:rsidRDefault="00A72DB3" w:rsidP="00A21E4D">
      <w:pPr>
        <w:pStyle w:val="Subtitle"/>
        <w:spacing w:after="120" w:line="240" w:lineRule="auto"/>
        <w:jc w:val="center"/>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Măsuri recomandate pentru combaterea secetei în sectorul transporturilor</w:t>
      </w:r>
    </w:p>
    <w:tbl>
      <w:tblPr>
        <w:tblStyle w:val="GridTable1Light-Accent41"/>
        <w:tblW w:w="0" w:type="auto"/>
        <w:tblLook w:val="04A0" w:firstRow="1" w:lastRow="0" w:firstColumn="1" w:lastColumn="0" w:noHBand="0" w:noVBand="1"/>
      </w:tblPr>
      <w:tblGrid>
        <w:gridCol w:w="2405"/>
        <w:gridCol w:w="3260"/>
        <w:gridCol w:w="4071"/>
      </w:tblGrid>
      <w:tr w:rsidR="00A72DB3" w:rsidRPr="00CD2ADD" w14:paraId="59F5B6B2" w14:textId="77777777" w:rsidTr="00AB18CF">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2405" w:type="dxa"/>
            <w:hideMark/>
          </w:tcPr>
          <w:p w14:paraId="62A1B1AD" w14:textId="27C2E919" w:rsidR="00A72DB3" w:rsidRPr="00CD2ADD" w:rsidRDefault="00A72DB3" w:rsidP="00A72DB3">
            <w:pPr>
              <w:rPr>
                <w:sz w:val="21"/>
                <w:szCs w:val="21"/>
              </w:rPr>
            </w:pPr>
            <w:r w:rsidRPr="00CD2ADD">
              <w:rPr>
                <w:color w:val="000000"/>
                <w:sz w:val="21"/>
                <w:szCs w:val="21"/>
              </w:rPr>
              <w:t>Riscuri asociate secetei și fenomenelor climatice</w:t>
            </w:r>
          </w:p>
        </w:tc>
        <w:tc>
          <w:tcPr>
            <w:tcW w:w="3260" w:type="dxa"/>
            <w:hideMark/>
          </w:tcPr>
          <w:p w14:paraId="702A3015" w14:textId="77777777" w:rsidR="00A72DB3" w:rsidRPr="00CD2ADD" w:rsidRDefault="00A72DB3" w:rsidP="00A72DB3">
            <w:pPr>
              <w:cnfStyle w:val="100000000000" w:firstRow="1"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Vulnerabilități specifice sectorului transporturilor</w:t>
            </w:r>
          </w:p>
        </w:tc>
        <w:tc>
          <w:tcPr>
            <w:tcW w:w="4071" w:type="dxa"/>
            <w:hideMark/>
          </w:tcPr>
          <w:p w14:paraId="1D838799" w14:textId="738F4BE3" w:rsidR="00A72DB3" w:rsidRPr="00CD2ADD" w:rsidRDefault="00A72DB3" w:rsidP="00A72DB3">
            <w:pPr>
              <w:cnfStyle w:val="100000000000" w:firstRow="1"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Măsuri RRD și de adaptare recomandate</w:t>
            </w:r>
          </w:p>
        </w:tc>
      </w:tr>
      <w:tr w:rsidR="00A72DB3" w:rsidRPr="00CD2ADD" w14:paraId="7079F905" w14:textId="77777777" w:rsidTr="00AB18CF">
        <w:trPr>
          <w:trHeight w:val="540"/>
        </w:trPr>
        <w:tc>
          <w:tcPr>
            <w:cnfStyle w:val="001000000000" w:firstRow="0" w:lastRow="0" w:firstColumn="1" w:lastColumn="0" w:oddVBand="0" w:evenVBand="0" w:oddHBand="0" w:evenHBand="0" w:firstRowFirstColumn="0" w:firstRowLastColumn="0" w:lastRowFirstColumn="0" w:lastRowLastColumn="0"/>
            <w:tcW w:w="2405" w:type="dxa"/>
            <w:hideMark/>
          </w:tcPr>
          <w:p w14:paraId="426EBAC2" w14:textId="77777777" w:rsidR="00A72DB3" w:rsidRPr="00CD2ADD" w:rsidRDefault="00A72DB3" w:rsidP="00A72DB3">
            <w:pPr>
              <w:rPr>
                <w:sz w:val="21"/>
                <w:szCs w:val="21"/>
              </w:rPr>
            </w:pPr>
            <w:r w:rsidRPr="00CD2ADD">
              <w:rPr>
                <w:color w:val="000000"/>
                <w:sz w:val="21"/>
                <w:szCs w:val="21"/>
              </w:rPr>
              <w:t>Temperaturi extreme, secetă, valuri de căldură</w:t>
            </w:r>
          </w:p>
        </w:tc>
        <w:tc>
          <w:tcPr>
            <w:tcW w:w="3260" w:type="dxa"/>
            <w:hideMark/>
          </w:tcPr>
          <w:p w14:paraId="2CFF7420" w14:textId="7CC1BCB5" w:rsidR="00A72DB3" w:rsidRPr="00CD2ADD" w:rsidRDefault="00A72DB3" w:rsidP="00A72DB3">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Infrastructură rutieră și feroviară proiectată pe standarde vechi, neadaptate</w:t>
            </w:r>
          </w:p>
          <w:p w14:paraId="5F16CCAF" w14:textId="2CCEAD2F" w:rsidR="00A72DB3" w:rsidRPr="00CD2ADD" w:rsidRDefault="00A72DB3" w:rsidP="00A72DB3">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Lipsa materialelor termo-rezistente</w:t>
            </w:r>
          </w:p>
          <w:p w14:paraId="08B74658" w14:textId="3A6C00C3" w:rsidR="00A72DB3" w:rsidRPr="00CD2ADD" w:rsidRDefault="00A72DB3" w:rsidP="00A72DB3">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Sistem de întreținere reactiv, nu preventiv</w:t>
            </w:r>
          </w:p>
        </w:tc>
        <w:tc>
          <w:tcPr>
            <w:tcW w:w="4071" w:type="dxa"/>
            <w:hideMark/>
          </w:tcPr>
          <w:p w14:paraId="7A125F9A" w14:textId="578E29AE" w:rsidR="00A72DB3" w:rsidRPr="00CD2ADD" w:rsidRDefault="00A72DB3" w:rsidP="00A72DB3">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Revizuirea normelor de proiectare tehnică pentru infrastructură adaptată climatului viitor</w:t>
            </w:r>
          </w:p>
          <w:p w14:paraId="2DEA9BA5" w14:textId="08CB53D4" w:rsidR="00A72DB3" w:rsidRPr="00CD2ADD" w:rsidRDefault="00A72DB3" w:rsidP="00A72DB3">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Utilizarea materialelor cu rezistență termică ridicată</w:t>
            </w:r>
          </w:p>
          <w:p w14:paraId="1C61D6CB" w14:textId="07E25557" w:rsidR="00A72DB3" w:rsidRPr="00CD2ADD" w:rsidRDefault="00A72DB3" w:rsidP="00A72DB3">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Programe de reabilitare preventivă și monitorizare termică a infrastructurii</w:t>
            </w:r>
          </w:p>
        </w:tc>
      </w:tr>
      <w:tr w:rsidR="00A72DB3" w:rsidRPr="00CD2ADD" w14:paraId="6BC8437B" w14:textId="77777777" w:rsidTr="00AB18CF">
        <w:trPr>
          <w:trHeight w:val="345"/>
        </w:trPr>
        <w:tc>
          <w:tcPr>
            <w:cnfStyle w:val="001000000000" w:firstRow="0" w:lastRow="0" w:firstColumn="1" w:lastColumn="0" w:oddVBand="0" w:evenVBand="0" w:oddHBand="0" w:evenHBand="0" w:firstRowFirstColumn="0" w:firstRowLastColumn="0" w:lastRowFirstColumn="0" w:lastRowLastColumn="0"/>
            <w:tcW w:w="2405" w:type="dxa"/>
            <w:hideMark/>
          </w:tcPr>
          <w:p w14:paraId="12531567" w14:textId="77777777" w:rsidR="00A72DB3" w:rsidRPr="00CD2ADD" w:rsidRDefault="00A72DB3" w:rsidP="00A72DB3">
            <w:pPr>
              <w:rPr>
                <w:sz w:val="21"/>
                <w:szCs w:val="21"/>
              </w:rPr>
            </w:pPr>
            <w:r w:rsidRPr="00CD2ADD">
              <w:rPr>
                <w:color w:val="000000"/>
                <w:sz w:val="21"/>
                <w:szCs w:val="21"/>
              </w:rPr>
              <w:t>Reducerea debitelor râurilor</w:t>
            </w:r>
          </w:p>
        </w:tc>
        <w:tc>
          <w:tcPr>
            <w:tcW w:w="3260" w:type="dxa"/>
            <w:hideMark/>
          </w:tcPr>
          <w:p w14:paraId="1868C924" w14:textId="5004B01E" w:rsidR="00A72DB3" w:rsidRPr="00CD2ADD" w:rsidRDefault="00A72DB3" w:rsidP="00A72DB3">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Dependență de rute fluviale pentru transportul de mărfuri</w:t>
            </w:r>
          </w:p>
          <w:p w14:paraId="06F930D0" w14:textId="209104E4" w:rsidR="00A72DB3" w:rsidRPr="00CD2ADD" w:rsidRDefault="00A72DB3" w:rsidP="00A72DB3">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Lipsa infrastructurii pentru transport multimodal adaptat la variabilitate hidrologică</w:t>
            </w:r>
          </w:p>
        </w:tc>
        <w:tc>
          <w:tcPr>
            <w:tcW w:w="4071" w:type="dxa"/>
            <w:hideMark/>
          </w:tcPr>
          <w:p w14:paraId="20D26106" w14:textId="0F2DDD23" w:rsidR="00A72DB3" w:rsidRPr="00CD2ADD" w:rsidRDefault="00A72DB3" w:rsidP="00A72DB3">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Integrarea riscurilor climatice în planurile de transport multimodal</w:t>
            </w:r>
          </w:p>
          <w:p w14:paraId="41E0E544" w14:textId="4859AE50" w:rsidR="00A72DB3" w:rsidRPr="00CD2ADD" w:rsidRDefault="00A72DB3" w:rsidP="00A72DB3">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Măsuri de retenție a apei și adaptare a infrastructurii portuare</w:t>
            </w:r>
          </w:p>
        </w:tc>
      </w:tr>
      <w:tr w:rsidR="00A72DB3" w:rsidRPr="00CD2ADD" w14:paraId="1F5B6607" w14:textId="77777777" w:rsidTr="00AB18CF">
        <w:trPr>
          <w:trHeight w:val="525"/>
        </w:trPr>
        <w:tc>
          <w:tcPr>
            <w:cnfStyle w:val="001000000000" w:firstRow="0" w:lastRow="0" w:firstColumn="1" w:lastColumn="0" w:oddVBand="0" w:evenVBand="0" w:oddHBand="0" w:evenHBand="0" w:firstRowFirstColumn="0" w:firstRowLastColumn="0" w:lastRowFirstColumn="0" w:lastRowLastColumn="0"/>
            <w:tcW w:w="2405" w:type="dxa"/>
            <w:hideMark/>
          </w:tcPr>
          <w:p w14:paraId="7CD1C775" w14:textId="77777777" w:rsidR="00A72DB3" w:rsidRPr="00CD2ADD" w:rsidRDefault="00A72DB3" w:rsidP="00A72DB3">
            <w:pPr>
              <w:rPr>
                <w:sz w:val="21"/>
                <w:szCs w:val="21"/>
              </w:rPr>
            </w:pPr>
            <w:r w:rsidRPr="00CD2ADD">
              <w:rPr>
                <w:color w:val="000000"/>
                <w:sz w:val="21"/>
                <w:szCs w:val="21"/>
              </w:rPr>
              <w:t>Creșterea incendiilor de vegetație</w:t>
            </w:r>
          </w:p>
        </w:tc>
        <w:tc>
          <w:tcPr>
            <w:tcW w:w="3260" w:type="dxa"/>
            <w:hideMark/>
          </w:tcPr>
          <w:p w14:paraId="16DDC46C" w14:textId="78AACDA8" w:rsidR="00A72DB3" w:rsidRPr="00CD2ADD" w:rsidRDefault="00A72DB3" w:rsidP="00A72DB3">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Infrastructură feroviară și rutieră traversând zone de vegetație neîntreținute</w:t>
            </w:r>
          </w:p>
          <w:p w14:paraId="54C532E2" w14:textId="65363993" w:rsidR="00A72DB3" w:rsidRPr="00CD2ADD" w:rsidRDefault="00A72DB3" w:rsidP="00A72DB3">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Lipsa de fâșii tampon sau de protecție</w:t>
            </w:r>
          </w:p>
        </w:tc>
        <w:tc>
          <w:tcPr>
            <w:tcW w:w="4071" w:type="dxa"/>
            <w:hideMark/>
          </w:tcPr>
          <w:p w14:paraId="5D8D46A9" w14:textId="3353A01D" w:rsidR="00A72DB3" w:rsidRPr="00CD2ADD" w:rsidRDefault="00A72DB3" w:rsidP="00A72DB3">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Curățarea vegetației uscate de-a lungul căilor de transport</w:t>
            </w:r>
          </w:p>
          <w:p w14:paraId="2436F84E" w14:textId="535ACE6C" w:rsidR="00A72DB3" w:rsidRPr="00CD2ADD" w:rsidRDefault="00A72DB3" w:rsidP="00A72DB3">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Amenajarea de perdele forestiere</w:t>
            </w:r>
          </w:p>
          <w:p w14:paraId="0FDCA966" w14:textId="72A14A14" w:rsidR="00A72DB3" w:rsidRPr="00CD2ADD" w:rsidRDefault="00A72DB3" w:rsidP="00A72DB3">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Sisteme de alertă timpurie pentru operatori</w:t>
            </w:r>
          </w:p>
        </w:tc>
      </w:tr>
      <w:tr w:rsidR="00A72DB3" w:rsidRPr="00CD2ADD" w14:paraId="56DBB6D3" w14:textId="77777777" w:rsidTr="00AB18CF">
        <w:trPr>
          <w:trHeight w:val="525"/>
        </w:trPr>
        <w:tc>
          <w:tcPr>
            <w:cnfStyle w:val="001000000000" w:firstRow="0" w:lastRow="0" w:firstColumn="1" w:lastColumn="0" w:oddVBand="0" w:evenVBand="0" w:oddHBand="0" w:evenHBand="0" w:firstRowFirstColumn="0" w:firstRowLastColumn="0" w:lastRowFirstColumn="0" w:lastRowLastColumn="0"/>
            <w:tcW w:w="2405" w:type="dxa"/>
            <w:hideMark/>
          </w:tcPr>
          <w:p w14:paraId="1065E852" w14:textId="77777777" w:rsidR="00A72DB3" w:rsidRPr="00CD2ADD" w:rsidRDefault="00A72DB3" w:rsidP="00A72DB3">
            <w:pPr>
              <w:rPr>
                <w:sz w:val="21"/>
                <w:szCs w:val="21"/>
              </w:rPr>
            </w:pPr>
            <w:r w:rsidRPr="00CD2ADD">
              <w:rPr>
                <w:color w:val="000000"/>
                <w:sz w:val="21"/>
                <w:szCs w:val="21"/>
              </w:rPr>
              <w:t>Supraîncălzirea echipamentelor și vehiculelor</w:t>
            </w:r>
          </w:p>
        </w:tc>
        <w:tc>
          <w:tcPr>
            <w:tcW w:w="3260" w:type="dxa"/>
            <w:hideMark/>
          </w:tcPr>
          <w:p w14:paraId="308E5A19" w14:textId="7BCA24E3" w:rsidR="00A72DB3" w:rsidRPr="00CD2ADD" w:rsidRDefault="00A72DB3" w:rsidP="00A72DB3">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Vehicule învechite</w:t>
            </w:r>
            <w:r w:rsidR="000855A2" w:rsidRPr="00CD2ADD">
              <w:rPr>
                <w:color w:val="000000"/>
                <w:sz w:val="21"/>
                <w:szCs w:val="21"/>
              </w:rPr>
              <w:t>, slabă dotare cu echipamente moderne</w:t>
            </w:r>
          </w:p>
          <w:p w14:paraId="40DF20DE" w14:textId="624ADA63" w:rsidR="00A72DB3" w:rsidRPr="00CD2ADD" w:rsidRDefault="00A72DB3" w:rsidP="00A72DB3">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Lipsa sistemelor de răcire adaptate</w:t>
            </w:r>
          </w:p>
        </w:tc>
        <w:tc>
          <w:tcPr>
            <w:tcW w:w="4071" w:type="dxa"/>
            <w:hideMark/>
          </w:tcPr>
          <w:p w14:paraId="4AFCCE4C" w14:textId="77591BBA" w:rsidR="00A72DB3" w:rsidRPr="00CD2ADD" w:rsidRDefault="000855A2" w:rsidP="00A72DB3">
            <w:pPr>
              <w:cnfStyle w:val="000000000000" w:firstRow="0" w:lastRow="0" w:firstColumn="0" w:lastColumn="0" w:oddVBand="0" w:evenVBand="0" w:oddHBand="0" w:evenHBand="0" w:firstRowFirstColumn="0" w:firstRowLastColumn="0" w:lastRowFirstColumn="0" w:lastRowLastColumn="0"/>
              <w:rPr>
                <w:color w:val="000000"/>
                <w:sz w:val="21"/>
                <w:szCs w:val="21"/>
              </w:rPr>
            </w:pPr>
            <w:r w:rsidRPr="00CD2ADD">
              <w:rPr>
                <w:color w:val="000000"/>
                <w:sz w:val="21"/>
                <w:szCs w:val="21"/>
              </w:rPr>
              <w:t xml:space="preserve">- </w:t>
            </w:r>
            <w:r w:rsidR="00A72DB3" w:rsidRPr="00CD2ADD">
              <w:rPr>
                <w:color w:val="000000"/>
                <w:sz w:val="21"/>
                <w:szCs w:val="21"/>
              </w:rPr>
              <w:t>Modernizarea parcului de vehicule publice</w:t>
            </w:r>
          </w:p>
          <w:p w14:paraId="10F26624" w14:textId="014BE014" w:rsidR="000855A2" w:rsidRPr="00CD2ADD" w:rsidRDefault="000855A2" w:rsidP="00A72DB3">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Sisteme de climatizare eficiente energetic</w:t>
            </w:r>
          </w:p>
          <w:p w14:paraId="4334ACF3" w14:textId="485C9F2E" w:rsidR="00A72DB3" w:rsidRPr="00CD2ADD" w:rsidRDefault="000855A2" w:rsidP="00A72DB3">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xml:space="preserve">- </w:t>
            </w:r>
            <w:r w:rsidR="00A72DB3" w:rsidRPr="00CD2ADD">
              <w:rPr>
                <w:color w:val="000000"/>
                <w:sz w:val="21"/>
                <w:szCs w:val="21"/>
              </w:rPr>
              <w:t>Planuri de întreținere sezoniere</w:t>
            </w:r>
          </w:p>
        </w:tc>
      </w:tr>
      <w:tr w:rsidR="00A72DB3" w:rsidRPr="00CD2ADD" w14:paraId="4CEA1806" w14:textId="77777777" w:rsidTr="00AB18CF">
        <w:trPr>
          <w:trHeight w:val="345"/>
        </w:trPr>
        <w:tc>
          <w:tcPr>
            <w:cnfStyle w:val="001000000000" w:firstRow="0" w:lastRow="0" w:firstColumn="1" w:lastColumn="0" w:oddVBand="0" w:evenVBand="0" w:oddHBand="0" w:evenHBand="0" w:firstRowFirstColumn="0" w:firstRowLastColumn="0" w:lastRowFirstColumn="0" w:lastRowLastColumn="0"/>
            <w:tcW w:w="2405" w:type="dxa"/>
            <w:hideMark/>
          </w:tcPr>
          <w:p w14:paraId="4601A09B" w14:textId="77777777" w:rsidR="00A72DB3" w:rsidRPr="00CD2ADD" w:rsidRDefault="00A72DB3" w:rsidP="00A72DB3">
            <w:pPr>
              <w:rPr>
                <w:sz w:val="21"/>
                <w:szCs w:val="21"/>
              </w:rPr>
            </w:pPr>
            <w:r w:rsidRPr="00CD2ADD">
              <w:rPr>
                <w:color w:val="000000"/>
                <w:sz w:val="21"/>
                <w:szCs w:val="21"/>
              </w:rPr>
              <w:t>Restricții de circulație în perioade caniculare</w:t>
            </w:r>
          </w:p>
        </w:tc>
        <w:tc>
          <w:tcPr>
            <w:tcW w:w="3260" w:type="dxa"/>
            <w:hideMark/>
          </w:tcPr>
          <w:p w14:paraId="477B3FFC" w14:textId="130369FF" w:rsidR="00A72DB3" w:rsidRPr="00CD2ADD" w:rsidRDefault="00A72DB3" w:rsidP="00A72DB3">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Lipsa protocoalelor clare de gestionare</w:t>
            </w:r>
          </w:p>
          <w:p w14:paraId="5E52930B" w14:textId="7874C339" w:rsidR="00A72DB3" w:rsidRPr="00CD2ADD" w:rsidRDefault="000855A2" w:rsidP="00A72DB3">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xml:space="preserve">- </w:t>
            </w:r>
            <w:r w:rsidR="00A72DB3" w:rsidRPr="00CD2ADD">
              <w:rPr>
                <w:color w:val="000000"/>
                <w:sz w:val="21"/>
                <w:szCs w:val="21"/>
              </w:rPr>
              <w:t>Slabă comunicare interinstituțională</w:t>
            </w:r>
          </w:p>
        </w:tc>
        <w:tc>
          <w:tcPr>
            <w:tcW w:w="4071" w:type="dxa"/>
            <w:hideMark/>
          </w:tcPr>
          <w:p w14:paraId="20DFE770" w14:textId="698D5487" w:rsidR="00A72DB3" w:rsidRPr="00CD2ADD" w:rsidRDefault="000855A2" w:rsidP="00A72DB3">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xml:space="preserve">- </w:t>
            </w:r>
            <w:r w:rsidR="00A72DB3" w:rsidRPr="00CD2ADD">
              <w:rPr>
                <w:color w:val="000000"/>
                <w:sz w:val="21"/>
                <w:szCs w:val="21"/>
              </w:rPr>
              <w:t>Elaborarea procedurilor de trafic adaptate la risc</w:t>
            </w:r>
          </w:p>
          <w:p w14:paraId="48BE7061" w14:textId="53FA1DA6" w:rsidR="00A72DB3" w:rsidRPr="00CD2ADD" w:rsidRDefault="000855A2" w:rsidP="00A72DB3">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xml:space="preserve">- </w:t>
            </w:r>
            <w:r w:rsidR="00A72DB3" w:rsidRPr="00CD2ADD">
              <w:rPr>
                <w:color w:val="000000"/>
                <w:sz w:val="21"/>
                <w:szCs w:val="21"/>
              </w:rPr>
              <w:t>Platforme digitale de informare în timp real pentru populație și operatori</w:t>
            </w:r>
            <w:r w:rsidRPr="00CD2ADD">
              <w:rPr>
                <w:color w:val="000000"/>
                <w:sz w:val="21"/>
                <w:szCs w:val="21"/>
              </w:rPr>
              <w:t xml:space="preserve"> </w:t>
            </w:r>
          </w:p>
        </w:tc>
      </w:tr>
    </w:tbl>
    <w:p w14:paraId="24281966" w14:textId="7ED61F76" w:rsidR="00A21E4D" w:rsidRPr="00CD2ADD" w:rsidRDefault="00A72DB3" w:rsidP="00AB18CF">
      <w:pPr>
        <w:jc w:val="center"/>
        <w:rPr>
          <w:i/>
          <w:iCs/>
          <w:sz w:val="22"/>
          <w:szCs w:val="22"/>
        </w:rPr>
      </w:pPr>
      <w:r w:rsidRPr="00CD2ADD">
        <w:rPr>
          <w:i/>
          <w:iCs/>
          <w:sz w:val="22"/>
          <w:szCs w:val="22"/>
        </w:rPr>
        <w:t>Sursa: Adaptare după PNASC 2030</w:t>
      </w:r>
    </w:p>
    <w:p w14:paraId="345A09C1" w14:textId="26CCC5D1" w:rsidR="00D36A01" w:rsidRPr="00CD2ADD" w:rsidRDefault="00D36A01" w:rsidP="00B66B8C">
      <w:pPr>
        <w:pStyle w:val="Subtitle"/>
        <w:spacing w:after="0"/>
        <w:jc w:val="center"/>
        <w:rPr>
          <w:rStyle w:val="IntenseEmphasis"/>
          <w:rFonts w:ascii="Times New Roman" w:hAnsi="Times New Roman" w:cs="Times New Roman"/>
          <w:i w:val="0"/>
          <w:iCs/>
          <w:color w:val="000000" w:themeColor="text1"/>
          <w:sz w:val="24"/>
        </w:rPr>
      </w:pPr>
      <w:r w:rsidRPr="00CD2ADD">
        <w:rPr>
          <w:rStyle w:val="IntenseEmphasis"/>
          <w:rFonts w:ascii="Times New Roman" w:hAnsi="Times New Roman" w:cs="Times New Roman"/>
          <w:i w:val="0"/>
          <w:iCs/>
          <w:color w:val="000000" w:themeColor="text1"/>
          <w:sz w:val="24"/>
        </w:rPr>
        <w:t>Impactul secetei asupra sectorului energetic</w:t>
      </w:r>
    </w:p>
    <w:p w14:paraId="4010FE16" w14:textId="74A6E770" w:rsidR="00D9032D" w:rsidRPr="00CD2ADD" w:rsidRDefault="00D9032D">
      <w:pPr>
        <w:pStyle w:val="ListParagraph"/>
        <w:numPr>
          <w:ilvl w:val="0"/>
          <w:numId w:val="42"/>
        </w:numPr>
        <w:spacing w:after="0"/>
        <w:ind w:left="0" w:firstLine="284"/>
        <w:jc w:val="both"/>
        <w:rPr>
          <w:rStyle w:val="IntenseEmphasis"/>
          <w:rFonts w:ascii="Times New Roman" w:hAnsi="Times New Roman" w:cs="Times New Roman"/>
          <w:b w:val="0"/>
          <w:bCs w:val="0"/>
          <w:i w:val="0"/>
          <w:iCs w:val="0"/>
          <w:color w:val="000000" w:themeColor="text1"/>
          <w:sz w:val="24"/>
          <w:szCs w:val="24"/>
        </w:rPr>
      </w:pPr>
      <w:r w:rsidRPr="00CD2ADD">
        <w:rPr>
          <w:rFonts w:ascii="Times New Roman" w:hAnsi="Times New Roman" w:cs="Times New Roman"/>
          <w:color w:val="000000" w:themeColor="text1"/>
          <w:sz w:val="24"/>
          <w:szCs w:val="24"/>
        </w:rPr>
        <w:lastRenderedPageBreak/>
        <w:t>Seceta și valurile de căldură afectează indirect, dar profund, sectorul energetic din Republica Moldova. În perioadele caniculare, crește semnificativ cererea de energie electrică, în special pentru sistemele de răcire și climatizare, punând presiune pe o infrastructură de transport și distribuție în mare parte învechită. În același timp, seceta afectează rezervele de apă necesare pentru procesele de răcire din centralele termice și agravează riscurile de incendii în apropierea liniilor de înaltă tensiune. Aceste fenomene conduc la scăderea eficienței echipamentelor energetice, degradarea fizică a infrastructurii și creșterea riscului de întreruperi în alimentarea cu energie.</w:t>
      </w:r>
    </w:p>
    <w:p w14:paraId="66F05BA5" w14:textId="77777777" w:rsidR="00D9032D" w:rsidRPr="00CD2ADD" w:rsidRDefault="00D9032D" w:rsidP="00C250E4">
      <w:pPr>
        <w:pStyle w:val="Subtitle"/>
        <w:spacing w:after="0" w:line="240" w:lineRule="auto"/>
        <w:ind w:firstLine="284"/>
        <w:jc w:val="both"/>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Impact socio-economic al secetei asupra sectorului energetic</w:t>
      </w:r>
    </w:p>
    <w:p w14:paraId="39B71FBB" w14:textId="5B174716" w:rsidR="00D9032D" w:rsidRPr="00CD2ADD" w:rsidRDefault="00D9032D">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 xml:space="preserve">Conform, raportul intitulat „Foaia de Parcurs pentru Întărirea Infrastructurii Critice in Republica Moldova”, în anii cu temperaturi extreme (ex. 2022–2023), s-au înregistrat întreruperi prelungite în distribuția energiei electrice. De exemplu, indicele SAIDI al RED Nord a crescut dramatic de la 26 minute în 2022 la 294 minute în 2023, semnalând o vulnerabilitate sistemică în fața stresului climatic. Aceste întreruperi afectează nu doar gospodăriile, ci și servicii publice esențiale precum spitalele, aprovizionarea cu apă și comunicațiile. Conform </w:t>
      </w:r>
      <w:r w:rsidR="002D62C6" w:rsidRPr="00CD2ADD">
        <w:rPr>
          <w:rFonts w:ascii="Times New Roman" w:hAnsi="Times New Roman" w:cs="Times New Roman"/>
          <w:color w:val="000000" w:themeColor="text1"/>
          <w:sz w:val="24"/>
          <w:szCs w:val="24"/>
        </w:rPr>
        <w:t>evaluării nevoilor tehnologice de adaptare la schimbările climatice a sectorului energetic, elaborate in cadrul pro</w:t>
      </w:r>
      <w:r w:rsidR="007527AF" w:rsidRPr="00CD2ADD">
        <w:rPr>
          <w:rFonts w:ascii="Times New Roman" w:hAnsi="Times New Roman" w:cs="Times New Roman"/>
          <w:color w:val="000000" w:themeColor="text1"/>
          <w:sz w:val="24"/>
          <w:szCs w:val="24"/>
        </w:rPr>
        <w:t>cesului</w:t>
      </w:r>
      <w:r w:rsidR="002D62C6" w:rsidRPr="00CD2ADD">
        <w:rPr>
          <w:rFonts w:ascii="Times New Roman" w:hAnsi="Times New Roman" w:cs="Times New Roman"/>
          <w:color w:val="000000" w:themeColor="text1"/>
          <w:sz w:val="24"/>
          <w:szCs w:val="24"/>
        </w:rPr>
        <w:t xml:space="preserve"> PNA-2,</w:t>
      </w:r>
      <w:r w:rsidRPr="00CD2ADD">
        <w:rPr>
          <w:rFonts w:ascii="Times New Roman" w:hAnsi="Times New Roman" w:cs="Times New Roman"/>
          <w:color w:val="000000" w:themeColor="text1"/>
          <w:sz w:val="24"/>
          <w:szCs w:val="24"/>
        </w:rPr>
        <w:t xml:space="preserve"> Moldova importă aproximativ 76% din necesarul său energetic și se confruntă cu o rată alarmantă a sărăciei energetice: peste 80% din populație alocă mai mult de 10% din venituri pentru facturile energetice, cu o medie de 17% </w:t>
      </w:r>
      <w:r w:rsidR="002D62C6" w:rsidRPr="00CD2ADD">
        <w:rPr>
          <w:rFonts w:ascii="Times New Roman" w:hAnsi="Times New Roman" w:cs="Times New Roman"/>
          <w:color w:val="000000" w:themeColor="text1"/>
          <w:sz w:val="24"/>
          <w:szCs w:val="24"/>
        </w:rPr>
        <w:t>-</w:t>
      </w:r>
      <w:r w:rsidRPr="00CD2ADD">
        <w:rPr>
          <w:rFonts w:ascii="Times New Roman" w:hAnsi="Times New Roman" w:cs="Times New Roman"/>
          <w:color w:val="000000" w:themeColor="text1"/>
          <w:sz w:val="24"/>
          <w:szCs w:val="24"/>
        </w:rPr>
        <w:t xml:space="preserve"> una dintre cele mai mari din regiune. În acest context, seceta accentuează dezechilibrele sociale, afectând în special populația rurală și gospodăriile vulnerabile care nu dispun de alternative moderne.</w:t>
      </w:r>
    </w:p>
    <w:p w14:paraId="414912F7" w14:textId="77777777" w:rsidR="00D9032D" w:rsidRPr="00CD2ADD" w:rsidRDefault="00D9032D" w:rsidP="00FF792F">
      <w:pPr>
        <w:pStyle w:val="Subtitle"/>
        <w:spacing w:after="0" w:line="240" w:lineRule="auto"/>
        <w:ind w:firstLine="284"/>
        <w:jc w:val="both"/>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Vulnerabilitate, expunere și capacitate de adaptare</w:t>
      </w:r>
    </w:p>
    <w:p w14:paraId="15717803" w14:textId="1C602378" w:rsidR="00A03711" w:rsidRPr="00CD2ADD" w:rsidRDefault="00D9032D">
      <w:pPr>
        <w:pStyle w:val="ListParagraph"/>
        <w:numPr>
          <w:ilvl w:val="0"/>
          <w:numId w:val="42"/>
        </w:numPr>
        <w:spacing w:after="0"/>
        <w:ind w:left="0" w:firstLine="142"/>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 xml:space="preserve">Rețeaua de transport și distribuție a energiei electrice este extinsă, dar fragilă și insuficient adaptată condițiilor climatice actuale și viitoare. Lipsa capacităților de stocare locală, infrastructura învechită, concentrarea surselor de energie în câteva puncte și lipsa unor mecanisme moderne de avertizare și reacție rapidă sporesc riscul de avarii în lanț. Totodată, lipsa unui plan național de adaptare specific sectorului energetic și investițiile reduse în modernizare afectează capacitatea de răspuns. Pe de altă parte, există exemple pozitive: migranții reveniți în </w:t>
      </w:r>
      <w:r w:rsidR="00FE0DA9" w:rsidRPr="00CD2ADD">
        <w:rPr>
          <w:rFonts w:ascii="Times New Roman" w:hAnsi="Times New Roman" w:cs="Times New Roman"/>
          <w:color w:val="000000" w:themeColor="text1"/>
          <w:sz w:val="24"/>
          <w:szCs w:val="24"/>
        </w:rPr>
        <w:t>țară</w:t>
      </w:r>
      <w:r w:rsidRPr="00CD2ADD">
        <w:rPr>
          <w:rFonts w:ascii="Times New Roman" w:hAnsi="Times New Roman" w:cs="Times New Roman"/>
          <w:color w:val="000000" w:themeColor="text1"/>
          <w:sz w:val="24"/>
          <w:szCs w:val="24"/>
        </w:rPr>
        <w:t xml:space="preserve"> investesc în panouri solare și turbine eoliene la scară mică, sporind reziliența energetică a gospodăriilor. Programe precum PARE 1+1 sprijină aceste inițiative, demonstrând rolul important al remitențelor în tranziția energetică. De asemenea, procesul </w:t>
      </w:r>
      <w:r w:rsidR="007527AF" w:rsidRPr="00CD2ADD">
        <w:rPr>
          <w:rFonts w:ascii="Times New Roman" w:hAnsi="Times New Roman" w:cs="Times New Roman"/>
          <w:color w:val="000000" w:themeColor="text1"/>
          <w:sz w:val="24"/>
          <w:szCs w:val="24"/>
        </w:rPr>
        <w:t>P</w:t>
      </w:r>
      <w:r w:rsidRPr="00CD2ADD">
        <w:rPr>
          <w:rFonts w:ascii="Times New Roman" w:hAnsi="Times New Roman" w:cs="Times New Roman"/>
          <w:color w:val="000000" w:themeColor="text1"/>
          <w:sz w:val="24"/>
          <w:szCs w:val="24"/>
        </w:rPr>
        <w:t>NA a identificat soluții tehnice prioritare pentru adaptare</w:t>
      </w:r>
      <w:r w:rsidR="002D62C6"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inclusiv pompe de căldură sol-apă, sisteme fotovoltaice și sisteme de izolare performante</w:t>
      </w:r>
      <w:r w:rsidR="002D62C6"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care pot contribui la reducerea vulnerabilității energetice.</w:t>
      </w:r>
    </w:p>
    <w:p w14:paraId="42B26869" w14:textId="3CA49DA2" w:rsidR="00A21E4D" w:rsidRPr="00CD2ADD" w:rsidRDefault="00A21E4D" w:rsidP="00A21E4D">
      <w:pPr>
        <w:pStyle w:val="ListParagraph"/>
        <w:spacing w:after="0"/>
        <w:ind w:left="142" w:firstLine="0"/>
        <w:jc w:val="right"/>
        <w:rPr>
          <w:rFonts w:ascii="Times New Roman" w:hAnsi="Times New Roman" w:cs="Times New Roman"/>
          <w:b/>
          <w:bCs/>
          <w:color w:val="000000" w:themeColor="text1"/>
          <w:sz w:val="24"/>
          <w:szCs w:val="24"/>
        </w:rPr>
      </w:pPr>
      <w:r w:rsidRPr="00CD2ADD">
        <w:rPr>
          <w:rFonts w:ascii="Times New Roman" w:hAnsi="Times New Roman" w:cs="Times New Roman"/>
          <w:b/>
          <w:bCs/>
          <w:color w:val="000000" w:themeColor="text1"/>
          <w:sz w:val="24"/>
          <w:szCs w:val="24"/>
        </w:rPr>
        <w:t>Tabelul 8</w:t>
      </w:r>
    </w:p>
    <w:p w14:paraId="17EA95A9" w14:textId="7D3DAB90" w:rsidR="0087484C" w:rsidRPr="00CD2ADD" w:rsidRDefault="0087484C" w:rsidP="00A21E4D">
      <w:pPr>
        <w:pStyle w:val="Subtitle"/>
        <w:spacing w:after="120" w:line="240" w:lineRule="auto"/>
        <w:jc w:val="center"/>
        <w:rPr>
          <w:rFonts w:ascii="Times New Roman" w:hAnsi="Times New Roman" w:cs="Times New Roman"/>
          <w:b/>
          <w:bCs/>
          <w:i/>
          <w:iCs w:val="0"/>
          <w:color w:val="000000" w:themeColor="text1"/>
          <w:sz w:val="24"/>
        </w:rPr>
      </w:pPr>
      <w:r w:rsidRPr="00CD2ADD">
        <w:rPr>
          <w:rStyle w:val="IntenseEmphasis"/>
          <w:rFonts w:ascii="Times New Roman" w:hAnsi="Times New Roman" w:cs="Times New Roman"/>
          <w:i w:val="0"/>
          <w:iCs/>
          <w:color w:val="000000" w:themeColor="text1"/>
          <w:sz w:val="24"/>
        </w:rPr>
        <w:t>Măsuri recomandate pentru combaterea secetei în sectorul energiei</w:t>
      </w:r>
    </w:p>
    <w:tbl>
      <w:tblPr>
        <w:tblStyle w:val="GridTable1Light-Accent41"/>
        <w:tblW w:w="0" w:type="auto"/>
        <w:tblLook w:val="04A0" w:firstRow="1" w:lastRow="0" w:firstColumn="1" w:lastColumn="0" w:noHBand="0" w:noVBand="1"/>
      </w:tblPr>
      <w:tblGrid>
        <w:gridCol w:w="2753"/>
        <w:gridCol w:w="3648"/>
        <w:gridCol w:w="3335"/>
      </w:tblGrid>
      <w:tr w:rsidR="002D62C6" w:rsidRPr="00CD2ADD" w14:paraId="2F0E813D" w14:textId="77777777" w:rsidTr="002D62C6">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840" w:type="dxa"/>
            <w:hideMark/>
          </w:tcPr>
          <w:p w14:paraId="29AC60E4" w14:textId="77777777" w:rsidR="002D62C6" w:rsidRPr="00CD2ADD" w:rsidRDefault="002D62C6" w:rsidP="002D62C6">
            <w:pPr>
              <w:rPr>
                <w:sz w:val="21"/>
                <w:szCs w:val="21"/>
              </w:rPr>
            </w:pPr>
            <w:bookmarkStart w:id="55" w:name="OLE_LINK11"/>
            <w:r w:rsidRPr="00CD2ADD">
              <w:rPr>
                <w:color w:val="000000"/>
                <w:sz w:val="21"/>
                <w:szCs w:val="21"/>
              </w:rPr>
              <w:t>Riscuri asociate secetei și valurilor de căldură</w:t>
            </w:r>
          </w:p>
        </w:tc>
        <w:tc>
          <w:tcPr>
            <w:tcW w:w="5700" w:type="dxa"/>
            <w:hideMark/>
          </w:tcPr>
          <w:p w14:paraId="550DD634" w14:textId="77777777" w:rsidR="002D62C6" w:rsidRPr="00CD2ADD" w:rsidRDefault="002D62C6" w:rsidP="002D62C6">
            <w:pPr>
              <w:cnfStyle w:val="100000000000" w:firstRow="1"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Vulnerabilități specifice sectorului energetic</w:t>
            </w:r>
          </w:p>
        </w:tc>
        <w:tc>
          <w:tcPr>
            <w:tcW w:w="5115" w:type="dxa"/>
            <w:hideMark/>
          </w:tcPr>
          <w:p w14:paraId="0EDF7EC2" w14:textId="6EFC5D1A" w:rsidR="002D62C6" w:rsidRPr="00CD2ADD" w:rsidRDefault="002D62C6" w:rsidP="002D62C6">
            <w:pPr>
              <w:cnfStyle w:val="100000000000" w:firstRow="1"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Recomandări RRD și măsuri de adaptare</w:t>
            </w:r>
          </w:p>
        </w:tc>
      </w:tr>
      <w:tr w:rsidR="002D62C6" w:rsidRPr="00CD2ADD" w14:paraId="0A2B6F23" w14:textId="77777777" w:rsidTr="002D62C6">
        <w:trPr>
          <w:trHeight w:val="180"/>
        </w:trPr>
        <w:tc>
          <w:tcPr>
            <w:cnfStyle w:val="001000000000" w:firstRow="0" w:lastRow="0" w:firstColumn="1" w:lastColumn="0" w:oddVBand="0" w:evenVBand="0" w:oddHBand="0" w:evenHBand="0" w:firstRowFirstColumn="0" w:firstRowLastColumn="0" w:lastRowFirstColumn="0" w:lastRowLastColumn="0"/>
            <w:tcW w:w="3840" w:type="dxa"/>
            <w:hideMark/>
          </w:tcPr>
          <w:p w14:paraId="5A80D3CE" w14:textId="77777777" w:rsidR="002D62C6" w:rsidRPr="00CD2ADD" w:rsidRDefault="002D62C6" w:rsidP="002D62C6">
            <w:pPr>
              <w:rPr>
                <w:sz w:val="21"/>
                <w:szCs w:val="21"/>
              </w:rPr>
            </w:pPr>
            <w:r w:rsidRPr="00CD2ADD">
              <w:rPr>
                <w:color w:val="000000"/>
                <w:sz w:val="21"/>
                <w:szCs w:val="21"/>
              </w:rPr>
              <w:t>Supraîncălzirea echipamentelor energetice</w:t>
            </w:r>
          </w:p>
        </w:tc>
        <w:tc>
          <w:tcPr>
            <w:tcW w:w="5700" w:type="dxa"/>
            <w:hideMark/>
          </w:tcPr>
          <w:p w14:paraId="1B4A6D17" w14:textId="7117B90E" w:rsidR="002D62C6" w:rsidRPr="00CD2ADD" w:rsidRDefault="002D62C6" w:rsidP="002D62C6">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Stații de transformare și linii de distribuție expuse; lipsa sistemelor de răcire adecvate</w:t>
            </w:r>
          </w:p>
        </w:tc>
        <w:tc>
          <w:tcPr>
            <w:tcW w:w="5115" w:type="dxa"/>
            <w:hideMark/>
          </w:tcPr>
          <w:p w14:paraId="1147CA60" w14:textId="1C2F821F" w:rsidR="002D62C6" w:rsidRPr="00CD2ADD" w:rsidRDefault="002D62C6" w:rsidP="002D62C6">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Modernizarea echipamentelor și introducerea de tehnologii termo-rezistente</w:t>
            </w:r>
          </w:p>
        </w:tc>
      </w:tr>
      <w:tr w:rsidR="002D62C6" w:rsidRPr="00CD2ADD" w14:paraId="64364BDC" w14:textId="77777777" w:rsidTr="002D62C6">
        <w:trPr>
          <w:trHeight w:val="165"/>
        </w:trPr>
        <w:tc>
          <w:tcPr>
            <w:cnfStyle w:val="001000000000" w:firstRow="0" w:lastRow="0" w:firstColumn="1" w:lastColumn="0" w:oddVBand="0" w:evenVBand="0" w:oddHBand="0" w:evenHBand="0" w:firstRowFirstColumn="0" w:firstRowLastColumn="0" w:lastRowFirstColumn="0" w:lastRowLastColumn="0"/>
            <w:tcW w:w="3840" w:type="dxa"/>
            <w:hideMark/>
          </w:tcPr>
          <w:p w14:paraId="3F535646" w14:textId="77777777" w:rsidR="002D62C6" w:rsidRPr="00CD2ADD" w:rsidRDefault="002D62C6" w:rsidP="002D62C6">
            <w:pPr>
              <w:rPr>
                <w:sz w:val="21"/>
                <w:szCs w:val="21"/>
              </w:rPr>
            </w:pPr>
            <w:r w:rsidRPr="00CD2ADD">
              <w:rPr>
                <w:color w:val="000000"/>
                <w:sz w:val="21"/>
                <w:szCs w:val="21"/>
              </w:rPr>
              <w:t>Reducerea debitelor de apă pentru răcirea centralelor</w:t>
            </w:r>
          </w:p>
        </w:tc>
        <w:tc>
          <w:tcPr>
            <w:tcW w:w="5700" w:type="dxa"/>
            <w:hideMark/>
          </w:tcPr>
          <w:p w14:paraId="7B219CFC" w14:textId="7EE4B3A6" w:rsidR="002D62C6" w:rsidRPr="00CD2ADD" w:rsidRDefault="002D62C6" w:rsidP="002D62C6">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Lipsa surselor alternative de apă sau a sistemelor de răcire eficiente</w:t>
            </w:r>
          </w:p>
        </w:tc>
        <w:tc>
          <w:tcPr>
            <w:tcW w:w="5115" w:type="dxa"/>
            <w:hideMark/>
          </w:tcPr>
          <w:p w14:paraId="53905C6B" w14:textId="3F6BCFC6" w:rsidR="002D62C6" w:rsidRPr="00CD2ADD" w:rsidRDefault="002D62C6" w:rsidP="002D62C6">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Investiții în sisteme alternative de răcire și retenție de apă</w:t>
            </w:r>
          </w:p>
        </w:tc>
      </w:tr>
      <w:tr w:rsidR="002D62C6" w:rsidRPr="00CD2ADD" w14:paraId="1035D344" w14:textId="77777777" w:rsidTr="002D62C6">
        <w:trPr>
          <w:trHeight w:val="165"/>
        </w:trPr>
        <w:tc>
          <w:tcPr>
            <w:cnfStyle w:val="001000000000" w:firstRow="0" w:lastRow="0" w:firstColumn="1" w:lastColumn="0" w:oddVBand="0" w:evenVBand="0" w:oddHBand="0" w:evenHBand="0" w:firstRowFirstColumn="0" w:firstRowLastColumn="0" w:lastRowFirstColumn="0" w:lastRowLastColumn="0"/>
            <w:tcW w:w="3840" w:type="dxa"/>
            <w:hideMark/>
          </w:tcPr>
          <w:p w14:paraId="120932B5" w14:textId="77777777" w:rsidR="002D62C6" w:rsidRPr="00CD2ADD" w:rsidRDefault="002D62C6" w:rsidP="002D62C6">
            <w:pPr>
              <w:rPr>
                <w:sz w:val="21"/>
                <w:szCs w:val="21"/>
              </w:rPr>
            </w:pPr>
            <w:r w:rsidRPr="00CD2ADD">
              <w:rPr>
                <w:color w:val="000000"/>
                <w:sz w:val="21"/>
                <w:szCs w:val="21"/>
              </w:rPr>
              <w:t>Creșterea cererii de energie pentru răcire</w:t>
            </w:r>
          </w:p>
        </w:tc>
        <w:tc>
          <w:tcPr>
            <w:tcW w:w="5700" w:type="dxa"/>
            <w:hideMark/>
          </w:tcPr>
          <w:p w14:paraId="05EAFFEE" w14:textId="1F1389CE" w:rsidR="002D62C6" w:rsidRPr="00CD2ADD" w:rsidRDefault="002D62C6" w:rsidP="002D62C6">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Rețea fragilă, consum crescut în orele de vârf</w:t>
            </w:r>
          </w:p>
        </w:tc>
        <w:tc>
          <w:tcPr>
            <w:tcW w:w="5115" w:type="dxa"/>
            <w:hideMark/>
          </w:tcPr>
          <w:p w14:paraId="23690D74" w14:textId="005C8732" w:rsidR="002D62C6" w:rsidRPr="00CD2ADD" w:rsidRDefault="002D62C6" w:rsidP="002D62C6">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Digitalizarea rețelei și managementul cererii prin sisteme smart grid</w:t>
            </w:r>
          </w:p>
        </w:tc>
      </w:tr>
      <w:tr w:rsidR="002D62C6" w:rsidRPr="00CD2ADD" w14:paraId="101A9871" w14:textId="77777777" w:rsidTr="002D62C6">
        <w:trPr>
          <w:trHeight w:val="165"/>
        </w:trPr>
        <w:tc>
          <w:tcPr>
            <w:cnfStyle w:val="001000000000" w:firstRow="0" w:lastRow="0" w:firstColumn="1" w:lastColumn="0" w:oddVBand="0" w:evenVBand="0" w:oddHBand="0" w:evenHBand="0" w:firstRowFirstColumn="0" w:firstRowLastColumn="0" w:lastRowFirstColumn="0" w:lastRowLastColumn="0"/>
            <w:tcW w:w="3840" w:type="dxa"/>
            <w:hideMark/>
          </w:tcPr>
          <w:p w14:paraId="7BF68D0C" w14:textId="77777777" w:rsidR="002D62C6" w:rsidRPr="00CD2ADD" w:rsidRDefault="002D62C6" w:rsidP="002D62C6">
            <w:pPr>
              <w:rPr>
                <w:sz w:val="21"/>
                <w:szCs w:val="21"/>
              </w:rPr>
            </w:pPr>
            <w:r w:rsidRPr="00CD2ADD">
              <w:rPr>
                <w:color w:val="000000"/>
                <w:sz w:val="21"/>
                <w:szCs w:val="21"/>
              </w:rPr>
              <w:t>Incendii în apropierea liniilor electrice</w:t>
            </w:r>
          </w:p>
        </w:tc>
        <w:tc>
          <w:tcPr>
            <w:tcW w:w="5700" w:type="dxa"/>
            <w:hideMark/>
          </w:tcPr>
          <w:p w14:paraId="3C8E1226" w14:textId="7CAF773D" w:rsidR="002D62C6" w:rsidRPr="00CD2ADD" w:rsidRDefault="002D62C6" w:rsidP="002D62C6">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Vegetație uscată neîntreținută în jurul infrastructurii</w:t>
            </w:r>
          </w:p>
        </w:tc>
        <w:tc>
          <w:tcPr>
            <w:tcW w:w="5115" w:type="dxa"/>
            <w:hideMark/>
          </w:tcPr>
          <w:p w14:paraId="315B2155" w14:textId="20C239E0" w:rsidR="002D62C6" w:rsidRPr="00CD2ADD" w:rsidRDefault="002D62C6" w:rsidP="002D62C6">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Amenajarea fâșiilor de protecție și întreținerea vegetației</w:t>
            </w:r>
          </w:p>
        </w:tc>
      </w:tr>
      <w:tr w:rsidR="002D62C6" w:rsidRPr="00CD2ADD" w14:paraId="2C0AF02A" w14:textId="77777777" w:rsidTr="002D62C6">
        <w:trPr>
          <w:trHeight w:val="165"/>
        </w:trPr>
        <w:tc>
          <w:tcPr>
            <w:cnfStyle w:val="001000000000" w:firstRow="0" w:lastRow="0" w:firstColumn="1" w:lastColumn="0" w:oddVBand="0" w:evenVBand="0" w:oddHBand="0" w:evenHBand="0" w:firstRowFirstColumn="0" w:firstRowLastColumn="0" w:lastRowFirstColumn="0" w:lastRowLastColumn="0"/>
            <w:tcW w:w="3840" w:type="dxa"/>
            <w:hideMark/>
          </w:tcPr>
          <w:p w14:paraId="6756E35E" w14:textId="77777777" w:rsidR="002D62C6" w:rsidRPr="00CD2ADD" w:rsidRDefault="002D62C6" w:rsidP="002D62C6">
            <w:pPr>
              <w:rPr>
                <w:sz w:val="21"/>
                <w:szCs w:val="21"/>
              </w:rPr>
            </w:pPr>
            <w:r w:rsidRPr="00CD2ADD">
              <w:rPr>
                <w:color w:val="000000"/>
                <w:sz w:val="21"/>
                <w:szCs w:val="21"/>
              </w:rPr>
              <w:t>Infrastructură energetică învechită</w:t>
            </w:r>
          </w:p>
        </w:tc>
        <w:tc>
          <w:tcPr>
            <w:tcW w:w="5700" w:type="dxa"/>
            <w:hideMark/>
          </w:tcPr>
          <w:p w14:paraId="0B5D6F75" w14:textId="72F83D28" w:rsidR="002D62C6" w:rsidRPr="00CD2ADD" w:rsidRDefault="002D62C6" w:rsidP="002D62C6">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Capacitate limitată de stocare; echipamente vechi</w:t>
            </w:r>
          </w:p>
        </w:tc>
        <w:tc>
          <w:tcPr>
            <w:tcW w:w="5115" w:type="dxa"/>
            <w:hideMark/>
          </w:tcPr>
          <w:p w14:paraId="1A899AF9" w14:textId="0552D988" w:rsidR="002D62C6" w:rsidRPr="00CD2ADD" w:rsidRDefault="002D62C6" w:rsidP="002D62C6">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Extinderea surselor regenerabile și crearea de micro rețele</w:t>
            </w:r>
          </w:p>
        </w:tc>
      </w:tr>
      <w:tr w:rsidR="002D62C6" w:rsidRPr="00CD2ADD" w14:paraId="1D39787C" w14:textId="77777777" w:rsidTr="002D62C6">
        <w:trPr>
          <w:trHeight w:val="165"/>
        </w:trPr>
        <w:tc>
          <w:tcPr>
            <w:cnfStyle w:val="001000000000" w:firstRow="0" w:lastRow="0" w:firstColumn="1" w:lastColumn="0" w:oddVBand="0" w:evenVBand="0" w:oddHBand="0" w:evenHBand="0" w:firstRowFirstColumn="0" w:firstRowLastColumn="0" w:lastRowFirstColumn="0" w:lastRowLastColumn="0"/>
            <w:tcW w:w="3840" w:type="dxa"/>
            <w:hideMark/>
          </w:tcPr>
          <w:p w14:paraId="3AAC4D74" w14:textId="77777777" w:rsidR="002D62C6" w:rsidRPr="00CD2ADD" w:rsidRDefault="002D62C6" w:rsidP="002D62C6">
            <w:pPr>
              <w:rPr>
                <w:sz w:val="21"/>
                <w:szCs w:val="21"/>
              </w:rPr>
            </w:pPr>
            <w:r w:rsidRPr="00CD2ADD">
              <w:rPr>
                <w:color w:val="000000"/>
                <w:sz w:val="21"/>
                <w:szCs w:val="21"/>
              </w:rPr>
              <w:t>Dependență energetică ridicată și sărăcie energetică</w:t>
            </w:r>
          </w:p>
        </w:tc>
        <w:tc>
          <w:tcPr>
            <w:tcW w:w="5700" w:type="dxa"/>
            <w:hideMark/>
          </w:tcPr>
          <w:p w14:paraId="7F243EF1" w14:textId="4CDFC9A2" w:rsidR="002D62C6" w:rsidRPr="00CD2ADD" w:rsidRDefault="002D62C6" w:rsidP="002D62C6">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Peste 80% din gospodării plătesc &gt;10% din venit pe energie</w:t>
            </w:r>
          </w:p>
        </w:tc>
        <w:tc>
          <w:tcPr>
            <w:tcW w:w="5115" w:type="dxa"/>
            <w:hideMark/>
          </w:tcPr>
          <w:p w14:paraId="2C8FA1A8" w14:textId="5CA0EE41" w:rsidR="002D62C6" w:rsidRPr="00CD2ADD" w:rsidRDefault="002D62C6" w:rsidP="002D62C6">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xml:space="preserve">- </w:t>
            </w:r>
            <w:r w:rsidR="00891776" w:rsidRPr="00CD2ADD">
              <w:rPr>
                <w:color w:val="000000"/>
                <w:sz w:val="21"/>
                <w:szCs w:val="21"/>
              </w:rPr>
              <w:t xml:space="preserve">Susținerea gospodăriilor </w:t>
            </w:r>
            <w:r w:rsidRPr="00CD2ADD">
              <w:rPr>
                <w:color w:val="000000"/>
                <w:sz w:val="21"/>
                <w:szCs w:val="21"/>
              </w:rPr>
              <w:t>pentru gospodării vulnerabile și promovarea energiilor</w:t>
            </w:r>
            <w:r w:rsidR="00891776" w:rsidRPr="00CD2ADD">
              <w:rPr>
                <w:color w:val="000000"/>
                <w:sz w:val="21"/>
                <w:szCs w:val="21"/>
              </w:rPr>
              <w:t xml:space="preserve"> </w:t>
            </w:r>
            <w:r w:rsidRPr="00CD2ADD">
              <w:rPr>
                <w:color w:val="000000"/>
                <w:sz w:val="21"/>
                <w:szCs w:val="21"/>
              </w:rPr>
              <w:t>regenerabile</w:t>
            </w:r>
          </w:p>
        </w:tc>
      </w:tr>
    </w:tbl>
    <w:p w14:paraId="3A2EF57D" w14:textId="77777777" w:rsidR="00F6655E" w:rsidRPr="00CD2ADD" w:rsidRDefault="00F6655E" w:rsidP="00524229">
      <w:pPr>
        <w:rPr>
          <w:rStyle w:val="IntenseEmphasis"/>
        </w:rPr>
      </w:pPr>
    </w:p>
    <w:p w14:paraId="29C97C45" w14:textId="228FDB4C" w:rsidR="00193606" w:rsidRPr="00CD2ADD" w:rsidRDefault="00524229" w:rsidP="00B66B8C">
      <w:pPr>
        <w:pStyle w:val="Subtitle"/>
        <w:spacing w:after="0"/>
        <w:jc w:val="center"/>
        <w:rPr>
          <w:rStyle w:val="IntenseEmphasis"/>
          <w:rFonts w:ascii="Times New Roman" w:hAnsi="Times New Roman" w:cs="Times New Roman"/>
          <w:i w:val="0"/>
          <w:iCs/>
          <w:color w:val="000000" w:themeColor="text1"/>
          <w:sz w:val="24"/>
        </w:rPr>
      </w:pPr>
      <w:r w:rsidRPr="00CD2ADD">
        <w:rPr>
          <w:rStyle w:val="IntenseEmphasis"/>
          <w:rFonts w:ascii="Times New Roman" w:hAnsi="Times New Roman" w:cs="Times New Roman"/>
          <w:i w:val="0"/>
          <w:iCs/>
          <w:color w:val="000000" w:themeColor="text1"/>
          <w:sz w:val="24"/>
        </w:rPr>
        <w:t>Impactul secetei asupra sectorului de sănătate</w:t>
      </w:r>
    </w:p>
    <w:p w14:paraId="3E9BAC7F" w14:textId="6B0CD4A4" w:rsidR="00887B25" w:rsidRPr="00CD2ADD" w:rsidRDefault="00C036C8">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 xml:space="preserve">Sectorul sănătății din Republica Moldova este tot mai vulnerabil în fața impactului combinat al secetei, valurilor de căldură și stresului termic. Aceste fenomene climatice cresc riscul apariției unor afecțiuni acute, agravează bolile cronice și generează presiune suplimentară asupra unui sistem sanitar deja subfinanțat și inegal echipat în funcție de regiune. Evenimentele climatice extreme afectează atât sănătatea populației, cât și funcționarea infrastructurii medicale – în special în zonele rurale, unde lipsa ventilației adecvate, a surselor sigure de apă și a infrastructurii de răcire devine un factor critic. </w:t>
      </w:r>
      <w:r w:rsidR="0040641C" w:rsidRPr="00CD2ADD">
        <w:rPr>
          <w:rFonts w:ascii="Times New Roman" w:hAnsi="Times New Roman" w:cs="Times New Roman"/>
          <w:color w:val="000000" w:themeColor="text1"/>
          <w:sz w:val="24"/>
          <w:szCs w:val="24"/>
        </w:rPr>
        <w:t xml:space="preserve">Conform evaluării nevoilor tehnologice de adaptare la schimbările climatice a sectorului de sănătate, elaborate </w:t>
      </w:r>
      <w:r w:rsidR="00FE0DA9" w:rsidRPr="00CD2ADD">
        <w:rPr>
          <w:rFonts w:ascii="Times New Roman" w:hAnsi="Times New Roman" w:cs="Times New Roman"/>
          <w:color w:val="000000" w:themeColor="text1"/>
          <w:sz w:val="24"/>
          <w:szCs w:val="24"/>
        </w:rPr>
        <w:t>î</w:t>
      </w:r>
      <w:r w:rsidR="0040641C" w:rsidRPr="00CD2ADD">
        <w:rPr>
          <w:rFonts w:ascii="Times New Roman" w:hAnsi="Times New Roman" w:cs="Times New Roman"/>
          <w:color w:val="000000" w:themeColor="text1"/>
          <w:sz w:val="24"/>
          <w:szCs w:val="24"/>
        </w:rPr>
        <w:t>n cadrul pro</w:t>
      </w:r>
      <w:r w:rsidR="00FE0DA9" w:rsidRPr="00CD2ADD">
        <w:rPr>
          <w:rFonts w:ascii="Times New Roman" w:hAnsi="Times New Roman" w:cs="Times New Roman"/>
          <w:color w:val="000000" w:themeColor="text1"/>
          <w:sz w:val="24"/>
          <w:szCs w:val="24"/>
        </w:rPr>
        <w:t>cesului</w:t>
      </w:r>
      <w:r w:rsidR="0040641C" w:rsidRPr="00CD2ADD">
        <w:rPr>
          <w:rFonts w:ascii="Times New Roman" w:hAnsi="Times New Roman" w:cs="Times New Roman"/>
          <w:color w:val="000000" w:themeColor="text1"/>
          <w:sz w:val="24"/>
          <w:szCs w:val="24"/>
        </w:rPr>
        <w:t xml:space="preserve"> PNA-2</w:t>
      </w:r>
      <w:r w:rsidRPr="00CD2ADD">
        <w:rPr>
          <w:rFonts w:ascii="Times New Roman" w:hAnsi="Times New Roman" w:cs="Times New Roman"/>
          <w:color w:val="000000" w:themeColor="text1"/>
          <w:sz w:val="24"/>
          <w:szCs w:val="24"/>
        </w:rPr>
        <w:t xml:space="preserve">, riscurile generate de schimbările climatice asupra sănătății în </w:t>
      </w:r>
      <w:r w:rsidR="00FE0DA9" w:rsidRPr="00CD2ADD">
        <w:rPr>
          <w:rFonts w:ascii="Times New Roman" w:hAnsi="Times New Roman" w:cs="Times New Roman"/>
          <w:color w:val="000000" w:themeColor="text1"/>
          <w:sz w:val="24"/>
          <w:szCs w:val="24"/>
        </w:rPr>
        <w:t xml:space="preserve">Republica </w:t>
      </w:r>
      <w:r w:rsidRPr="00CD2ADD">
        <w:rPr>
          <w:rFonts w:ascii="Times New Roman" w:hAnsi="Times New Roman" w:cs="Times New Roman"/>
          <w:color w:val="000000" w:themeColor="text1"/>
          <w:sz w:val="24"/>
          <w:szCs w:val="24"/>
        </w:rPr>
        <w:t xml:space="preserve">Moldova se intensifică progresiv, iar necesitatea integrării componentei de adaptare în </w:t>
      </w:r>
      <w:r w:rsidR="00FE0DA9" w:rsidRPr="00CD2ADD">
        <w:rPr>
          <w:rFonts w:ascii="Times New Roman" w:hAnsi="Times New Roman" w:cs="Times New Roman"/>
          <w:color w:val="000000" w:themeColor="text1"/>
          <w:sz w:val="24"/>
          <w:szCs w:val="24"/>
        </w:rPr>
        <w:t>politicile</w:t>
      </w:r>
      <w:r w:rsidRPr="00CD2ADD">
        <w:rPr>
          <w:rFonts w:ascii="Times New Roman" w:hAnsi="Times New Roman" w:cs="Times New Roman"/>
          <w:color w:val="000000" w:themeColor="text1"/>
          <w:sz w:val="24"/>
          <w:szCs w:val="24"/>
        </w:rPr>
        <w:t xml:space="preserve"> de sănătate publică este esențială.</w:t>
      </w:r>
    </w:p>
    <w:p w14:paraId="6CCD2496" w14:textId="77777777" w:rsidR="00C036C8" w:rsidRPr="00CD2ADD" w:rsidRDefault="00C036C8" w:rsidP="00C250E4">
      <w:pPr>
        <w:pStyle w:val="Subtitle"/>
        <w:spacing w:after="0" w:line="240" w:lineRule="auto"/>
        <w:ind w:firstLine="284"/>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Impact socio-economic al secetei asupra sectorului sănătății</w:t>
      </w:r>
    </w:p>
    <w:p w14:paraId="13067676" w14:textId="15C98C59" w:rsidR="0051296C" w:rsidRPr="00CD2ADD" w:rsidRDefault="00C036C8">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 xml:space="preserve">Seceta și temperaturile extreme produc o serie de efecte în lanț în sectorul sănătății. În anii cu stres termic major (ex. 2007, 2012, 2020), s-au înregistrat creșteri semnificative ale cazurilor de boli respiratorii și cardiovasculare, mai ales în rândul persoanelor vârstnice și al copiilor. Reducerea cantității și calității </w:t>
      </w:r>
      <w:r w:rsidR="000277D2" w:rsidRPr="00CD2ADD">
        <w:rPr>
          <w:rFonts w:ascii="Times New Roman" w:hAnsi="Times New Roman" w:cs="Times New Roman"/>
          <w:color w:val="000000" w:themeColor="text1"/>
          <w:sz w:val="24"/>
          <w:szCs w:val="24"/>
        </w:rPr>
        <w:t xml:space="preserve">resurselor de </w:t>
      </w:r>
      <w:r w:rsidRPr="00CD2ADD">
        <w:rPr>
          <w:rFonts w:ascii="Times New Roman" w:hAnsi="Times New Roman" w:cs="Times New Roman"/>
          <w:color w:val="000000" w:themeColor="text1"/>
          <w:sz w:val="24"/>
          <w:szCs w:val="24"/>
        </w:rPr>
        <w:t>ap</w:t>
      </w:r>
      <w:r w:rsidR="000277D2" w:rsidRPr="00CD2ADD">
        <w:rPr>
          <w:rFonts w:ascii="Times New Roman" w:hAnsi="Times New Roman" w:cs="Times New Roman"/>
          <w:color w:val="000000" w:themeColor="text1"/>
          <w:sz w:val="24"/>
          <w:szCs w:val="24"/>
        </w:rPr>
        <w:t>ă</w:t>
      </w:r>
      <w:r w:rsidRPr="00CD2ADD">
        <w:rPr>
          <w:rFonts w:ascii="Times New Roman" w:hAnsi="Times New Roman" w:cs="Times New Roman"/>
          <w:color w:val="000000" w:themeColor="text1"/>
          <w:sz w:val="24"/>
          <w:szCs w:val="24"/>
        </w:rPr>
        <w:t xml:space="preserve"> afectează sănătatea populației prin creșterea riscului de boli diareice și infecțioase, în special în zonele rurale unde fântânile devin surse nesigure de apă potabilă. Lipsa planurilor de intervenție în </w:t>
      </w:r>
      <w:r w:rsidR="0070508E" w:rsidRPr="00CD2ADD">
        <w:rPr>
          <w:rFonts w:ascii="Times New Roman" w:hAnsi="Times New Roman" w:cs="Times New Roman"/>
          <w:color w:val="000000" w:themeColor="text1"/>
          <w:sz w:val="24"/>
          <w:szCs w:val="24"/>
        </w:rPr>
        <w:t xml:space="preserve">timpul </w:t>
      </w:r>
      <w:r w:rsidRPr="00CD2ADD">
        <w:rPr>
          <w:rFonts w:ascii="Times New Roman" w:hAnsi="Times New Roman" w:cs="Times New Roman"/>
          <w:color w:val="000000" w:themeColor="text1"/>
          <w:sz w:val="24"/>
          <w:szCs w:val="24"/>
        </w:rPr>
        <w:t>valuri</w:t>
      </w:r>
      <w:r w:rsidR="0070508E" w:rsidRPr="00CD2ADD">
        <w:rPr>
          <w:rFonts w:ascii="Times New Roman" w:hAnsi="Times New Roman" w:cs="Times New Roman"/>
          <w:color w:val="000000" w:themeColor="text1"/>
          <w:sz w:val="24"/>
          <w:szCs w:val="24"/>
        </w:rPr>
        <w:t>lor</w:t>
      </w:r>
      <w:r w:rsidRPr="00CD2ADD">
        <w:rPr>
          <w:rFonts w:ascii="Times New Roman" w:hAnsi="Times New Roman" w:cs="Times New Roman"/>
          <w:color w:val="000000" w:themeColor="text1"/>
          <w:sz w:val="24"/>
          <w:szCs w:val="24"/>
        </w:rPr>
        <w:t xml:space="preserve"> de căldură, combinată cu deficitul de infrastructură medicală adaptată, reduce capacitatea sistemului sanitar de a face față crizelor climatice. Conform datelor </w:t>
      </w:r>
      <w:r w:rsidR="007527AF" w:rsidRPr="00CD2ADD">
        <w:rPr>
          <w:rFonts w:ascii="Times New Roman" w:hAnsi="Times New Roman" w:cs="Times New Roman"/>
          <w:color w:val="000000" w:themeColor="text1"/>
          <w:sz w:val="24"/>
          <w:szCs w:val="24"/>
        </w:rPr>
        <w:t>P</w:t>
      </w:r>
      <w:r w:rsidRPr="00CD2ADD">
        <w:rPr>
          <w:rFonts w:ascii="Times New Roman" w:hAnsi="Times New Roman" w:cs="Times New Roman"/>
          <w:color w:val="000000" w:themeColor="text1"/>
          <w:sz w:val="24"/>
          <w:szCs w:val="24"/>
        </w:rPr>
        <w:t>NA, aceste riscuri au potențialul de a afecta nu doar sănătatea individuală, ci și dezvoltarea socială și economică a comunităților vulnerabile.</w:t>
      </w:r>
    </w:p>
    <w:p w14:paraId="27939405" w14:textId="77777777" w:rsidR="00C036C8" w:rsidRPr="00CD2ADD" w:rsidRDefault="00C036C8" w:rsidP="00C250E4">
      <w:pPr>
        <w:pStyle w:val="Subtitle"/>
        <w:spacing w:after="0" w:line="240" w:lineRule="auto"/>
        <w:ind w:firstLine="284"/>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Vulnerabilitate, expunere și capacitate de adaptare</w:t>
      </w:r>
    </w:p>
    <w:p w14:paraId="496A5232" w14:textId="4AFB8AFD" w:rsidR="00C036C8" w:rsidRPr="00CD2ADD" w:rsidRDefault="00C036C8">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 xml:space="preserve">Sectorul sănătății din </w:t>
      </w:r>
      <w:r w:rsidR="00601713" w:rsidRPr="00CD2ADD">
        <w:rPr>
          <w:rFonts w:ascii="Times New Roman" w:hAnsi="Times New Roman" w:cs="Times New Roman"/>
          <w:color w:val="000000" w:themeColor="text1"/>
          <w:sz w:val="24"/>
          <w:szCs w:val="24"/>
        </w:rPr>
        <w:t xml:space="preserve">Republica </w:t>
      </w:r>
      <w:r w:rsidRPr="00CD2ADD">
        <w:rPr>
          <w:rFonts w:ascii="Times New Roman" w:hAnsi="Times New Roman" w:cs="Times New Roman"/>
          <w:color w:val="000000" w:themeColor="text1"/>
          <w:sz w:val="24"/>
          <w:szCs w:val="24"/>
        </w:rPr>
        <w:t>Moldova este  vulnerabil din mai multe perspective: zonele rurale și regiun</w:t>
      </w:r>
      <w:r w:rsidR="000277D2" w:rsidRPr="00CD2ADD">
        <w:rPr>
          <w:rFonts w:ascii="Times New Roman" w:hAnsi="Times New Roman" w:cs="Times New Roman"/>
          <w:color w:val="000000" w:themeColor="text1"/>
          <w:sz w:val="24"/>
          <w:szCs w:val="24"/>
        </w:rPr>
        <w:t>ea</w:t>
      </w:r>
      <w:r w:rsidRPr="00CD2ADD">
        <w:rPr>
          <w:rFonts w:ascii="Times New Roman" w:hAnsi="Times New Roman" w:cs="Times New Roman"/>
          <w:color w:val="000000" w:themeColor="text1"/>
          <w:sz w:val="24"/>
          <w:szCs w:val="24"/>
        </w:rPr>
        <w:t xml:space="preserve"> sudic</w:t>
      </w:r>
      <w:r w:rsidR="000277D2" w:rsidRPr="00CD2ADD">
        <w:rPr>
          <w:rFonts w:ascii="Times New Roman" w:hAnsi="Times New Roman" w:cs="Times New Roman"/>
          <w:color w:val="000000" w:themeColor="text1"/>
          <w:sz w:val="24"/>
          <w:szCs w:val="24"/>
        </w:rPr>
        <w:t>ă</w:t>
      </w:r>
      <w:r w:rsidRPr="00CD2ADD">
        <w:rPr>
          <w:rFonts w:ascii="Times New Roman" w:hAnsi="Times New Roman" w:cs="Times New Roman"/>
          <w:color w:val="000000" w:themeColor="text1"/>
          <w:sz w:val="24"/>
          <w:szCs w:val="24"/>
        </w:rPr>
        <w:t xml:space="preserve"> sunt cele mai </w:t>
      </w:r>
      <w:r w:rsidR="000277D2" w:rsidRPr="00CD2ADD">
        <w:rPr>
          <w:rFonts w:ascii="Times New Roman" w:hAnsi="Times New Roman" w:cs="Times New Roman"/>
          <w:color w:val="000000" w:themeColor="text1"/>
          <w:sz w:val="24"/>
          <w:szCs w:val="24"/>
        </w:rPr>
        <w:t>vulnerabile</w:t>
      </w:r>
      <w:r w:rsidRPr="00CD2ADD">
        <w:rPr>
          <w:rFonts w:ascii="Times New Roman" w:hAnsi="Times New Roman" w:cs="Times New Roman"/>
          <w:color w:val="000000" w:themeColor="text1"/>
          <w:sz w:val="24"/>
          <w:szCs w:val="24"/>
        </w:rPr>
        <w:t xml:space="preserve">, cu acces limitat la servicii medicale și </w:t>
      </w:r>
      <w:r w:rsidR="00601713" w:rsidRPr="00CD2ADD">
        <w:rPr>
          <w:rFonts w:ascii="Times New Roman" w:hAnsi="Times New Roman" w:cs="Times New Roman"/>
          <w:color w:val="000000" w:themeColor="text1"/>
          <w:sz w:val="24"/>
          <w:szCs w:val="24"/>
        </w:rPr>
        <w:t>surse</w:t>
      </w:r>
      <w:r w:rsidRPr="00CD2ADD">
        <w:rPr>
          <w:rFonts w:ascii="Times New Roman" w:hAnsi="Times New Roman" w:cs="Times New Roman"/>
          <w:color w:val="000000" w:themeColor="text1"/>
          <w:sz w:val="24"/>
          <w:szCs w:val="24"/>
        </w:rPr>
        <w:t xml:space="preserve"> </w:t>
      </w:r>
      <w:r w:rsidR="000277D2" w:rsidRPr="00CD2ADD">
        <w:rPr>
          <w:rFonts w:ascii="Times New Roman" w:hAnsi="Times New Roman" w:cs="Times New Roman"/>
          <w:color w:val="000000" w:themeColor="text1"/>
          <w:sz w:val="24"/>
          <w:szCs w:val="24"/>
        </w:rPr>
        <w:t xml:space="preserve">sigure </w:t>
      </w:r>
      <w:r w:rsidRPr="00CD2ADD">
        <w:rPr>
          <w:rFonts w:ascii="Times New Roman" w:hAnsi="Times New Roman" w:cs="Times New Roman"/>
          <w:color w:val="000000" w:themeColor="text1"/>
          <w:sz w:val="24"/>
          <w:szCs w:val="24"/>
        </w:rPr>
        <w:t>de apă.</w:t>
      </w:r>
    </w:p>
    <w:p w14:paraId="45C4E636" w14:textId="4CD0C999" w:rsidR="00C036C8" w:rsidRPr="00CD2ADD" w:rsidRDefault="00C036C8" w:rsidP="00C250E4">
      <w:pPr>
        <w:ind w:firstLine="284"/>
        <w:jc w:val="both"/>
        <w:rPr>
          <w:color w:val="000000" w:themeColor="text1"/>
          <w:lang w:eastAsia="en-US"/>
        </w:rPr>
      </w:pPr>
      <w:r w:rsidRPr="00CD2ADD">
        <w:rPr>
          <w:color w:val="000000" w:themeColor="text1"/>
          <w:lang w:eastAsia="en-US"/>
        </w:rPr>
        <w:t>Sectorul prezinta si vulnerabilități sistemice, precum infrastructura medicală învechită, lipsa dotărilor de climatizare în spitale, carențele în colectarea datelor epidemiologice climatice și insuficienta integrare a riscurilor climatice în politicile de sănătate publică.</w:t>
      </w:r>
    </w:p>
    <w:p w14:paraId="4043E59A" w14:textId="5B33DD2B" w:rsidR="0087484C" w:rsidRPr="00CD2ADD" w:rsidRDefault="00C036C8" w:rsidP="00C036C8">
      <w:pPr>
        <w:jc w:val="both"/>
        <w:rPr>
          <w:color w:val="000000" w:themeColor="text1"/>
          <w:lang w:eastAsia="en-US"/>
        </w:rPr>
      </w:pPr>
      <w:r w:rsidRPr="00CD2ADD">
        <w:rPr>
          <w:color w:val="000000" w:themeColor="text1"/>
          <w:lang w:eastAsia="en-US"/>
        </w:rPr>
        <w:t>În același timp, capacitate</w:t>
      </w:r>
      <w:r w:rsidR="000277D2" w:rsidRPr="00CD2ADD">
        <w:rPr>
          <w:color w:val="000000" w:themeColor="text1"/>
          <w:lang w:eastAsia="en-US"/>
        </w:rPr>
        <w:t>a</w:t>
      </w:r>
      <w:r w:rsidRPr="00CD2ADD">
        <w:rPr>
          <w:color w:val="000000" w:themeColor="text1"/>
          <w:lang w:eastAsia="en-US"/>
        </w:rPr>
        <w:t xml:space="preserve"> de adaptare este redusă, datorita finanț</w:t>
      </w:r>
      <w:r w:rsidR="00601713" w:rsidRPr="00CD2ADD">
        <w:rPr>
          <w:color w:val="000000" w:themeColor="text1"/>
          <w:lang w:eastAsia="en-US"/>
        </w:rPr>
        <w:t>ării</w:t>
      </w:r>
      <w:r w:rsidRPr="00CD2ADD">
        <w:rPr>
          <w:color w:val="000000" w:themeColor="text1"/>
          <w:lang w:eastAsia="en-US"/>
        </w:rPr>
        <w:t xml:space="preserve"> modest</w:t>
      </w:r>
      <w:r w:rsidR="00601713" w:rsidRPr="00CD2ADD">
        <w:rPr>
          <w:color w:val="000000" w:themeColor="text1"/>
          <w:lang w:eastAsia="en-US"/>
        </w:rPr>
        <w:t>e</w:t>
      </w:r>
      <w:r w:rsidRPr="00CD2ADD">
        <w:rPr>
          <w:color w:val="000000" w:themeColor="text1"/>
          <w:lang w:eastAsia="en-US"/>
        </w:rPr>
        <w:t xml:space="preserve"> a măsurilor preventive care limitează răspunsul instituțional. Totodată, deficitul de personal format pentru intervenții climatice și lipsa sistemelor de alertă timpurie în rețeaua sanitară rămân provocări importante.</w:t>
      </w:r>
    </w:p>
    <w:p w14:paraId="538FEE40" w14:textId="1F2BCE24" w:rsidR="00D6251F" w:rsidRPr="00CD2ADD" w:rsidRDefault="00B802AE" w:rsidP="00E004F2">
      <w:pPr>
        <w:jc w:val="both"/>
        <w:rPr>
          <w:color w:val="000000" w:themeColor="text1"/>
          <w:lang w:eastAsia="en-US"/>
        </w:rPr>
      </w:pPr>
      <w:r w:rsidRPr="00CD2ADD">
        <w:rPr>
          <w:color w:val="000000" w:themeColor="text1"/>
          <w:lang w:eastAsia="en-US"/>
        </w:rPr>
        <w:t>Femeile, fetele</w:t>
      </w:r>
      <w:r w:rsidR="00E03C2C" w:rsidRPr="00CD2ADD">
        <w:rPr>
          <w:color w:val="000000" w:themeColor="text1"/>
          <w:lang w:eastAsia="en-US"/>
        </w:rPr>
        <w:t xml:space="preserve">, </w:t>
      </w:r>
      <w:r w:rsidRPr="00CD2ADD">
        <w:rPr>
          <w:color w:val="000000" w:themeColor="text1"/>
          <w:lang w:eastAsia="en-US"/>
        </w:rPr>
        <w:t xml:space="preserve">în special cele însărcinate, cu dizabilități și din mediul rural precum și persoanele vârstnice sunt afectate disproporționat de efectele secetei asupra sănătății. Accesul redus la apă potabilă sigură, infrastructura sanitară deficitară, precum și întreruperea serviciilor de sănătate reproductivă în perioade de criză cresc riscurile pentru sănătatea maternă și neonatală. În lipsa unor planuri dedicate, aceste grupuri pot suferi complicații severe, iar lipsa formării personalului medical pentru a răspunde nevoilor SRHR în situații de urgență reprezintă un factor suplimentar de vulnerabilitate. Este crucial ca aceste dimensiuni să fie integrate în planificarea măsurilor de prevenire, pregătire, </w:t>
      </w:r>
      <w:r w:rsidR="007B4940" w:rsidRPr="00CD2ADD">
        <w:rPr>
          <w:color w:val="000000" w:themeColor="text1"/>
          <w:lang w:eastAsia="en-US"/>
        </w:rPr>
        <w:t>răspuns</w:t>
      </w:r>
      <w:r w:rsidRPr="00CD2ADD">
        <w:rPr>
          <w:color w:val="000000" w:themeColor="text1"/>
          <w:lang w:eastAsia="en-US"/>
        </w:rPr>
        <w:t xml:space="preserve"> și recuperare pentru riscurile climatice asupra sănătății</w:t>
      </w:r>
      <w:r w:rsidR="007B4940" w:rsidRPr="00CD2ADD">
        <w:rPr>
          <w:color w:val="000000" w:themeColor="text1"/>
          <w:lang w:eastAsia="en-US"/>
        </w:rPr>
        <w:t xml:space="preserve">. </w:t>
      </w:r>
    </w:p>
    <w:p w14:paraId="41E58479" w14:textId="142E7F3D" w:rsidR="00A21E4D" w:rsidRPr="00CD2ADD" w:rsidRDefault="00A21E4D" w:rsidP="00A21E4D">
      <w:pPr>
        <w:jc w:val="right"/>
        <w:rPr>
          <w:b/>
          <w:bCs/>
          <w:color w:val="000000" w:themeColor="text1"/>
          <w:lang w:eastAsia="en-US"/>
        </w:rPr>
      </w:pPr>
      <w:r w:rsidRPr="00CD2ADD">
        <w:rPr>
          <w:b/>
          <w:bCs/>
          <w:color w:val="000000" w:themeColor="text1"/>
          <w:lang w:eastAsia="en-US"/>
        </w:rPr>
        <w:t>Tabelul 9</w:t>
      </w:r>
    </w:p>
    <w:p w14:paraId="69277700" w14:textId="0E81641D" w:rsidR="00524229" w:rsidRPr="00CD2ADD" w:rsidRDefault="0087484C" w:rsidP="00A21E4D">
      <w:pPr>
        <w:pStyle w:val="Subtitle"/>
        <w:spacing w:after="120" w:line="240" w:lineRule="auto"/>
        <w:ind w:firstLine="284"/>
        <w:jc w:val="center"/>
        <w:rPr>
          <w:rStyle w:val="relative"/>
          <w:rFonts w:ascii="Times New Roman" w:hAnsi="Times New Roman" w:cs="Times New Roman"/>
          <w:b/>
          <w:bCs/>
          <w:i/>
          <w:iCs w:val="0"/>
          <w:color w:val="000000" w:themeColor="text1"/>
          <w:sz w:val="24"/>
        </w:rPr>
      </w:pPr>
      <w:r w:rsidRPr="00CD2ADD">
        <w:rPr>
          <w:rStyle w:val="IntenseEmphasis"/>
          <w:rFonts w:ascii="Times New Roman" w:hAnsi="Times New Roman" w:cs="Times New Roman"/>
          <w:i w:val="0"/>
          <w:iCs/>
          <w:color w:val="000000" w:themeColor="text1"/>
          <w:sz w:val="24"/>
        </w:rPr>
        <w:t xml:space="preserve">Măsuri recomandate pentru combaterea secetei în sectorul </w:t>
      </w:r>
      <w:r w:rsidRPr="00CD2ADD">
        <w:rPr>
          <w:rFonts w:ascii="Times New Roman" w:hAnsi="Times New Roman" w:cs="Times New Roman"/>
          <w:b/>
          <w:bCs/>
          <w:color w:val="000000" w:themeColor="text1"/>
          <w:sz w:val="24"/>
        </w:rPr>
        <w:t>sănătății</w:t>
      </w:r>
    </w:p>
    <w:tbl>
      <w:tblPr>
        <w:tblStyle w:val="GridTable1Light-Accent11"/>
        <w:tblW w:w="0" w:type="auto"/>
        <w:tblLook w:val="04A0" w:firstRow="1" w:lastRow="0" w:firstColumn="1" w:lastColumn="0" w:noHBand="0" w:noVBand="1"/>
      </w:tblPr>
      <w:tblGrid>
        <w:gridCol w:w="3463"/>
        <w:gridCol w:w="2778"/>
        <w:gridCol w:w="3495"/>
      </w:tblGrid>
      <w:tr w:rsidR="00193606" w:rsidRPr="00CD2ADD" w14:paraId="38E55F5C" w14:textId="77777777" w:rsidTr="00A21E4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0" w:type="auto"/>
            <w:hideMark/>
          </w:tcPr>
          <w:p w14:paraId="35B70E73" w14:textId="77777777" w:rsidR="00193606" w:rsidRPr="00CD2ADD" w:rsidRDefault="00193606" w:rsidP="002C4956">
            <w:pPr>
              <w:spacing w:before="120" w:after="120"/>
              <w:rPr>
                <w:sz w:val="21"/>
                <w:szCs w:val="21"/>
                <w:lang w:eastAsia="en-US"/>
              </w:rPr>
            </w:pPr>
            <w:r w:rsidRPr="00CD2ADD">
              <w:rPr>
                <w:sz w:val="21"/>
                <w:szCs w:val="21"/>
                <w:lang w:eastAsia="en-US"/>
              </w:rPr>
              <w:t>Riscuri asociate secetei și valurilor de căldură</w:t>
            </w:r>
          </w:p>
        </w:tc>
        <w:tc>
          <w:tcPr>
            <w:tcW w:w="0" w:type="auto"/>
            <w:hideMark/>
          </w:tcPr>
          <w:p w14:paraId="4AB21CEE" w14:textId="77777777" w:rsidR="00193606" w:rsidRPr="00CD2ADD" w:rsidRDefault="00193606" w:rsidP="002C4956">
            <w:pPr>
              <w:spacing w:before="120" w:after="120"/>
              <w:cnfStyle w:val="100000000000" w:firstRow="1" w:lastRow="0" w:firstColumn="0" w:lastColumn="0" w:oddVBand="0" w:evenVBand="0" w:oddHBand="0" w:evenHBand="0" w:firstRowFirstColumn="0" w:firstRowLastColumn="0" w:lastRowFirstColumn="0" w:lastRowLastColumn="0"/>
              <w:rPr>
                <w:sz w:val="21"/>
                <w:szCs w:val="21"/>
                <w:lang w:eastAsia="en-US"/>
              </w:rPr>
            </w:pPr>
            <w:r w:rsidRPr="00CD2ADD">
              <w:rPr>
                <w:sz w:val="21"/>
                <w:szCs w:val="21"/>
                <w:lang w:eastAsia="en-US"/>
              </w:rPr>
              <w:t>Vulnerabilități specifice sectorului sănătății</w:t>
            </w:r>
          </w:p>
        </w:tc>
        <w:tc>
          <w:tcPr>
            <w:tcW w:w="0" w:type="auto"/>
            <w:hideMark/>
          </w:tcPr>
          <w:p w14:paraId="2E0CB76B" w14:textId="126D30B9" w:rsidR="00193606" w:rsidRPr="00CD2ADD" w:rsidRDefault="00193606" w:rsidP="002C4956">
            <w:pPr>
              <w:spacing w:before="120" w:after="120"/>
              <w:cnfStyle w:val="100000000000" w:firstRow="1" w:lastRow="0" w:firstColumn="0" w:lastColumn="0" w:oddVBand="0" w:evenVBand="0" w:oddHBand="0" w:evenHBand="0" w:firstRowFirstColumn="0" w:firstRowLastColumn="0" w:lastRowFirstColumn="0" w:lastRowLastColumn="0"/>
              <w:rPr>
                <w:sz w:val="21"/>
                <w:szCs w:val="21"/>
                <w:lang w:eastAsia="en-US"/>
              </w:rPr>
            </w:pPr>
            <w:r w:rsidRPr="00CD2ADD">
              <w:rPr>
                <w:sz w:val="21"/>
                <w:szCs w:val="21"/>
                <w:lang w:eastAsia="en-US"/>
              </w:rPr>
              <w:t>Recomandări masuri RRD</w:t>
            </w:r>
            <w:r w:rsidR="000277D2" w:rsidRPr="00CD2ADD">
              <w:rPr>
                <w:sz w:val="21"/>
                <w:szCs w:val="21"/>
                <w:lang w:eastAsia="en-US"/>
              </w:rPr>
              <w:t xml:space="preserve"> </w:t>
            </w:r>
            <w:r w:rsidRPr="00CD2ADD">
              <w:rPr>
                <w:sz w:val="21"/>
                <w:szCs w:val="21"/>
                <w:lang w:eastAsia="en-US"/>
              </w:rPr>
              <w:t>și de adaptare</w:t>
            </w:r>
          </w:p>
        </w:tc>
      </w:tr>
      <w:tr w:rsidR="002C5484" w:rsidRPr="00CD2ADD" w14:paraId="0FDC8C68" w14:textId="77777777" w:rsidTr="00A03711">
        <w:tc>
          <w:tcPr>
            <w:cnfStyle w:val="001000000000" w:firstRow="0" w:lastRow="0" w:firstColumn="1" w:lastColumn="0" w:oddVBand="0" w:evenVBand="0" w:oddHBand="0" w:evenHBand="0" w:firstRowFirstColumn="0" w:firstRowLastColumn="0" w:lastRowFirstColumn="0" w:lastRowLastColumn="0"/>
            <w:tcW w:w="0" w:type="auto"/>
            <w:hideMark/>
          </w:tcPr>
          <w:p w14:paraId="52881DF1" w14:textId="12ABF4CC" w:rsidR="00193606" w:rsidRPr="00CD2ADD" w:rsidRDefault="00271218" w:rsidP="002C4956">
            <w:pPr>
              <w:spacing w:before="120" w:after="120"/>
              <w:rPr>
                <w:sz w:val="21"/>
                <w:szCs w:val="21"/>
                <w:lang w:eastAsia="en-US"/>
              </w:rPr>
            </w:pPr>
            <w:r w:rsidRPr="00CD2ADD">
              <w:rPr>
                <w:sz w:val="21"/>
                <w:szCs w:val="21"/>
                <w:lang w:eastAsia="en-US"/>
              </w:rPr>
              <w:t>Seceta, v</w:t>
            </w:r>
            <w:r w:rsidR="00193606" w:rsidRPr="00CD2ADD">
              <w:rPr>
                <w:sz w:val="21"/>
                <w:szCs w:val="21"/>
                <w:lang w:eastAsia="en-US"/>
              </w:rPr>
              <w:t>aluri de căldură și stres termic</w:t>
            </w:r>
          </w:p>
        </w:tc>
        <w:tc>
          <w:tcPr>
            <w:tcW w:w="0" w:type="auto"/>
            <w:hideMark/>
          </w:tcPr>
          <w:p w14:paraId="4AF1985E" w14:textId="49D1F178" w:rsidR="00193606" w:rsidRPr="00CD2ADD" w:rsidRDefault="00193606" w:rsidP="002C4956">
            <w:pPr>
              <w:spacing w:before="120" w:after="120"/>
              <w:cnfStyle w:val="000000000000" w:firstRow="0" w:lastRow="0" w:firstColumn="0" w:lastColumn="0" w:oddVBand="0" w:evenVBand="0" w:oddHBand="0" w:evenHBand="0" w:firstRowFirstColumn="0" w:firstRowLastColumn="0" w:lastRowFirstColumn="0" w:lastRowLastColumn="0"/>
              <w:rPr>
                <w:sz w:val="21"/>
                <w:szCs w:val="21"/>
                <w:lang w:eastAsia="en-US"/>
              </w:rPr>
            </w:pPr>
            <w:r w:rsidRPr="00CD2ADD">
              <w:rPr>
                <w:sz w:val="21"/>
                <w:szCs w:val="21"/>
                <w:lang w:eastAsia="en-US"/>
              </w:rPr>
              <w:t>- Populație vulnerabilă în creștere</w:t>
            </w:r>
            <w:r w:rsidR="00271218" w:rsidRPr="00CD2ADD">
              <w:rPr>
                <w:sz w:val="21"/>
                <w:szCs w:val="21"/>
                <w:lang w:eastAsia="en-US"/>
              </w:rPr>
              <w:t xml:space="preserve"> (vârstnici,</w:t>
            </w:r>
            <w:r w:rsidR="00717873" w:rsidRPr="00CD2ADD">
              <w:rPr>
                <w:sz w:val="21"/>
                <w:szCs w:val="21"/>
                <w:lang w:eastAsia="en-US"/>
              </w:rPr>
              <w:t xml:space="preserve"> copii) </w:t>
            </w:r>
            <w:r w:rsidRPr="00CD2ADD">
              <w:rPr>
                <w:sz w:val="21"/>
                <w:szCs w:val="21"/>
                <w:lang w:eastAsia="en-US"/>
              </w:rPr>
              <w:br/>
              <w:t xml:space="preserve">- Lipsa infrastructurii de </w:t>
            </w:r>
            <w:r w:rsidRPr="00CD2ADD">
              <w:rPr>
                <w:sz w:val="21"/>
                <w:szCs w:val="21"/>
                <w:lang w:eastAsia="en-US"/>
              </w:rPr>
              <w:lastRenderedPageBreak/>
              <w:t>răcire în spitale și instituții sociale</w:t>
            </w:r>
          </w:p>
        </w:tc>
        <w:tc>
          <w:tcPr>
            <w:tcW w:w="0" w:type="auto"/>
            <w:hideMark/>
          </w:tcPr>
          <w:p w14:paraId="316F249E" w14:textId="77777777" w:rsidR="00193606" w:rsidRPr="00CD2ADD" w:rsidRDefault="00193606" w:rsidP="002C4956">
            <w:pPr>
              <w:spacing w:before="120" w:after="120"/>
              <w:cnfStyle w:val="000000000000" w:firstRow="0" w:lastRow="0" w:firstColumn="0" w:lastColumn="0" w:oddVBand="0" w:evenVBand="0" w:oddHBand="0" w:evenHBand="0" w:firstRowFirstColumn="0" w:firstRowLastColumn="0" w:lastRowFirstColumn="0" w:lastRowLastColumn="0"/>
              <w:rPr>
                <w:sz w:val="21"/>
                <w:szCs w:val="21"/>
                <w:lang w:eastAsia="en-US"/>
              </w:rPr>
            </w:pPr>
            <w:r w:rsidRPr="00CD2ADD">
              <w:rPr>
                <w:sz w:val="21"/>
                <w:szCs w:val="21"/>
                <w:lang w:eastAsia="en-US"/>
              </w:rPr>
              <w:lastRenderedPageBreak/>
              <w:t>- Sisteme de alertă timpurie integrate cu Ministerul Sănătății</w:t>
            </w:r>
            <w:r w:rsidRPr="00CD2ADD">
              <w:rPr>
                <w:sz w:val="21"/>
                <w:szCs w:val="21"/>
                <w:lang w:eastAsia="en-US"/>
              </w:rPr>
              <w:br/>
              <w:t>- Planuri de acțiune locale pentru valuri de căldură</w:t>
            </w:r>
          </w:p>
        </w:tc>
      </w:tr>
      <w:tr w:rsidR="00193606" w:rsidRPr="00CD2ADD" w14:paraId="739E036F" w14:textId="77777777" w:rsidTr="00A03711">
        <w:tc>
          <w:tcPr>
            <w:cnfStyle w:val="001000000000" w:firstRow="0" w:lastRow="0" w:firstColumn="1" w:lastColumn="0" w:oddVBand="0" w:evenVBand="0" w:oddHBand="0" w:evenHBand="0" w:firstRowFirstColumn="0" w:firstRowLastColumn="0" w:lastRowFirstColumn="0" w:lastRowLastColumn="0"/>
            <w:tcW w:w="0" w:type="auto"/>
            <w:hideMark/>
          </w:tcPr>
          <w:p w14:paraId="1B031E71" w14:textId="77777777" w:rsidR="00193606" w:rsidRPr="00CD2ADD" w:rsidRDefault="00193606" w:rsidP="002C4956">
            <w:pPr>
              <w:spacing w:before="120" w:after="120"/>
              <w:rPr>
                <w:sz w:val="21"/>
                <w:szCs w:val="21"/>
                <w:lang w:eastAsia="en-US"/>
              </w:rPr>
            </w:pPr>
            <w:r w:rsidRPr="00CD2ADD">
              <w:rPr>
                <w:sz w:val="21"/>
                <w:szCs w:val="21"/>
                <w:lang w:eastAsia="en-US"/>
              </w:rPr>
              <w:t>Reducerea calității și disponibilității apei</w:t>
            </w:r>
          </w:p>
        </w:tc>
        <w:tc>
          <w:tcPr>
            <w:tcW w:w="0" w:type="auto"/>
            <w:hideMark/>
          </w:tcPr>
          <w:p w14:paraId="61B3926A" w14:textId="77777777" w:rsidR="00193606" w:rsidRPr="00CD2ADD" w:rsidRDefault="00193606" w:rsidP="002C4956">
            <w:pPr>
              <w:spacing w:before="120" w:after="120"/>
              <w:cnfStyle w:val="000000000000" w:firstRow="0" w:lastRow="0" w:firstColumn="0" w:lastColumn="0" w:oddVBand="0" w:evenVBand="0" w:oddHBand="0" w:evenHBand="0" w:firstRowFirstColumn="0" w:firstRowLastColumn="0" w:lastRowFirstColumn="0" w:lastRowLastColumn="0"/>
              <w:rPr>
                <w:sz w:val="21"/>
                <w:szCs w:val="21"/>
                <w:lang w:eastAsia="en-US"/>
              </w:rPr>
            </w:pPr>
            <w:r w:rsidRPr="00CD2ADD">
              <w:rPr>
                <w:sz w:val="21"/>
                <w:szCs w:val="21"/>
                <w:lang w:eastAsia="en-US"/>
              </w:rPr>
              <w:t>- Fântâni contaminate în zone rurale</w:t>
            </w:r>
            <w:r w:rsidRPr="00CD2ADD">
              <w:rPr>
                <w:sz w:val="21"/>
                <w:szCs w:val="21"/>
                <w:lang w:eastAsia="en-US"/>
              </w:rPr>
              <w:br/>
              <w:t>- Lipsa rețelelor de aprovizionare sigure</w:t>
            </w:r>
          </w:p>
        </w:tc>
        <w:tc>
          <w:tcPr>
            <w:tcW w:w="0" w:type="auto"/>
            <w:hideMark/>
          </w:tcPr>
          <w:p w14:paraId="4104E3A5" w14:textId="77777777" w:rsidR="00193606" w:rsidRPr="00CD2ADD" w:rsidRDefault="00193606" w:rsidP="002C4956">
            <w:pPr>
              <w:spacing w:before="120" w:after="120"/>
              <w:cnfStyle w:val="000000000000" w:firstRow="0" w:lastRow="0" w:firstColumn="0" w:lastColumn="0" w:oddVBand="0" w:evenVBand="0" w:oddHBand="0" w:evenHBand="0" w:firstRowFirstColumn="0" w:firstRowLastColumn="0" w:lastRowFirstColumn="0" w:lastRowLastColumn="0"/>
              <w:rPr>
                <w:sz w:val="21"/>
                <w:szCs w:val="21"/>
                <w:lang w:eastAsia="en-US"/>
              </w:rPr>
            </w:pPr>
            <w:r w:rsidRPr="00CD2ADD">
              <w:rPr>
                <w:sz w:val="21"/>
                <w:szCs w:val="21"/>
                <w:lang w:eastAsia="en-US"/>
              </w:rPr>
              <w:t>- Monitorizarea și protejarea surselor de apă</w:t>
            </w:r>
            <w:r w:rsidRPr="00CD2ADD">
              <w:rPr>
                <w:sz w:val="21"/>
                <w:szCs w:val="21"/>
                <w:lang w:eastAsia="en-US"/>
              </w:rPr>
              <w:br/>
              <w:t>- Campanii de prevenire a bolilor hidrice</w:t>
            </w:r>
          </w:p>
        </w:tc>
      </w:tr>
      <w:tr w:rsidR="002C5484" w:rsidRPr="00CD2ADD" w14:paraId="0E1F21D2" w14:textId="77777777" w:rsidTr="00A03711">
        <w:tc>
          <w:tcPr>
            <w:cnfStyle w:val="001000000000" w:firstRow="0" w:lastRow="0" w:firstColumn="1" w:lastColumn="0" w:oddVBand="0" w:evenVBand="0" w:oddHBand="0" w:evenHBand="0" w:firstRowFirstColumn="0" w:firstRowLastColumn="0" w:lastRowFirstColumn="0" w:lastRowLastColumn="0"/>
            <w:tcW w:w="0" w:type="auto"/>
            <w:hideMark/>
          </w:tcPr>
          <w:p w14:paraId="0FF6B901" w14:textId="77777777" w:rsidR="00193606" w:rsidRPr="00CD2ADD" w:rsidRDefault="00193606" w:rsidP="002C4956">
            <w:pPr>
              <w:spacing w:before="120" w:after="120"/>
              <w:rPr>
                <w:sz w:val="21"/>
                <w:szCs w:val="21"/>
                <w:lang w:eastAsia="en-US"/>
              </w:rPr>
            </w:pPr>
            <w:r w:rsidRPr="00CD2ADD">
              <w:rPr>
                <w:sz w:val="21"/>
                <w:szCs w:val="21"/>
                <w:lang w:eastAsia="en-US"/>
              </w:rPr>
              <w:t>Agravarea bolilor respiratorii și cardiovasculare</w:t>
            </w:r>
          </w:p>
        </w:tc>
        <w:tc>
          <w:tcPr>
            <w:tcW w:w="0" w:type="auto"/>
            <w:hideMark/>
          </w:tcPr>
          <w:p w14:paraId="072422A0" w14:textId="77777777" w:rsidR="00193606" w:rsidRPr="00CD2ADD" w:rsidRDefault="00193606" w:rsidP="002C4956">
            <w:pPr>
              <w:spacing w:before="120" w:after="120"/>
              <w:cnfStyle w:val="000000000000" w:firstRow="0" w:lastRow="0" w:firstColumn="0" w:lastColumn="0" w:oddVBand="0" w:evenVBand="0" w:oddHBand="0" w:evenHBand="0" w:firstRowFirstColumn="0" w:firstRowLastColumn="0" w:lastRowFirstColumn="0" w:lastRowLastColumn="0"/>
              <w:rPr>
                <w:sz w:val="21"/>
                <w:szCs w:val="21"/>
                <w:lang w:eastAsia="en-US"/>
              </w:rPr>
            </w:pPr>
            <w:r w:rsidRPr="00CD2ADD">
              <w:rPr>
                <w:sz w:val="21"/>
                <w:szCs w:val="21"/>
                <w:lang w:eastAsia="en-US"/>
              </w:rPr>
              <w:t>- Lipsa datelor epidemiologice integrate</w:t>
            </w:r>
            <w:r w:rsidRPr="00CD2ADD">
              <w:rPr>
                <w:sz w:val="21"/>
                <w:szCs w:val="21"/>
                <w:lang w:eastAsia="en-US"/>
              </w:rPr>
              <w:br/>
              <w:t>- Slabă dotare a centrelor rurale</w:t>
            </w:r>
          </w:p>
        </w:tc>
        <w:tc>
          <w:tcPr>
            <w:tcW w:w="0" w:type="auto"/>
            <w:hideMark/>
          </w:tcPr>
          <w:p w14:paraId="1050FDA3" w14:textId="77777777" w:rsidR="00193606" w:rsidRPr="00CD2ADD" w:rsidRDefault="00193606" w:rsidP="002C4956">
            <w:pPr>
              <w:spacing w:before="120" w:after="120"/>
              <w:cnfStyle w:val="000000000000" w:firstRow="0" w:lastRow="0" w:firstColumn="0" w:lastColumn="0" w:oddVBand="0" w:evenVBand="0" w:oddHBand="0" w:evenHBand="0" w:firstRowFirstColumn="0" w:firstRowLastColumn="0" w:lastRowFirstColumn="0" w:lastRowLastColumn="0"/>
              <w:rPr>
                <w:sz w:val="21"/>
                <w:szCs w:val="21"/>
                <w:lang w:eastAsia="en-US"/>
              </w:rPr>
            </w:pPr>
            <w:r w:rsidRPr="00CD2ADD">
              <w:rPr>
                <w:sz w:val="21"/>
                <w:szCs w:val="21"/>
                <w:lang w:eastAsia="en-US"/>
              </w:rPr>
              <w:t>- Dotarea centrelor de sănătate în zonele critice</w:t>
            </w:r>
            <w:r w:rsidRPr="00CD2ADD">
              <w:rPr>
                <w:sz w:val="21"/>
                <w:szCs w:val="21"/>
                <w:lang w:eastAsia="en-US"/>
              </w:rPr>
              <w:br/>
              <w:t>- Integrarea sănătății în politicile de adaptare climatică</w:t>
            </w:r>
          </w:p>
        </w:tc>
      </w:tr>
      <w:tr w:rsidR="007A0200" w:rsidRPr="00CD2ADD" w14:paraId="439C8847" w14:textId="77777777" w:rsidTr="00A03711">
        <w:tc>
          <w:tcPr>
            <w:cnfStyle w:val="001000000000" w:firstRow="0" w:lastRow="0" w:firstColumn="1" w:lastColumn="0" w:oddVBand="0" w:evenVBand="0" w:oddHBand="0" w:evenHBand="0" w:firstRowFirstColumn="0" w:firstRowLastColumn="0" w:lastRowFirstColumn="0" w:lastRowLastColumn="0"/>
            <w:tcW w:w="0" w:type="auto"/>
          </w:tcPr>
          <w:p w14:paraId="1738FBD3" w14:textId="3C477902" w:rsidR="00717873" w:rsidRPr="00CD2ADD" w:rsidRDefault="00717873" w:rsidP="002C4956">
            <w:pPr>
              <w:spacing w:before="120" w:after="120"/>
              <w:rPr>
                <w:sz w:val="21"/>
                <w:szCs w:val="21"/>
                <w:lang w:eastAsia="en-US"/>
              </w:rPr>
            </w:pPr>
            <w:r w:rsidRPr="00CD2ADD">
              <w:rPr>
                <w:sz w:val="21"/>
                <w:szCs w:val="21"/>
                <w:lang w:eastAsia="en-US"/>
              </w:rPr>
              <w:t>Întreruperea accesului la servicii de sănătate sexuală și reproductivă (SRHR) în perioade de criză</w:t>
            </w:r>
          </w:p>
        </w:tc>
        <w:tc>
          <w:tcPr>
            <w:tcW w:w="0" w:type="auto"/>
          </w:tcPr>
          <w:p w14:paraId="00217931" w14:textId="3273A24D" w:rsidR="00717873" w:rsidRPr="00CD2ADD" w:rsidRDefault="00717873" w:rsidP="002C4956">
            <w:pPr>
              <w:spacing w:before="120" w:after="120"/>
              <w:cnfStyle w:val="000000000000" w:firstRow="0" w:lastRow="0" w:firstColumn="0" w:lastColumn="0" w:oddVBand="0" w:evenVBand="0" w:oddHBand="0" w:evenHBand="0" w:firstRowFirstColumn="0" w:firstRowLastColumn="0" w:lastRowFirstColumn="0" w:lastRowLastColumn="0"/>
              <w:rPr>
                <w:sz w:val="21"/>
                <w:szCs w:val="21"/>
                <w:lang w:eastAsia="en-US"/>
              </w:rPr>
            </w:pPr>
            <w:r w:rsidRPr="00CD2ADD">
              <w:rPr>
                <w:sz w:val="21"/>
                <w:szCs w:val="21"/>
                <w:lang w:eastAsia="en-US"/>
              </w:rPr>
              <w:t>- Femei însărcinate, fete și persoane cu dizabilități afectate disproporționat</w:t>
            </w:r>
            <w:r w:rsidRPr="00CD2ADD">
              <w:rPr>
                <w:sz w:val="21"/>
                <w:szCs w:val="21"/>
                <w:lang w:eastAsia="en-US"/>
              </w:rPr>
              <w:br/>
              <w:t>- Lipsa continuității serviciilor obstetricale și contraceptive</w:t>
            </w:r>
            <w:r w:rsidRPr="00CD2ADD">
              <w:rPr>
                <w:sz w:val="21"/>
                <w:szCs w:val="21"/>
                <w:lang w:eastAsia="en-US"/>
              </w:rPr>
              <w:br/>
              <w:t>- Lipsa resurselor și personalului format în zonele rurale</w:t>
            </w:r>
          </w:p>
        </w:tc>
        <w:tc>
          <w:tcPr>
            <w:tcW w:w="0" w:type="auto"/>
          </w:tcPr>
          <w:p w14:paraId="1F32EE5F" w14:textId="08D5E612" w:rsidR="00717873" w:rsidRPr="00CD2ADD" w:rsidRDefault="00717873" w:rsidP="002C4956">
            <w:pPr>
              <w:spacing w:before="120" w:after="120"/>
              <w:cnfStyle w:val="000000000000" w:firstRow="0" w:lastRow="0" w:firstColumn="0" w:lastColumn="0" w:oddVBand="0" w:evenVBand="0" w:oddHBand="0" w:evenHBand="0" w:firstRowFirstColumn="0" w:firstRowLastColumn="0" w:lastRowFirstColumn="0" w:lastRowLastColumn="0"/>
              <w:rPr>
                <w:sz w:val="21"/>
                <w:szCs w:val="21"/>
                <w:lang w:eastAsia="en-US"/>
              </w:rPr>
            </w:pPr>
            <w:r w:rsidRPr="00CD2ADD">
              <w:rPr>
                <w:sz w:val="21"/>
                <w:szCs w:val="21"/>
                <w:lang w:eastAsia="en-US"/>
              </w:rPr>
              <w:t>- Asigurarea furnizării Pachetului Minim de Servicii (MISP) pentru SRHR în caz de criză</w:t>
            </w:r>
            <w:r w:rsidRPr="00CD2ADD">
              <w:rPr>
                <w:sz w:val="21"/>
                <w:szCs w:val="21"/>
                <w:lang w:eastAsia="en-US"/>
              </w:rPr>
              <w:br/>
              <w:t>- Dotarea unităților sanitare cu resurse pentru sănătate maternă și neonatală</w:t>
            </w:r>
            <w:r w:rsidRPr="00CD2ADD">
              <w:rPr>
                <w:sz w:val="21"/>
                <w:szCs w:val="21"/>
                <w:lang w:eastAsia="en-US"/>
              </w:rPr>
              <w:br/>
              <w:t>- Instruirea personalului medical pentru a răspunde nevoilor specifice ale grupurilor vulnerabile</w:t>
            </w:r>
          </w:p>
        </w:tc>
      </w:tr>
      <w:tr w:rsidR="002C5484" w:rsidRPr="00CD2ADD" w14:paraId="21805405" w14:textId="77777777" w:rsidTr="00A03711">
        <w:tc>
          <w:tcPr>
            <w:cnfStyle w:val="001000000000" w:firstRow="0" w:lastRow="0" w:firstColumn="1" w:lastColumn="0" w:oddVBand="0" w:evenVBand="0" w:oddHBand="0" w:evenHBand="0" w:firstRowFirstColumn="0" w:firstRowLastColumn="0" w:lastRowFirstColumn="0" w:lastRowLastColumn="0"/>
            <w:tcW w:w="0" w:type="auto"/>
            <w:hideMark/>
          </w:tcPr>
          <w:p w14:paraId="5B613354" w14:textId="77777777" w:rsidR="00193606" w:rsidRPr="00CD2ADD" w:rsidRDefault="00193606" w:rsidP="002C4956">
            <w:pPr>
              <w:spacing w:before="120" w:after="120"/>
              <w:rPr>
                <w:sz w:val="21"/>
                <w:szCs w:val="21"/>
                <w:lang w:eastAsia="en-US"/>
              </w:rPr>
            </w:pPr>
            <w:r w:rsidRPr="00CD2ADD">
              <w:rPr>
                <w:sz w:val="21"/>
                <w:szCs w:val="21"/>
                <w:lang w:eastAsia="en-US"/>
              </w:rPr>
              <w:t>Lipsa informării și pregătirii populației</w:t>
            </w:r>
          </w:p>
        </w:tc>
        <w:tc>
          <w:tcPr>
            <w:tcW w:w="0" w:type="auto"/>
            <w:hideMark/>
          </w:tcPr>
          <w:p w14:paraId="3AFB06A4" w14:textId="77777777" w:rsidR="00193606" w:rsidRPr="00CD2ADD" w:rsidRDefault="00193606" w:rsidP="002C4956">
            <w:pPr>
              <w:spacing w:before="120" w:after="120"/>
              <w:cnfStyle w:val="000000000000" w:firstRow="0" w:lastRow="0" w:firstColumn="0" w:lastColumn="0" w:oddVBand="0" w:evenVBand="0" w:oddHBand="0" w:evenHBand="0" w:firstRowFirstColumn="0" w:firstRowLastColumn="0" w:lastRowFirstColumn="0" w:lastRowLastColumn="0"/>
              <w:rPr>
                <w:sz w:val="21"/>
                <w:szCs w:val="21"/>
                <w:lang w:eastAsia="en-US"/>
              </w:rPr>
            </w:pPr>
            <w:r w:rsidRPr="00CD2ADD">
              <w:rPr>
                <w:sz w:val="21"/>
                <w:szCs w:val="21"/>
                <w:lang w:eastAsia="en-US"/>
              </w:rPr>
              <w:t>- Educație insuficientă privind riscurile climatice</w:t>
            </w:r>
          </w:p>
        </w:tc>
        <w:tc>
          <w:tcPr>
            <w:tcW w:w="0" w:type="auto"/>
            <w:hideMark/>
          </w:tcPr>
          <w:p w14:paraId="4B3A9559" w14:textId="393E7FCD" w:rsidR="00193606" w:rsidRPr="00CD2ADD" w:rsidRDefault="00193606" w:rsidP="002C4956">
            <w:pPr>
              <w:spacing w:before="120" w:after="120"/>
              <w:cnfStyle w:val="000000000000" w:firstRow="0" w:lastRow="0" w:firstColumn="0" w:lastColumn="0" w:oddVBand="0" w:evenVBand="0" w:oddHBand="0" w:evenHBand="0" w:firstRowFirstColumn="0" w:firstRowLastColumn="0" w:lastRowFirstColumn="0" w:lastRowLastColumn="0"/>
              <w:rPr>
                <w:sz w:val="21"/>
                <w:szCs w:val="21"/>
                <w:lang w:eastAsia="en-US"/>
              </w:rPr>
            </w:pPr>
            <w:r w:rsidRPr="00CD2ADD">
              <w:rPr>
                <w:sz w:val="21"/>
                <w:szCs w:val="21"/>
                <w:lang w:eastAsia="en-US"/>
              </w:rPr>
              <w:t>- Campanii de informare la nivel local</w:t>
            </w:r>
            <w:r w:rsidR="0051296C" w:rsidRPr="00CD2ADD">
              <w:rPr>
                <w:sz w:val="21"/>
                <w:szCs w:val="21"/>
                <w:lang w:eastAsia="en-US"/>
              </w:rPr>
              <w:t xml:space="preserve">. </w:t>
            </w:r>
            <w:r w:rsidRPr="00CD2ADD">
              <w:rPr>
                <w:sz w:val="21"/>
                <w:szCs w:val="21"/>
                <w:lang w:eastAsia="en-US"/>
              </w:rPr>
              <w:t>Formarea personalului medical pentru intervenții în cazuri de stres termic</w:t>
            </w:r>
          </w:p>
        </w:tc>
      </w:tr>
    </w:tbl>
    <w:p w14:paraId="09E2411C" w14:textId="77777777" w:rsidR="00C250E4" w:rsidRPr="00CD2ADD" w:rsidRDefault="00C250E4" w:rsidP="00C250E4">
      <w:pPr>
        <w:jc w:val="center"/>
        <w:rPr>
          <w:b/>
          <w:bCs/>
        </w:rPr>
      </w:pPr>
    </w:p>
    <w:p w14:paraId="2AD8340B" w14:textId="21FA6CC7" w:rsidR="003F7138" w:rsidRPr="00CD2ADD" w:rsidRDefault="00C250E4" w:rsidP="00590E37">
      <w:pPr>
        <w:pStyle w:val="Heading3"/>
        <w:jc w:val="center"/>
        <w:rPr>
          <w:rFonts w:ascii="Times New Roman" w:hAnsi="Times New Roman" w:cs="Times New Roman"/>
          <w:b/>
          <w:bCs w:val="0"/>
          <w:color w:val="000000" w:themeColor="text1"/>
        </w:rPr>
      </w:pPr>
      <w:r w:rsidRPr="00CD2ADD">
        <w:rPr>
          <w:rFonts w:ascii="Times New Roman" w:hAnsi="Times New Roman" w:cs="Times New Roman"/>
          <w:b/>
          <w:bCs w:val="0"/>
          <w:color w:val="000000" w:themeColor="text1"/>
        </w:rPr>
        <w:t>Subsecțiunea a 2-a</w:t>
      </w:r>
    </w:p>
    <w:p w14:paraId="1BA68CF1" w14:textId="2C5C9022" w:rsidR="00C250E4" w:rsidRPr="00CD2ADD" w:rsidRDefault="00C250E4" w:rsidP="00590E37">
      <w:pPr>
        <w:pStyle w:val="Heading3"/>
        <w:jc w:val="center"/>
        <w:rPr>
          <w:rFonts w:ascii="Times New Roman" w:hAnsi="Times New Roman" w:cs="Times New Roman"/>
          <w:b/>
          <w:bCs w:val="0"/>
          <w:color w:val="000000" w:themeColor="text1"/>
        </w:rPr>
      </w:pPr>
      <w:r w:rsidRPr="00CD2ADD">
        <w:rPr>
          <w:rFonts w:ascii="Times New Roman" w:hAnsi="Times New Roman" w:cs="Times New Roman"/>
          <w:b/>
          <w:bCs w:val="0"/>
          <w:color w:val="000000" w:themeColor="text1"/>
        </w:rPr>
        <w:t>Inundații, revărsarea apelor și nivel înalt al apelor subterane</w:t>
      </w:r>
    </w:p>
    <w:p w14:paraId="469BECC1" w14:textId="11F06847" w:rsidR="00600706" w:rsidRPr="00CD2ADD" w:rsidRDefault="002D358B">
      <w:pPr>
        <w:pStyle w:val="ListParagraph"/>
        <w:numPr>
          <w:ilvl w:val="0"/>
          <w:numId w:val="42"/>
        </w:numPr>
        <w:spacing w:after="0"/>
        <w:ind w:left="0" w:firstLine="284"/>
        <w:jc w:val="both"/>
        <w:rPr>
          <w:rFonts w:ascii="Times New Roman" w:hAnsi="Times New Roman" w:cs="Times New Roman"/>
          <w:color w:val="000000" w:themeColor="text1"/>
          <w:sz w:val="24"/>
          <w:szCs w:val="24"/>
        </w:rPr>
      </w:pPr>
      <w:bookmarkStart w:id="56" w:name="OLE_LINK17"/>
      <w:bookmarkStart w:id="57" w:name="OLE_LINK29"/>
      <w:bookmarkEnd w:id="53"/>
      <w:bookmarkEnd w:id="55"/>
      <w:r w:rsidRPr="00CD2ADD">
        <w:rPr>
          <w:rFonts w:ascii="Times New Roman" w:hAnsi="Times New Roman" w:cs="Times New Roman"/>
          <w:color w:val="000000" w:themeColor="text1"/>
          <w:sz w:val="24"/>
          <w:szCs w:val="24"/>
        </w:rPr>
        <w:t xml:space="preserve">Conform Legii </w:t>
      </w:r>
      <w:r w:rsidR="00601713" w:rsidRPr="00CD2ADD">
        <w:rPr>
          <w:rFonts w:ascii="Times New Roman" w:hAnsi="Times New Roman" w:cs="Times New Roman"/>
          <w:color w:val="000000" w:themeColor="text1"/>
          <w:sz w:val="24"/>
          <w:szCs w:val="24"/>
        </w:rPr>
        <w:t>nr. 272/2011</w:t>
      </w:r>
      <w:r w:rsidR="000277D2" w:rsidRPr="00CD2ADD">
        <w:rPr>
          <w:rFonts w:ascii="Times New Roman" w:hAnsi="Times New Roman" w:cs="Times New Roman"/>
          <w:color w:val="000000" w:themeColor="text1"/>
          <w:sz w:val="24"/>
          <w:szCs w:val="24"/>
        </w:rPr>
        <w:t xml:space="preserve"> </w:t>
      </w:r>
      <w:r w:rsidR="00601713" w:rsidRPr="00CD2ADD">
        <w:rPr>
          <w:rFonts w:ascii="Times New Roman" w:hAnsi="Times New Roman" w:cs="Times New Roman"/>
          <w:color w:val="000000" w:themeColor="text1"/>
          <w:sz w:val="24"/>
          <w:szCs w:val="24"/>
        </w:rPr>
        <w:t>apelor</w:t>
      </w:r>
      <w:r w:rsidRPr="00CD2ADD">
        <w:rPr>
          <w:rFonts w:ascii="Times New Roman" w:hAnsi="Times New Roman" w:cs="Times New Roman"/>
          <w:color w:val="000000" w:themeColor="text1"/>
          <w:sz w:val="24"/>
          <w:szCs w:val="24"/>
        </w:rPr>
        <w:t xml:space="preserve">, inundațiile reprezintă </w:t>
      </w:r>
      <w:r w:rsidR="00134A19" w:rsidRPr="00CD2ADD">
        <w:rPr>
          <w:rFonts w:ascii="Times New Roman" w:hAnsi="Times New Roman" w:cs="Times New Roman"/>
          <w:color w:val="000000" w:themeColor="text1"/>
          <w:sz w:val="24"/>
          <w:szCs w:val="24"/>
        </w:rPr>
        <w:t>acoperire temporară cu apă, provenită din revărsarea exagerată a apelor mari de viitură sau din precipitații abundente, a unei porțiuni de teren care, în mod obișnuit, nu este acoperit de apă</w:t>
      </w:r>
      <w:r w:rsidR="00A97E6D" w:rsidRPr="00CD2ADD">
        <w:rPr>
          <w:rStyle w:val="FootnoteReference"/>
          <w:rFonts w:ascii="Times New Roman" w:hAnsi="Times New Roman" w:cs="Times New Roman"/>
          <w:color w:val="000000" w:themeColor="text1"/>
          <w:sz w:val="24"/>
          <w:szCs w:val="24"/>
        </w:rPr>
        <w:footnoteReference w:id="21"/>
      </w:r>
      <w:r w:rsidRPr="00CD2ADD">
        <w:rPr>
          <w:rFonts w:ascii="Times New Roman" w:hAnsi="Times New Roman" w:cs="Times New Roman"/>
          <w:color w:val="000000" w:themeColor="text1"/>
          <w:sz w:val="24"/>
          <w:szCs w:val="24"/>
        </w:rPr>
        <w:t>. SHS clasifică ploi torențiale drept cantități mari de precipitații căzute într-un interval scurt de timp, în timp ce ploile de lungă durată sunt evenimente pluviometrice prelungite, care pot satura solul și favoriza inundații.</w:t>
      </w:r>
      <w:r w:rsidR="00A97E6D" w:rsidRPr="00CD2ADD">
        <w:rPr>
          <w:rStyle w:val="FootnoteReference"/>
          <w:rFonts w:ascii="Times New Roman" w:hAnsi="Times New Roman" w:cs="Times New Roman"/>
          <w:color w:val="000000" w:themeColor="text1"/>
          <w:sz w:val="24"/>
          <w:szCs w:val="24"/>
        </w:rPr>
        <w:footnoteReference w:id="22"/>
      </w:r>
    </w:p>
    <w:p w14:paraId="53AF1D17" w14:textId="77777777" w:rsidR="00C250E4" w:rsidRPr="00CD2ADD" w:rsidRDefault="00EC017C" w:rsidP="00C250E4">
      <w:pPr>
        <w:ind w:firstLine="284"/>
        <w:jc w:val="both"/>
        <w:rPr>
          <w:rStyle w:val="IntenseEmphasis"/>
          <w:color w:val="000000" w:themeColor="text1"/>
          <w:lang w:eastAsia="en-US"/>
        </w:rPr>
      </w:pPr>
      <w:r w:rsidRPr="00CD2ADD">
        <w:rPr>
          <w:rStyle w:val="IntenseEmphasis"/>
          <w:color w:val="000000" w:themeColor="text1"/>
          <w:lang w:eastAsia="en-US"/>
        </w:rPr>
        <w:t>Impact socio-economic</w:t>
      </w:r>
    </w:p>
    <w:p w14:paraId="3C4989E5" w14:textId="7A7985A7" w:rsidR="00501328" w:rsidRPr="00CD2ADD" w:rsidRDefault="00501328">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Inundațiile din primăvara anului 1969 rămân cel mai devastator eveniment hidrologic din istoria recentă a Republicii Moldova. Viiturile masive, cu un debit maxim de 5,5 mii m³/s, au fost amplificate de formarea barajelor de gheață pe râul Nistru, ceea ce a dus la creșterea nivelului apei de la 6 până la 9 metri. Ca urmare, au fost inundate orașele Soroca, Camenca, Râbnița, Rezina și zeci de sate, afectând peste 1.500 de case, dintre care 900 au fost complet distruse. Deversările din lacul de acumulare Dubăsari, ce au atins 4,18 mii m³/s, au provocat ruperea digurilor și au dus la inundarea a circa 30 de localități și a numeroase infrastructuri critice, inclusiv drumuri și rețele de comunicații.</w:t>
      </w:r>
    </w:p>
    <w:p w14:paraId="22453E72" w14:textId="720D5711" w:rsidR="00D31518" w:rsidRPr="00CD2ADD" w:rsidRDefault="00501328" w:rsidP="00D33EF3">
      <w:pPr>
        <w:ind w:firstLine="284"/>
        <w:jc w:val="both"/>
        <w:rPr>
          <w:rStyle w:val="Emphasis"/>
          <w:b w:val="0"/>
          <w:i w:val="0"/>
          <w:iCs w:val="0"/>
          <w:color w:val="000000" w:themeColor="text1"/>
          <w:lang w:eastAsia="en-US"/>
        </w:rPr>
      </w:pPr>
      <w:r w:rsidRPr="00CD2ADD">
        <w:rPr>
          <w:color w:val="000000" w:themeColor="text1"/>
          <w:lang w:eastAsia="en-US"/>
        </w:rPr>
        <w:t>În sectorul Bender–Chițcani, viiturile au determinat ruperea digurilor și au inundat aproximativ 13.930 ha de terenuri de luncă, inclusiv 8.472 ha de terenuri arabile. Doar în zona Otaci–Olănești au fost afectate circa 3.920 de case (din care 703 distruse), 183 de clădiri publice și 78 de întreprinderi. Impactul acestor inundații a subliniat vulnerabilitatea ridicată a teritoriului și lipsa capacităților de protecție, marcând un punct de cotitură în gestionarea riscurilor hidrologice în Moldova.</w:t>
      </w:r>
    </w:p>
    <w:p w14:paraId="283DB60C" w14:textId="7D02EBEF" w:rsidR="00895BF2" w:rsidRPr="00CD2ADD" w:rsidRDefault="000D0589">
      <w:pPr>
        <w:pStyle w:val="ListParagraph"/>
        <w:numPr>
          <w:ilvl w:val="0"/>
          <w:numId w:val="42"/>
        </w:numPr>
        <w:tabs>
          <w:tab w:val="left" w:pos="851"/>
          <w:tab w:val="left" w:pos="1843"/>
        </w:tabs>
        <w:spacing w:after="120"/>
        <w:ind w:left="0" w:firstLine="426"/>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Graficul</w:t>
      </w:r>
      <w:r w:rsidR="00B41BA4" w:rsidRPr="00CD2ADD">
        <w:rPr>
          <w:rFonts w:ascii="Times New Roman" w:hAnsi="Times New Roman" w:cs="Times New Roman"/>
          <w:color w:val="000000" w:themeColor="text1"/>
          <w:sz w:val="24"/>
          <w:szCs w:val="24"/>
        </w:rPr>
        <w:t xml:space="preserve"> de mai jos</w:t>
      </w:r>
      <w:r w:rsidRPr="00CD2ADD">
        <w:rPr>
          <w:rFonts w:ascii="Times New Roman" w:hAnsi="Times New Roman" w:cs="Times New Roman"/>
          <w:color w:val="000000" w:themeColor="text1"/>
          <w:sz w:val="24"/>
          <w:szCs w:val="24"/>
        </w:rPr>
        <w:t xml:space="preserve"> evidențiază evoluția situațiilor excepționale cauzate de inundații, revărsarea apelor și nivelul înalt al apelor subterane în Republica Moldova în perioada 2010–2024, precum și valoarea pagubelor economice asociate acestora. </w:t>
      </w:r>
      <w:r w:rsidR="002D358B" w:rsidRPr="00CD2ADD">
        <w:rPr>
          <w:rFonts w:ascii="Times New Roman" w:hAnsi="Times New Roman" w:cs="Times New Roman"/>
          <w:color w:val="000000" w:themeColor="text1"/>
          <w:sz w:val="24"/>
          <w:szCs w:val="24"/>
        </w:rPr>
        <w:t>C</w:t>
      </w:r>
      <w:r w:rsidR="00406222" w:rsidRPr="00CD2ADD">
        <w:rPr>
          <w:rFonts w:ascii="Times New Roman" w:hAnsi="Times New Roman" w:cs="Times New Roman"/>
          <w:color w:val="000000" w:themeColor="text1"/>
          <w:sz w:val="24"/>
          <w:szCs w:val="24"/>
        </w:rPr>
        <w:t>onform datelor IGSU</w:t>
      </w:r>
      <w:r w:rsidRPr="00CD2ADD">
        <w:rPr>
          <w:rFonts w:ascii="Times New Roman" w:hAnsi="Times New Roman" w:cs="Times New Roman"/>
          <w:color w:val="000000" w:themeColor="text1"/>
          <w:sz w:val="24"/>
          <w:szCs w:val="24"/>
        </w:rPr>
        <w:t xml:space="preserve">, </w:t>
      </w:r>
      <w:r w:rsidR="002D358B" w:rsidRPr="00CD2ADD">
        <w:rPr>
          <w:rFonts w:ascii="Times New Roman" w:hAnsi="Times New Roman" w:cs="Times New Roman"/>
          <w:b/>
          <w:bCs/>
          <w:color w:val="000000" w:themeColor="text1"/>
          <w:sz w:val="24"/>
          <w:szCs w:val="24"/>
        </w:rPr>
        <w:t xml:space="preserve">în iunie 2010, </w:t>
      </w:r>
      <w:r w:rsidR="002D358B" w:rsidRPr="00CD2ADD">
        <w:rPr>
          <w:rFonts w:ascii="Times New Roman" w:hAnsi="Times New Roman" w:cs="Times New Roman"/>
          <w:color w:val="000000" w:themeColor="text1"/>
          <w:sz w:val="24"/>
          <w:szCs w:val="24"/>
        </w:rPr>
        <w:t xml:space="preserve">revărsările râurilor Prut și Nistru, cauzate de ploi torențiale intense, au provocat o inundație de proporții </w:t>
      </w:r>
      <w:r w:rsidR="002D358B" w:rsidRPr="00CD2ADD">
        <w:rPr>
          <w:rFonts w:ascii="Times New Roman" w:hAnsi="Times New Roman" w:cs="Times New Roman"/>
          <w:color w:val="000000" w:themeColor="text1"/>
          <w:sz w:val="24"/>
          <w:szCs w:val="24"/>
        </w:rPr>
        <w:lastRenderedPageBreak/>
        <w:t>naționale. Au fost afectate 38 de localități din 9 raioane, cu 2 persoane decedate, 2</w:t>
      </w:r>
      <w:r w:rsidR="00EF68B4" w:rsidRPr="00CD2ADD">
        <w:rPr>
          <w:rFonts w:ascii="Times New Roman" w:hAnsi="Times New Roman" w:cs="Times New Roman"/>
          <w:color w:val="000000" w:themeColor="text1"/>
          <w:sz w:val="24"/>
          <w:szCs w:val="24"/>
        </w:rPr>
        <w:t>,</w:t>
      </w:r>
      <w:r w:rsidR="002D358B" w:rsidRPr="00CD2ADD">
        <w:rPr>
          <w:rFonts w:ascii="Times New Roman" w:hAnsi="Times New Roman" w:cs="Times New Roman"/>
          <w:color w:val="000000" w:themeColor="text1"/>
          <w:sz w:val="24"/>
          <w:szCs w:val="24"/>
        </w:rPr>
        <w:t xml:space="preserve">659 persoane evacuate (inclusiv 616 copii), 887 de case inundate și distruse, infrastructură avariată (drumuri, poduri, instituții), precum și pierderi agricole și zootehnice semnificative. </w:t>
      </w:r>
      <w:r w:rsidR="00EE1A28" w:rsidRPr="00CD2ADD">
        <w:rPr>
          <w:rFonts w:ascii="Times New Roman" w:hAnsi="Times New Roman" w:cs="Times New Roman"/>
          <w:color w:val="000000" w:themeColor="text1"/>
          <w:sz w:val="24"/>
          <w:szCs w:val="24"/>
        </w:rPr>
        <w:t>Daunele economice au depășit 84 milioane lei in 2010, reflectând impactul inundațiilor majore din acel an</w:t>
      </w:r>
      <w:r w:rsidR="00734A11" w:rsidRPr="00CD2ADD">
        <w:rPr>
          <w:rFonts w:ascii="Times New Roman" w:hAnsi="Times New Roman" w:cs="Times New Roman"/>
          <w:color w:val="000000" w:themeColor="text1"/>
          <w:sz w:val="24"/>
          <w:szCs w:val="24"/>
        </w:rPr>
        <w:t>.</w:t>
      </w:r>
      <w:r w:rsidR="00EE1A28" w:rsidRPr="00CD2ADD">
        <w:rPr>
          <w:rFonts w:ascii="Times New Roman" w:hAnsi="Times New Roman" w:cs="Times New Roman"/>
          <w:color w:val="000000" w:themeColor="text1"/>
          <w:sz w:val="24"/>
          <w:szCs w:val="24"/>
        </w:rPr>
        <w:t xml:space="preserve"> </w:t>
      </w:r>
    </w:p>
    <w:p w14:paraId="6626988E" w14:textId="77777777" w:rsidR="00D33EF3" w:rsidRPr="00CD2ADD" w:rsidRDefault="00D33EF3" w:rsidP="00D33EF3">
      <w:pPr>
        <w:jc w:val="center"/>
        <w:rPr>
          <w:lang w:eastAsia="en-US"/>
        </w:rPr>
      </w:pPr>
      <w:r w:rsidRPr="00CD2ADD">
        <w:rPr>
          <w:b/>
          <w:bCs/>
          <w:lang w:eastAsia="en-US"/>
        </w:rPr>
        <w:t>Figura 21</w:t>
      </w:r>
      <w:r w:rsidRPr="00CD2ADD">
        <w:rPr>
          <w:lang w:eastAsia="en-US"/>
        </w:rPr>
        <w:t>. Situații excepționale: inundații, revărsarea apelor,</w:t>
      </w:r>
    </w:p>
    <w:p w14:paraId="2A912D78" w14:textId="5FA55E7C" w:rsidR="009F6A65" w:rsidRPr="00CD2ADD" w:rsidRDefault="00D33EF3" w:rsidP="00D33EF3">
      <w:pPr>
        <w:jc w:val="center"/>
        <w:rPr>
          <w:lang w:eastAsia="en-US"/>
        </w:rPr>
      </w:pPr>
      <w:r w:rsidRPr="00CD2ADD">
        <w:rPr>
          <w:lang w:eastAsia="en-US"/>
        </w:rPr>
        <w:t xml:space="preserve"> nivel înalt al apelor subterane, 2010-2024</w:t>
      </w:r>
    </w:p>
    <w:p w14:paraId="45747218" w14:textId="00B3BC85" w:rsidR="00E51220" w:rsidRPr="00CD2ADD" w:rsidRDefault="00323ADE" w:rsidP="00A21E4D">
      <w:pPr>
        <w:jc w:val="center"/>
        <w:rPr>
          <w:sz w:val="22"/>
          <w:szCs w:val="22"/>
          <w:lang w:eastAsia="en-US"/>
        </w:rPr>
      </w:pPr>
      <w:r w:rsidRPr="00CD2ADD">
        <w:rPr>
          <w:noProof/>
        </w:rPr>
        <w:drawing>
          <wp:inline distT="0" distB="0" distL="0" distR="0" wp14:anchorId="701652ED" wp14:editId="1D61CDB3">
            <wp:extent cx="5582093" cy="3062177"/>
            <wp:effectExtent l="0" t="0" r="6350" b="11430"/>
            <wp:docPr id="1313985060" name="Chart 1">
              <a:extLst xmlns:a="http://schemas.openxmlformats.org/drawingml/2006/main">
                <a:ext uri="{FF2B5EF4-FFF2-40B4-BE49-F238E27FC236}">
                  <a16:creationId xmlns:a16="http://schemas.microsoft.com/office/drawing/2014/main" id="{6036FC23-ABE9-3E99-100B-E48B1D7367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E67F767" w14:textId="30818B56" w:rsidR="00601713" w:rsidRPr="00CD2ADD" w:rsidRDefault="00E51220" w:rsidP="00D33EF3">
      <w:pPr>
        <w:spacing w:after="120"/>
        <w:jc w:val="center"/>
        <w:rPr>
          <w:i/>
          <w:iCs/>
          <w:sz w:val="20"/>
          <w:szCs w:val="20"/>
          <w:lang w:eastAsia="en-US"/>
        </w:rPr>
      </w:pPr>
      <w:r w:rsidRPr="00CD2ADD">
        <w:rPr>
          <w:i/>
          <w:iCs/>
          <w:sz w:val="20"/>
          <w:szCs w:val="20"/>
          <w:lang w:eastAsia="en-US"/>
        </w:rPr>
        <w:t>Sursa: IGSU – Analiza Situațiilor Excepționale 2010–2024</w:t>
      </w:r>
    </w:p>
    <w:p w14:paraId="32D4285D" w14:textId="66846495" w:rsidR="00FC4FC1" w:rsidRPr="00CD2ADD" w:rsidRDefault="00FC4FC1" w:rsidP="00D33EF3">
      <w:pPr>
        <w:spacing w:after="120"/>
        <w:ind w:firstLine="426"/>
        <w:jc w:val="both"/>
        <w:rPr>
          <w:lang w:eastAsia="en-US"/>
        </w:rPr>
      </w:pPr>
      <w:r w:rsidRPr="00CD2ADD">
        <w:rPr>
          <w:lang w:eastAsia="en-US"/>
        </w:rPr>
        <w:t>În acest context, cazul satului Cotul Morii</w:t>
      </w:r>
      <w:r w:rsidR="0042406A" w:rsidRPr="00CD2ADD">
        <w:rPr>
          <w:lang w:eastAsia="en-US"/>
        </w:rPr>
        <w:t>,</w:t>
      </w:r>
      <w:r w:rsidRPr="00CD2ADD">
        <w:rPr>
          <w:lang w:eastAsia="en-US"/>
        </w:rPr>
        <w:t xml:space="preserve"> raionul Hâncești reprezintă cel mai notoriu exemplu de strămutare post-dezastru din istoria recentă a Republicii Moldova. În vara anului 2010, satul a fost complet acoperit de ape după ce digul de protecție anti-viitură situat în apropiere de satul Nemțeni a cedat sub presiunea debitelor ridicate ale râului Prut. Inundațiile au afectat întreaga luncă Leușeni, inclusiv satele Obileni și Sărăteni, acoperind o suprafață de peste 3.800 de hectare. Din cauza nivelului ridicat de distrugere, autoritățile au considerat imposibilă reconstrucția satului în vechea locație și au decis relocarea completă a comunității. Astfel, a fost construit un nou sat Cotul Morii la 14 kilometri distanță, pe o colină situată în apropierea localității Leușeni.</w:t>
      </w:r>
      <w:r w:rsidR="007F5A5F" w:rsidRPr="00CD2ADD">
        <w:rPr>
          <w:rStyle w:val="FootnoteReference"/>
          <w:lang w:eastAsia="en-US"/>
        </w:rPr>
        <w:footnoteReference w:id="23"/>
      </w:r>
    </w:p>
    <w:p w14:paraId="2A0BFAF9" w14:textId="20B5F69E" w:rsidR="00D31518" w:rsidRPr="00CD2ADD" w:rsidRDefault="00D31518" w:rsidP="00D33EF3">
      <w:pPr>
        <w:ind w:firstLine="426"/>
        <w:jc w:val="both"/>
        <w:rPr>
          <w:lang w:eastAsia="en-US"/>
        </w:rPr>
      </w:pPr>
      <w:r w:rsidRPr="00CD2ADD">
        <w:rPr>
          <w:lang w:eastAsia="en-US"/>
        </w:rPr>
        <w:t xml:space="preserve">În iunie 2020, precipitațiile de până la 12 ori peste media lunară au </w:t>
      </w:r>
      <w:r w:rsidR="0042406A" w:rsidRPr="00CD2ADD">
        <w:rPr>
          <w:lang w:eastAsia="en-US"/>
        </w:rPr>
        <w:t>pro</w:t>
      </w:r>
      <w:r w:rsidRPr="00CD2ADD">
        <w:rPr>
          <w:lang w:eastAsia="en-US"/>
        </w:rPr>
        <w:t xml:space="preserve"> creșteri semnificative  </w:t>
      </w:r>
      <w:r w:rsidR="00FA0989" w:rsidRPr="00CD2ADD">
        <w:rPr>
          <w:lang w:eastAsia="en-US"/>
        </w:rPr>
        <w:t xml:space="preserve">a </w:t>
      </w:r>
      <w:r w:rsidRPr="00CD2ADD">
        <w:rPr>
          <w:lang w:eastAsia="en-US"/>
        </w:rPr>
        <w:t>debit</w:t>
      </w:r>
      <w:r w:rsidR="00FA0989" w:rsidRPr="00CD2ADD">
        <w:rPr>
          <w:lang w:eastAsia="en-US"/>
        </w:rPr>
        <w:t>ului</w:t>
      </w:r>
      <w:r w:rsidRPr="00CD2ADD">
        <w:rPr>
          <w:lang w:eastAsia="en-US"/>
        </w:rPr>
        <w:t xml:space="preserve"> </w:t>
      </w:r>
      <w:r w:rsidR="00FA0989" w:rsidRPr="00CD2ADD">
        <w:rPr>
          <w:lang w:eastAsia="en-US"/>
        </w:rPr>
        <w:t>fl</w:t>
      </w:r>
      <w:r w:rsidR="009F6A65" w:rsidRPr="00CD2ADD">
        <w:rPr>
          <w:lang w:eastAsia="en-US"/>
        </w:rPr>
        <w:t xml:space="preserve">uviului </w:t>
      </w:r>
      <w:r w:rsidRPr="00CD2ADD">
        <w:rPr>
          <w:lang w:eastAsia="en-US"/>
        </w:rPr>
        <w:t xml:space="preserve">Nistru și </w:t>
      </w:r>
      <w:r w:rsidR="00FA0989" w:rsidRPr="00CD2ADD">
        <w:rPr>
          <w:lang w:eastAsia="en-US"/>
        </w:rPr>
        <w:t>r</w:t>
      </w:r>
      <w:r w:rsidR="009F6A65" w:rsidRPr="00CD2ADD">
        <w:rPr>
          <w:lang w:eastAsia="en-US"/>
        </w:rPr>
        <w:t>âului</w:t>
      </w:r>
      <w:r w:rsidR="00FA0989" w:rsidRPr="00CD2ADD">
        <w:rPr>
          <w:lang w:eastAsia="en-US"/>
        </w:rPr>
        <w:t xml:space="preserve"> </w:t>
      </w:r>
      <w:r w:rsidRPr="00CD2ADD">
        <w:rPr>
          <w:lang w:eastAsia="en-US"/>
        </w:rPr>
        <w:t>Prut, declanșând inundații în raioanele Camenca, Rezina, Criuleni, Grigoriopol, Anenii Noi, Slobozia și Ștefan Vodă. Nivelul râului Prut a crescut cu până la 2,2 m între Criva și Costești. În anii 2018</w:t>
      </w:r>
      <w:r w:rsidR="00CE14BE" w:rsidRPr="00CD2ADD">
        <w:rPr>
          <w:lang w:eastAsia="en-US"/>
        </w:rPr>
        <w:t>-</w:t>
      </w:r>
      <w:r w:rsidRPr="00CD2ADD">
        <w:rPr>
          <w:lang w:eastAsia="en-US"/>
        </w:rPr>
        <w:t>2021, deși frecvența evenimentelor a crescut, pagubele au fost mai mici, sugerând o eficiență sporită în prevenție și răspuns. În 2024, persistă cazuri izolate, indicând un risc rezidual semnificativ.</w:t>
      </w:r>
    </w:p>
    <w:p w14:paraId="1154D6C4" w14:textId="5571FC3E" w:rsidR="006D64D7" w:rsidRPr="00CD2ADD" w:rsidRDefault="006D64D7">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În perioada 2010–2024, râurile mici din Republica Moldova au fost afectate de mai multe episoade severe de inundații cauzate de precipitații abundente și ploi torențiale. În 2010, cantitățile de precipitații acumulate în lunile mai</w:t>
      </w:r>
      <w:r w:rsidR="00105C79" w:rsidRPr="00CD2ADD">
        <w:rPr>
          <w:rFonts w:ascii="Times New Roman" w:hAnsi="Times New Roman" w:cs="Times New Roman"/>
          <w:color w:val="000000" w:themeColor="text1"/>
          <w:sz w:val="24"/>
          <w:szCs w:val="24"/>
        </w:rPr>
        <w:t>-</w:t>
      </w:r>
      <w:r w:rsidRPr="00CD2ADD">
        <w:rPr>
          <w:rFonts w:ascii="Times New Roman" w:hAnsi="Times New Roman" w:cs="Times New Roman"/>
          <w:color w:val="000000" w:themeColor="text1"/>
          <w:sz w:val="24"/>
          <w:szCs w:val="24"/>
        </w:rPr>
        <w:t>iulie au depășit 50</w:t>
      </w:r>
      <w:r w:rsidR="00105C79" w:rsidRPr="00CD2ADD">
        <w:rPr>
          <w:rFonts w:ascii="Times New Roman" w:hAnsi="Times New Roman" w:cs="Times New Roman"/>
          <w:color w:val="000000" w:themeColor="text1"/>
          <w:sz w:val="24"/>
          <w:szCs w:val="24"/>
        </w:rPr>
        <w:t>-</w:t>
      </w:r>
      <w:r w:rsidRPr="00CD2ADD">
        <w:rPr>
          <w:rFonts w:ascii="Times New Roman" w:hAnsi="Times New Roman" w:cs="Times New Roman"/>
          <w:color w:val="000000" w:themeColor="text1"/>
          <w:sz w:val="24"/>
          <w:szCs w:val="24"/>
        </w:rPr>
        <w:t>80% din norma anuală, provocând inundații locale în mai multe regiuni. În vara anului 2021, precipitațiile s-au situat cu până la 225% peste norma sezonieră, generând subinundații, alunecări de teren și pagube importante în sectorul agricol. În septembrie 2024, au fost înregistrate cantități record de precipitații (300</w:t>
      </w:r>
      <w:r w:rsidR="00105C79" w:rsidRPr="00CD2ADD">
        <w:rPr>
          <w:rFonts w:ascii="Times New Roman" w:hAnsi="Times New Roman" w:cs="Times New Roman"/>
          <w:color w:val="000000" w:themeColor="text1"/>
          <w:sz w:val="24"/>
          <w:szCs w:val="24"/>
        </w:rPr>
        <w:t>-</w:t>
      </w:r>
      <w:r w:rsidRPr="00CD2ADD">
        <w:rPr>
          <w:rFonts w:ascii="Times New Roman" w:hAnsi="Times New Roman" w:cs="Times New Roman"/>
          <w:color w:val="000000" w:themeColor="text1"/>
          <w:sz w:val="24"/>
          <w:szCs w:val="24"/>
        </w:rPr>
        <w:t xml:space="preserve">400% din norma lunară) în centrul și sudul țării, determinând revărsarea râului Botna la Costești (raionul Ialoveni), alunecări de </w:t>
      </w:r>
      <w:r w:rsidRPr="00CD2ADD">
        <w:rPr>
          <w:rFonts w:ascii="Times New Roman" w:hAnsi="Times New Roman" w:cs="Times New Roman"/>
          <w:color w:val="000000" w:themeColor="text1"/>
          <w:sz w:val="24"/>
          <w:szCs w:val="24"/>
        </w:rPr>
        <w:lastRenderedPageBreak/>
        <w:t>teren în Leova și Cantemir și inundații care au afectat gospodării, infrastructură și terenuri agricole. Aceste episoade demonstrează o tendință de intensificare a riscurilor hidrologice pe râurile mici, agravate de schimbările climatice și de degradarea capacității de retenție a solurilor și albiilor.</w:t>
      </w:r>
    </w:p>
    <w:p w14:paraId="2F23BB05" w14:textId="2CDF8CF2" w:rsidR="00601713" w:rsidRPr="00CD2ADD" w:rsidRDefault="002D358B" w:rsidP="00F51B99">
      <w:pPr>
        <w:spacing w:after="120"/>
        <w:jc w:val="both"/>
        <w:rPr>
          <w:color w:val="000000" w:themeColor="text1"/>
          <w:lang w:eastAsia="en-US"/>
        </w:rPr>
      </w:pPr>
      <w:r w:rsidRPr="00CD2ADD">
        <w:rPr>
          <w:color w:val="000000" w:themeColor="text1"/>
          <w:lang w:eastAsia="en-US"/>
        </w:rPr>
        <w:t>Conform graficului</w:t>
      </w:r>
      <w:r w:rsidR="00DB7C8F" w:rsidRPr="00CD2ADD">
        <w:rPr>
          <w:color w:val="000000" w:themeColor="text1"/>
          <w:lang w:eastAsia="en-US"/>
        </w:rPr>
        <w:t xml:space="preserve"> de mai jos, realizat cu date</w:t>
      </w:r>
      <w:r w:rsidRPr="00CD2ADD">
        <w:rPr>
          <w:color w:val="000000" w:themeColor="text1"/>
          <w:lang w:eastAsia="en-US"/>
        </w:rPr>
        <w:t xml:space="preserve"> SHS privind numărul de zile cu precipitații ≥50 mm/24h, cele mai frecvent afectate zone sunt Chișinău, Cahul și Bălți. Regiunile sudice și cele riverane râurilor mari prezintă o expunere sporită, mai ales în contextul infrastructurii de protecție insuficiente și al degradării </w:t>
      </w:r>
      <w:r w:rsidR="005C274B" w:rsidRPr="00CD2ADD">
        <w:rPr>
          <w:color w:val="000000" w:themeColor="text1"/>
          <w:lang w:eastAsia="en-US"/>
        </w:rPr>
        <w:t xml:space="preserve">si convertirii </w:t>
      </w:r>
      <w:r w:rsidRPr="00CD2ADD">
        <w:rPr>
          <w:color w:val="000000" w:themeColor="text1"/>
          <w:lang w:eastAsia="en-US"/>
        </w:rPr>
        <w:t>terenurilor</w:t>
      </w:r>
      <w:r w:rsidR="005C274B" w:rsidRPr="00CD2ADD">
        <w:rPr>
          <w:color w:val="000000" w:themeColor="text1"/>
          <w:lang w:eastAsia="en-US"/>
        </w:rPr>
        <w:t xml:space="preserve"> de lunca in terenuri agricole</w:t>
      </w:r>
      <w:r w:rsidR="00AF1C94" w:rsidRPr="00CD2ADD">
        <w:rPr>
          <w:color w:val="000000" w:themeColor="text1"/>
          <w:lang w:eastAsia="en-US"/>
        </w:rPr>
        <w:t xml:space="preserve">, de </w:t>
      </w:r>
      <w:r w:rsidR="005C274B" w:rsidRPr="00CD2ADD">
        <w:rPr>
          <w:color w:val="000000" w:themeColor="text1"/>
          <w:lang w:eastAsia="en-US"/>
        </w:rPr>
        <w:t>locuit</w:t>
      </w:r>
      <w:r w:rsidR="00AF1C94" w:rsidRPr="00CD2ADD">
        <w:rPr>
          <w:color w:val="000000" w:themeColor="text1"/>
          <w:lang w:eastAsia="en-US"/>
        </w:rPr>
        <w:t xml:space="preserve"> sau alte scopuri comerciale. </w:t>
      </w:r>
      <w:bookmarkStart w:id="58" w:name="_Toc197960220"/>
      <w:bookmarkStart w:id="59" w:name="_Toc197960491"/>
    </w:p>
    <w:p w14:paraId="754D381C" w14:textId="18611668" w:rsidR="00D33EF3" w:rsidRPr="00CD2ADD" w:rsidRDefault="00D33EF3" w:rsidP="00D33EF3">
      <w:pPr>
        <w:spacing w:after="120"/>
        <w:jc w:val="center"/>
        <w:rPr>
          <w:color w:val="000000" w:themeColor="text1"/>
          <w:lang w:eastAsia="en-US"/>
        </w:rPr>
      </w:pPr>
      <w:r w:rsidRPr="00CD2ADD">
        <w:rPr>
          <w:b/>
          <w:bCs/>
          <w:color w:val="000000" w:themeColor="text1"/>
          <w:lang w:eastAsia="en-US"/>
        </w:rPr>
        <w:t>Figura 22.</w:t>
      </w:r>
      <w:r w:rsidRPr="00CD2ADD">
        <w:rPr>
          <w:color w:val="000000" w:themeColor="text1"/>
          <w:lang w:eastAsia="en-US"/>
        </w:rPr>
        <w:t xml:space="preserve"> Numărul de zile cu cantitatea de precipitații </w:t>
      </w:r>
      <w:r w:rsidRPr="00CD2ADD">
        <w:rPr>
          <w:color w:val="000000" w:themeColor="text1"/>
        </w:rPr>
        <w:t>≥ 50 mm în decursul a 24 de ore</w:t>
      </w:r>
    </w:p>
    <w:bookmarkEnd w:id="58"/>
    <w:bookmarkEnd w:id="59"/>
    <w:p w14:paraId="6BC48999" w14:textId="2BFECF7A" w:rsidR="00EF68B4" w:rsidRPr="00CD2ADD" w:rsidRDefault="00E51220" w:rsidP="00A21E4D">
      <w:pPr>
        <w:jc w:val="center"/>
        <w:rPr>
          <w:color w:val="000000" w:themeColor="text1"/>
          <w:lang w:eastAsia="en-US"/>
        </w:rPr>
      </w:pPr>
      <w:r w:rsidRPr="00CD2ADD">
        <w:rPr>
          <w:noProof/>
          <w:color w:val="000000" w:themeColor="text1"/>
        </w:rPr>
        <w:drawing>
          <wp:inline distT="0" distB="0" distL="0" distR="0" wp14:anchorId="696A38E9" wp14:editId="2179F909">
            <wp:extent cx="5956300" cy="3327400"/>
            <wp:effectExtent l="0" t="0" r="12700" b="12700"/>
            <wp:docPr id="1461727617" name="Chart 1">
              <a:extLst xmlns:a="http://schemas.openxmlformats.org/drawingml/2006/main">
                <a:ext uri="{FF2B5EF4-FFF2-40B4-BE49-F238E27FC236}">
                  <a16:creationId xmlns:a16="http://schemas.microsoft.com/office/drawing/2014/main" id="{D677F0FD-BF83-E744-BCD3-8968DD98BF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0E94B65" w14:textId="413AA1F4" w:rsidR="00A03711" w:rsidRPr="00CD2ADD" w:rsidRDefault="00E51220" w:rsidP="00D33EF3">
      <w:pPr>
        <w:spacing w:after="120"/>
        <w:jc w:val="center"/>
        <w:rPr>
          <w:rStyle w:val="IntenseEmphasis"/>
          <w:b w:val="0"/>
          <w:bCs w:val="0"/>
          <w:i w:val="0"/>
          <w:iCs w:val="0"/>
          <w:color w:val="000000" w:themeColor="text1"/>
          <w:sz w:val="20"/>
          <w:szCs w:val="20"/>
          <w:lang w:eastAsia="en-US"/>
        </w:rPr>
      </w:pPr>
      <w:r w:rsidRPr="00CD2ADD">
        <w:rPr>
          <w:i/>
          <w:iCs/>
          <w:color w:val="000000" w:themeColor="text1"/>
          <w:sz w:val="20"/>
          <w:szCs w:val="20"/>
          <w:lang w:eastAsia="en-US"/>
        </w:rPr>
        <w:t xml:space="preserve">Sursa: </w:t>
      </w:r>
      <w:r w:rsidR="003F7138" w:rsidRPr="00CD2ADD">
        <w:rPr>
          <w:i/>
          <w:iCs/>
          <w:color w:val="000000" w:themeColor="text1"/>
          <w:sz w:val="20"/>
          <w:szCs w:val="20"/>
          <w:lang w:eastAsia="en-US"/>
        </w:rPr>
        <w:t>SHS, Date meteorologice istorice</w:t>
      </w:r>
    </w:p>
    <w:p w14:paraId="395EFF53" w14:textId="739CC974" w:rsidR="00FF5156" w:rsidRPr="00CD2ADD" w:rsidRDefault="002D358B" w:rsidP="00D33EF3">
      <w:pPr>
        <w:ind w:firstLine="284"/>
        <w:jc w:val="both"/>
        <w:rPr>
          <w:rStyle w:val="IntenseEmphasis"/>
          <w:color w:val="000000" w:themeColor="text1"/>
          <w:lang w:eastAsia="en-US"/>
        </w:rPr>
      </w:pPr>
      <w:r w:rsidRPr="00CD2ADD">
        <w:rPr>
          <w:rStyle w:val="IntenseEmphasis"/>
          <w:color w:val="000000" w:themeColor="text1"/>
          <w:lang w:eastAsia="en-US"/>
        </w:rPr>
        <w:t>Vulnerabilitate</w:t>
      </w:r>
      <w:r w:rsidR="00BF290F" w:rsidRPr="00CD2ADD">
        <w:rPr>
          <w:rStyle w:val="IntenseEmphasis"/>
          <w:color w:val="000000" w:themeColor="text1"/>
          <w:lang w:eastAsia="en-US"/>
        </w:rPr>
        <w:t xml:space="preserve">, </w:t>
      </w:r>
      <w:r w:rsidRPr="00CD2ADD">
        <w:rPr>
          <w:rStyle w:val="IntenseEmphasis"/>
          <w:color w:val="000000" w:themeColor="text1"/>
          <w:lang w:eastAsia="en-US"/>
        </w:rPr>
        <w:t xml:space="preserve">expunere </w:t>
      </w:r>
      <w:r w:rsidR="00BF290F" w:rsidRPr="00CD2ADD">
        <w:rPr>
          <w:rStyle w:val="IntenseEmphasis"/>
          <w:color w:val="000000" w:themeColor="text1"/>
          <w:lang w:eastAsia="en-US"/>
        </w:rPr>
        <w:t>și capacitate de adaptare</w:t>
      </w:r>
    </w:p>
    <w:p w14:paraId="7F6D2600" w14:textId="3DA38EEE" w:rsidR="00683797" w:rsidRPr="00CD2ADD" w:rsidRDefault="000133C9">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Analiza riscurilor de inundații la nivel de bazine hidrografice relevă diferențe semnificative între tipurile de hazard: revărsarea râurilor și scurgerea torențială de pe versanți. Datele SHS arată că zonele cu cea mai ridicată pondere a suprafețelor potențial inundabile (&gt;30%) prin scurgere de pe versanți sunt localizate în bazinele Nistrul</w:t>
      </w:r>
      <w:r w:rsidR="00FB020D"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Vechi-Știubei-Liman (36,3%), Frumoasa-Crihana (26,8%)</w:t>
      </w:r>
      <w:r w:rsidR="0088195C"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Camenca (26,5%), Larga (25,9%) și Brătuleanca (12,7%). Aceste teritorii sunt predispuse la viituri rapide și eroziune accelerată a solului, necesitând intervenții specifice pentru consolidarea versanților și reabilitarea acoperirii vegetale.</w:t>
      </w:r>
    </w:p>
    <w:p w14:paraId="43AD4C6F" w14:textId="779099AD" w:rsidR="00601713" w:rsidRPr="00CD2ADD" w:rsidRDefault="001E70BE" w:rsidP="00D33EF3">
      <w:pPr>
        <w:ind w:firstLine="426"/>
        <w:jc w:val="both"/>
        <w:rPr>
          <w:color w:val="000000" w:themeColor="text1"/>
          <w:lang w:eastAsia="en-US"/>
        </w:rPr>
      </w:pPr>
      <w:r w:rsidRPr="00CD2ADD">
        <w:rPr>
          <w:color w:val="000000" w:themeColor="text1"/>
          <w:lang w:eastAsia="en-US"/>
        </w:rPr>
        <w:t>În ceea ce privește revărsarea râurilor, aceleași bazine evidențiază o vulnerabilitate ridicată: Nistrul Vechi–Știubei–Liman (40,1%), Frumoasa–Crihana (29,0%), Camenca (25,1%), Larga (25,6%) și Brătuleanca (12,2%). Aceste cifre confirmă faptul că sudul și estul Republicii Moldova, inclusiv raioanele Ștefan Vodă, Căușeni, Cimișlia, Hâncești și Cantemir, sunt printre cele mai expuse riscului de inundații recurente, cu potențial impact sever asupra populației, infrastructurii și producției agricole. Aceste zone ar trebui să fie prioritare în planificarea investițiilor în infrastructuri de protecție, refacerea ecosistemelor naturale și elaborarea planurilor de răspuns local adaptate riscului hidrologic specific fiecărui bazin</w:t>
      </w:r>
      <w:r w:rsidR="00E03C2C" w:rsidRPr="00CD2ADD">
        <w:rPr>
          <w:color w:val="000000" w:themeColor="text1"/>
          <w:lang w:eastAsia="en-US"/>
        </w:rPr>
        <w:t>.</w:t>
      </w:r>
    </w:p>
    <w:p w14:paraId="59BE4BFA" w14:textId="77777777" w:rsidR="00601713" w:rsidRPr="00CD2ADD" w:rsidRDefault="00601713" w:rsidP="00601713">
      <w:pPr>
        <w:rPr>
          <w:color w:val="000000" w:themeColor="text1"/>
          <w:lang w:eastAsia="en-US"/>
        </w:rPr>
      </w:pPr>
    </w:p>
    <w:p w14:paraId="31E8C3E0" w14:textId="27EA6B2A" w:rsidR="00C445FC" w:rsidRPr="00CD2ADD" w:rsidRDefault="00D33EF3" w:rsidP="00AD56FC">
      <w:pPr>
        <w:jc w:val="center"/>
        <w:rPr>
          <w:color w:val="000000" w:themeColor="text1"/>
          <w:lang w:eastAsia="en-US"/>
        </w:rPr>
      </w:pPr>
      <w:r w:rsidRPr="00CD2ADD">
        <w:rPr>
          <w:b/>
          <w:bCs/>
          <w:color w:val="000000" w:themeColor="text1"/>
          <w:lang w:eastAsia="en-US"/>
        </w:rPr>
        <w:t>Harta</w:t>
      </w:r>
      <w:r w:rsidR="00CD5ADD" w:rsidRPr="00CD2ADD">
        <w:rPr>
          <w:b/>
          <w:bCs/>
          <w:color w:val="000000" w:themeColor="text1"/>
          <w:lang w:eastAsia="en-US"/>
        </w:rPr>
        <w:t xml:space="preserve"> 1</w:t>
      </w:r>
      <w:r w:rsidR="00CD5ADD" w:rsidRPr="00CD2ADD">
        <w:rPr>
          <w:color w:val="000000" w:themeColor="text1"/>
          <w:lang w:eastAsia="en-US"/>
        </w:rPr>
        <w:t>. Ponderea ariilor potențial inundabile prin revărsarea râurilor (1) și prin scurgerea de pe versanți (2) calculate pe bazinele hidrografice din Republica Moldova</w:t>
      </w:r>
    </w:p>
    <w:p w14:paraId="3B5A2A9F" w14:textId="50F22AD9" w:rsidR="004E7FD2" w:rsidRPr="00CD2ADD" w:rsidRDefault="004E7FD2" w:rsidP="00AD56FC">
      <w:pPr>
        <w:jc w:val="both"/>
        <w:rPr>
          <w:color w:val="000000" w:themeColor="text1"/>
          <w:sz w:val="22"/>
          <w:szCs w:val="22"/>
          <w:lang w:eastAsia="en-US"/>
        </w:rPr>
      </w:pPr>
      <w:r w:rsidRPr="00CD2ADD">
        <w:rPr>
          <w:noProof/>
          <w:color w:val="000000" w:themeColor="text1"/>
          <w:sz w:val="22"/>
          <w:szCs w:val="22"/>
          <w:lang w:eastAsia="en-US"/>
        </w:rPr>
        <w:lastRenderedPageBreak/>
        <w:drawing>
          <wp:inline distT="0" distB="0" distL="0" distR="0" wp14:anchorId="2F0623B2" wp14:editId="5005C04B">
            <wp:extent cx="3068725" cy="4419600"/>
            <wp:effectExtent l="0" t="0" r="5080" b="0"/>
            <wp:docPr id="317017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17505" name=""/>
                    <pic:cNvPicPr/>
                  </pic:nvPicPr>
                  <pic:blipFill rotWithShape="1">
                    <a:blip r:embed="rId48"/>
                    <a:srcRect l="47252" t="23919" r="22688" b="6809"/>
                    <a:stretch/>
                  </pic:blipFill>
                  <pic:spPr bwMode="auto">
                    <a:xfrm>
                      <a:off x="0" y="0"/>
                      <a:ext cx="3082489" cy="4439423"/>
                    </a:xfrm>
                    <a:prstGeom prst="rect">
                      <a:avLst/>
                    </a:prstGeom>
                    <a:ln>
                      <a:noFill/>
                    </a:ln>
                    <a:extLst>
                      <a:ext uri="{53640926-AAD7-44D8-BBD7-CCE9431645EC}">
                        <a14:shadowObscured xmlns:a14="http://schemas.microsoft.com/office/drawing/2010/main"/>
                      </a:ext>
                    </a:extLst>
                  </pic:spPr>
                </pic:pic>
              </a:graphicData>
            </a:graphic>
          </wp:inline>
        </w:drawing>
      </w:r>
      <w:r w:rsidRPr="00CD2ADD">
        <w:rPr>
          <w:color w:val="000000" w:themeColor="text1"/>
          <w:sz w:val="22"/>
          <w:szCs w:val="22"/>
          <w:lang w:eastAsia="en-US"/>
        </w:rPr>
        <w:t xml:space="preserve"> </w:t>
      </w:r>
      <w:r w:rsidRPr="00CD2ADD">
        <w:rPr>
          <w:noProof/>
          <w:color w:val="000000" w:themeColor="text1"/>
          <w:sz w:val="22"/>
          <w:szCs w:val="22"/>
          <w:lang w:eastAsia="en-US"/>
        </w:rPr>
        <w:drawing>
          <wp:inline distT="0" distB="0" distL="0" distR="0" wp14:anchorId="75629C8C" wp14:editId="542E14C6">
            <wp:extent cx="3005235" cy="4381500"/>
            <wp:effectExtent l="0" t="0" r="5080" b="0"/>
            <wp:docPr id="1754486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86390" name=""/>
                    <pic:cNvPicPr/>
                  </pic:nvPicPr>
                  <pic:blipFill rotWithShape="1">
                    <a:blip r:embed="rId49"/>
                    <a:srcRect l="49827" t="23368" r="21657" b="10109"/>
                    <a:stretch/>
                  </pic:blipFill>
                  <pic:spPr bwMode="auto">
                    <a:xfrm>
                      <a:off x="0" y="0"/>
                      <a:ext cx="3017010" cy="4398667"/>
                    </a:xfrm>
                    <a:prstGeom prst="rect">
                      <a:avLst/>
                    </a:prstGeom>
                    <a:ln>
                      <a:noFill/>
                    </a:ln>
                    <a:extLst>
                      <a:ext uri="{53640926-AAD7-44D8-BBD7-CCE9431645EC}">
                        <a14:shadowObscured xmlns:a14="http://schemas.microsoft.com/office/drawing/2010/main"/>
                      </a:ext>
                    </a:extLst>
                  </pic:spPr>
                </pic:pic>
              </a:graphicData>
            </a:graphic>
          </wp:inline>
        </w:drawing>
      </w:r>
    </w:p>
    <w:p w14:paraId="33521920" w14:textId="5F53A2C9" w:rsidR="00FA0989" w:rsidRPr="00CD2ADD" w:rsidRDefault="004E7FD2" w:rsidP="00AD56FC">
      <w:pPr>
        <w:spacing w:after="120"/>
        <w:jc w:val="center"/>
        <w:rPr>
          <w:i/>
          <w:iCs/>
          <w:color w:val="000000" w:themeColor="text1"/>
          <w:sz w:val="20"/>
          <w:szCs w:val="20"/>
          <w:lang w:eastAsia="en-US"/>
        </w:rPr>
      </w:pPr>
      <w:r w:rsidRPr="00CD2ADD">
        <w:rPr>
          <w:i/>
          <w:iCs/>
          <w:color w:val="000000" w:themeColor="text1"/>
          <w:sz w:val="20"/>
          <w:szCs w:val="20"/>
          <w:lang w:eastAsia="en-US"/>
        </w:rPr>
        <w:t xml:space="preserve">Sursa: </w:t>
      </w:r>
      <w:r w:rsidR="005305AB" w:rsidRPr="00CD2ADD">
        <w:rPr>
          <w:i/>
          <w:iCs/>
          <w:color w:val="000000" w:themeColor="text1"/>
          <w:sz w:val="20"/>
          <w:szCs w:val="20"/>
          <w:lang w:eastAsia="en-US"/>
        </w:rPr>
        <w:t>Identificarea și evaluarea ariilor potențial inundabile pe teritoriul Republicii Moldova, Gherman Bejenaru, șef CC și GIS, SHS</w:t>
      </w:r>
    </w:p>
    <w:bookmarkEnd w:id="56"/>
    <w:p w14:paraId="1CA11F93" w14:textId="77777777" w:rsidR="00C82DC3" w:rsidRPr="00CD2ADD" w:rsidRDefault="00C82DC3" w:rsidP="00CD5ADD">
      <w:pPr>
        <w:ind w:firstLine="284"/>
        <w:jc w:val="both"/>
        <w:rPr>
          <w:color w:val="000000" w:themeColor="text1"/>
          <w:lang w:eastAsia="en-US"/>
        </w:rPr>
      </w:pPr>
      <w:r w:rsidRPr="00CD2ADD">
        <w:rPr>
          <w:color w:val="000000" w:themeColor="text1"/>
          <w:lang w:eastAsia="en-US"/>
        </w:rPr>
        <w:t>Aceste teritorii, în special din sudul și estul țării (Ștefan Vodă, Căușeni, Cantemir, Cimișlia, Hâncești), sunt prioritare pentru intervenții în infrastructură, refacerea ecosistemelor și planificarea locală adaptată.</w:t>
      </w:r>
    </w:p>
    <w:p w14:paraId="0C80720F" w14:textId="49AF3ADF" w:rsidR="0060581C" w:rsidRPr="00CD2ADD" w:rsidRDefault="00E03C2C" w:rsidP="00CD5ADD">
      <w:pPr>
        <w:ind w:firstLine="284"/>
        <w:jc w:val="both"/>
        <w:rPr>
          <w:color w:val="000000" w:themeColor="text1"/>
          <w:lang w:eastAsia="en-US"/>
        </w:rPr>
      </w:pPr>
      <w:r w:rsidRPr="00CD2ADD">
        <w:rPr>
          <w:color w:val="000000" w:themeColor="text1"/>
          <w:lang w:eastAsia="en-US"/>
        </w:rPr>
        <w:t xml:space="preserve">Inundațiile afectează în mod disproporționat femeile, fetele,  în special cele însărcinate și cu dizabilități precum și persoanele vârstnice. În situații de evacuare, aceste grupuri se confruntă adesea cu dificultăți în accesarea adăposturilor temporare, a serviciilor de sănătate și de protecție, fiind expuse unui risc crescut de traumă, boli transmisibile și violență bazată pe gen. Pierderea accesului la servicii de sănătate sexuală și reproductivă, inclusiv îngrijirea obstetricală de urgență, poate avea consecințe grave asupra sănătății materne și infantile. Este esențial ca planurile locale de </w:t>
      </w:r>
      <w:r w:rsidR="00D1024F" w:rsidRPr="00CD2ADD">
        <w:rPr>
          <w:color w:val="000000" w:themeColor="text1"/>
          <w:lang w:eastAsia="en-US"/>
        </w:rPr>
        <w:t xml:space="preserve">prevenire, pregătire și </w:t>
      </w:r>
      <w:r w:rsidRPr="00CD2ADD">
        <w:rPr>
          <w:color w:val="000000" w:themeColor="text1"/>
          <w:lang w:eastAsia="en-US"/>
        </w:rPr>
        <w:t>răspuns la inundații să includă măsuri dedicate acestor categorii: facilitarea accesului sigur la adăpost, personal medical instruit și resurse pentru continuitatea serviciilor esențiale de sănătate.</w:t>
      </w:r>
    </w:p>
    <w:p w14:paraId="6CA5D583" w14:textId="550922F0" w:rsidR="00E004F2" w:rsidRPr="00CD2ADD" w:rsidRDefault="00E004F2" w:rsidP="00CD5ADD">
      <w:pPr>
        <w:pBdr>
          <w:top w:val="nil"/>
          <w:left w:val="nil"/>
          <w:bottom w:val="nil"/>
          <w:right w:val="nil"/>
          <w:between w:val="nil"/>
          <w:bar w:val="nil"/>
        </w:pBdr>
        <w:ind w:firstLine="284"/>
        <w:rPr>
          <w:rFonts w:eastAsia="Arial Unicode MS"/>
          <w:b/>
          <w:i/>
          <w:iCs/>
          <w:u w:color="000000"/>
          <w:bdr w:val="nil"/>
        </w:rPr>
      </w:pPr>
      <w:r w:rsidRPr="00CD2ADD">
        <w:rPr>
          <w:rFonts w:eastAsia="Arial Unicode MS"/>
          <w:b/>
          <w:i/>
          <w:iCs/>
          <w:u w:color="000000"/>
          <w:bdr w:val="nil"/>
        </w:rPr>
        <w:t xml:space="preserve">Studiu de caz guvernanța: gestionarea inundațiilor în Republica Moldova </w:t>
      </w:r>
    </w:p>
    <w:p w14:paraId="30FCF59B" w14:textId="77777777" w:rsidR="00E004F2" w:rsidRPr="00CD2ADD" w:rsidRDefault="00E004F2">
      <w:pPr>
        <w:pStyle w:val="ListParagraph"/>
        <w:numPr>
          <w:ilvl w:val="0"/>
          <w:numId w:val="42"/>
        </w:numPr>
        <w:pBdr>
          <w:top w:val="nil"/>
          <w:left w:val="nil"/>
          <w:bottom w:val="nil"/>
          <w:right w:val="nil"/>
          <w:between w:val="nil"/>
          <w:bar w:val="nil"/>
        </w:pBdr>
        <w:spacing w:after="0"/>
        <w:ind w:left="0" w:firstLine="284"/>
        <w:jc w:val="both"/>
        <w:rPr>
          <w:rFonts w:ascii="Times New Roman" w:eastAsia="Arial Unicode MS" w:hAnsi="Times New Roman" w:cs="Times New Roman"/>
          <w:bCs/>
          <w:color w:val="000000" w:themeColor="text1"/>
          <w:sz w:val="24"/>
          <w:szCs w:val="24"/>
          <w:u w:color="000000"/>
          <w:bdr w:val="nil"/>
        </w:rPr>
      </w:pPr>
      <w:r w:rsidRPr="00CD2ADD">
        <w:rPr>
          <w:rFonts w:ascii="Times New Roman" w:eastAsia="Arial Unicode MS" w:hAnsi="Times New Roman" w:cs="Times New Roman"/>
          <w:bCs/>
          <w:color w:val="000000" w:themeColor="text1"/>
          <w:sz w:val="24"/>
          <w:szCs w:val="24"/>
          <w:u w:color="000000"/>
          <w:bdr w:val="nil"/>
        </w:rPr>
        <w:t>Gestionarea riscului de inundații în Republica Moldova se desfășoară într-un context instituțional fragmentat, în care responsabilitățile sunt distribuite între mai multe autorități fără o platformă operațională comună. IP AN „Apele Moldovei” gestionează infrastructurile hidrotehnice ale statului (diguri, baraje, lacuri de acumulare), în timp ce Serviciul Hidrometeorologic de Stat (SHS) are rolul exclusiv de monitorizare și emitere a avertizărilor hidrologice. Inspectoratul General pentru Situații de Urgență (IGSU) coordonează intervenția operativă și activitatea Comisiilor pentru Situații Excepționale, iar Ministerul Infrastructurii și Dezvoltării Regionale (MIDR) este responsabil de infrastructura de transport vulnerabilă, precum podurile. Autoritățile publice locale (APL) administrează drumuri locale, podețe și canale de desecare și au obligația legală de a proteja populația și bunurile în situații de urgență. Acest ansamblu de competențe sectoriale face ca gestionarea inundațiilor să necesite coordonare constantă și schimb de informații în timp real.</w:t>
      </w:r>
    </w:p>
    <w:p w14:paraId="73670E40" w14:textId="3EC06D82" w:rsidR="00E004F2" w:rsidRPr="00CD2ADD" w:rsidRDefault="00E004F2" w:rsidP="00CD5ADD">
      <w:pPr>
        <w:pBdr>
          <w:top w:val="nil"/>
          <w:left w:val="nil"/>
          <w:bottom w:val="nil"/>
          <w:right w:val="nil"/>
          <w:between w:val="nil"/>
          <w:bar w:val="nil"/>
        </w:pBdr>
        <w:ind w:firstLine="284"/>
        <w:jc w:val="both"/>
        <w:rPr>
          <w:rFonts w:eastAsia="Arial Unicode MS"/>
          <w:bCs/>
          <w:color w:val="000000" w:themeColor="text1"/>
          <w:u w:color="000000"/>
          <w:bdr w:val="nil"/>
        </w:rPr>
      </w:pPr>
      <w:r w:rsidRPr="00CD2ADD">
        <w:rPr>
          <w:rFonts w:eastAsia="Arial Unicode MS"/>
          <w:bCs/>
          <w:color w:val="000000" w:themeColor="text1"/>
          <w:u w:color="000000"/>
          <w:bdr w:val="nil"/>
        </w:rPr>
        <w:lastRenderedPageBreak/>
        <w:t>Analiza evidențiază însă mai multe disfuncționalități care afectează capacitatea națională de răspuns. În primul rând, fragmentarea mandatului instituțional și distribuirea responsabilităților pe infrastructuri diferite (diguri –</w:t>
      </w:r>
      <w:r w:rsidR="00755BD8" w:rsidRPr="00CD2ADD">
        <w:rPr>
          <w:rFonts w:eastAsia="Arial Unicode MS"/>
          <w:bCs/>
          <w:color w:val="000000" w:themeColor="text1"/>
          <w:u w:color="000000"/>
          <w:bdr w:val="nil"/>
        </w:rPr>
        <w:t xml:space="preserve"> IP AN</w:t>
      </w:r>
      <w:r w:rsidRPr="00CD2ADD">
        <w:rPr>
          <w:rFonts w:eastAsia="Arial Unicode MS"/>
          <w:bCs/>
          <w:color w:val="000000" w:themeColor="text1"/>
          <w:u w:color="000000"/>
          <w:bdr w:val="nil"/>
        </w:rPr>
        <w:t xml:space="preserve"> Apele Moldovei, poduri – MIDR, drumuri locale – APL, avertizări – SHS, intervenție – IGSU) îngreunează planificarea integrată. În al doilea rând, sistemele de avertizare timpurie nu sunt pe deplin interoperabile între instituții, ceea ce limitează transmiterea rapidă a informațiilor critice. În al treilea rând, capacitățile variabile ale autorităților locale și ale comisiilor teritoriale pentru situații excepționale generează un nivel inegal de pregătire și reacție la nivel raional și local, afectând coerența răspunsului multi-sectorial.</w:t>
      </w:r>
    </w:p>
    <w:p w14:paraId="539AB060" w14:textId="50855A48" w:rsidR="00E004F2" w:rsidRPr="00CD2ADD" w:rsidRDefault="00E004F2" w:rsidP="00CD5ADD">
      <w:pPr>
        <w:pBdr>
          <w:top w:val="nil"/>
          <w:left w:val="nil"/>
          <w:bottom w:val="nil"/>
          <w:right w:val="nil"/>
          <w:between w:val="nil"/>
          <w:bar w:val="nil"/>
        </w:pBdr>
        <w:spacing w:after="120"/>
        <w:ind w:firstLine="284"/>
        <w:jc w:val="both"/>
        <w:rPr>
          <w:rFonts w:eastAsia="Arial Unicode MS"/>
          <w:bCs/>
          <w:color w:val="000000" w:themeColor="text1"/>
          <w:u w:color="000000"/>
          <w:bdr w:val="nil"/>
        </w:rPr>
      </w:pPr>
      <w:r w:rsidRPr="00CD2ADD">
        <w:rPr>
          <w:rFonts w:eastAsia="Arial Unicode MS"/>
          <w:bCs/>
          <w:color w:val="000000" w:themeColor="text1"/>
          <w:u w:color="000000"/>
          <w:bdr w:val="nil"/>
        </w:rPr>
        <w:t>Pentru îmbunătățirea guvernanței riscului de inundații este necesară clarificarea mandatelor instituționale și elaborarea unor protocoale interinstituționale cu proceduri clare de notificare, coordonare și schimb de date. Se recomandă integrarea sistemelor de avertizare SHS–</w:t>
      </w:r>
      <w:r w:rsidR="00A871CE" w:rsidRPr="00CD2ADD">
        <w:rPr>
          <w:rFonts w:eastAsia="Arial Unicode MS"/>
          <w:bCs/>
          <w:color w:val="000000" w:themeColor="text1"/>
          <w:u w:color="000000"/>
          <w:bdr w:val="nil"/>
        </w:rPr>
        <w:t xml:space="preserve">IP AN </w:t>
      </w:r>
      <w:r w:rsidRPr="00CD2ADD">
        <w:rPr>
          <w:rFonts w:eastAsia="Arial Unicode MS"/>
          <w:bCs/>
          <w:color w:val="000000" w:themeColor="text1"/>
          <w:u w:color="000000"/>
          <w:bdr w:val="nil"/>
        </w:rPr>
        <w:t xml:space="preserve">Apele Moldovei–APL într-o platformă comună interoperabilă, precum și planificarea integrată a infrastructurilor hidrotehnice, rutiere și de transport la nivel de bazin hidrografic. Totodată, formarea continuă și exercițiile multisectoriale care implică </w:t>
      </w:r>
      <w:r w:rsidR="00A871CE" w:rsidRPr="00CD2ADD">
        <w:rPr>
          <w:rFonts w:eastAsia="Arial Unicode MS"/>
          <w:bCs/>
          <w:color w:val="000000" w:themeColor="text1"/>
          <w:u w:color="000000"/>
          <w:bdr w:val="nil"/>
        </w:rPr>
        <w:t xml:space="preserve">IP AN </w:t>
      </w:r>
      <w:r w:rsidRPr="00CD2ADD">
        <w:rPr>
          <w:rFonts w:eastAsia="Arial Unicode MS"/>
          <w:bCs/>
          <w:color w:val="000000" w:themeColor="text1"/>
          <w:u w:color="000000"/>
          <w:bdr w:val="nil"/>
        </w:rPr>
        <w:t>Apele Moldovei, IGSU, APL și MIDR ar contribui la creșterea capacității de reacție și la consolidarea colaborării operaționale. În ansamblu, cazul gestionării inundațiilor evidențiază necesitatea unui mecanism unic de coordonare pentru riscuri hidrologice, bazat pe interoperabilitate, partajarea datelor și responsabilitate comună</w:t>
      </w:r>
      <w:r w:rsidR="00AD56FC" w:rsidRPr="00CD2ADD">
        <w:rPr>
          <w:rFonts w:eastAsia="Arial Unicode MS"/>
          <w:bCs/>
          <w:color w:val="000000" w:themeColor="text1"/>
          <w:u w:color="000000"/>
          <w:bdr w:val="nil"/>
        </w:rPr>
        <w:t>.</w:t>
      </w:r>
    </w:p>
    <w:p w14:paraId="45915B49" w14:textId="77672D79" w:rsidR="00AD56FC" w:rsidRPr="00CD2ADD" w:rsidRDefault="00AD56FC" w:rsidP="00AD56FC">
      <w:pPr>
        <w:pBdr>
          <w:top w:val="nil"/>
          <w:left w:val="nil"/>
          <w:bottom w:val="nil"/>
          <w:right w:val="nil"/>
          <w:between w:val="nil"/>
          <w:bar w:val="nil"/>
        </w:pBdr>
        <w:jc w:val="center"/>
        <w:rPr>
          <w:rFonts w:eastAsia="Arial Unicode MS"/>
          <w:b/>
          <w:i/>
          <w:iCs/>
          <w:u w:color="000000"/>
          <w:bdr w:val="nil"/>
        </w:rPr>
      </w:pPr>
      <w:r w:rsidRPr="00CD2ADD">
        <w:rPr>
          <w:rFonts w:eastAsia="Arial Unicode MS"/>
          <w:b/>
          <w:color w:val="000000" w:themeColor="text1"/>
          <w:u w:color="000000"/>
          <w:bdr w:val="nil"/>
        </w:rPr>
        <w:t>Figura 23.</w:t>
      </w:r>
      <w:r w:rsidRPr="00CD2ADD">
        <w:rPr>
          <w:rFonts w:eastAsia="Arial Unicode MS"/>
          <w:bCs/>
          <w:color w:val="000000" w:themeColor="text1"/>
          <w:u w:color="000000"/>
          <w:bdr w:val="nil"/>
        </w:rPr>
        <w:t xml:space="preserve"> </w:t>
      </w:r>
      <w:r w:rsidRPr="00CD2ADD">
        <w:rPr>
          <w:rFonts w:eastAsia="Arial Unicode MS"/>
          <w:bCs/>
          <w:u w:color="000000"/>
          <w:bdr w:val="nil"/>
        </w:rPr>
        <w:t>Studiu de caz guvernanța: gestionarea inundațiilor în Republica Moldova</w:t>
      </w:r>
    </w:p>
    <w:p w14:paraId="706D27EA" w14:textId="77777777" w:rsidR="00E004F2" w:rsidRPr="00CD2ADD" w:rsidRDefault="00E004F2" w:rsidP="00E004F2">
      <w:pPr>
        <w:pBdr>
          <w:top w:val="nil"/>
          <w:left w:val="nil"/>
          <w:bottom w:val="nil"/>
          <w:right w:val="nil"/>
          <w:between w:val="nil"/>
          <w:bar w:val="nil"/>
        </w:pBdr>
        <w:spacing w:after="120"/>
        <w:jc w:val="both"/>
        <w:rPr>
          <w:rFonts w:eastAsia="Arial Unicode MS"/>
          <w:bCs/>
          <w:sz w:val="22"/>
          <w:u w:color="000000"/>
          <w:bdr w:val="nil"/>
        </w:rPr>
      </w:pPr>
      <w:r w:rsidRPr="00CD2ADD">
        <w:rPr>
          <w:rFonts w:eastAsia="Arial Unicode MS"/>
          <w:bCs/>
          <w:noProof/>
          <w:sz w:val="22"/>
          <w:u w:color="000000"/>
          <w:bdr w:val="nil"/>
        </w:rPr>
        <w:drawing>
          <wp:inline distT="0" distB="0" distL="0" distR="0" wp14:anchorId="137E4AB5" wp14:editId="1A9B3D24">
            <wp:extent cx="6376181" cy="3457575"/>
            <wp:effectExtent l="0" t="0" r="5715" b="0"/>
            <wp:docPr id="1774482789"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82789" name="Picture 1" descr="A diagram of a company&#10;&#10;AI-generated content may be incorrect."/>
                    <pic:cNvPicPr/>
                  </pic:nvPicPr>
                  <pic:blipFill rotWithShape="1">
                    <a:blip r:embed="rId50"/>
                    <a:srcRect l="1895" t="6668" r="3757" b="11470"/>
                    <a:stretch>
                      <a:fillRect/>
                    </a:stretch>
                  </pic:blipFill>
                  <pic:spPr bwMode="auto">
                    <a:xfrm>
                      <a:off x="0" y="0"/>
                      <a:ext cx="6482805" cy="3515394"/>
                    </a:xfrm>
                    <a:prstGeom prst="rect">
                      <a:avLst/>
                    </a:prstGeom>
                    <a:ln>
                      <a:noFill/>
                    </a:ln>
                    <a:extLst>
                      <a:ext uri="{53640926-AAD7-44D8-BBD7-CCE9431645EC}">
                        <a14:shadowObscured xmlns:a14="http://schemas.microsoft.com/office/drawing/2010/main"/>
                      </a:ext>
                    </a:extLst>
                  </pic:spPr>
                </pic:pic>
              </a:graphicData>
            </a:graphic>
          </wp:inline>
        </w:drawing>
      </w:r>
    </w:p>
    <w:p w14:paraId="7AA4BDF2" w14:textId="72596DE0" w:rsidR="00A03711" w:rsidRPr="00CD2ADD" w:rsidRDefault="00E004F2" w:rsidP="00B66B8C">
      <w:pPr>
        <w:pBdr>
          <w:top w:val="nil"/>
          <w:left w:val="nil"/>
          <w:bottom w:val="nil"/>
          <w:right w:val="nil"/>
          <w:between w:val="nil"/>
          <w:bar w:val="nil"/>
        </w:pBdr>
        <w:ind w:firstLine="284"/>
        <w:jc w:val="both"/>
        <w:rPr>
          <w:rFonts w:eastAsia="Arial Unicode MS"/>
          <w:bCs/>
          <w:u w:color="000000"/>
          <w:bdr w:val="nil"/>
        </w:rPr>
      </w:pPr>
      <w:r w:rsidRPr="00CD2ADD">
        <w:rPr>
          <w:rFonts w:eastAsia="Arial Unicode MS"/>
          <w:bCs/>
          <w:u w:color="000000"/>
          <w:bdr w:val="nil"/>
        </w:rPr>
        <w:t xml:space="preserve">Acest studiu de caz </w:t>
      </w:r>
      <w:r w:rsidR="00AD56FC" w:rsidRPr="00CD2ADD">
        <w:rPr>
          <w:rFonts w:eastAsia="Arial Unicode MS"/>
          <w:bCs/>
          <w:u w:color="000000"/>
          <w:bdr w:val="nil"/>
        </w:rPr>
        <w:t xml:space="preserve">(figura 23) </w:t>
      </w:r>
      <w:r w:rsidRPr="00CD2ADD">
        <w:rPr>
          <w:rFonts w:eastAsia="Arial Unicode MS"/>
          <w:bCs/>
          <w:u w:color="000000"/>
          <w:bdr w:val="nil"/>
        </w:rPr>
        <w:t>evidențiază importanța unei abordări multisectoriale integrate pentru prevenirea și răspunsul eficient în caz de inundații, servind drept bază pentru formularea măsurilor propuse în cadrul programului.</w:t>
      </w:r>
    </w:p>
    <w:p w14:paraId="3D017759" w14:textId="091565B3" w:rsidR="00AD56FC" w:rsidRPr="00CD2ADD" w:rsidRDefault="00AD56FC" w:rsidP="00AD56FC">
      <w:pPr>
        <w:pBdr>
          <w:top w:val="nil"/>
          <w:left w:val="nil"/>
          <w:bottom w:val="nil"/>
          <w:right w:val="nil"/>
          <w:between w:val="nil"/>
          <w:bar w:val="nil"/>
        </w:pBdr>
        <w:ind w:firstLine="284"/>
        <w:jc w:val="right"/>
        <w:rPr>
          <w:rFonts w:eastAsia="Arial Unicode MS"/>
          <w:b/>
          <w:u w:color="000000"/>
          <w:bdr w:val="nil"/>
        </w:rPr>
      </w:pPr>
      <w:r w:rsidRPr="00CD2ADD">
        <w:rPr>
          <w:rFonts w:eastAsia="Arial Unicode MS"/>
          <w:b/>
          <w:u w:color="000000"/>
          <w:bdr w:val="nil"/>
        </w:rPr>
        <w:t>Tabelul 10</w:t>
      </w:r>
    </w:p>
    <w:p w14:paraId="695A00A9" w14:textId="45149244" w:rsidR="00BF290F" w:rsidRPr="00CD2ADD" w:rsidRDefault="00BF290F" w:rsidP="00AD56FC">
      <w:pPr>
        <w:spacing w:after="120"/>
        <w:ind w:firstLine="284"/>
        <w:jc w:val="center"/>
        <w:rPr>
          <w:rStyle w:val="IntenseEmphasis"/>
          <w:i w:val="0"/>
          <w:iCs w:val="0"/>
          <w:color w:val="000000" w:themeColor="text1"/>
          <w:lang w:eastAsia="en-US"/>
        </w:rPr>
      </w:pPr>
      <w:r w:rsidRPr="00CD2ADD">
        <w:rPr>
          <w:rStyle w:val="IntenseEmphasis"/>
          <w:i w:val="0"/>
          <w:iCs w:val="0"/>
          <w:color w:val="000000" w:themeColor="text1"/>
          <w:lang w:eastAsia="en-US"/>
        </w:rPr>
        <w:t>Măsuri recomandate pentru reducerea riscului de inundații</w:t>
      </w:r>
    </w:p>
    <w:tbl>
      <w:tblPr>
        <w:tblStyle w:val="GridTable1Light-Accent41"/>
        <w:tblW w:w="0" w:type="auto"/>
        <w:jc w:val="center"/>
        <w:tblLook w:val="04A0" w:firstRow="1" w:lastRow="0" w:firstColumn="1" w:lastColumn="0" w:noHBand="0" w:noVBand="1"/>
      </w:tblPr>
      <w:tblGrid>
        <w:gridCol w:w="2477"/>
        <w:gridCol w:w="3189"/>
        <w:gridCol w:w="4070"/>
      </w:tblGrid>
      <w:tr w:rsidR="00093D77" w:rsidRPr="00CD2ADD" w14:paraId="0C5EBDDD" w14:textId="77777777" w:rsidTr="005B7D04">
        <w:trPr>
          <w:cnfStyle w:val="100000000000" w:firstRow="1" w:lastRow="0" w:firstColumn="0" w:lastColumn="0" w:oddVBand="0" w:evenVBand="0" w:oddHBand="0"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2477" w:type="dxa"/>
            <w:hideMark/>
          </w:tcPr>
          <w:p w14:paraId="03DCD0F9" w14:textId="5219FFD5" w:rsidR="00093D77" w:rsidRPr="00CD2ADD" w:rsidRDefault="00093D77" w:rsidP="00093D77">
            <w:pPr>
              <w:rPr>
                <w:sz w:val="21"/>
                <w:szCs w:val="21"/>
              </w:rPr>
            </w:pPr>
            <w:r w:rsidRPr="00CD2ADD">
              <w:rPr>
                <w:color w:val="000000"/>
                <w:sz w:val="21"/>
                <w:szCs w:val="21"/>
              </w:rPr>
              <w:t>Inundații si riscurile asociate inundațiilor</w:t>
            </w:r>
          </w:p>
        </w:tc>
        <w:tc>
          <w:tcPr>
            <w:tcW w:w="3189" w:type="dxa"/>
            <w:hideMark/>
          </w:tcPr>
          <w:p w14:paraId="49498133" w14:textId="77777777" w:rsidR="00093D77" w:rsidRPr="00CD2ADD" w:rsidRDefault="00093D77" w:rsidP="00093D77">
            <w:pPr>
              <w:cnfStyle w:val="100000000000" w:firstRow="1"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Vulnerabilități specifice sectorului</w:t>
            </w:r>
          </w:p>
        </w:tc>
        <w:tc>
          <w:tcPr>
            <w:tcW w:w="4070" w:type="dxa"/>
            <w:hideMark/>
          </w:tcPr>
          <w:p w14:paraId="23EE69D4" w14:textId="062D93AD" w:rsidR="00093D77" w:rsidRPr="00CD2ADD" w:rsidRDefault="00093D77" w:rsidP="00093D77">
            <w:pPr>
              <w:cnfStyle w:val="100000000000" w:firstRow="1"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Recomandări măsuri RRD</w:t>
            </w:r>
            <w:r w:rsidR="00600181" w:rsidRPr="00CD2ADD">
              <w:rPr>
                <w:color w:val="000000"/>
                <w:sz w:val="21"/>
                <w:szCs w:val="21"/>
              </w:rPr>
              <w:t>N</w:t>
            </w:r>
            <w:r w:rsidRPr="00CD2ADD">
              <w:rPr>
                <w:color w:val="000000"/>
                <w:sz w:val="21"/>
                <w:szCs w:val="21"/>
              </w:rPr>
              <w:t xml:space="preserve"> și de adaptare</w:t>
            </w:r>
          </w:p>
        </w:tc>
      </w:tr>
      <w:tr w:rsidR="00093D77" w:rsidRPr="00CD2ADD" w14:paraId="27C0C987" w14:textId="77777777" w:rsidTr="005B7D04">
        <w:trPr>
          <w:trHeight w:val="540"/>
          <w:jc w:val="center"/>
        </w:trPr>
        <w:tc>
          <w:tcPr>
            <w:cnfStyle w:val="001000000000" w:firstRow="0" w:lastRow="0" w:firstColumn="1" w:lastColumn="0" w:oddVBand="0" w:evenVBand="0" w:oddHBand="0" w:evenHBand="0" w:firstRowFirstColumn="0" w:firstRowLastColumn="0" w:lastRowFirstColumn="0" w:lastRowLastColumn="0"/>
            <w:tcW w:w="2477" w:type="dxa"/>
            <w:hideMark/>
          </w:tcPr>
          <w:p w14:paraId="29A68494" w14:textId="77777777" w:rsidR="00093D77" w:rsidRPr="00CD2ADD" w:rsidRDefault="00093D77" w:rsidP="00093D77">
            <w:pPr>
              <w:rPr>
                <w:sz w:val="21"/>
                <w:szCs w:val="21"/>
              </w:rPr>
            </w:pPr>
            <w:r w:rsidRPr="00CD2ADD">
              <w:rPr>
                <w:color w:val="000000"/>
                <w:sz w:val="21"/>
                <w:szCs w:val="21"/>
              </w:rPr>
              <w:t>Creșterea frecvenței și intensității inundațiilor</w:t>
            </w:r>
          </w:p>
        </w:tc>
        <w:tc>
          <w:tcPr>
            <w:tcW w:w="3189" w:type="dxa"/>
            <w:hideMark/>
          </w:tcPr>
          <w:p w14:paraId="7438EB91" w14:textId="3F939FCD" w:rsidR="00093D77" w:rsidRPr="00CD2ADD" w:rsidRDefault="00093D77" w:rsidP="00093D77">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Infrastructură de protecție (diguri, baraje) învechită sau insuficientă</w:t>
            </w:r>
          </w:p>
          <w:p w14:paraId="46B216A8" w14:textId="7726664A" w:rsidR="00093D77" w:rsidRPr="00CD2ADD" w:rsidRDefault="00093D77" w:rsidP="00093D77">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lastRenderedPageBreak/>
              <w:t>- Ocuparea terenurilor de-a lungul râurilor fără planificare corespunzătoare</w:t>
            </w:r>
          </w:p>
        </w:tc>
        <w:tc>
          <w:tcPr>
            <w:tcW w:w="4070" w:type="dxa"/>
            <w:hideMark/>
          </w:tcPr>
          <w:p w14:paraId="391C03F9" w14:textId="6AEC6282" w:rsidR="00093D77" w:rsidRPr="00CD2ADD" w:rsidRDefault="00093D77" w:rsidP="00D94425">
            <w:pPr>
              <w:spacing w:after="120"/>
              <w:jc w:val="both"/>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lastRenderedPageBreak/>
              <w:t>- Întărirea și reamenajarea digurilor</w:t>
            </w:r>
            <w:r w:rsidR="00D94425" w:rsidRPr="00CD2ADD">
              <w:rPr>
                <w:color w:val="000000"/>
                <w:sz w:val="21"/>
                <w:szCs w:val="21"/>
              </w:rPr>
              <w:t xml:space="preserve">. Adițional, </w:t>
            </w:r>
            <w:r w:rsidR="00D94425" w:rsidRPr="00CD2ADD">
              <w:rPr>
                <w:sz w:val="21"/>
                <w:szCs w:val="21"/>
              </w:rPr>
              <w:t xml:space="preserve">mentenanța trebuie să includă utilizarea, în cadrul acestor procese, a soluțiilor tehnice și echipamentelor adaptate condițiilor climatice extreme, cum ar fi cele </w:t>
            </w:r>
            <w:r w:rsidR="00D94425" w:rsidRPr="00CD2ADD">
              <w:rPr>
                <w:sz w:val="21"/>
                <w:szCs w:val="21"/>
              </w:rPr>
              <w:lastRenderedPageBreak/>
              <w:t>rezistente la ger, polei sau temperaturi foarte ridicate, de exemplu, în cazul liniilor de înaltă tensiune sau al materialului rulant pentru transport.</w:t>
            </w:r>
          </w:p>
          <w:p w14:paraId="02D1323D" w14:textId="798A312D" w:rsidR="00093D77" w:rsidRPr="00CD2ADD" w:rsidRDefault="00093D77" w:rsidP="00093D77">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Cartografiere actualizată a riscurilor</w:t>
            </w:r>
          </w:p>
          <w:p w14:paraId="2E810C47" w14:textId="5E9A7B26" w:rsidR="00093D77" w:rsidRPr="00CD2ADD" w:rsidRDefault="00093D77" w:rsidP="00093D77">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Plantarea fâșiilor riverane și restaurarea zonelor umede</w:t>
            </w:r>
          </w:p>
        </w:tc>
      </w:tr>
      <w:tr w:rsidR="00093D77" w:rsidRPr="00CD2ADD" w14:paraId="5BDAC422" w14:textId="77777777" w:rsidTr="005B7D04">
        <w:trPr>
          <w:trHeight w:val="345"/>
          <w:jc w:val="center"/>
        </w:trPr>
        <w:tc>
          <w:tcPr>
            <w:cnfStyle w:val="001000000000" w:firstRow="0" w:lastRow="0" w:firstColumn="1" w:lastColumn="0" w:oddVBand="0" w:evenVBand="0" w:oddHBand="0" w:evenHBand="0" w:firstRowFirstColumn="0" w:firstRowLastColumn="0" w:lastRowFirstColumn="0" w:lastRowLastColumn="0"/>
            <w:tcW w:w="2477" w:type="dxa"/>
            <w:hideMark/>
          </w:tcPr>
          <w:p w14:paraId="2A000055" w14:textId="3BB2BC32" w:rsidR="00093D77" w:rsidRPr="00CD2ADD" w:rsidRDefault="00093D77" w:rsidP="00093D77">
            <w:pPr>
              <w:rPr>
                <w:sz w:val="21"/>
                <w:szCs w:val="21"/>
              </w:rPr>
            </w:pPr>
            <w:r w:rsidRPr="00CD2ADD">
              <w:rPr>
                <w:color w:val="000000"/>
                <w:sz w:val="21"/>
                <w:szCs w:val="21"/>
              </w:rPr>
              <w:lastRenderedPageBreak/>
              <w:t>Inundații rapide (viituri)</w:t>
            </w:r>
          </w:p>
        </w:tc>
        <w:tc>
          <w:tcPr>
            <w:tcW w:w="3189" w:type="dxa"/>
            <w:hideMark/>
          </w:tcPr>
          <w:p w14:paraId="5D1990DF" w14:textId="06EFCD48" w:rsidR="00093D77" w:rsidRPr="00CD2ADD" w:rsidRDefault="00093D77" w:rsidP="00093D77">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Lipsa sistemelor de avertizare timpurie</w:t>
            </w:r>
          </w:p>
          <w:p w14:paraId="38D7AC9B" w14:textId="5CEE0CC4" w:rsidR="00093D77" w:rsidRPr="00CD2ADD" w:rsidRDefault="00093D77" w:rsidP="00093D77">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Capacitate scăzută de reacție a autorităților locale și a populației</w:t>
            </w:r>
          </w:p>
        </w:tc>
        <w:tc>
          <w:tcPr>
            <w:tcW w:w="4070" w:type="dxa"/>
            <w:hideMark/>
          </w:tcPr>
          <w:p w14:paraId="450577DF" w14:textId="0D8E9874" w:rsidR="00093D77" w:rsidRPr="00CD2ADD" w:rsidRDefault="00093D77" w:rsidP="00093D77">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Sisteme de alertă și planuri locale de evacuare</w:t>
            </w:r>
          </w:p>
          <w:p w14:paraId="7DD47D60" w14:textId="6CAAF051" w:rsidR="00093D77" w:rsidRPr="00CD2ADD" w:rsidRDefault="00093D77" w:rsidP="00093D77">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xml:space="preserve">- Furnizarea echipamentelor de intervenție rapidă și instruirea echipelor de intervenție </w:t>
            </w:r>
          </w:p>
        </w:tc>
      </w:tr>
      <w:tr w:rsidR="00093D77" w:rsidRPr="00CD2ADD" w14:paraId="207A52A0" w14:textId="77777777" w:rsidTr="005B7D04">
        <w:trPr>
          <w:trHeight w:val="345"/>
          <w:jc w:val="center"/>
        </w:trPr>
        <w:tc>
          <w:tcPr>
            <w:cnfStyle w:val="001000000000" w:firstRow="0" w:lastRow="0" w:firstColumn="1" w:lastColumn="0" w:oddVBand="0" w:evenVBand="0" w:oddHBand="0" w:evenHBand="0" w:firstRowFirstColumn="0" w:firstRowLastColumn="0" w:lastRowFirstColumn="0" w:lastRowLastColumn="0"/>
            <w:tcW w:w="2477" w:type="dxa"/>
            <w:hideMark/>
          </w:tcPr>
          <w:p w14:paraId="72A33AB8" w14:textId="77777777" w:rsidR="00093D77" w:rsidRPr="00CD2ADD" w:rsidRDefault="00093D77" w:rsidP="00093D77">
            <w:pPr>
              <w:rPr>
                <w:sz w:val="21"/>
                <w:szCs w:val="21"/>
              </w:rPr>
            </w:pPr>
            <w:r w:rsidRPr="00CD2ADD">
              <w:rPr>
                <w:color w:val="000000"/>
                <w:sz w:val="21"/>
                <w:szCs w:val="21"/>
              </w:rPr>
              <w:t>Daune asupra infrastructurii și serviciilor esențiale</w:t>
            </w:r>
          </w:p>
        </w:tc>
        <w:tc>
          <w:tcPr>
            <w:tcW w:w="3189" w:type="dxa"/>
            <w:hideMark/>
          </w:tcPr>
          <w:p w14:paraId="7B109409" w14:textId="55D3BB0C" w:rsidR="00093D77" w:rsidRPr="00CD2ADD" w:rsidRDefault="00093D77" w:rsidP="00093D77">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Sensibilitatea rețelelor electrice, drumurilor, podurilor la inundații</w:t>
            </w:r>
          </w:p>
          <w:p w14:paraId="460C0C63" w14:textId="558E34BE" w:rsidR="00093D77" w:rsidRPr="00CD2ADD" w:rsidRDefault="00093D77" w:rsidP="00093D77">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Lipsa rezervelor și spațiilor pentru adăpost temporar în caz de evacuare</w:t>
            </w:r>
          </w:p>
        </w:tc>
        <w:tc>
          <w:tcPr>
            <w:tcW w:w="4070" w:type="dxa"/>
            <w:hideMark/>
          </w:tcPr>
          <w:p w14:paraId="57441A30" w14:textId="1019F174" w:rsidR="00093D77" w:rsidRPr="00CD2ADD" w:rsidRDefault="00093D77" w:rsidP="00093D77">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Reparații de urgență, reconectarea infrastructurii și a serviciilor esențiale</w:t>
            </w:r>
          </w:p>
          <w:p w14:paraId="6AAD96AD" w14:textId="05D78072" w:rsidR="00093D77" w:rsidRPr="00CD2ADD" w:rsidRDefault="00093D77" w:rsidP="00093D77">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Asigurarea cazării și hranei temporare în zone sigure</w:t>
            </w:r>
          </w:p>
        </w:tc>
      </w:tr>
      <w:tr w:rsidR="00501A16" w:rsidRPr="00CD2ADD" w14:paraId="0690278C" w14:textId="77777777" w:rsidTr="005B7D04">
        <w:trPr>
          <w:trHeight w:val="345"/>
          <w:jc w:val="center"/>
        </w:trPr>
        <w:tc>
          <w:tcPr>
            <w:cnfStyle w:val="001000000000" w:firstRow="0" w:lastRow="0" w:firstColumn="1" w:lastColumn="0" w:oddVBand="0" w:evenVBand="0" w:oddHBand="0" w:evenHBand="0" w:firstRowFirstColumn="0" w:firstRowLastColumn="0" w:lastRowFirstColumn="0" w:lastRowLastColumn="0"/>
            <w:tcW w:w="2477" w:type="dxa"/>
          </w:tcPr>
          <w:p w14:paraId="2FC127C0" w14:textId="69581487" w:rsidR="00501A16" w:rsidRPr="00CD2ADD" w:rsidRDefault="00501A16" w:rsidP="00093D77">
            <w:pPr>
              <w:rPr>
                <w:color w:val="000000"/>
                <w:sz w:val="21"/>
                <w:szCs w:val="21"/>
              </w:rPr>
            </w:pPr>
            <w:r w:rsidRPr="00CD2ADD">
              <w:rPr>
                <w:color w:val="000000"/>
                <w:sz w:val="21"/>
                <w:szCs w:val="21"/>
              </w:rPr>
              <w:t>Acces limitat la servicii esențiale pentru sănătate reproductivă și protecție în rândul femeilor, fetelor și persoanelor vulnerabile</w:t>
            </w:r>
          </w:p>
        </w:tc>
        <w:tc>
          <w:tcPr>
            <w:tcW w:w="3189" w:type="dxa"/>
          </w:tcPr>
          <w:p w14:paraId="201ECF50" w14:textId="1A49E83B" w:rsidR="00501A16" w:rsidRPr="00CD2ADD" w:rsidRDefault="00501A16" w:rsidP="00093D77">
            <w:pPr>
              <w:cnfStyle w:val="000000000000" w:firstRow="0" w:lastRow="0" w:firstColumn="0" w:lastColumn="0" w:oddVBand="0" w:evenVBand="0" w:oddHBand="0" w:evenHBand="0" w:firstRowFirstColumn="0" w:firstRowLastColumn="0" w:lastRowFirstColumn="0" w:lastRowLastColumn="0"/>
              <w:rPr>
                <w:color w:val="000000"/>
                <w:sz w:val="21"/>
                <w:szCs w:val="21"/>
              </w:rPr>
            </w:pPr>
            <w:r w:rsidRPr="00CD2ADD">
              <w:rPr>
                <w:color w:val="000000"/>
                <w:sz w:val="21"/>
                <w:szCs w:val="21"/>
              </w:rPr>
              <w:t>- Lipsa accesului la servicii SRHR și obstetrică în timpul evacuărilor</w:t>
            </w:r>
            <w:r w:rsidRPr="00CD2ADD">
              <w:rPr>
                <w:color w:val="000000"/>
                <w:sz w:val="21"/>
                <w:szCs w:val="21"/>
              </w:rPr>
              <w:br/>
              <w:t>- Riscuri crescute de violență bazată pe gen în adăposturile temporare</w:t>
            </w:r>
            <w:r w:rsidRPr="00CD2ADD">
              <w:rPr>
                <w:color w:val="000000"/>
                <w:sz w:val="21"/>
                <w:szCs w:val="21"/>
              </w:rPr>
              <w:br/>
              <w:t>- Lipsa pregătirii personalului pentru sprijin specific acestor grupuri</w:t>
            </w:r>
          </w:p>
        </w:tc>
        <w:tc>
          <w:tcPr>
            <w:tcW w:w="4070" w:type="dxa"/>
          </w:tcPr>
          <w:p w14:paraId="5903EC61" w14:textId="485E102B" w:rsidR="00501A16" w:rsidRPr="00CD2ADD" w:rsidRDefault="00501A16" w:rsidP="00093D77">
            <w:pPr>
              <w:cnfStyle w:val="000000000000" w:firstRow="0" w:lastRow="0" w:firstColumn="0" w:lastColumn="0" w:oddVBand="0" w:evenVBand="0" w:oddHBand="0" w:evenHBand="0" w:firstRowFirstColumn="0" w:firstRowLastColumn="0" w:lastRowFirstColumn="0" w:lastRowLastColumn="0"/>
              <w:rPr>
                <w:color w:val="000000"/>
                <w:sz w:val="21"/>
                <w:szCs w:val="21"/>
              </w:rPr>
            </w:pPr>
            <w:r w:rsidRPr="00CD2ADD">
              <w:rPr>
                <w:color w:val="000000"/>
                <w:sz w:val="21"/>
                <w:szCs w:val="21"/>
              </w:rPr>
              <w:t>- Asigurarea continuității serviciilor SRHR și a îngrijirii materne în timpul inundațiilor</w:t>
            </w:r>
            <w:r w:rsidRPr="00CD2ADD">
              <w:rPr>
                <w:color w:val="000000"/>
                <w:sz w:val="21"/>
                <w:szCs w:val="21"/>
              </w:rPr>
              <w:br/>
              <w:t>- Instruirea echipelor de intervenție în aplicarea Pachetului Minim de Servicii (MISP)</w:t>
            </w:r>
            <w:r w:rsidRPr="00CD2ADD">
              <w:rPr>
                <w:color w:val="000000"/>
                <w:sz w:val="21"/>
                <w:szCs w:val="21"/>
              </w:rPr>
              <w:br/>
              <w:t>- Crearea de spații sigure pentru femei și fete în centrele de evacuare</w:t>
            </w:r>
          </w:p>
        </w:tc>
      </w:tr>
      <w:tr w:rsidR="00093D77" w:rsidRPr="00CD2ADD" w14:paraId="0C165A2A" w14:textId="77777777" w:rsidTr="005B7D04">
        <w:trPr>
          <w:trHeight w:val="345"/>
          <w:jc w:val="center"/>
        </w:trPr>
        <w:tc>
          <w:tcPr>
            <w:cnfStyle w:val="001000000000" w:firstRow="0" w:lastRow="0" w:firstColumn="1" w:lastColumn="0" w:oddVBand="0" w:evenVBand="0" w:oddHBand="0" w:evenHBand="0" w:firstRowFirstColumn="0" w:firstRowLastColumn="0" w:lastRowFirstColumn="0" w:lastRowLastColumn="0"/>
            <w:tcW w:w="2477" w:type="dxa"/>
            <w:hideMark/>
          </w:tcPr>
          <w:p w14:paraId="0FC08D8F" w14:textId="77777777" w:rsidR="00093D77" w:rsidRPr="00CD2ADD" w:rsidRDefault="00093D77" w:rsidP="00093D77">
            <w:pPr>
              <w:rPr>
                <w:sz w:val="21"/>
                <w:szCs w:val="21"/>
              </w:rPr>
            </w:pPr>
            <w:r w:rsidRPr="00CD2ADD">
              <w:rPr>
                <w:color w:val="000000"/>
                <w:sz w:val="21"/>
                <w:szCs w:val="21"/>
              </w:rPr>
              <w:t>Creșterea riscului epidemic post-inundații</w:t>
            </w:r>
          </w:p>
        </w:tc>
        <w:tc>
          <w:tcPr>
            <w:tcW w:w="3189" w:type="dxa"/>
            <w:hideMark/>
          </w:tcPr>
          <w:p w14:paraId="69035AB9" w14:textId="1107FD22" w:rsidR="00093D77" w:rsidRPr="00CD2ADD" w:rsidRDefault="00093D77" w:rsidP="00093D77">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Sisteme de canalizare și salubrizare precare în multe localități</w:t>
            </w:r>
          </w:p>
          <w:p w14:paraId="40BC58C1" w14:textId="1C0DA39D" w:rsidR="00093D77" w:rsidRPr="00CD2ADD" w:rsidRDefault="00093D77" w:rsidP="00093D77">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Lipsa evaluărilor post-dezastru și a actualizării planurilor</w:t>
            </w:r>
          </w:p>
        </w:tc>
        <w:tc>
          <w:tcPr>
            <w:tcW w:w="4070" w:type="dxa"/>
            <w:hideMark/>
          </w:tcPr>
          <w:p w14:paraId="14A5AD05" w14:textId="74B154ED" w:rsidR="00093D77" w:rsidRPr="00CD2ADD" w:rsidRDefault="00093D77" w:rsidP="00093D77">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Măsuri anti-epidemice și campanii de informare privind igiena în situații de inundații</w:t>
            </w:r>
          </w:p>
          <w:p w14:paraId="32EB688B" w14:textId="0F41A5A0" w:rsidR="00093D77" w:rsidRPr="00CD2ADD" w:rsidRDefault="00093D77" w:rsidP="00093D77">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Actualizarea planurilor locale de reducere a vulnerabilității și de răspuns</w:t>
            </w:r>
          </w:p>
        </w:tc>
      </w:tr>
    </w:tbl>
    <w:p w14:paraId="51EF802B" w14:textId="77777777" w:rsidR="0060581C" w:rsidRPr="00CD2ADD" w:rsidRDefault="0060581C" w:rsidP="00C82DC3">
      <w:pPr>
        <w:spacing w:after="120"/>
        <w:jc w:val="both"/>
        <w:rPr>
          <w:rStyle w:val="IntenseEmphasis"/>
          <w:b w:val="0"/>
          <w:bCs w:val="0"/>
          <w:i w:val="0"/>
          <w:iCs w:val="0"/>
          <w:sz w:val="22"/>
          <w:szCs w:val="22"/>
        </w:rPr>
      </w:pPr>
    </w:p>
    <w:p w14:paraId="1BC47F12" w14:textId="6A27162B" w:rsidR="00CD5ADD" w:rsidRPr="00CD2ADD" w:rsidRDefault="0096319B" w:rsidP="00590E37">
      <w:pPr>
        <w:pStyle w:val="Heading3"/>
        <w:spacing w:before="0"/>
        <w:jc w:val="center"/>
        <w:rPr>
          <w:rStyle w:val="IntenseEmphasis"/>
          <w:rFonts w:ascii="Times New Roman" w:hAnsi="Times New Roman" w:cs="Times New Roman"/>
          <w:i w:val="0"/>
          <w:iCs w:val="0"/>
          <w:color w:val="000000" w:themeColor="text1"/>
          <w:szCs w:val="24"/>
        </w:rPr>
      </w:pPr>
      <w:r w:rsidRPr="00CD2ADD">
        <w:rPr>
          <w:rStyle w:val="IntenseEmphasis"/>
          <w:rFonts w:ascii="Times New Roman" w:hAnsi="Times New Roman" w:cs="Times New Roman"/>
          <w:i w:val="0"/>
          <w:iCs w:val="0"/>
          <w:color w:val="000000" w:themeColor="text1"/>
          <w:szCs w:val="24"/>
        </w:rPr>
        <w:t>Sub</w:t>
      </w:r>
      <w:r w:rsidR="005B7D04" w:rsidRPr="00CD2ADD">
        <w:rPr>
          <w:rStyle w:val="IntenseEmphasis"/>
          <w:rFonts w:ascii="Times New Roman" w:hAnsi="Times New Roman" w:cs="Times New Roman"/>
          <w:i w:val="0"/>
          <w:iCs w:val="0"/>
          <w:color w:val="000000" w:themeColor="text1"/>
          <w:szCs w:val="24"/>
        </w:rPr>
        <w:t>secțiunea a 3-a</w:t>
      </w:r>
    </w:p>
    <w:p w14:paraId="0D39C02E" w14:textId="224BC271" w:rsidR="005B7D04" w:rsidRPr="00CD2ADD" w:rsidRDefault="005B7D04" w:rsidP="00590E37">
      <w:pPr>
        <w:pStyle w:val="Heading3"/>
        <w:spacing w:before="0"/>
        <w:jc w:val="center"/>
        <w:rPr>
          <w:rStyle w:val="IntenseEmphasis"/>
          <w:rFonts w:ascii="Times New Roman" w:hAnsi="Times New Roman" w:cs="Times New Roman"/>
          <w:i w:val="0"/>
          <w:iCs w:val="0"/>
          <w:color w:val="000000" w:themeColor="text1"/>
          <w:szCs w:val="24"/>
        </w:rPr>
      </w:pPr>
      <w:r w:rsidRPr="00CD2ADD">
        <w:rPr>
          <w:rStyle w:val="IntenseEmphasis"/>
          <w:rFonts w:ascii="Times New Roman" w:hAnsi="Times New Roman" w:cs="Times New Roman"/>
          <w:i w:val="0"/>
          <w:iCs w:val="0"/>
          <w:color w:val="000000" w:themeColor="text1"/>
          <w:szCs w:val="24"/>
        </w:rPr>
        <w:t>Ploi torențiale însoțite de grindină, vânt puternic și ploi de lungă durată</w:t>
      </w:r>
    </w:p>
    <w:p w14:paraId="56DC7B88" w14:textId="32725F97" w:rsidR="003F7138" w:rsidRPr="00CD2ADD" w:rsidRDefault="003F7138">
      <w:pPr>
        <w:pStyle w:val="ListParagraph"/>
        <w:numPr>
          <w:ilvl w:val="0"/>
          <w:numId w:val="42"/>
        </w:numPr>
        <w:spacing w:after="0"/>
        <w:ind w:left="0" w:firstLine="284"/>
        <w:jc w:val="both"/>
        <w:rPr>
          <w:rFonts w:ascii="Times New Roman" w:hAnsi="Times New Roman" w:cs="Times New Roman"/>
          <w:color w:val="000000" w:themeColor="text1"/>
          <w:sz w:val="24"/>
          <w:szCs w:val="24"/>
        </w:rPr>
      </w:pPr>
      <w:bookmarkStart w:id="60" w:name="OLE_LINK16"/>
      <w:bookmarkStart w:id="61" w:name="OLE_LINK28"/>
      <w:bookmarkEnd w:id="57"/>
      <w:r w:rsidRPr="00CD2ADD">
        <w:rPr>
          <w:rFonts w:ascii="Times New Roman" w:hAnsi="Times New Roman" w:cs="Times New Roman"/>
          <w:color w:val="000000" w:themeColor="text1"/>
          <w:sz w:val="24"/>
          <w:szCs w:val="24"/>
        </w:rPr>
        <w:t xml:space="preserve">Acest tip de risc combină </w:t>
      </w:r>
      <w:r w:rsidR="00B9295B" w:rsidRPr="00CD2ADD">
        <w:rPr>
          <w:rFonts w:ascii="Times New Roman" w:hAnsi="Times New Roman" w:cs="Times New Roman"/>
          <w:color w:val="000000" w:themeColor="text1"/>
          <w:sz w:val="24"/>
          <w:szCs w:val="24"/>
        </w:rPr>
        <w:t>mai multe</w:t>
      </w:r>
      <w:r w:rsidR="00416751"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 xml:space="preserve">fenomene meteorologice extreme: precipitații intense de scurtă durată (ploi torențiale), căderi de grindină și rafale de vânt cu viteze mari. </w:t>
      </w:r>
      <w:r w:rsidR="00B9295B" w:rsidRPr="00CD2ADD">
        <w:rPr>
          <w:rFonts w:ascii="Times New Roman" w:hAnsi="Times New Roman" w:cs="Times New Roman"/>
          <w:color w:val="000000" w:themeColor="text1"/>
          <w:sz w:val="24"/>
          <w:szCs w:val="24"/>
        </w:rPr>
        <w:t>Conform clasificatorului pentru SE al IGSU, figura 2</w:t>
      </w:r>
      <w:r w:rsidR="00AD56FC" w:rsidRPr="00CD2ADD">
        <w:rPr>
          <w:rFonts w:ascii="Times New Roman" w:hAnsi="Times New Roman" w:cs="Times New Roman"/>
          <w:color w:val="000000" w:themeColor="text1"/>
          <w:sz w:val="24"/>
          <w:szCs w:val="24"/>
        </w:rPr>
        <w:t>4</w:t>
      </w:r>
      <w:r w:rsidR="00B9295B" w:rsidRPr="00CD2ADD">
        <w:rPr>
          <w:rFonts w:ascii="Times New Roman" w:hAnsi="Times New Roman" w:cs="Times New Roman"/>
          <w:color w:val="000000" w:themeColor="text1"/>
          <w:sz w:val="24"/>
          <w:szCs w:val="24"/>
        </w:rPr>
        <w:t xml:space="preserve"> însumează numărul </w:t>
      </w:r>
      <w:r w:rsidR="00AD56FC" w:rsidRPr="00CD2ADD">
        <w:rPr>
          <w:rFonts w:ascii="Times New Roman" w:hAnsi="Times New Roman" w:cs="Times New Roman"/>
          <w:color w:val="000000" w:themeColor="text1"/>
          <w:sz w:val="24"/>
          <w:szCs w:val="24"/>
        </w:rPr>
        <w:t>ș</w:t>
      </w:r>
      <w:r w:rsidR="00B9295B" w:rsidRPr="00CD2ADD">
        <w:rPr>
          <w:rFonts w:ascii="Times New Roman" w:hAnsi="Times New Roman" w:cs="Times New Roman"/>
          <w:color w:val="000000" w:themeColor="text1"/>
          <w:sz w:val="24"/>
          <w:szCs w:val="24"/>
        </w:rPr>
        <w:t>i pagubele SE cu ploi torențiale, ploi torențiale cu grindină, ploi torențiale cu vânt puternic, ploi torențiale cu grindină și cu vânt puternic precum și ploile de lunga durata.</w:t>
      </w:r>
      <w:r w:rsidR="00EA0BE8" w:rsidRPr="00CD2ADD">
        <w:rPr>
          <w:rFonts w:ascii="Times New Roman" w:hAnsi="Times New Roman" w:cs="Times New Roman"/>
          <w:color w:val="000000" w:themeColor="text1"/>
          <w:sz w:val="24"/>
          <w:szCs w:val="24"/>
        </w:rPr>
        <w:t xml:space="preserve"> În textul de mai jos acest risc este abreviat  - ploi torențiale însoțite de grindină și vânt puternic. </w:t>
      </w:r>
      <w:r w:rsidR="00B9295B"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În combinație, aceste manifestări pot produce efecte distructive majore pe termen scurt, afectând zone extinse. Vântul poate provoca doborârea copacilor, avarierea acoperișurilor și infrastructurii electrice, în timp ce grindina și ploile afectează grav culturile agricole și generează acumulări rapide de apă, favorizând inundațiile locale</w:t>
      </w:r>
      <w:r w:rsidR="00492F63" w:rsidRPr="00CD2ADD">
        <w:rPr>
          <w:rFonts w:ascii="Times New Roman" w:hAnsi="Times New Roman" w:cs="Times New Roman"/>
          <w:color w:val="000000" w:themeColor="text1"/>
          <w:sz w:val="24"/>
          <w:szCs w:val="24"/>
        </w:rPr>
        <w:t xml:space="preserve">. </w:t>
      </w:r>
    </w:p>
    <w:p w14:paraId="349B7A8B" w14:textId="07A652F1" w:rsidR="00BF1A4C" w:rsidRPr="00CD2ADD" w:rsidRDefault="00E261BB" w:rsidP="005B7D04">
      <w:pPr>
        <w:pStyle w:val="Subtitle"/>
        <w:spacing w:after="0" w:line="240" w:lineRule="auto"/>
        <w:ind w:firstLine="284"/>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F</w:t>
      </w:r>
      <w:r w:rsidR="00BF1A4C" w:rsidRPr="00CD2ADD">
        <w:rPr>
          <w:rStyle w:val="IntenseEmphasis"/>
          <w:rFonts w:ascii="Times New Roman" w:hAnsi="Times New Roman" w:cs="Times New Roman"/>
          <w:color w:val="000000" w:themeColor="text1"/>
          <w:sz w:val="24"/>
        </w:rPr>
        <w:t>recvență</w:t>
      </w:r>
      <w:r w:rsidRPr="00CD2ADD">
        <w:rPr>
          <w:rStyle w:val="IntenseEmphasis"/>
          <w:rFonts w:ascii="Times New Roman" w:hAnsi="Times New Roman" w:cs="Times New Roman"/>
          <w:color w:val="000000" w:themeColor="text1"/>
          <w:sz w:val="24"/>
        </w:rPr>
        <w:t xml:space="preserve"> și distribuție temporală </w:t>
      </w:r>
    </w:p>
    <w:p w14:paraId="637BECDE" w14:textId="6074136F" w:rsidR="003F7138" w:rsidRPr="00CD2ADD" w:rsidRDefault="003F7138">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Conform datelor furnizate de IGSU și prezentate în analiza oficială a situațiilor excepționale</w:t>
      </w:r>
      <w:r w:rsidR="00EA0BE8"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în perioada 2010</w:t>
      </w:r>
      <w:r w:rsidR="00EA0BE8" w:rsidRPr="00CD2ADD">
        <w:rPr>
          <w:rFonts w:ascii="Times New Roman" w:hAnsi="Times New Roman" w:cs="Times New Roman"/>
          <w:color w:val="000000" w:themeColor="text1"/>
          <w:sz w:val="24"/>
          <w:szCs w:val="24"/>
        </w:rPr>
        <w:t>-</w:t>
      </w:r>
      <w:r w:rsidRPr="00CD2ADD">
        <w:rPr>
          <w:rFonts w:ascii="Times New Roman" w:hAnsi="Times New Roman" w:cs="Times New Roman"/>
          <w:color w:val="000000" w:themeColor="text1"/>
          <w:sz w:val="24"/>
          <w:szCs w:val="24"/>
        </w:rPr>
        <w:t>2024 s-au înregistrat 8</w:t>
      </w:r>
      <w:r w:rsidR="00416751" w:rsidRPr="00CD2ADD">
        <w:rPr>
          <w:rFonts w:ascii="Times New Roman" w:hAnsi="Times New Roman" w:cs="Times New Roman"/>
          <w:color w:val="000000" w:themeColor="text1"/>
          <w:sz w:val="24"/>
          <w:szCs w:val="24"/>
        </w:rPr>
        <w:t>59</w:t>
      </w:r>
      <w:r w:rsidRPr="00CD2ADD">
        <w:rPr>
          <w:rFonts w:ascii="Times New Roman" w:hAnsi="Times New Roman" w:cs="Times New Roman"/>
          <w:color w:val="000000" w:themeColor="text1"/>
          <w:sz w:val="24"/>
          <w:szCs w:val="24"/>
        </w:rPr>
        <w:t xml:space="preserve"> de situații excepționale cauzate de ploi torențiale însoțite de grindină și vânt puternic. Acestea reprezintă </w:t>
      </w:r>
      <w:r w:rsidR="00416751" w:rsidRPr="00CD2ADD">
        <w:rPr>
          <w:rFonts w:ascii="Times New Roman" w:hAnsi="Times New Roman" w:cs="Times New Roman"/>
          <w:color w:val="000000" w:themeColor="text1"/>
          <w:sz w:val="24"/>
          <w:szCs w:val="24"/>
        </w:rPr>
        <w:t>65</w:t>
      </w:r>
      <w:r w:rsidRPr="00CD2ADD">
        <w:rPr>
          <w:rFonts w:ascii="Times New Roman" w:hAnsi="Times New Roman" w:cs="Times New Roman"/>
          <w:color w:val="000000" w:themeColor="text1"/>
          <w:sz w:val="24"/>
          <w:szCs w:val="24"/>
        </w:rPr>
        <w:t>% din totalul evenimentelor excepționale din perioada analizată. Frecvența a fost extrem de ridicată în anii 2013 (1</w:t>
      </w:r>
      <w:r w:rsidR="00416751" w:rsidRPr="00CD2ADD">
        <w:rPr>
          <w:rFonts w:ascii="Times New Roman" w:hAnsi="Times New Roman" w:cs="Times New Roman"/>
          <w:color w:val="000000" w:themeColor="text1"/>
          <w:sz w:val="24"/>
          <w:szCs w:val="24"/>
        </w:rPr>
        <w:t xml:space="preserve">13 </w:t>
      </w:r>
      <w:r w:rsidRPr="00CD2ADD">
        <w:rPr>
          <w:rFonts w:ascii="Times New Roman" w:hAnsi="Times New Roman" w:cs="Times New Roman"/>
          <w:color w:val="000000" w:themeColor="text1"/>
          <w:sz w:val="24"/>
          <w:szCs w:val="24"/>
        </w:rPr>
        <w:t>cazuri), 2016</w:t>
      </w:r>
      <w:r w:rsidR="00416751" w:rsidRPr="00CD2ADD">
        <w:rPr>
          <w:rFonts w:ascii="Times New Roman" w:hAnsi="Times New Roman" w:cs="Times New Roman"/>
          <w:color w:val="000000" w:themeColor="text1"/>
          <w:sz w:val="24"/>
          <w:szCs w:val="24"/>
        </w:rPr>
        <w:t xml:space="preserve"> (93 de cazuri)</w:t>
      </w:r>
      <w:r w:rsidRPr="00CD2ADD">
        <w:rPr>
          <w:rFonts w:ascii="Times New Roman" w:hAnsi="Times New Roman" w:cs="Times New Roman"/>
          <w:color w:val="000000" w:themeColor="text1"/>
          <w:sz w:val="24"/>
          <w:szCs w:val="24"/>
        </w:rPr>
        <w:t xml:space="preserve">, </w:t>
      </w:r>
      <w:r w:rsidR="00416751" w:rsidRPr="00CD2ADD">
        <w:rPr>
          <w:rFonts w:ascii="Times New Roman" w:hAnsi="Times New Roman" w:cs="Times New Roman"/>
          <w:color w:val="000000" w:themeColor="text1"/>
          <w:sz w:val="24"/>
          <w:szCs w:val="24"/>
        </w:rPr>
        <w:t xml:space="preserve">dar </w:t>
      </w:r>
      <w:r w:rsidRPr="00CD2ADD">
        <w:rPr>
          <w:rFonts w:ascii="Times New Roman" w:hAnsi="Times New Roman" w:cs="Times New Roman"/>
          <w:color w:val="000000" w:themeColor="text1"/>
          <w:sz w:val="24"/>
          <w:szCs w:val="24"/>
        </w:rPr>
        <w:t xml:space="preserve">și </w:t>
      </w:r>
      <w:r w:rsidR="00416751" w:rsidRPr="00CD2ADD">
        <w:rPr>
          <w:rFonts w:ascii="Times New Roman" w:hAnsi="Times New Roman" w:cs="Times New Roman"/>
          <w:color w:val="000000" w:themeColor="text1"/>
          <w:sz w:val="24"/>
          <w:szCs w:val="24"/>
        </w:rPr>
        <w:t xml:space="preserve">în </w:t>
      </w:r>
      <w:r w:rsidRPr="00CD2ADD">
        <w:rPr>
          <w:rFonts w:ascii="Times New Roman" w:hAnsi="Times New Roman" w:cs="Times New Roman"/>
          <w:color w:val="000000" w:themeColor="text1"/>
          <w:sz w:val="24"/>
          <w:szCs w:val="24"/>
        </w:rPr>
        <w:t>2021 (</w:t>
      </w:r>
      <w:r w:rsidR="00416751" w:rsidRPr="00CD2ADD">
        <w:rPr>
          <w:rFonts w:ascii="Times New Roman" w:hAnsi="Times New Roman" w:cs="Times New Roman"/>
          <w:color w:val="000000" w:themeColor="text1"/>
          <w:sz w:val="24"/>
          <w:szCs w:val="24"/>
        </w:rPr>
        <w:t>83</w:t>
      </w:r>
      <w:r w:rsidRPr="00CD2ADD">
        <w:rPr>
          <w:rFonts w:ascii="Times New Roman" w:hAnsi="Times New Roman" w:cs="Times New Roman"/>
          <w:color w:val="000000" w:themeColor="text1"/>
          <w:sz w:val="24"/>
          <w:szCs w:val="24"/>
        </w:rPr>
        <w:t xml:space="preserve"> de cazuri). Aceste evenimente s-au produs cu precădere în lunile mai–iulie, fiind asociate instabilității atmosferice accentuate din sezonul cald.</w:t>
      </w:r>
    </w:p>
    <w:p w14:paraId="243AE009" w14:textId="775071B2" w:rsidR="003F7138" w:rsidRPr="00CD2ADD" w:rsidRDefault="003F7138" w:rsidP="005B7D04">
      <w:pPr>
        <w:pStyle w:val="Subtitle"/>
        <w:numPr>
          <w:ilvl w:val="0"/>
          <w:numId w:val="0"/>
        </w:numPr>
        <w:spacing w:after="0" w:line="240" w:lineRule="auto"/>
        <w:ind w:firstLine="142"/>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 xml:space="preserve">Impact </w:t>
      </w:r>
      <w:r w:rsidR="00811A89" w:rsidRPr="00CD2ADD">
        <w:rPr>
          <w:rStyle w:val="IntenseEmphasis"/>
          <w:rFonts w:ascii="Times New Roman" w:hAnsi="Times New Roman" w:cs="Times New Roman"/>
          <w:color w:val="000000" w:themeColor="text1"/>
          <w:sz w:val="24"/>
        </w:rPr>
        <w:t>socio-</w:t>
      </w:r>
      <w:r w:rsidRPr="00CD2ADD">
        <w:rPr>
          <w:rStyle w:val="IntenseEmphasis"/>
          <w:rFonts w:ascii="Times New Roman" w:hAnsi="Times New Roman" w:cs="Times New Roman"/>
          <w:color w:val="000000" w:themeColor="text1"/>
          <w:sz w:val="24"/>
        </w:rPr>
        <w:t xml:space="preserve">economic </w:t>
      </w:r>
    </w:p>
    <w:p w14:paraId="154C82C5" w14:textId="469AEEED" w:rsidR="00260269" w:rsidRPr="00CD2ADD" w:rsidRDefault="003F7138">
      <w:pPr>
        <w:pStyle w:val="ListParagraph"/>
        <w:numPr>
          <w:ilvl w:val="0"/>
          <w:numId w:val="42"/>
        </w:numPr>
        <w:spacing w:after="120"/>
        <w:ind w:left="0" w:firstLine="142"/>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 xml:space="preserve">Pagubele economice cauzate de aceste fenomene cumulează </w:t>
      </w:r>
      <w:r w:rsidR="00BF1A4C" w:rsidRPr="00CD2ADD">
        <w:rPr>
          <w:rFonts w:ascii="Times New Roman" w:hAnsi="Times New Roman" w:cs="Times New Roman"/>
          <w:color w:val="000000" w:themeColor="text1"/>
          <w:sz w:val="24"/>
          <w:szCs w:val="24"/>
        </w:rPr>
        <w:t>4</w:t>
      </w:r>
      <w:r w:rsidRPr="00CD2ADD">
        <w:rPr>
          <w:rFonts w:ascii="Times New Roman" w:hAnsi="Times New Roman" w:cs="Times New Roman"/>
          <w:color w:val="000000" w:themeColor="text1"/>
          <w:sz w:val="24"/>
          <w:szCs w:val="24"/>
        </w:rPr>
        <w:t xml:space="preserve">,1 miliarde lei în perioada 2010–2024, ceea ce constituie </w:t>
      </w:r>
      <w:r w:rsidR="00BF1A4C" w:rsidRPr="00CD2ADD">
        <w:rPr>
          <w:rFonts w:ascii="Times New Roman" w:hAnsi="Times New Roman" w:cs="Times New Roman"/>
          <w:color w:val="000000" w:themeColor="text1"/>
          <w:sz w:val="24"/>
          <w:szCs w:val="24"/>
        </w:rPr>
        <w:t>18</w:t>
      </w:r>
      <w:r w:rsidRPr="00CD2ADD">
        <w:rPr>
          <w:rFonts w:ascii="Times New Roman" w:hAnsi="Times New Roman" w:cs="Times New Roman"/>
          <w:color w:val="000000" w:themeColor="text1"/>
          <w:sz w:val="24"/>
          <w:szCs w:val="24"/>
        </w:rPr>
        <w:t xml:space="preserve">% din valoarea totală a pagubelor provocate de toate situațiile excepționale naturale raportate în aceeași perioadă. Impactul economic maxim a fost înregistrat în 2019 </w:t>
      </w:r>
      <w:r w:rsidRPr="00CD2ADD">
        <w:rPr>
          <w:rFonts w:ascii="Times New Roman" w:hAnsi="Times New Roman" w:cs="Times New Roman"/>
          <w:color w:val="000000" w:themeColor="text1"/>
          <w:sz w:val="24"/>
          <w:szCs w:val="24"/>
        </w:rPr>
        <w:lastRenderedPageBreak/>
        <w:t xml:space="preserve">(aproximativ </w:t>
      </w:r>
      <w:r w:rsidR="00BF1A4C" w:rsidRPr="00CD2ADD">
        <w:rPr>
          <w:rFonts w:ascii="Times New Roman" w:hAnsi="Times New Roman" w:cs="Times New Roman"/>
          <w:color w:val="000000" w:themeColor="text1"/>
          <w:sz w:val="24"/>
          <w:szCs w:val="24"/>
        </w:rPr>
        <w:t>835</w:t>
      </w:r>
      <w:r w:rsidRPr="00CD2ADD">
        <w:rPr>
          <w:rFonts w:ascii="Times New Roman" w:hAnsi="Times New Roman" w:cs="Times New Roman"/>
          <w:color w:val="000000" w:themeColor="text1"/>
          <w:sz w:val="24"/>
          <w:szCs w:val="24"/>
        </w:rPr>
        <w:t xml:space="preserve"> milioane lei), urmat de 2021 (peste </w:t>
      </w:r>
      <w:r w:rsidR="00BF1A4C" w:rsidRPr="00CD2ADD">
        <w:rPr>
          <w:rFonts w:ascii="Times New Roman" w:hAnsi="Times New Roman" w:cs="Times New Roman"/>
          <w:color w:val="000000" w:themeColor="text1"/>
          <w:sz w:val="24"/>
          <w:szCs w:val="24"/>
        </w:rPr>
        <w:t>632</w:t>
      </w:r>
      <w:r w:rsidRPr="00CD2ADD">
        <w:rPr>
          <w:rFonts w:ascii="Times New Roman" w:hAnsi="Times New Roman" w:cs="Times New Roman"/>
          <w:color w:val="000000" w:themeColor="text1"/>
          <w:sz w:val="24"/>
          <w:szCs w:val="24"/>
        </w:rPr>
        <w:t xml:space="preserve"> milioane lei). Pierderile s-au concentrat în sectorul agricol, infrastructura rutieră și locuințele particulare.</w:t>
      </w:r>
      <w:bookmarkStart w:id="62" w:name="_Toc197960221"/>
      <w:bookmarkStart w:id="63" w:name="_Toc197960492"/>
    </w:p>
    <w:p w14:paraId="4621FABA" w14:textId="27C8CAD4" w:rsidR="005B7D04" w:rsidRPr="00CD2ADD" w:rsidRDefault="005B7D04" w:rsidP="005B7D04">
      <w:pPr>
        <w:pStyle w:val="ListParagraph"/>
        <w:spacing w:after="120"/>
        <w:ind w:left="142" w:firstLine="0"/>
        <w:jc w:val="center"/>
        <w:rPr>
          <w:rFonts w:ascii="Times New Roman" w:hAnsi="Times New Roman" w:cs="Times New Roman"/>
          <w:color w:val="000000" w:themeColor="text1"/>
          <w:sz w:val="24"/>
          <w:szCs w:val="24"/>
        </w:rPr>
      </w:pPr>
      <w:r w:rsidRPr="00CD2ADD">
        <w:rPr>
          <w:rFonts w:ascii="Times New Roman" w:hAnsi="Times New Roman" w:cs="Times New Roman"/>
          <w:b/>
          <w:bCs/>
          <w:color w:val="000000" w:themeColor="text1"/>
          <w:sz w:val="24"/>
          <w:szCs w:val="24"/>
        </w:rPr>
        <w:t>Figura 2</w:t>
      </w:r>
      <w:r w:rsidR="00AD56FC" w:rsidRPr="00CD2ADD">
        <w:rPr>
          <w:rFonts w:ascii="Times New Roman" w:hAnsi="Times New Roman" w:cs="Times New Roman"/>
          <w:b/>
          <w:bCs/>
          <w:color w:val="000000" w:themeColor="text1"/>
          <w:sz w:val="24"/>
          <w:szCs w:val="24"/>
        </w:rPr>
        <w:t>4</w:t>
      </w:r>
      <w:r w:rsidRPr="00CD2ADD">
        <w:rPr>
          <w:rFonts w:ascii="Times New Roman" w:hAnsi="Times New Roman" w:cs="Times New Roman"/>
          <w:color w:val="000000" w:themeColor="text1"/>
          <w:sz w:val="24"/>
          <w:szCs w:val="24"/>
        </w:rPr>
        <w:t xml:space="preserve">. Numărul situațiilor excepționale de ploi torențiale cu grindină, </w:t>
      </w:r>
    </w:p>
    <w:p w14:paraId="254A54FC" w14:textId="7D306F12" w:rsidR="005B7D04" w:rsidRPr="00CD2ADD" w:rsidRDefault="005B7D04" w:rsidP="005B7D04">
      <w:pPr>
        <w:pStyle w:val="ListParagraph"/>
        <w:spacing w:after="120"/>
        <w:ind w:left="142" w:firstLine="0"/>
        <w:jc w:val="center"/>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cu vânt puternic și ploi de lungă durată, pe perioada 2010-2024</w:t>
      </w:r>
    </w:p>
    <w:bookmarkEnd w:id="62"/>
    <w:bookmarkEnd w:id="63"/>
    <w:p w14:paraId="6B1B570C" w14:textId="13E46344" w:rsidR="003F7138" w:rsidRPr="00CD2ADD" w:rsidRDefault="00DC54B3" w:rsidP="00AD56FC">
      <w:pPr>
        <w:jc w:val="center"/>
        <w:rPr>
          <w:color w:val="000000" w:themeColor="text1"/>
          <w:lang w:eastAsia="en-US"/>
        </w:rPr>
      </w:pPr>
      <w:r w:rsidRPr="00CD2ADD">
        <w:rPr>
          <w:noProof/>
          <w:color w:val="000000" w:themeColor="text1"/>
        </w:rPr>
        <w:drawing>
          <wp:inline distT="0" distB="0" distL="0" distR="0" wp14:anchorId="6D467551" wp14:editId="514E5D1B">
            <wp:extent cx="5537200" cy="3048000"/>
            <wp:effectExtent l="0" t="0" r="12700" b="12700"/>
            <wp:docPr id="914771850" name="Chart 1">
              <a:extLst xmlns:a="http://schemas.openxmlformats.org/drawingml/2006/main">
                <a:ext uri="{FF2B5EF4-FFF2-40B4-BE49-F238E27FC236}">
                  <a16:creationId xmlns:a16="http://schemas.microsoft.com/office/drawing/2014/main" id="{D3767648-9A13-7154-26BE-8284E766E5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AD6459F" w14:textId="4837547A" w:rsidR="00811A89" w:rsidRPr="00CD2ADD" w:rsidRDefault="003F7138" w:rsidP="00AD56FC">
      <w:pPr>
        <w:jc w:val="center"/>
        <w:rPr>
          <w:rStyle w:val="IntenseEmphasis"/>
          <w:b w:val="0"/>
          <w:bCs w:val="0"/>
          <w:i w:val="0"/>
          <w:color w:val="000000" w:themeColor="text1"/>
          <w:sz w:val="20"/>
          <w:szCs w:val="20"/>
          <w:lang w:eastAsia="en-US"/>
        </w:rPr>
      </w:pPr>
      <w:r w:rsidRPr="00CD2ADD">
        <w:rPr>
          <w:i/>
          <w:iCs/>
          <w:color w:val="000000" w:themeColor="text1"/>
          <w:sz w:val="20"/>
          <w:szCs w:val="20"/>
          <w:lang w:eastAsia="en-US"/>
        </w:rPr>
        <w:t>Sursa: IGSU – Analiza Situațiilor Excepționale, 2010–2024</w:t>
      </w:r>
    </w:p>
    <w:p w14:paraId="4F43D61A" w14:textId="55595DB3" w:rsidR="003F7138" w:rsidRPr="00CD2ADD" w:rsidRDefault="003F7138" w:rsidP="005B7D04">
      <w:pPr>
        <w:ind w:firstLine="284"/>
        <w:jc w:val="both"/>
        <w:rPr>
          <w:rStyle w:val="IntenseEmphasis"/>
          <w:color w:val="000000" w:themeColor="text1"/>
        </w:rPr>
      </w:pPr>
      <w:r w:rsidRPr="00CD2ADD">
        <w:rPr>
          <w:rStyle w:val="IntenseEmphasis"/>
          <w:rFonts w:eastAsiaTheme="majorEastAsia"/>
          <w:color w:val="000000" w:themeColor="text1"/>
          <w:lang w:eastAsia="en-US"/>
        </w:rPr>
        <w:t>Vulnerabilitate</w:t>
      </w:r>
      <w:r w:rsidR="00EA0BE8" w:rsidRPr="00CD2ADD">
        <w:rPr>
          <w:rStyle w:val="IntenseEmphasis"/>
          <w:rFonts w:eastAsiaTheme="majorEastAsia"/>
          <w:color w:val="000000" w:themeColor="text1"/>
          <w:lang w:eastAsia="en-US"/>
        </w:rPr>
        <w:t>,</w:t>
      </w:r>
      <w:r w:rsidRPr="00CD2ADD">
        <w:rPr>
          <w:rStyle w:val="IntenseEmphasis"/>
          <w:rFonts w:eastAsiaTheme="majorEastAsia"/>
          <w:color w:val="000000" w:themeColor="text1"/>
          <w:lang w:eastAsia="en-US"/>
        </w:rPr>
        <w:t xml:space="preserve"> expunere</w:t>
      </w:r>
      <w:r w:rsidRPr="00CD2ADD">
        <w:rPr>
          <w:rStyle w:val="IntenseEmphasis"/>
          <w:color w:val="000000" w:themeColor="text1"/>
          <w:lang w:eastAsia="en-US"/>
        </w:rPr>
        <w:t xml:space="preserve"> </w:t>
      </w:r>
      <w:r w:rsidR="00EA0BE8" w:rsidRPr="00CD2ADD">
        <w:rPr>
          <w:rStyle w:val="IntenseEmphasis"/>
          <w:rFonts w:eastAsiaTheme="majorEastAsia"/>
          <w:color w:val="000000" w:themeColor="text1"/>
          <w:lang w:eastAsia="en-US"/>
        </w:rPr>
        <w:t>și capacitate de adaptare</w:t>
      </w:r>
    </w:p>
    <w:p w14:paraId="2E4244A3" w14:textId="77777777" w:rsidR="005B7D04" w:rsidRPr="00CD2ADD" w:rsidRDefault="008624BC">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Zonele cele mai vulnerabile la ploile torențiale însoțite de grindină și vânturi puternice sunt localizate preponderent în centrul și sudul Republicii Moldova, precum raioanele Hâncești, Leova, Căușeni, Ștefan Vodă și Cahul. Acestea se caracterizează printr-o densitate ridicată a terenurilor agricole, o infrastructură expusă, precum și un fond de locuințe vechi și nereabilitate, care sporește riscurile de avarii. În plus, rețelele electrice aeriene și lipsa sistemelor eficiente de colectare și drenaj a ape</w:t>
      </w:r>
      <w:r w:rsidR="00707A24" w:rsidRPr="00CD2ADD">
        <w:rPr>
          <w:rFonts w:ascii="Times New Roman" w:hAnsi="Times New Roman" w:cs="Times New Roman"/>
          <w:color w:val="000000" w:themeColor="text1"/>
          <w:sz w:val="24"/>
          <w:szCs w:val="24"/>
        </w:rPr>
        <w:t>lor</w:t>
      </w:r>
      <w:r w:rsidRPr="00CD2ADD">
        <w:rPr>
          <w:rFonts w:ascii="Times New Roman" w:hAnsi="Times New Roman" w:cs="Times New Roman"/>
          <w:color w:val="000000" w:themeColor="text1"/>
          <w:sz w:val="24"/>
          <w:szCs w:val="24"/>
        </w:rPr>
        <w:t xml:space="preserve"> pluviale contribuie la creșterea impactului acestor </w:t>
      </w:r>
      <w:r w:rsidR="00707A24" w:rsidRPr="00CD2ADD">
        <w:rPr>
          <w:rFonts w:ascii="Times New Roman" w:hAnsi="Times New Roman" w:cs="Times New Roman"/>
          <w:color w:val="000000" w:themeColor="text1"/>
          <w:sz w:val="24"/>
          <w:szCs w:val="24"/>
        </w:rPr>
        <w:t>fenomene</w:t>
      </w:r>
      <w:r w:rsidRPr="00CD2ADD">
        <w:rPr>
          <w:rFonts w:ascii="Times New Roman" w:hAnsi="Times New Roman" w:cs="Times New Roman"/>
          <w:color w:val="000000" w:themeColor="text1"/>
          <w:sz w:val="24"/>
          <w:szCs w:val="24"/>
        </w:rPr>
        <w:t xml:space="preserve"> în zonele urbane și rurale.</w:t>
      </w:r>
    </w:p>
    <w:p w14:paraId="07D9DDE6" w14:textId="79D65330" w:rsidR="008624BC" w:rsidRPr="00CD2ADD" w:rsidRDefault="008624BC" w:rsidP="005B7D04">
      <w:pPr>
        <w:ind w:firstLine="284"/>
        <w:jc w:val="both"/>
        <w:rPr>
          <w:color w:val="000000" w:themeColor="text1"/>
        </w:rPr>
      </w:pPr>
      <w:r w:rsidRPr="00CD2ADD">
        <w:rPr>
          <w:color w:val="000000" w:themeColor="text1"/>
        </w:rPr>
        <w:t>Gradul redus de acoperire a culturilor agricole prin polițe de asigurare și lipsa unui sistem național operațional de avertizare multi-hazard afectează în mod direct capacitatea comunităților de a anticipa și gestiona astfel de fenomene. SNRRD</w:t>
      </w:r>
      <w:r w:rsidR="00600181" w:rsidRPr="00CD2ADD">
        <w:rPr>
          <w:color w:val="000000" w:themeColor="text1"/>
        </w:rPr>
        <w:t xml:space="preserve"> 2024-2030</w:t>
      </w:r>
      <w:r w:rsidRPr="00CD2ADD">
        <w:rPr>
          <w:color w:val="000000" w:themeColor="text1"/>
        </w:rPr>
        <w:t xml:space="preserve"> subliniază faptul că aceste evenimente trebuie tratate distinct față de "grindina mare", având în vedere natura lor complexă și caracterul simultan al impacturilor (vânt, precipitații și grindină).</w:t>
      </w:r>
    </w:p>
    <w:p w14:paraId="4C2268F1" w14:textId="77777777" w:rsidR="008624BC" w:rsidRPr="00CD2ADD" w:rsidRDefault="008624BC" w:rsidP="005B7D04">
      <w:pPr>
        <w:ind w:firstLine="284"/>
        <w:jc w:val="both"/>
        <w:rPr>
          <w:color w:val="000000" w:themeColor="text1"/>
          <w:lang w:eastAsia="en-US"/>
        </w:rPr>
      </w:pPr>
      <w:r w:rsidRPr="00CD2ADD">
        <w:rPr>
          <w:color w:val="000000" w:themeColor="text1"/>
          <w:lang w:eastAsia="en-US"/>
        </w:rPr>
        <w:t>Capacitatea de adaptare rămâne limitată, în special în localitățile cu infrastructură deficitară și populație vulnerabilă, în lipsa investițiilor susținute în sisteme de drenaj, reabilitarea clădirilor și integrarea riscurilor în planurile de dezvoltare locală. Creșterea capacității de răspuns și adaptare necesită intervenții multi-sectoriale, stimulente financiare și întărirea guvernanței locale pentru integrarea riscurilor climatice emergente.</w:t>
      </w:r>
    </w:p>
    <w:bookmarkEnd w:id="60"/>
    <w:p w14:paraId="5617F086" w14:textId="2CF0798C" w:rsidR="00260269" w:rsidRPr="00CD2ADD" w:rsidRDefault="00AD56FC">
      <w:pPr>
        <w:pStyle w:val="ListParagraph"/>
        <w:numPr>
          <w:ilvl w:val="0"/>
          <w:numId w:val="42"/>
        </w:numPr>
        <w:spacing w:after="12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Î</w:t>
      </w:r>
      <w:r w:rsidR="008624BC" w:rsidRPr="00CD2ADD">
        <w:rPr>
          <w:rFonts w:ascii="Times New Roman" w:hAnsi="Times New Roman" w:cs="Times New Roman"/>
          <w:color w:val="000000" w:themeColor="text1"/>
          <w:sz w:val="24"/>
          <w:szCs w:val="24"/>
        </w:rPr>
        <w:t>n concluzie,</w:t>
      </w:r>
      <w:r w:rsidR="008624BC" w:rsidRPr="00CD2ADD">
        <w:rPr>
          <w:rFonts w:ascii="Times New Roman" w:hAnsi="Times New Roman" w:cs="Times New Roman"/>
          <w:b/>
          <w:bCs/>
          <w:color w:val="000000" w:themeColor="text1"/>
          <w:sz w:val="24"/>
          <w:szCs w:val="24"/>
        </w:rPr>
        <w:t xml:space="preserve"> </w:t>
      </w:r>
      <w:r w:rsidR="008624BC" w:rsidRPr="00CD2ADD">
        <w:rPr>
          <w:rFonts w:ascii="Times New Roman" w:hAnsi="Times New Roman" w:cs="Times New Roman"/>
          <w:color w:val="000000" w:themeColor="text1"/>
          <w:sz w:val="24"/>
          <w:szCs w:val="24"/>
        </w:rPr>
        <w:t xml:space="preserve">ploile torențiale însoțite de grindină și vânturi puternice constituie un risc climatic complex și recurent în Republica Moldova, responsabil pentru 65% din toate situațiile excepționale înregistrate între 2010 și 2024 și pentru 18% din pierderile economice totale. Măsuri prioritare includ dezvoltarea sistemelor de avertizare timpurie integrate pentru fenomene multi-hazard, consolidarea infrastructurii de drenaj și protecție în zonele urbane și rurale, stimularea polițelor de asigurare agricolă și sprijinirea fermierilor în accesarea acestora, integrarea acestui risc în planurile locale și sectoriale de adaptare la schimbările climatice. </w:t>
      </w:r>
    </w:p>
    <w:p w14:paraId="084498A8" w14:textId="77777777" w:rsidR="00AD56FC" w:rsidRPr="00CD2ADD" w:rsidRDefault="00AD56FC" w:rsidP="00AD56FC">
      <w:pPr>
        <w:ind w:firstLine="284"/>
        <w:jc w:val="right"/>
        <w:rPr>
          <w:rStyle w:val="IntenseEmphasis"/>
          <w:color w:val="000000" w:themeColor="text1"/>
          <w:lang w:eastAsia="en-US"/>
        </w:rPr>
      </w:pPr>
      <w:r w:rsidRPr="00CD2ADD">
        <w:rPr>
          <w:b/>
          <w:bCs/>
          <w:color w:val="000000" w:themeColor="text1"/>
        </w:rPr>
        <w:t>Tabelul 11</w:t>
      </w:r>
      <w:r w:rsidRPr="00CD2ADD">
        <w:rPr>
          <w:rStyle w:val="IntenseEmphasis"/>
          <w:color w:val="000000" w:themeColor="text1"/>
          <w:lang w:eastAsia="en-US"/>
        </w:rPr>
        <w:t xml:space="preserve"> </w:t>
      </w:r>
    </w:p>
    <w:p w14:paraId="23DD411C" w14:textId="77777777" w:rsidR="00AD56FC" w:rsidRPr="00CD2ADD" w:rsidRDefault="00AD56FC" w:rsidP="00AD56FC">
      <w:pPr>
        <w:ind w:firstLine="284"/>
        <w:jc w:val="center"/>
        <w:rPr>
          <w:rStyle w:val="IntenseEmphasis"/>
          <w:i w:val="0"/>
          <w:iCs w:val="0"/>
          <w:color w:val="000000" w:themeColor="text1"/>
          <w:lang w:eastAsia="en-US"/>
        </w:rPr>
      </w:pPr>
      <w:r w:rsidRPr="00CD2ADD">
        <w:rPr>
          <w:rStyle w:val="IntenseEmphasis"/>
          <w:i w:val="0"/>
          <w:iCs w:val="0"/>
          <w:color w:val="000000" w:themeColor="text1"/>
          <w:lang w:eastAsia="en-US"/>
        </w:rPr>
        <w:t xml:space="preserve">Măsuri recomandate pentru reducerea riscului de ploi torențiale </w:t>
      </w:r>
    </w:p>
    <w:p w14:paraId="417C1F6A" w14:textId="7693C297" w:rsidR="00AD56FC" w:rsidRPr="00CD2ADD" w:rsidRDefault="00AD56FC" w:rsidP="00AD56FC">
      <w:pPr>
        <w:ind w:firstLine="284"/>
        <w:jc w:val="center"/>
        <w:rPr>
          <w:rStyle w:val="IntenseEmphasis"/>
          <w:i w:val="0"/>
          <w:iCs w:val="0"/>
          <w:color w:val="000000" w:themeColor="text1"/>
          <w:lang w:eastAsia="en-US"/>
        </w:rPr>
      </w:pPr>
      <w:r w:rsidRPr="00CD2ADD">
        <w:rPr>
          <w:rStyle w:val="IntenseEmphasis"/>
          <w:i w:val="0"/>
          <w:iCs w:val="0"/>
          <w:color w:val="000000" w:themeColor="text1"/>
          <w:lang w:eastAsia="en-US"/>
        </w:rPr>
        <w:t>însoțite de grindina, vânt puternic si ploi de lunga durata</w:t>
      </w:r>
    </w:p>
    <w:p w14:paraId="517AD7E6" w14:textId="51CE026B" w:rsidR="00AD56FC" w:rsidRPr="00CD2ADD" w:rsidRDefault="00AD56FC" w:rsidP="00AD56FC">
      <w:pPr>
        <w:pStyle w:val="ListParagraph"/>
        <w:spacing w:after="120"/>
        <w:ind w:left="284" w:firstLine="0"/>
        <w:jc w:val="right"/>
        <w:rPr>
          <w:rFonts w:ascii="Times New Roman" w:hAnsi="Times New Roman" w:cs="Times New Roman"/>
          <w:b/>
          <w:bCs/>
          <w:color w:val="000000" w:themeColor="text1"/>
          <w:sz w:val="24"/>
          <w:szCs w:val="24"/>
        </w:rPr>
      </w:pPr>
    </w:p>
    <w:tbl>
      <w:tblPr>
        <w:tblStyle w:val="GridTable1Light-Accent41"/>
        <w:tblW w:w="9673" w:type="dxa"/>
        <w:tblLook w:val="04A0" w:firstRow="1" w:lastRow="0" w:firstColumn="1" w:lastColumn="0" w:noHBand="0" w:noVBand="1"/>
      </w:tblPr>
      <w:tblGrid>
        <w:gridCol w:w="2595"/>
        <w:gridCol w:w="2928"/>
        <w:gridCol w:w="4150"/>
      </w:tblGrid>
      <w:tr w:rsidR="00260269" w:rsidRPr="00CD2ADD" w14:paraId="402C7D8E" w14:textId="77777777" w:rsidTr="00260269">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hideMark/>
          </w:tcPr>
          <w:p w14:paraId="4DABC35E" w14:textId="77777777" w:rsidR="008624BC" w:rsidRPr="00CD2ADD" w:rsidRDefault="008624BC" w:rsidP="008624BC">
            <w:pPr>
              <w:rPr>
                <w:sz w:val="21"/>
                <w:szCs w:val="21"/>
              </w:rPr>
            </w:pPr>
            <w:r w:rsidRPr="00CD2ADD">
              <w:rPr>
                <w:sz w:val="21"/>
                <w:szCs w:val="21"/>
              </w:rPr>
              <w:t>Riscuri asociate</w:t>
            </w:r>
          </w:p>
        </w:tc>
        <w:tc>
          <w:tcPr>
            <w:tcW w:w="0" w:type="auto"/>
            <w:hideMark/>
          </w:tcPr>
          <w:p w14:paraId="5172CD21" w14:textId="77777777" w:rsidR="008624BC" w:rsidRPr="00CD2ADD" w:rsidRDefault="008624BC" w:rsidP="008624BC">
            <w:pPr>
              <w:cnfStyle w:val="100000000000" w:firstRow="1" w:lastRow="0" w:firstColumn="0" w:lastColumn="0" w:oddVBand="0" w:evenVBand="0" w:oddHBand="0" w:evenHBand="0" w:firstRowFirstColumn="0" w:firstRowLastColumn="0" w:lastRowFirstColumn="0" w:lastRowLastColumn="0"/>
              <w:rPr>
                <w:sz w:val="21"/>
                <w:szCs w:val="21"/>
              </w:rPr>
            </w:pPr>
            <w:r w:rsidRPr="00CD2ADD">
              <w:rPr>
                <w:sz w:val="21"/>
                <w:szCs w:val="21"/>
              </w:rPr>
              <w:t>Vulnerabilități identificate</w:t>
            </w:r>
          </w:p>
        </w:tc>
        <w:tc>
          <w:tcPr>
            <w:tcW w:w="0" w:type="auto"/>
            <w:hideMark/>
          </w:tcPr>
          <w:p w14:paraId="3C345EFA" w14:textId="536C4B65" w:rsidR="008624BC" w:rsidRPr="00CD2ADD" w:rsidRDefault="008624BC" w:rsidP="008624BC">
            <w:pPr>
              <w:cnfStyle w:val="100000000000" w:firstRow="1" w:lastRow="0" w:firstColumn="0" w:lastColumn="0" w:oddVBand="0" w:evenVBand="0" w:oddHBand="0" w:evenHBand="0" w:firstRowFirstColumn="0" w:firstRowLastColumn="0" w:lastRowFirstColumn="0" w:lastRowLastColumn="0"/>
              <w:rPr>
                <w:sz w:val="21"/>
                <w:szCs w:val="21"/>
              </w:rPr>
            </w:pPr>
            <w:r w:rsidRPr="00CD2ADD">
              <w:rPr>
                <w:sz w:val="21"/>
                <w:szCs w:val="21"/>
              </w:rPr>
              <w:t>Măsuri RRD</w:t>
            </w:r>
            <w:r w:rsidR="00600181" w:rsidRPr="00CD2ADD">
              <w:rPr>
                <w:sz w:val="21"/>
                <w:szCs w:val="21"/>
              </w:rPr>
              <w:t>N</w:t>
            </w:r>
            <w:r w:rsidRPr="00CD2ADD">
              <w:rPr>
                <w:sz w:val="21"/>
                <w:szCs w:val="21"/>
              </w:rPr>
              <w:t xml:space="preserve"> și de adaptare</w:t>
            </w:r>
          </w:p>
        </w:tc>
      </w:tr>
      <w:tr w:rsidR="00260269" w:rsidRPr="00CD2ADD" w14:paraId="4BCC939F" w14:textId="77777777" w:rsidTr="00260269">
        <w:trPr>
          <w:trHeight w:val="1263"/>
        </w:trPr>
        <w:tc>
          <w:tcPr>
            <w:cnfStyle w:val="001000000000" w:firstRow="0" w:lastRow="0" w:firstColumn="1" w:lastColumn="0" w:oddVBand="0" w:evenVBand="0" w:oddHBand="0" w:evenHBand="0" w:firstRowFirstColumn="0" w:firstRowLastColumn="0" w:lastRowFirstColumn="0" w:lastRowLastColumn="0"/>
            <w:tcW w:w="0" w:type="auto"/>
            <w:hideMark/>
          </w:tcPr>
          <w:p w14:paraId="05D9772C" w14:textId="77777777" w:rsidR="008624BC" w:rsidRPr="00CD2ADD" w:rsidRDefault="008624BC" w:rsidP="008624BC">
            <w:pPr>
              <w:rPr>
                <w:sz w:val="21"/>
                <w:szCs w:val="21"/>
              </w:rPr>
            </w:pPr>
            <w:r w:rsidRPr="00CD2ADD">
              <w:rPr>
                <w:sz w:val="21"/>
                <w:szCs w:val="21"/>
              </w:rPr>
              <w:t>Ploi torențiale și de lungă durată</w:t>
            </w:r>
          </w:p>
        </w:tc>
        <w:tc>
          <w:tcPr>
            <w:tcW w:w="0" w:type="auto"/>
            <w:hideMark/>
          </w:tcPr>
          <w:p w14:paraId="35B0EF34" w14:textId="5FD57B79" w:rsidR="008624BC" w:rsidRPr="00CD2ADD" w:rsidRDefault="008624BC" w:rsidP="008624BC">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Infrastructură de drenaj învechită sau absentă</w:t>
            </w:r>
          </w:p>
          <w:p w14:paraId="02BD8A83" w14:textId="69115BD0" w:rsidR="008624BC" w:rsidRPr="00CD2ADD" w:rsidRDefault="008624BC" w:rsidP="008624BC">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Infrastructura verde limitată</w:t>
            </w:r>
          </w:p>
        </w:tc>
        <w:tc>
          <w:tcPr>
            <w:tcW w:w="0" w:type="auto"/>
            <w:hideMark/>
          </w:tcPr>
          <w:p w14:paraId="7417CFE3" w14:textId="77777777" w:rsidR="008624BC" w:rsidRPr="00CD2ADD" w:rsidRDefault="008624BC" w:rsidP="008624BC">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Reabilitarea și extinderea rețelelor de drenaj în localități și pe terenuri agricole</w:t>
            </w:r>
          </w:p>
          <w:p w14:paraId="3C77678E" w14:textId="3860CE1E" w:rsidR="008624BC" w:rsidRPr="00CD2ADD" w:rsidRDefault="008624BC" w:rsidP="008624BC">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Încurajarea masurilor agro-forestiere pe terenuri agricole</w:t>
            </w:r>
            <w:r w:rsidR="009F1030" w:rsidRPr="00CD2ADD">
              <w:rPr>
                <w:sz w:val="21"/>
                <w:szCs w:val="21"/>
              </w:rPr>
              <w:t xml:space="preserve"> </w:t>
            </w:r>
          </w:p>
        </w:tc>
      </w:tr>
      <w:tr w:rsidR="00260269" w:rsidRPr="00CD2ADD" w14:paraId="3BC7D75D" w14:textId="77777777" w:rsidTr="00260269">
        <w:trPr>
          <w:trHeight w:val="1211"/>
        </w:trPr>
        <w:tc>
          <w:tcPr>
            <w:cnfStyle w:val="001000000000" w:firstRow="0" w:lastRow="0" w:firstColumn="1" w:lastColumn="0" w:oddVBand="0" w:evenVBand="0" w:oddHBand="0" w:evenHBand="0" w:firstRowFirstColumn="0" w:firstRowLastColumn="0" w:lastRowFirstColumn="0" w:lastRowLastColumn="0"/>
            <w:tcW w:w="0" w:type="auto"/>
            <w:hideMark/>
          </w:tcPr>
          <w:p w14:paraId="02480DDC" w14:textId="77777777" w:rsidR="008624BC" w:rsidRPr="00CD2ADD" w:rsidRDefault="008624BC" w:rsidP="008624BC">
            <w:pPr>
              <w:rPr>
                <w:sz w:val="21"/>
                <w:szCs w:val="21"/>
              </w:rPr>
            </w:pPr>
            <w:r w:rsidRPr="00CD2ADD">
              <w:rPr>
                <w:sz w:val="21"/>
                <w:szCs w:val="21"/>
              </w:rPr>
              <w:t>Vânturi puternice</w:t>
            </w:r>
          </w:p>
        </w:tc>
        <w:tc>
          <w:tcPr>
            <w:tcW w:w="0" w:type="auto"/>
            <w:hideMark/>
          </w:tcPr>
          <w:p w14:paraId="21487542" w14:textId="77777777" w:rsidR="008624BC" w:rsidRPr="00CD2ADD" w:rsidRDefault="008624BC" w:rsidP="008624BC">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Clădiri vechi, nereabilitate</w:t>
            </w:r>
            <w:r w:rsidRPr="00CD2ADD">
              <w:rPr>
                <w:sz w:val="21"/>
                <w:szCs w:val="21"/>
              </w:rPr>
              <w:br/>
              <w:t>- Linii electrice aeriene expuse</w:t>
            </w:r>
          </w:p>
        </w:tc>
        <w:tc>
          <w:tcPr>
            <w:tcW w:w="0" w:type="auto"/>
            <w:hideMark/>
          </w:tcPr>
          <w:p w14:paraId="644ED582" w14:textId="77777777" w:rsidR="008624BC" w:rsidRPr="00CD2ADD" w:rsidRDefault="008624BC" w:rsidP="008624BC">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Reabilitarea acoperișurilor și a instalațiilor vulnerabile</w:t>
            </w:r>
          </w:p>
          <w:p w14:paraId="73C731A1" w14:textId="534ACD1D" w:rsidR="008624BC" w:rsidRPr="00CD2ADD" w:rsidRDefault="008624BC" w:rsidP="008624BC">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Consolidarea infrastructurii electrice publice sau private</w:t>
            </w:r>
          </w:p>
        </w:tc>
      </w:tr>
      <w:tr w:rsidR="00260269" w:rsidRPr="00CD2ADD" w14:paraId="51E12F71" w14:textId="77777777" w:rsidTr="00260269">
        <w:trPr>
          <w:trHeight w:val="920"/>
        </w:trPr>
        <w:tc>
          <w:tcPr>
            <w:cnfStyle w:val="001000000000" w:firstRow="0" w:lastRow="0" w:firstColumn="1" w:lastColumn="0" w:oddVBand="0" w:evenVBand="0" w:oddHBand="0" w:evenHBand="0" w:firstRowFirstColumn="0" w:firstRowLastColumn="0" w:lastRowFirstColumn="0" w:lastRowLastColumn="0"/>
            <w:tcW w:w="0" w:type="auto"/>
            <w:hideMark/>
          </w:tcPr>
          <w:p w14:paraId="7C9DD795" w14:textId="77777777" w:rsidR="008624BC" w:rsidRPr="00CD2ADD" w:rsidRDefault="008624BC" w:rsidP="008624BC">
            <w:pPr>
              <w:rPr>
                <w:sz w:val="21"/>
                <w:szCs w:val="21"/>
              </w:rPr>
            </w:pPr>
            <w:r w:rsidRPr="00CD2ADD">
              <w:rPr>
                <w:sz w:val="21"/>
                <w:szCs w:val="21"/>
              </w:rPr>
              <w:t>Grindină combinată cu precipitații și vânt</w:t>
            </w:r>
          </w:p>
        </w:tc>
        <w:tc>
          <w:tcPr>
            <w:tcW w:w="0" w:type="auto"/>
            <w:hideMark/>
          </w:tcPr>
          <w:p w14:paraId="4E64764D" w14:textId="77777777" w:rsidR="008624BC" w:rsidRPr="00CD2ADD" w:rsidRDefault="008624BC" w:rsidP="008624BC">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Lipsa protecției culturilor agricole</w:t>
            </w:r>
            <w:r w:rsidRPr="00CD2ADD">
              <w:rPr>
                <w:sz w:val="21"/>
                <w:szCs w:val="21"/>
              </w:rPr>
              <w:br/>
              <w:t>- Lipsa polițelor de asigurare</w:t>
            </w:r>
          </w:p>
        </w:tc>
        <w:tc>
          <w:tcPr>
            <w:tcW w:w="0" w:type="auto"/>
            <w:hideMark/>
          </w:tcPr>
          <w:p w14:paraId="7F1B3585" w14:textId="77777777" w:rsidR="008624BC" w:rsidRPr="00CD2ADD" w:rsidRDefault="008624BC" w:rsidP="008624BC">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Stimularea asigurărilor agricole</w:t>
            </w:r>
            <w:r w:rsidRPr="00CD2ADD">
              <w:rPr>
                <w:sz w:val="21"/>
                <w:szCs w:val="21"/>
              </w:rPr>
              <w:br/>
              <w:t>- Sisteme de protecție mecanică pentru culturi sensibile</w:t>
            </w:r>
          </w:p>
        </w:tc>
      </w:tr>
      <w:tr w:rsidR="00260269" w:rsidRPr="00CD2ADD" w14:paraId="3E626664" w14:textId="77777777" w:rsidTr="00260269">
        <w:trPr>
          <w:trHeight w:val="1372"/>
        </w:trPr>
        <w:tc>
          <w:tcPr>
            <w:cnfStyle w:val="001000000000" w:firstRow="0" w:lastRow="0" w:firstColumn="1" w:lastColumn="0" w:oddVBand="0" w:evenVBand="0" w:oddHBand="0" w:evenHBand="0" w:firstRowFirstColumn="0" w:firstRowLastColumn="0" w:lastRowFirstColumn="0" w:lastRowLastColumn="0"/>
            <w:tcW w:w="0" w:type="auto"/>
            <w:hideMark/>
          </w:tcPr>
          <w:p w14:paraId="46E5F344" w14:textId="77777777" w:rsidR="008624BC" w:rsidRPr="00CD2ADD" w:rsidRDefault="008624BC" w:rsidP="008624BC">
            <w:pPr>
              <w:rPr>
                <w:sz w:val="21"/>
                <w:szCs w:val="21"/>
              </w:rPr>
            </w:pPr>
            <w:r w:rsidRPr="00CD2ADD">
              <w:rPr>
                <w:sz w:val="21"/>
                <w:szCs w:val="21"/>
              </w:rPr>
              <w:t>Lipsa avertizării și reacției rapide</w:t>
            </w:r>
          </w:p>
        </w:tc>
        <w:tc>
          <w:tcPr>
            <w:tcW w:w="0" w:type="auto"/>
            <w:hideMark/>
          </w:tcPr>
          <w:p w14:paraId="7EB26326" w14:textId="75841C12" w:rsidR="008624BC" w:rsidRPr="00CD2ADD" w:rsidRDefault="008624BC" w:rsidP="008624BC">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Lipsa sistemului integrat/multi-hazard de alertă</w:t>
            </w:r>
            <w:r w:rsidRPr="00CD2ADD">
              <w:rPr>
                <w:sz w:val="21"/>
                <w:szCs w:val="21"/>
              </w:rPr>
              <w:br/>
              <w:t>- Capacitate slabă de intervenție locală</w:t>
            </w:r>
          </w:p>
        </w:tc>
        <w:tc>
          <w:tcPr>
            <w:tcW w:w="0" w:type="auto"/>
            <w:hideMark/>
          </w:tcPr>
          <w:p w14:paraId="77050174" w14:textId="77777777" w:rsidR="008624BC" w:rsidRPr="00CD2ADD" w:rsidRDefault="008624BC" w:rsidP="008624BC">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Dezvoltarea unui sistem de avertizare multi-hazard</w:t>
            </w:r>
          </w:p>
          <w:p w14:paraId="1C9294C7" w14:textId="6835E7A8" w:rsidR="008624BC" w:rsidRPr="00CD2ADD" w:rsidRDefault="008624BC" w:rsidP="008624BC">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br/>
              <w:t>- Instruirea autorităților și comunităților</w:t>
            </w:r>
          </w:p>
        </w:tc>
      </w:tr>
    </w:tbl>
    <w:p w14:paraId="0C7F5885" w14:textId="77777777" w:rsidR="00EA0BE8" w:rsidRPr="00CD2ADD" w:rsidRDefault="00EA0BE8" w:rsidP="003F7138">
      <w:pPr>
        <w:spacing w:after="120"/>
        <w:jc w:val="both"/>
        <w:rPr>
          <w:color w:val="000000" w:themeColor="text1"/>
          <w:sz w:val="22"/>
          <w:szCs w:val="22"/>
          <w:lang w:eastAsia="en-US"/>
        </w:rPr>
      </w:pPr>
    </w:p>
    <w:p w14:paraId="311B8721" w14:textId="35CC3009" w:rsidR="005B7D04" w:rsidRPr="00CD2ADD" w:rsidRDefault="005B7D04" w:rsidP="00590E37">
      <w:pPr>
        <w:pStyle w:val="Heading3"/>
        <w:spacing w:before="0"/>
        <w:jc w:val="center"/>
        <w:rPr>
          <w:rFonts w:ascii="Times New Roman" w:hAnsi="Times New Roman" w:cs="Times New Roman"/>
          <w:b/>
          <w:bCs w:val="0"/>
          <w:color w:val="000000" w:themeColor="text1"/>
        </w:rPr>
      </w:pPr>
      <w:r w:rsidRPr="00CD2ADD">
        <w:rPr>
          <w:rFonts w:ascii="Times New Roman" w:hAnsi="Times New Roman" w:cs="Times New Roman"/>
          <w:b/>
          <w:bCs w:val="0"/>
          <w:color w:val="000000" w:themeColor="text1"/>
        </w:rPr>
        <w:t>Subsecțiunea a 4-a</w:t>
      </w:r>
    </w:p>
    <w:p w14:paraId="4FC9DA11" w14:textId="218667E4" w:rsidR="00C212BE" w:rsidRPr="00CD2ADD" w:rsidRDefault="005B7D04" w:rsidP="00590E37">
      <w:pPr>
        <w:pStyle w:val="Heading3"/>
        <w:spacing w:before="0"/>
        <w:jc w:val="center"/>
        <w:rPr>
          <w:rFonts w:ascii="Times New Roman" w:hAnsi="Times New Roman" w:cs="Times New Roman"/>
          <w:b/>
          <w:bCs w:val="0"/>
          <w:color w:val="000000" w:themeColor="text1"/>
        </w:rPr>
      </w:pPr>
      <w:r w:rsidRPr="00CD2ADD">
        <w:rPr>
          <w:rFonts w:ascii="Times New Roman" w:hAnsi="Times New Roman" w:cs="Times New Roman"/>
          <w:b/>
          <w:bCs w:val="0"/>
          <w:color w:val="000000" w:themeColor="text1"/>
        </w:rPr>
        <w:t>Temperaturi ridicate, valuri de căldură și arșiță</w:t>
      </w:r>
    </w:p>
    <w:bookmarkEnd w:id="61"/>
    <w:p w14:paraId="1AA72D14" w14:textId="2C883325" w:rsidR="00600706" w:rsidRPr="00CD2ADD" w:rsidRDefault="006209AB">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Conform Serviciului Hidrometeorologic de Stat (SHS), arșița este o perioadă cu temperaturi extrem de ridicate, însoțită adesea de lipsa precipitațiilor și umiditate scăzută, care afectează sever culturile agricole și sănătatea populației. În Republica Moldova, temperaturile maxime de vară de peste 35°C sunt considerate indicatori relevanți pentru apariția valurilor de căldură și arșiță.</w:t>
      </w:r>
      <w:r w:rsidRPr="00CD2ADD">
        <w:rPr>
          <w:rStyle w:val="FootnoteReference"/>
          <w:rFonts w:ascii="Times New Roman" w:hAnsi="Times New Roman" w:cs="Times New Roman"/>
          <w:color w:val="000000" w:themeColor="text1"/>
          <w:sz w:val="24"/>
          <w:szCs w:val="24"/>
        </w:rPr>
        <w:footnoteReference w:id="24"/>
      </w:r>
    </w:p>
    <w:p w14:paraId="3CE3BEED" w14:textId="77777777" w:rsidR="006209AB" w:rsidRPr="00CD2ADD" w:rsidRDefault="006209AB" w:rsidP="00C212BE">
      <w:pPr>
        <w:pStyle w:val="Subtitle"/>
        <w:spacing w:after="0" w:line="240" w:lineRule="auto"/>
        <w:ind w:firstLine="284"/>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 xml:space="preserve">Frecvență și distribuție temporală </w:t>
      </w:r>
    </w:p>
    <w:p w14:paraId="0820545B" w14:textId="0AAC3BCE" w:rsidR="006209AB" w:rsidRPr="00CD2ADD" w:rsidRDefault="006209AB">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Datele istorice arată o tendință clară de creștere a temperaturilor maxime în ultimele decenii. Temperatura maximă absolută înregistrată a fost de 42,4°C în anul 2012 la stația meteorologică Fălești. De asemenea, numărul de zile cu temperaturi ≥35°C a crescut constant în Chișinău, Bălți și Cahul, cu maxime înregistrate în anii 2007, 2012, 2015, 2020 și 2024</w:t>
      </w:r>
      <w:r w:rsidR="00D40975" w:rsidRPr="00CD2ADD">
        <w:rPr>
          <w:rFonts w:ascii="Times New Roman" w:hAnsi="Times New Roman" w:cs="Times New Roman"/>
          <w:color w:val="000000" w:themeColor="text1"/>
          <w:sz w:val="24"/>
          <w:szCs w:val="24"/>
        </w:rPr>
        <w:t xml:space="preserve"> (figura 2</w:t>
      </w:r>
      <w:r w:rsidR="00AD56FC" w:rsidRPr="00CD2ADD">
        <w:rPr>
          <w:rFonts w:ascii="Times New Roman" w:hAnsi="Times New Roman" w:cs="Times New Roman"/>
          <w:color w:val="000000" w:themeColor="text1"/>
          <w:sz w:val="24"/>
          <w:szCs w:val="24"/>
        </w:rPr>
        <w:t>5</w:t>
      </w:r>
      <w:r w:rsidR="00D40975" w:rsidRPr="00CD2ADD">
        <w:rPr>
          <w:rFonts w:ascii="Times New Roman" w:hAnsi="Times New Roman" w:cs="Times New Roman"/>
          <w:color w:val="000000" w:themeColor="text1"/>
          <w:sz w:val="24"/>
          <w:szCs w:val="24"/>
        </w:rPr>
        <w:t>)</w:t>
      </w:r>
      <w:r w:rsidRPr="00CD2ADD">
        <w:rPr>
          <w:rFonts w:ascii="Times New Roman" w:hAnsi="Times New Roman" w:cs="Times New Roman"/>
          <w:color w:val="000000" w:themeColor="text1"/>
          <w:sz w:val="24"/>
          <w:szCs w:val="24"/>
        </w:rPr>
        <w:t>. Anul 2024 a atins un nou vârf cu 40,9°C la Tiraspol, confirmând tendința de intensificare a valurilor de căldură.</w:t>
      </w:r>
    </w:p>
    <w:p w14:paraId="313988C9" w14:textId="5A7B0508" w:rsidR="00690B4F" w:rsidRPr="00CD2ADD" w:rsidRDefault="006209AB" w:rsidP="00C212BE">
      <w:pPr>
        <w:ind w:firstLine="284"/>
        <w:jc w:val="both"/>
        <w:rPr>
          <w:color w:val="000000" w:themeColor="text1"/>
          <w:lang w:eastAsia="en-US"/>
        </w:rPr>
      </w:pPr>
      <w:r w:rsidRPr="00CD2ADD">
        <w:rPr>
          <w:color w:val="000000" w:themeColor="text1"/>
          <w:lang w:eastAsia="en-US"/>
        </w:rPr>
        <w:t>Cele mai frecvente temperaturi extreme au fost înregistrate în zonele de nord și est ale țării – Fălești, Tiraspol, Dubăsari – indicând o expunere crescută în regiunile continentale și agricole. Aceste regiuni sunt și cele mai vulnerabile, datorită dependenței de agricultură, infrastructurii slabe de irigare și a capacităților limitate de adaptare.</w:t>
      </w:r>
    </w:p>
    <w:p w14:paraId="14AF99FD" w14:textId="6355B2F6" w:rsidR="00260269" w:rsidRPr="00CD2ADD" w:rsidRDefault="00260269" w:rsidP="00C212BE">
      <w:pPr>
        <w:spacing w:after="120"/>
        <w:ind w:firstLine="284"/>
        <w:jc w:val="both"/>
        <w:rPr>
          <w:color w:val="000000" w:themeColor="text1"/>
          <w:lang w:eastAsia="en-US"/>
        </w:rPr>
      </w:pPr>
      <w:bookmarkStart w:id="64" w:name="_Toc197960222"/>
      <w:bookmarkStart w:id="65" w:name="_Toc197960493"/>
      <w:r w:rsidRPr="00CD2ADD">
        <w:rPr>
          <w:color w:val="000000" w:themeColor="text1"/>
          <w:lang w:eastAsia="en-US"/>
        </w:rPr>
        <w:t>Graficul de mai jos evidențiază evoluția temperaturii maxime absolute înregistrate anual pe teritoriul Republicii Moldova între 1990 și 2024, indicând o tendință ascendentă semnificativă. Spre deosebire de graficele anterioare focalizate pe Chișinău, Bălți și Cahul, acest grafic oferă o viziune integrată la nivel național, confirmând faptul că episoadele de temperaturi extreme nu sunt fenomene izolate regional, ci reflectă o încălzire sistematică și extinsă, asociată cu schimbările climatice. Linie punctată de tendința subliniază o creștere generală a temperaturilor maxime absolute, cu valori care depășesc frecvent 40°C în ultimul deceniu (figura 2</w:t>
      </w:r>
      <w:r w:rsidR="00AD56FC" w:rsidRPr="00CD2ADD">
        <w:rPr>
          <w:color w:val="000000" w:themeColor="text1"/>
          <w:lang w:eastAsia="en-US"/>
        </w:rPr>
        <w:t>6</w:t>
      </w:r>
      <w:r w:rsidRPr="00CD2ADD">
        <w:rPr>
          <w:color w:val="000000" w:themeColor="text1"/>
          <w:lang w:eastAsia="en-US"/>
        </w:rPr>
        <w:t>).</w:t>
      </w:r>
    </w:p>
    <w:p w14:paraId="2A815EF4" w14:textId="7FBE2798" w:rsidR="00C212BE" w:rsidRPr="00CD2ADD" w:rsidRDefault="00C212BE" w:rsidP="00C212BE">
      <w:pPr>
        <w:spacing w:after="120"/>
        <w:ind w:firstLine="284"/>
        <w:jc w:val="center"/>
        <w:rPr>
          <w:color w:val="000000" w:themeColor="text1"/>
          <w:lang w:eastAsia="en-US"/>
        </w:rPr>
      </w:pPr>
      <w:r w:rsidRPr="00CD2ADD">
        <w:rPr>
          <w:b/>
          <w:bCs/>
          <w:color w:val="000000" w:themeColor="text1"/>
          <w:lang w:eastAsia="en-US"/>
        </w:rPr>
        <w:t>Figura 2</w:t>
      </w:r>
      <w:r w:rsidR="00AD56FC" w:rsidRPr="00CD2ADD">
        <w:rPr>
          <w:b/>
          <w:bCs/>
          <w:color w:val="000000" w:themeColor="text1"/>
          <w:lang w:eastAsia="en-US"/>
        </w:rPr>
        <w:t>5</w:t>
      </w:r>
      <w:r w:rsidRPr="00CD2ADD">
        <w:rPr>
          <w:b/>
          <w:bCs/>
          <w:color w:val="000000" w:themeColor="text1"/>
          <w:lang w:eastAsia="en-US"/>
        </w:rPr>
        <w:t>.</w:t>
      </w:r>
      <w:r w:rsidRPr="00CD2ADD">
        <w:rPr>
          <w:color w:val="000000" w:themeColor="text1"/>
          <w:lang w:eastAsia="en-US"/>
        </w:rPr>
        <w:t xml:space="preserve"> Numărul de zile cu temperatură maximă a aerului </w:t>
      </w:r>
      <w:r w:rsidRPr="00CD2ADD">
        <w:rPr>
          <w:color w:val="000000" w:themeColor="text1"/>
        </w:rPr>
        <w:t>≥35°C</w:t>
      </w:r>
    </w:p>
    <w:bookmarkEnd w:id="64"/>
    <w:bookmarkEnd w:id="65"/>
    <w:p w14:paraId="3DB1851D" w14:textId="77777777" w:rsidR="006209AB" w:rsidRPr="00CD2ADD" w:rsidRDefault="006209AB" w:rsidP="00AD56FC">
      <w:pPr>
        <w:jc w:val="center"/>
        <w:rPr>
          <w:color w:val="000000" w:themeColor="text1"/>
          <w:lang w:eastAsia="en-US"/>
        </w:rPr>
      </w:pPr>
      <w:r w:rsidRPr="00CD2ADD">
        <w:rPr>
          <w:noProof/>
          <w:color w:val="000000" w:themeColor="text1"/>
        </w:rPr>
        <w:lastRenderedPageBreak/>
        <w:drawing>
          <wp:inline distT="0" distB="0" distL="0" distR="0" wp14:anchorId="614B36FA" wp14:editId="741FEE37">
            <wp:extent cx="5816600" cy="2578100"/>
            <wp:effectExtent l="0" t="0" r="12700" b="12700"/>
            <wp:docPr id="604752092" name="Chart 1">
              <a:extLst xmlns:a="http://schemas.openxmlformats.org/drawingml/2006/main">
                <a:ext uri="{FF2B5EF4-FFF2-40B4-BE49-F238E27FC236}">
                  <a16:creationId xmlns:a16="http://schemas.microsoft.com/office/drawing/2014/main" id="{04D19723-E648-1D44-B740-D5F3E95B7A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290AEA8" w14:textId="52F0E36C" w:rsidR="00707A24" w:rsidRPr="00CD2ADD" w:rsidRDefault="006209AB" w:rsidP="00AD56FC">
      <w:pPr>
        <w:jc w:val="center"/>
        <w:rPr>
          <w:i/>
          <w:iCs/>
          <w:color w:val="000000" w:themeColor="text1"/>
          <w:sz w:val="20"/>
          <w:szCs w:val="20"/>
        </w:rPr>
      </w:pPr>
      <w:r w:rsidRPr="00CD2ADD">
        <w:rPr>
          <w:i/>
          <w:iCs/>
          <w:color w:val="000000" w:themeColor="text1"/>
          <w:sz w:val="20"/>
          <w:szCs w:val="20"/>
          <w:lang w:eastAsia="en-US"/>
        </w:rPr>
        <w:t xml:space="preserve">Sursa: </w:t>
      </w:r>
      <w:r w:rsidRPr="00CD2ADD">
        <w:rPr>
          <w:i/>
          <w:iCs/>
          <w:color w:val="000000" w:themeColor="text1"/>
          <w:sz w:val="20"/>
          <w:szCs w:val="20"/>
        </w:rPr>
        <w:t>Date climatice istorice SHS (Chișinău, Bălți, Cahul)</w:t>
      </w:r>
      <w:bookmarkStart w:id="66" w:name="_Toc197960223"/>
      <w:bookmarkStart w:id="67" w:name="_Toc197960494"/>
    </w:p>
    <w:p w14:paraId="10987D0B" w14:textId="77777777" w:rsidR="00AD56FC" w:rsidRPr="00CD2ADD" w:rsidRDefault="00AD56FC" w:rsidP="00AD56FC">
      <w:pPr>
        <w:jc w:val="center"/>
        <w:rPr>
          <w:i/>
          <w:iCs/>
          <w:color w:val="000000" w:themeColor="text1"/>
          <w:sz w:val="22"/>
          <w:szCs w:val="22"/>
        </w:rPr>
      </w:pPr>
    </w:p>
    <w:p w14:paraId="666B6F84" w14:textId="0C28C8BB" w:rsidR="00C212BE" w:rsidRPr="00CD2ADD" w:rsidRDefault="00C212BE" w:rsidP="00C212BE">
      <w:pPr>
        <w:spacing w:after="120"/>
        <w:jc w:val="center"/>
        <w:rPr>
          <w:color w:val="000000" w:themeColor="text1"/>
        </w:rPr>
      </w:pPr>
      <w:r w:rsidRPr="00CD2ADD">
        <w:rPr>
          <w:b/>
          <w:bCs/>
          <w:color w:val="000000" w:themeColor="text1"/>
        </w:rPr>
        <w:t>Figura 2</w:t>
      </w:r>
      <w:r w:rsidR="00AD56FC" w:rsidRPr="00CD2ADD">
        <w:rPr>
          <w:b/>
          <w:bCs/>
          <w:color w:val="000000" w:themeColor="text1"/>
        </w:rPr>
        <w:t>6</w:t>
      </w:r>
      <w:r w:rsidRPr="00CD2ADD">
        <w:rPr>
          <w:b/>
          <w:bCs/>
          <w:color w:val="000000" w:themeColor="text1"/>
        </w:rPr>
        <w:t>.</w:t>
      </w:r>
      <w:r w:rsidRPr="00CD2ADD">
        <w:rPr>
          <w:color w:val="000000" w:themeColor="text1"/>
        </w:rPr>
        <w:t xml:space="preserve"> Temperatura maximă absolută a aerului pe teritoriul țării °С</w:t>
      </w:r>
    </w:p>
    <w:bookmarkEnd w:id="66"/>
    <w:bookmarkEnd w:id="67"/>
    <w:p w14:paraId="7303AA8E" w14:textId="77777777" w:rsidR="006209AB" w:rsidRPr="00CD2ADD" w:rsidRDefault="006209AB" w:rsidP="00AD56FC">
      <w:pPr>
        <w:jc w:val="center"/>
        <w:rPr>
          <w:color w:val="000000" w:themeColor="text1"/>
          <w:lang w:eastAsia="en-US"/>
        </w:rPr>
      </w:pPr>
      <w:r w:rsidRPr="00CD2ADD">
        <w:rPr>
          <w:noProof/>
          <w:color w:val="000000" w:themeColor="text1"/>
        </w:rPr>
        <w:drawing>
          <wp:inline distT="0" distB="0" distL="0" distR="0" wp14:anchorId="2BB3DE7D" wp14:editId="45DC80C7">
            <wp:extent cx="5816600" cy="2501900"/>
            <wp:effectExtent l="0" t="0" r="12700" b="12700"/>
            <wp:docPr id="245727775" name="Chart 1">
              <a:extLst xmlns:a="http://schemas.openxmlformats.org/drawingml/2006/main">
                <a:ext uri="{FF2B5EF4-FFF2-40B4-BE49-F238E27FC236}">
                  <a16:creationId xmlns:a16="http://schemas.microsoft.com/office/drawing/2014/main" id="{6D6648EC-6ECB-36FD-E86E-3A8CC00AA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EB2F016" w14:textId="491F4F99" w:rsidR="006209AB" w:rsidRPr="00CD2ADD" w:rsidRDefault="006209AB" w:rsidP="00AD56FC">
      <w:pPr>
        <w:jc w:val="center"/>
        <w:rPr>
          <w:i/>
          <w:iCs/>
          <w:color w:val="000000" w:themeColor="text1"/>
          <w:sz w:val="20"/>
          <w:szCs w:val="20"/>
          <w:lang w:eastAsia="en-US"/>
        </w:rPr>
      </w:pPr>
      <w:r w:rsidRPr="00CD2ADD">
        <w:rPr>
          <w:i/>
          <w:iCs/>
          <w:color w:val="000000" w:themeColor="text1"/>
          <w:sz w:val="20"/>
          <w:szCs w:val="20"/>
          <w:lang w:eastAsia="en-US"/>
        </w:rPr>
        <w:t xml:space="preserve">Sursa: </w:t>
      </w:r>
      <w:r w:rsidRPr="00CD2ADD">
        <w:rPr>
          <w:i/>
          <w:iCs/>
          <w:color w:val="000000" w:themeColor="text1"/>
          <w:sz w:val="20"/>
          <w:szCs w:val="20"/>
        </w:rPr>
        <w:t>Date climatice istorice SHS</w:t>
      </w:r>
    </w:p>
    <w:p w14:paraId="6DFF7E0D" w14:textId="77777777" w:rsidR="006209AB" w:rsidRPr="00CD2ADD" w:rsidRDefault="006209AB" w:rsidP="00B66B8C">
      <w:pPr>
        <w:pStyle w:val="Subtitle"/>
        <w:spacing w:after="0" w:line="240" w:lineRule="auto"/>
        <w:ind w:firstLine="284"/>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 xml:space="preserve">Impact socio-economic </w:t>
      </w:r>
    </w:p>
    <w:p w14:paraId="7D93A6DD" w14:textId="79EEBE56" w:rsidR="006209AB" w:rsidRPr="00CD2ADD" w:rsidRDefault="006209AB">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Deși IGSU a înregistrat doar două situații excepționale cauzate de arșiță în perioada 2010–2024, cu o pagubă totală de circa 284</w:t>
      </w:r>
      <w:r w:rsidR="00CF7871" w:rsidRPr="00CD2ADD">
        <w:rPr>
          <w:rFonts w:ascii="Times New Roman" w:hAnsi="Times New Roman" w:cs="Times New Roman"/>
          <w:color w:val="000000" w:themeColor="text1"/>
          <w:sz w:val="24"/>
          <w:szCs w:val="24"/>
        </w:rPr>
        <w:t xml:space="preserve">,650 </w:t>
      </w:r>
      <w:r w:rsidRPr="00CD2ADD">
        <w:rPr>
          <w:rFonts w:ascii="Times New Roman" w:hAnsi="Times New Roman" w:cs="Times New Roman"/>
          <w:color w:val="000000" w:themeColor="text1"/>
          <w:sz w:val="24"/>
          <w:szCs w:val="24"/>
        </w:rPr>
        <w:t>mii lei</w:t>
      </w:r>
      <w:r w:rsidRPr="00CD2ADD">
        <w:rPr>
          <w:rStyle w:val="FootnoteReference"/>
          <w:rFonts w:ascii="Times New Roman" w:hAnsi="Times New Roman" w:cs="Times New Roman"/>
          <w:color w:val="000000" w:themeColor="text1"/>
          <w:sz w:val="24"/>
          <w:szCs w:val="24"/>
        </w:rPr>
        <w:footnoteReference w:id="25"/>
      </w:r>
      <w:r w:rsidRPr="00CD2ADD">
        <w:rPr>
          <w:rFonts w:ascii="Times New Roman" w:hAnsi="Times New Roman" w:cs="Times New Roman"/>
          <w:color w:val="000000" w:themeColor="text1"/>
          <w:sz w:val="24"/>
          <w:szCs w:val="24"/>
        </w:rPr>
        <w:t>, impactul real este probabil mult mai mare, fiind adesea sub-raportat. Valurile de căldură afectează randamentul culturilor agricole, în special la porumb, floarea-soarelui și legume, dar și sănătatea populației – în special vârstnicii și persoanele cu afecțiuni respiratorii și cardiovasculare.</w:t>
      </w:r>
    </w:p>
    <w:p w14:paraId="24756D17" w14:textId="4124502D" w:rsidR="006209AB" w:rsidRPr="00CD2ADD" w:rsidRDefault="006209AB" w:rsidP="00C212BE">
      <w:pPr>
        <w:pStyle w:val="Subtitle"/>
        <w:spacing w:after="0" w:line="240" w:lineRule="auto"/>
        <w:ind w:firstLine="284"/>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Vulnerabilitate</w:t>
      </w:r>
      <w:r w:rsidR="00260269" w:rsidRPr="00CD2ADD">
        <w:rPr>
          <w:rStyle w:val="IntenseEmphasis"/>
          <w:rFonts w:ascii="Times New Roman" w:hAnsi="Times New Roman" w:cs="Times New Roman"/>
          <w:color w:val="000000" w:themeColor="text1"/>
          <w:sz w:val="24"/>
        </w:rPr>
        <w:t>, expunere</w:t>
      </w:r>
      <w:r w:rsidRPr="00CD2ADD">
        <w:rPr>
          <w:rStyle w:val="IntenseEmphasis"/>
          <w:rFonts w:ascii="Times New Roman" w:hAnsi="Times New Roman" w:cs="Times New Roman"/>
          <w:color w:val="000000" w:themeColor="text1"/>
          <w:sz w:val="24"/>
        </w:rPr>
        <w:t xml:space="preserve"> și capacitate de adaptare </w:t>
      </w:r>
    </w:p>
    <w:p w14:paraId="1CC6B90F" w14:textId="3DA37EB5" w:rsidR="00A854F6" w:rsidRPr="00CD2ADD" w:rsidRDefault="00A854F6">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Temperaturile ridicate, arșița și valurile de căldură afectează direct bunăstarea populației și performanța infrastructurii critice din Republica Moldova. Zonele rurale sunt în mod particular vulnerabile, în special comunitățile dependente de agricultură, unde lipsa sistemelor moderne de irigare și absența unor mecanisme funcționale de compensare agricolă reduc semnificativ capacitatea de răspuns. În mediul urban, spațiile publice slab adaptate, cum ar fi lipsa zonelor de umbrire sau a infrastructurii verzi, amplifică efectele valurilor de căldură asupra populației vulnerabile (vârstnici, copii, persoane cu boli cronice).</w:t>
      </w:r>
    </w:p>
    <w:p w14:paraId="5859420C" w14:textId="25FB8036" w:rsidR="00D22D1B" w:rsidRPr="00CD2ADD" w:rsidRDefault="00D22D1B" w:rsidP="00C212BE">
      <w:pPr>
        <w:ind w:firstLine="284"/>
        <w:jc w:val="both"/>
        <w:rPr>
          <w:color w:val="000000" w:themeColor="text1"/>
          <w:lang w:eastAsia="en-US"/>
        </w:rPr>
      </w:pPr>
      <w:r w:rsidRPr="00CD2ADD">
        <w:rPr>
          <w:color w:val="000000" w:themeColor="text1"/>
          <w:lang w:eastAsia="en-US"/>
        </w:rPr>
        <w:lastRenderedPageBreak/>
        <w:t>Pe lângă aceste categorii, valurile de căldură afectează în mod disproporționat femeile, fetele</w:t>
      </w:r>
      <w:r w:rsidR="00C73353" w:rsidRPr="00CD2ADD">
        <w:rPr>
          <w:color w:val="000000" w:themeColor="text1"/>
          <w:lang w:eastAsia="en-US"/>
        </w:rPr>
        <w:t xml:space="preserve">, </w:t>
      </w:r>
      <w:r w:rsidRPr="00CD2ADD">
        <w:rPr>
          <w:color w:val="000000" w:themeColor="text1"/>
          <w:lang w:eastAsia="en-US"/>
        </w:rPr>
        <w:t>în special cele însărcinate și cu dizabilități precum și persoanele vârstnice. Acestea se confruntă cu o sensibilitate fiziologică crescută la temperaturi extreme și cu un acces limitat la locuințe adecvat ventilate, îngrijire medicală de urgență sau servicii sociale de sprijin. Valurile de căldură pot agrava riscurile de sarcină, pot compromite sănătatea neonatală și pot declanșa crize în rândul persoanelor cu boli cronice. Este esențial ca aceste grupuri să fie vizate explicit în măsurile de prevenție, avertizare timpurie, infrastructură adaptată și sprijin comunitar.</w:t>
      </w:r>
      <w:r w:rsidRPr="00CD2ADD">
        <w:rPr>
          <w:rStyle w:val="FootnoteReference"/>
          <w:color w:val="000000" w:themeColor="text1"/>
          <w:lang w:eastAsia="en-US"/>
        </w:rPr>
        <w:footnoteReference w:id="26"/>
      </w:r>
    </w:p>
    <w:p w14:paraId="7DCD3944" w14:textId="19AEED76" w:rsidR="00A854F6" w:rsidRPr="00CD2ADD" w:rsidRDefault="00A854F6" w:rsidP="00C212BE">
      <w:pPr>
        <w:ind w:firstLine="284"/>
        <w:jc w:val="both"/>
        <w:rPr>
          <w:color w:val="000000" w:themeColor="text1"/>
          <w:lang w:eastAsia="en-US"/>
        </w:rPr>
      </w:pPr>
      <w:r w:rsidRPr="00CD2ADD">
        <w:rPr>
          <w:color w:val="000000" w:themeColor="text1"/>
          <w:lang w:eastAsia="en-US"/>
        </w:rPr>
        <w:t>Infrastructura energetică este, de asemenea, expusă: în perioadele caniculare, creșterea consumului de energie electrică pentru climatizare poate duce la suprasolicitarea rețelelor și întreruperi de alimentare. Lipsa unui sistem național integrat de avertizare timpurie pentru valuri de căldură, precum și insuficiența datelor meteorologice locale detaliate, limitează capacitatea de reacție rapidă a autorităților.</w:t>
      </w:r>
    </w:p>
    <w:p w14:paraId="15B6C9B8" w14:textId="3F26ED26" w:rsidR="00A854F6" w:rsidRPr="00CD2ADD" w:rsidRDefault="00A854F6" w:rsidP="00C212BE">
      <w:pPr>
        <w:spacing w:after="120"/>
        <w:ind w:firstLine="284"/>
        <w:jc w:val="both"/>
        <w:rPr>
          <w:color w:val="000000" w:themeColor="text1"/>
          <w:lang w:eastAsia="en-US"/>
        </w:rPr>
      </w:pPr>
      <w:r w:rsidRPr="00CD2ADD">
        <w:rPr>
          <w:color w:val="000000" w:themeColor="text1"/>
          <w:lang w:eastAsia="en-US"/>
        </w:rPr>
        <w:t>Deși există inițiative locale punctuale, precum plantarea de arbori sau campanii de informare, o strategie națională coerentă pentru reducerea riscurilor asociate temperaturilor extreme și pentru consolidarea capacității de adaptare la arșiță rămâne o nevoie urgentă. Proiecțiile climatice IPCC și datele SHS indică o intensificare a acestor fenomene, atât ca frecvență cât și ca durată, ceea ce impune integrarea lor explicită în politicile sectoriale de adaptare și în planurile locale de acțiune.</w:t>
      </w:r>
      <w:r w:rsidRPr="00CD2ADD">
        <w:rPr>
          <w:rStyle w:val="FootnoteReference"/>
          <w:color w:val="000000" w:themeColor="text1"/>
          <w:lang w:eastAsia="en-US"/>
        </w:rPr>
        <w:t xml:space="preserve"> </w:t>
      </w:r>
      <w:r w:rsidRPr="00CD2ADD">
        <w:rPr>
          <w:rStyle w:val="FootnoteReference"/>
          <w:color w:val="000000" w:themeColor="text1"/>
          <w:lang w:eastAsia="en-US"/>
        </w:rPr>
        <w:footnoteReference w:id="27"/>
      </w:r>
    </w:p>
    <w:p w14:paraId="7823E013" w14:textId="1FD6D58E" w:rsidR="00CD2ADD" w:rsidRPr="00CD2ADD" w:rsidRDefault="00CD2ADD" w:rsidP="00CD2ADD">
      <w:pPr>
        <w:ind w:firstLine="284"/>
        <w:jc w:val="right"/>
        <w:rPr>
          <w:b/>
          <w:bCs/>
          <w:color w:val="000000" w:themeColor="text1"/>
          <w:lang w:eastAsia="en-US"/>
        </w:rPr>
      </w:pPr>
      <w:r w:rsidRPr="00CD2ADD">
        <w:rPr>
          <w:b/>
          <w:bCs/>
          <w:color w:val="000000" w:themeColor="text1"/>
          <w:lang w:eastAsia="en-US"/>
        </w:rPr>
        <w:t>Tabelul 12</w:t>
      </w:r>
    </w:p>
    <w:p w14:paraId="337F1D37" w14:textId="77777777" w:rsidR="00CD2ADD" w:rsidRPr="00CD2ADD" w:rsidRDefault="00260269" w:rsidP="00CD2ADD">
      <w:pPr>
        <w:jc w:val="center"/>
        <w:rPr>
          <w:rStyle w:val="IntenseEmphasis"/>
          <w:i w:val="0"/>
          <w:iCs w:val="0"/>
          <w:color w:val="000000" w:themeColor="text1"/>
          <w:lang w:eastAsia="en-US"/>
        </w:rPr>
      </w:pPr>
      <w:r w:rsidRPr="00CD2ADD">
        <w:rPr>
          <w:rStyle w:val="IntenseEmphasis"/>
          <w:i w:val="0"/>
          <w:iCs w:val="0"/>
          <w:color w:val="000000" w:themeColor="text1"/>
          <w:lang w:eastAsia="en-US"/>
        </w:rPr>
        <w:t xml:space="preserve">Măsuri recomandate pentru reducerea riscului de temperaturi </w:t>
      </w:r>
    </w:p>
    <w:p w14:paraId="316355D7" w14:textId="0B1B5B02" w:rsidR="00260269" w:rsidRPr="00CD2ADD" w:rsidRDefault="00260269" w:rsidP="00CD2ADD">
      <w:pPr>
        <w:jc w:val="center"/>
        <w:rPr>
          <w:rStyle w:val="IntenseEmphasis"/>
          <w:i w:val="0"/>
          <w:iCs w:val="0"/>
          <w:color w:val="000000" w:themeColor="text1"/>
          <w:lang w:eastAsia="en-US"/>
        </w:rPr>
      </w:pPr>
      <w:r w:rsidRPr="00CD2ADD">
        <w:rPr>
          <w:rStyle w:val="IntenseEmphasis"/>
          <w:i w:val="0"/>
          <w:iCs w:val="0"/>
          <w:color w:val="000000" w:themeColor="text1"/>
          <w:lang w:eastAsia="en-US"/>
        </w:rPr>
        <w:t>ridicate, valuri de căldura, arșiță</w:t>
      </w:r>
    </w:p>
    <w:tbl>
      <w:tblPr>
        <w:tblStyle w:val="GridTable1Light-Accent41"/>
        <w:tblW w:w="9848" w:type="dxa"/>
        <w:tblLook w:val="04A0" w:firstRow="1" w:lastRow="0" w:firstColumn="1" w:lastColumn="0" w:noHBand="0" w:noVBand="1"/>
      </w:tblPr>
      <w:tblGrid>
        <w:gridCol w:w="2122"/>
        <w:gridCol w:w="2835"/>
        <w:gridCol w:w="4891"/>
      </w:tblGrid>
      <w:tr w:rsidR="00206E17" w:rsidRPr="00CD2ADD" w14:paraId="0D6FA6DE" w14:textId="77777777" w:rsidTr="00B66B8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22" w:type="dxa"/>
            <w:hideMark/>
          </w:tcPr>
          <w:p w14:paraId="653256EA" w14:textId="77777777" w:rsidR="00206E17" w:rsidRPr="00CD2ADD" w:rsidRDefault="00206E17" w:rsidP="00206E17">
            <w:pPr>
              <w:rPr>
                <w:sz w:val="21"/>
                <w:szCs w:val="21"/>
              </w:rPr>
            </w:pPr>
            <w:r w:rsidRPr="00CD2ADD">
              <w:rPr>
                <w:sz w:val="21"/>
                <w:szCs w:val="21"/>
              </w:rPr>
              <w:t>Riscuri climatice</w:t>
            </w:r>
          </w:p>
        </w:tc>
        <w:tc>
          <w:tcPr>
            <w:tcW w:w="2835" w:type="dxa"/>
            <w:hideMark/>
          </w:tcPr>
          <w:p w14:paraId="573D2B2B" w14:textId="77777777" w:rsidR="00206E17" w:rsidRPr="00CD2ADD" w:rsidRDefault="00206E17" w:rsidP="00206E17">
            <w:pPr>
              <w:cnfStyle w:val="100000000000" w:firstRow="1" w:lastRow="0" w:firstColumn="0" w:lastColumn="0" w:oddVBand="0" w:evenVBand="0" w:oddHBand="0" w:evenHBand="0" w:firstRowFirstColumn="0" w:firstRowLastColumn="0" w:lastRowFirstColumn="0" w:lastRowLastColumn="0"/>
              <w:rPr>
                <w:sz w:val="21"/>
                <w:szCs w:val="21"/>
              </w:rPr>
            </w:pPr>
            <w:r w:rsidRPr="00CD2ADD">
              <w:rPr>
                <w:sz w:val="21"/>
                <w:szCs w:val="21"/>
              </w:rPr>
              <w:t>Vulnerabilități identificate</w:t>
            </w:r>
          </w:p>
        </w:tc>
        <w:tc>
          <w:tcPr>
            <w:tcW w:w="4891" w:type="dxa"/>
            <w:hideMark/>
          </w:tcPr>
          <w:p w14:paraId="60ADFA7E" w14:textId="79C4A00F" w:rsidR="00206E17" w:rsidRPr="00CD2ADD" w:rsidRDefault="00206E17" w:rsidP="00206E17">
            <w:pPr>
              <w:cnfStyle w:val="100000000000" w:firstRow="1" w:lastRow="0" w:firstColumn="0" w:lastColumn="0" w:oddVBand="0" w:evenVBand="0" w:oddHBand="0" w:evenHBand="0" w:firstRowFirstColumn="0" w:firstRowLastColumn="0" w:lastRowFirstColumn="0" w:lastRowLastColumn="0"/>
              <w:rPr>
                <w:sz w:val="21"/>
                <w:szCs w:val="21"/>
              </w:rPr>
            </w:pPr>
            <w:r w:rsidRPr="00CD2ADD">
              <w:rPr>
                <w:sz w:val="21"/>
                <w:szCs w:val="21"/>
              </w:rPr>
              <w:t>Măsuri RRD</w:t>
            </w:r>
            <w:r w:rsidR="00600181" w:rsidRPr="00CD2ADD">
              <w:rPr>
                <w:sz w:val="21"/>
                <w:szCs w:val="21"/>
              </w:rPr>
              <w:t>N</w:t>
            </w:r>
            <w:r w:rsidRPr="00CD2ADD">
              <w:rPr>
                <w:sz w:val="21"/>
                <w:szCs w:val="21"/>
              </w:rPr>
              <w:t xml:space="preserve"> și de adaptare recomandate</w:t>
            </w:r>
          </w:p>
        </w:tc>
      </w:tr>
      <w:tr w:rsidR="00206E17" w:rsidRPr="00CD2ADD" w14:paraId="6E3C9A39" w14:textId="77777777" w:rsidTr="00B66B8C">
        <w:trPr>
          <w:trHeight w:val="718"/>
        </w:trPr>
        <w:tc>
          <w:tcPr>
            <w:cnfStyle w:val="001000000000" w:firstRow="0" w:lastRow="0" w:firstColumn="1" w:lastColumn="0" w:oddVBand="0" w:evenVBand="0" w:oddHBand="0" w:evenHBand="0" w:firstRowFirstColumn="0" w:firstRowLastColumn="0" w:lastRowFirstColumn="0" w:lastRowLastColumn="0"/>
            <w:tcW w:w="2122" w:type="dxa"/>
            <w:hideMark/>
          </w:tcPr>
          <w:p w14:paraId="0F614621" w14:textId="77777777" w:rsidR="00206E17" w:rsidRPr="00CD2ADD" w:rsidRDefault="00206E17" w:rsidP="00206E17">
            <w:pPr>
              <w:rPr>
                <w:sz w:val="21"/>
                <w:szCs w:val="21"/>
              </w:rPr>
            </w:pPr>
            <w:r w:rsidRPr="00CD2ADD">
              <w:rPr>
                <w:sz w:val="21"/>
                <w:szCs w:val="21"/>
              </w:rPr>
              <w:t>Valuri de căldură în spațiul urban</w:t>
            </w:r>
          </w:p>
        </w:tc>
        <w:tc>
          <w:tcPr>
            <w:tcW w:w="2835" w:type="dxa"/>
            <w:hideMark/>
          </w:tcPr>
          <w:p w14:paraId="21CC0B4D" w14:textId="77777777" w:rsidR="00206E17" w:rsidRPr="00CD2ADD" w:rsidRDefault="00206E17" w:rsidP="00206E17">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Lipsa zonelor de umbrire</w:t>
            </w:r>
            <w:r w:rsidRPr="00CD2ADD">
              <w:rPr>
                <w:sz w:val="21"/>
                <w:szCs w:val="21"/>
              </w:rPr>
              <w:br/>
              <w:t>- Suprafețe urbane cu efect de insulă termică</w:t>
            </w:r>
          </w:p>
        </w:tc>
        <w:tc>
          <w:tcPr>
            <w:tcW w:w="4891" w:type="dxa"/>
            <w:hideMark/>
          </w:tcPr>
          <w:p w14:paraId="2BDA3C00" w14:textId="2EE21FC9" w:rsidR="00206E17" w:rsidRPr="00CD2ADD" w:rsidRDefault="00206E17" w:rsidP="00206E17">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Extinderea infrastructurii verzi urbane i.e. pereți/acoperișuri verzi</w:t>
            </w:r>
            <w:r w:rsidRPr="00CD2ADD">
              <w:rPr>
                <w:sz w:val="21"/>
                <w:szCs w:val="21"/>
              </w:rPr>
              <w:br/>
              <w:t>- Mobilier urban adaptat i.e. fântâni, copertine</w:t>
            </w:r>
          </w:p>
        </w:tc>
      </w:tr>
      <w:tr w:rsidR="00206E17" w:rsidRPr="00CD2ADD" w14:paraId="3FD537EC" w14:textId="77777777" w:rsidTr="00B66B8C">
        <w:trPr>
          <w:trHeight w:val="862"/>
        </w:trPr>
        <w:tc>
          <w:tcPr>
            <w:cnfStyle w:val="001000000000" w:firstRow="0" w:lastRow="0" w:firstColumn="1" w:lastColumn="0" w:oddVBand="0" w:evenVBand="0" w:oddHBand="0" w:evenHBand="0" w:firstRowFirstColumn="0" w:firstRowLastColumn="0" w:lastRowFirstColumn="0" w:lastRowLastColumn="0"/>
            <w:tcW w:w="2122" w:type="dxa"/>
            <w:hideMark/>
          </w:tcPr>
          <w:p w14:paraId="25F56ED3" w14:textId="77777777" w:rsidR="00206E17" w:rsidRPr="00CD2ADD" w:rsidRDefault="00206E17" w:rsidP="00206E17">
            <w:pPr>
              <w:rPr>
                <w:sz w:val="21"/>
                <w:szCs w:val="21"/>
              </w:rPr>
            </w:pPr>
            <w:r w:rsidRPr="00CD2ADD">
              <w:rPr>
                <w:sz w:val="21"/>
                <w:szCs w:val="21"/>
              </w:rPr>
              <w:t>Arșiță și temperaturi extreme în agricultură</w:t>
            </w:r>
          </w:p>
        </w:tc>
        <w:tc>
          <w:tcPr>
            <w:tcW w:w="2835" w:type="dxa"/>
            <w:hideMark/>
          </w:tcPr>
          <w:p w14:paraId="53A960B4" w14:textId="77777777" w:rsidR="00206E17" w:rsidRPr="00CD2ADD" w:rsidRDefault="00206E17" w:rsidP="00206E17">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Lipsa sistemelor de irigare</w:t>
            </w:r>
            <w:r w:rsidRPr="00CD2ADD">
              <w:rPr>
                <w:sz w:val="21"/>
                <w:szCs w:val="21"/>
              </w:rPr>
              <w:br/>
              <w:t>- Monoculturi sensibile la stres termic</w:t>
            </w:r>
          </w:p>
        </w:tc>
        <w:tc>
          <w:tcPr>
            <w:tcW w:w="4891" w:type="dxa"/>
            <w:hideMark/>
          </w:tcPr>
          <w:p w14:paraId="23EFC13E" w14:textId="7D8CD8CA" w:rsidR="00206E17" w:rsidRPr="00CD2ADD" w:rsidRDefault="00206E17" w:rsidP="00206E17">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S</w:t>
            </w:r>
            <w:r w:rsidR="00640E41" w:rsidRPr="00CD2ADD">
              <w:rPr>
                <w:sz w:val="21"/>
                <w:szCs w:val="21"/>
              </w:rPr>
              <w:t xml:space="preserve">timulente </w:t>
            </w:r>
            <w:r w:rsidRPr="00CD2ADD">
              <w:rPr>
                <w:sz w:val="21"/>
                <w:szCs w:val="21"/>
              </w:rPr>
              <w:t>pentru irigare eficientă</w:t>
            </w:r>
            <w:r w:rsidRPr="00CD2ADD">
              <w:rPr>
                <w:sz w:val="21"/>
                <w:szCs w:val="21"/>
              </w:rPr>
              <w:br/>
              <w:t xml:space="preserve">- Promovarea culturilor </w:t>
            </w:r>
            <w:r w:rsidR="00FD18FF" w:rsidRPr="00CD2ADD">
              <w:rPr>
                <w:sz w:val="21"/>
                <w:szCs w:val="21"/>
              </w:rPr>
              <w:t>tolerante</w:t>
            </w:r>
            <w:r w:rsidRPr="00CD2ADD">
              <w:rPr>
                <w:sz w:val="21"/>
                <w:szCs w:val="21"/>
              </w:rPr>
              <w:t xml:space="preserve"> la căldură</w:t>
            </w:r>
          </w:p>
        </w:tc>
      </w:tr>
      <w:tr w:rsidR="00206E17" w:rsidRPr="00CD2ADD" w14:paraId="59B3F600" w14:textId="77777777" w:rsidTr="00B66B8C">
        <w:trPr>
          <w:trHeight w:val="1405"/>
        </w:trPr>
        <w:tc>
          <w:tcPr>
            <w:cnfStyle w:val="001000000000" w:firstRow="0" w:lastRow="0" w:firstColumn="1" w:lastColumn="0" w:oddVBand="0" w:evenVBand="0" w:oddHBand="0" w:evenHBand="0" w:firstRowFirstColumn="0" w:firstRowLastColumn="0" w:lastRowFirstColumn="0" w:lastRowLastColumn="0"/>
            <w:tcW w:w="2122" w:type="dxa"/>
            <w:hideMark/>
          </w:tcPr>
          <w:p w14:paraId="71CF2EC0" w14:textId="77777777" w:rsidR="00206E17" w:rsidRPr="00CD2ADD" w:rsidRDefault="00206E17" w:rsidP="00206E17">
            <w:pPr>
              <w:rPr>
                <w:sz w:val="21"/>
                <w:szCs w:val="21"/>
              </w:rPr>
            </w:pPr>
            <w:r w:rsidRPr="00CD2ADD">
              <w:rPr>
                <w:sz w:val="21"/>
                <w:szCs w:val="21"/>
              </w:rPr>
              <w:t>Suprasolicitarea infrastructurii energetice și de transport</w:t>
            </w:r>
          </w:p>
        </w:tc>
        <w:tc>
          <w:tcPr>
            <w:tcW w:w="2835" w:type="dxa"/>
            <w:hideMark/>
          </w:tcPr>
          <w:p w14:paraId="344169AC" w14:textId="77777777" w:rsidR="00206E17" w:rsidRPr="00CD2ADD" w:rsidRDefault="00206E17" w:rsidP="00206E17">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Vârfuri de consum electric</w:t>
            </w:r>
            <w:r w:rsidRPr="00CD2ADD">
              <w:rPr>
                <w:sz w:val="21"/>
                <w:szCs w:val="21"/>
              </w:rPr>
              <w:br/>
              <w:t>- Infrastructură învechită</w:t>
            </w:r>
            <w:r w:rsidRPr="00CD2ADD">
              <w:rPr>
                <w:sz w:val="21"/>
                <w:szCs w:val="21"/>
              </w:rPr>
              <w:br/>
              <w:t>- Vehicule slab adaptate termic</w:t>
            </w:r>
          </w:p>
        </w:tc>
        <w:tc>
          <w:tcPr>
            <w:tcW w:w="4891" w:type="dxa"/>
            <w:hideMark/>
          </w:tcPr>
          <w:p w14:paraId="32DFC528" w14:textId="4BAA5D9C" w:rsidR="00206E17" w:rsidRPr="00CD2ADD" w:rsidRDefault="00206E17" w:rsidP="00206E17">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Management energetic în timpul valurilor  de căldură</w:t>
            </w:r>
          </w:p>
          <w:p w14:paraId="76ABF6B9" w14:textId="61B1E8D1" w:rsidR="00206E17" w:rsidRPr="00CD2ADD" w:rsidRDefault="00206E17" w:rsidP="00206E17">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Modernizarea vehiculelor și echipamentelor</w:t>
            </w:r>
            <w:r w:rsidR="00AC6481" w:rsidRPr="00CD2ADD">
              <w:rPr>
                <w:sz w:val="21"/>
                <w:szCs w:val="21"/>
              </w:rPr>
              <w:t>, m</w:t>
            </w:r>
            <w:r w:rsidRPr="00CD2ADD">
              <w:rPr>
                <w:sz w:val="21"/>
                <w:szCs w:val="21"/>
              </w:rPr>
              <w:t>entenanță sezonieră adaptată</w:t>
            </w:r>
          </w:p>
          <w:p w14:paraId="4C7FB0F1" w14:textId="3C681662" w:rsidR="00AC6481" w:rsidRPr="00CD2ADD" w:rsidRDefault="00AC6481" w:rsidP="00206E17">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Mentenanța trebuie să includă utilizarea, în cadrul acestor procese, a soluțiilor tehnice și echipamentelor adaptate condițiilor climatice extreme, cum ar fi cele rezistente la ger, polei sau temperaturi foarte ridicate, de exemplu, în cazul liniilor de înaltă tensiune sau al materialului rulant pentru transport.</w:t>
            </w:r>
          </w:p>
        </w:tc>
      </w:tr>
      <w:tr w:rsidR="00206E17" w:rsidRPr="00CD2ADD" w14:paraId="4951804B" w14:textId="77777777" w:rsidTr="00B66B8C">
        <w:trPr>
          <w:trHeight w:val="2400"/>
        </w:trPr>
        <w:tc>
          <w:tcPr>
            <w:cnfStyle w:val="001000000000" w:firstRow="0" w:lastRow="0" w:firstColumn="1" w:lastColumn="0" w:oddVBand="0" w:evenVBand="0" w:oddHBand="0" w:evenHBand="0" w:firstRowFirstColumn="0" w:firstRowLastColumn="0" w:lastRowFirstColumn="0" w:lastRowLastColumn="0"/>
            <w:tcW w:w="2122" w:type="dxa"/>
            <w:hideMark/>
          </w:tcPr>
          <w:p w14:paraId="67F13FC8" w14:textId="77777777" w:rsidR="00206E17" w:rsidRPr="00CD2ADD" w:rsidRDefault="00206E17" w:rsidP="00206E17">
            <w:pPr>
              <w:rPr>
                <w:sz w:val="21"/>
                <w:szCs w:val="21"/>
              </w:rPr>
            </w:pPr>
            <w:r w:rsidRPr="00CD2ADD">
              <w:rPr>
                <w:sz w:val="21"/>
                <w:szCs w:val="21"/>
              </w:rPr>
              <w:t>Impactul asupra sănătății publice</w:t>
            </w:r>
          </w:p>
        </w:tc>
        <w:tc>
          <w:tcPr>
            <w:tcW w:w="2835" w:type="dxa"/>
            <w:hideMark/>
          </w:tcPr>
          <w:p w14:paraId="1F4117BD" w14:textId="356A2E9E" w:rsidR="00FE26DF" w:rsidRPr="00CD2ADD" w:rsidRDefault="00206E17" w:rsidP="00FE26DF">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xml:space="preserve">- </w:t>
            </w:r>
            <w:r w:rsidR="00FE26DF" w:rsidRPr="00CD2ADD">
              <w:rPr>
                <w:sz w:val="21"/>
                <w:szCs w:val="21"/>
              </w:rPr>
              <w:t>Vârstnici, copii, persoane cu boli cronice</w:t>
            </w:r>
          </w:p>
          <w:p w14:paraId="1F387020" w14:textId="37EBEC32" w:rsidR="00FE26DF" w:rsidRPr="00CD2ADD" w:rsidRDefault="00FE26DF" w:rsidP="00FE26DF">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Femei însărcinate, persoane cu dizabilități, acces limitat la servicii SRHR</w:t>
            </w:r>
          </w:p>
          <w:p w14:paraId="2D28B712" w14:textId="6EB86021" w:rsidR="00206E17" w:rsidRPr="00CD2ADD" w:rsidRDefault="00FE26DF" w:rsidP="00206E17">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Spitale și centre sociale slab dotate (ventilație, continuitate energetică)</w:t>
            </w:r>
          </w:p>
        </w:tc>
        <w:tc>
          <w:tcPr>
            <w:tcW w:w="4891" w:type="dxa"/>
            <w:hideMark/>
          </w:tcPr>
          <w:p w14:paraId="49B6AA40" w14:textId="7C18EAA3" w:rsidR="00FE26DF" w:rsidRPr="00CD2ADD" w:rsidRDefault="00206E17" w:rsidP="00FE26DF">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xml:space="preserve">- </w:t>
            </w:r>
            <w:r w:rsidR="00FE26DF" w:rsidRPr="00CD2ADD">
              <w:rPr>
                <w:sz w:val="21"/>
                <w:szCs w:val="21"/>
              </w:rPr>
              <w:t>Sisteme integrate de alertă timpurie pentru riscuri medicale și valuri de căldură</w:t>
            </w:r>
          </w:p>
          <w:p w14:paraId="7FAE3602" w14:textId="7D1CEE5E" w:rsidR="00FE26DF" w:rsidRPr="00CD2ADD" w:rsidRDefault="00FE26DF" w:rsidP="00FE26DF">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Instruirea personalului medical pentru intervenții în situații de stres termic și furnizarea Pachetului Minim de Servicii (MISP)</w:t>
            </w:r>
          </w:p>
          <w:p w14:paraId="0E03F819" w14:textId="75636BD0" w:rsidR="00206E17" w:rsidRPr="00CD2ADD" w:rsidRDefault="00FE26DF" w:rsidP="00206E17">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Adaptarea infrastructurii medicale pentru gestionarea temperaturilor extreme (ventilație, continuitate funcțională)</w:t>
            </w:r>
          </w:p>
        </w:tc>
      </w:tr>
      <w:tr w:rsidR="00206E17" w:rsidRPr="00CD2ADD" w14:paraId="3FF2B4E4" w14:textId="77777777" w:rsidTr="00B66B8C">
        <w:trPr>
          <w:trHeight w:val="1133"/>
        </w:trPr>
        <w:tc>
          <w:tcPr>
            <w:cnfStyle w:val="001000000000" w:firstRow="0" w:lastRow="0" w:firstColumn="1" w:lastColumn="0" w:oddVBand="0" w:evenVBand="0" w:oddHBand="0" w:evenHBand="0" w:firstRowFirstColumn="0" w:firstRowLastColumn="0" w:lastRowFirstColumn="0" w:lastRowLastColumn="0"/>
            <w:tcW w:w="2122" w:type="dxa"/>
            <w:hideMark/>
          </w:tcPr>
          <w:p w14:paraId="56B39356" w14:textId="77777777" w:rsidR="00206E17" w:rsidRPr="00CD2ADD" w:rsidRDefault="00206E17" w:rsidP="00206E17">
            <w:pPr>
              <w:rPr>
                <w:sz w:val="21"/>
                <w:szCs w:val="21"/>
              </w:rPr>
            </w:pPr>
            <w:r w:rsidRPr="00CD2ADD">
              <w:rPr>
                <w:sz w:val="21"/>
                <w:szCs w:val="21"/>
              </w:rPr>
              <w:lastRenderedPageBreak/>
              <w:t>Lipsa coordonării și a acțiunii locale</w:t>
            </w:r>
          </w:p>
        </w:tc>
        <w:tc>
          <w:tcPr>
            <w:tcW w:w="2835" w:type="dxa"/>
            <w:hideMark/>
          </w:tcPr>
          <w:p w14:paraId="42283F21" w14:textId="77777777" w:rsidR="00206E17" w:rsidRPr="00CD2ADD" w:rsidRDefault="00206E17" w:rsidP="00206E17">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Absența planurilor locale pentru caniculă</w:t>
            </w:r>
            <w:r w:rsidRPr="00CD2ADD">
              <w:rPr>
                <w:sz w:val="21"/>
                <w:szCs w:val="21"/>
              </w:rPr>
              <w:br/>
              <w:t>- Lipsa de informare în zone rurale</w:t>
            </w:r>
          </w:p>
        </w:tc>
        <w:tc>
          <w:tcPr>
            <w:tcW w:w="4891" w:type="dxa"/>
            <w:hideMark/>
          </w:tcPr>
          <w:p w14:paraId="1D0ABC9E" w14:textId="77777777" w:rsidR="00206E17" w:rsidRPr="00CD2ADD" w:rsidRDefault="00206E17" w:rsidP="00206E17">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Planuri locale de răspuns la valuri de căldură</w:t>
            </w:r>
            <w:r w:rsidRPr="00CD2ADD">
              <w:rPr>
                <w:sz w:val="21"/>
                <w:szCs w:val="21"/>
              </w:rPr>
              <w:br/>
              <w:t>- Campanii de informare comunitară</w:t>
            </w:r>
          </w:p>
        </w:tc>
      </w:tr>
    </w:tbl>
    <w:p w14:paraId="16278E21" w14:textId="77777777" w:rsidR="00C212BE" w:rsidRPr="00CD2ADD" w:rsidRDefault="00C212BE" w:rsidP="00FC1B5E">
      <w:pPr>
        <w:spacing w:after="120"/>
        <w:jc w:val="both"/>
        <w:rPr>
          <w:sz w:val="22"/>
          <w:szCs w:val="22"/>
          <w:lang w:eastAsia="en-US"/>
        </w:rPr>
      </w:pPr>
    </w:p>
    <w:p w14:paraId="486FAB3E" w14:textId="7D4333CF" w:rsidR="00C212BE" w:rsidRPr="00CD2ADD" w:rsidRDefault="00C212BE" w:rsidP="00590E37">
      <w:pPr>
        <w:pStyle w:val="Heading3"/>
        <w:spacing w:before="0"/>
        <w:jc w:val="center"/>
        <w:rPr>
          <w:rFonts w:ascii="Times New Roman" w:hAnsi="Times New Roman" w:cs="Times New Roman"/>
          <w:b/>
          <w:bCs w:val="0"/>
          <w:color w:val="000000" w:themeColor="text1"/>
        </w:rPr>
      </w:pPr>
      <w:r w:rsidRPr="00CD2ADD">
        <w:rPr>
          <w:rFonts w:ascii="Times New Roman" w:hAnsi="Times New Roman" w:cs="Times New Roman"/>
          <w:b/>
          <w:bCs w:val="0"/>
          <w:color w:val="000000" w:themeColor="text1"/>
        </w:rPr>
        <w:t>Subsecțiunea a 5-a</w:t>
      </w:r>
    </w:p>
    <w:p w14:paraId="71C158FE" w14:textId="6B019D91" w:rsidR="00C212BE" w:rsidRPr="00CD2ADD" w:rsidRDefault="00C212BE" w:rsidP="00590E37">
      <w:pPr>
        <w:pStyle w:val="Heading3"/>
        <w:spacing w:before="0"/>
        <w:jc w:val="center"/>
        <w:rPr>
          <w:rFonts w:ascii="Times New Roman" w:hAnsi="Times New Roman" w:cs="Times New Roman"/>
          <w:b/>
          <w:bCs w:val="0"/>
          <w:color w:val="000000" w:themeColor="text1"/>
        </w:rPr>
      </w:pPr>
      <w:r w:rsidRPr="00CD2ADD">
        <w:rPr>
          <w:rFonts w:ascii="Times New Roman" w:hAnsi="Times New Roman" w:cs="Times New Roman"/>
          <w:b/>
          <w:bCs w:val="0"/>
          <w:color w:val="000000" w:themeColor="text1"/>
        </w:rPr>
        <w:t>Vânturi puternice, vijelii, vârtejuri și furtuni cu descărcări electrice</w:t>
      </w:r>
    </w:p>
    <w:p w14:paraId="0A147A91" w14:textId="61F26466" w:rsidR="008565D0" w:rsidRPr="00CD2ADD" w:rsidRDefault="008565D0">
      <w:pPr>
        <w:pStyle w:val="ListParagraph"/>
        <w:numPr>
          <w:ilvl w:val="0"/>
          <w:numId w:val="42"/>
        </w:numPr>
        <w:spacing w:after="0"/>
        <w:ind w:left="0" w:firstLine="284"/>
        <w:jc w:val="both"/>
        <w:rPr>
          <w:rFonts w:ascii="Times New Roman" w:hAnsi="Times New Roman" w:cs="Times New Roman"/>
          <w:color w:val="000000" w:themeColor="text1"/>
          <w:sz w:val="24"/>
          <w:szCs w:val="24"/>
        </w:rPr>
      </w:pPr>
      <w:bookmarkStart w:id="68" w:name="OLE_LINK34"/>
      <w:r w:rsidRPr="00CD2ADD">
        <w:rPr>
          <w:rFonts w:ascii="Times New Roman" w:hAnsi="Times New Roman" w:cs="Times New Roman"/>
          <w:color w:val="000000" w:themeColor="text1"/>
          <w:sz w:val="24"/>
          <w:szCs w:val="24"/>
        </w:rPr>
        <w:t>Conform SHS, vânturile puternice sunt rafale cu viteze medii de peste 15 m/s, în timp ce vârtejurile (inclusiv tornadele) reprezintă mișcări circulare ale aerului cu intensitate extremă, care pot cauza pagube semnificative. Furtunile însoțite de descărcări electrice (oraje) pot apărea izolat sau în combinație cu grindină, ploi torențiale și rafale de vânt, afectând direct infrastructura, culturile agricole și securitatea populației.</w:t>
      </w:r>
      <w:r w:rsidRPr="00CD2ADD">
        <w:rPr>
          <w:rStyle w:val="FootnoteReference"/>
          <w:rFonts w:ascii="Times New Roman" w:hAnsi="Times New Roman" w:cs="Times New Roman"/>
          <w:color w:val="000000" w:themeColor="text1"/>
          <w:sz w:val="24"/>
          <w:szCs w:val="24"/>
        </w:rPr>
        <w:footnoteReference w:id="28"/>
      </w:r>
    </w:p>
    <w:p w14:paraId="2685469B" w14:textId="77777777" w:rsidR="00E63E05" w:rsidRPr="00CD2ADD" w:rsidRDefault="00E63E05" w:rsidP="00C212BE">
      <w:pPr>
        <w:pStyle w:val="Subtitle"/>
        <w:spacing w:after="0" w:line="240" w:lineRule="auto"/>
        <w:ind w:firstLine="284"/>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 xml:space="preserve">Frecvență și distribuție temporală </w:t>
      </w:r>
    </w:p>
    <w:p w14:paraId="22F713DB" w14:textId="4425C698" w:rsidR="008565D0" w:rsidRPr="00CD2ADD" w:rsidRDefault="008565D0">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 xml:space="preserve">În perioada 2010–2024, au fost raportate </w:t>
      </w:r>
      <w:r w:rsidR="00B807BD" w:rsidRPr="00CD2ADD">
        <w:rPr>
          <w:rFonts w:ascii="Times New Roman" w:hAnsi="Times New Roman" w:cs="Times New Roman"/>
          <w:color w:val="000000" w:themeColor="text1"/>
          <w:sz w:val="24"/>
          <w:szCs w:val="24"/>
        </w:rPr>
        <w:t xml:space="preserve">101 </w:t>
      </w:r>
      <w:r w:rsidRPr="00CD2ADD">
        <w:rPr>
          <w:rFonts w:ascii="Times New Roman" w:hAnsi="Times New Roman" w:cs="Times New Roman"/>
          <w:color w:val="000000" w:themeColor="text1"/>
          <w:sz w:val="24"/>
          <w:szCs w:val="24"/>
        </w:rPr>
        <w:t>de situații excepționale asociate acestor fenomene. Vârfurile de intensitate ale pagubelor s-au înregistrat în 2019</w:t>
      </w:r>
      <w:r w:rsidR="00B807BD" w:rsidRPr="00CD2ADD">
        <w:rPr>
          <w:rFonts w:ascii="Times New Roman" w:hAnsi="Times New Roman" w:cs="Times New Roman"/>
          <w:color w:val="000000" w:themeColor="text1"/>
          <w:sz w:val="24"/>
          <w:szCs w:val="24"/>
        </w:rPr>
        <w:t>,</w:t>
      </w:r>
      <w:r w:rsidRPr="00CD2ADD">
        <w:rPr>
          <w:rFonts w:ascii="Times New Roman" w:hAnsi="Times New Roman" w:cs="Times New Roman"/>
          <w:color w:val="000000" w:themeColor="text1"/>
          <w:sz w:val="24"/>
          <w:szCs w:val="24"/>
        </w:rPr>
        <w:t xml:space="preserve"> 2023</w:t>
      </w:r>
      <w:r w:rsidR="00B807BD" w:rsidRPr="00CD2ADD">
        <w:rPr>
          <w:rFonts w:ascii="Times New Roman" w:hAnsi="Times New Roman" w:cs="Times New Roman"/>
          <w:color w:val="000000" w:themeColor="text1"/>
          <w:sz w:val="24"/>
          <w:szCs w:val="24"/>
        </w:rPr>
        <w:t xml:space="preserve"> și 2024</w:t>
      </w:r>
      <w:r w:rsidRPr="00CD2ADD">
        <w:rPr>
          <w:rFonts w:ascii="Times New Roman" w:hAnsi="Times New Roman" w:cs="Times New Roman"/>
          <w:color w:val="000000" w:themeColor="text1"/>
          <w:sz w:val="24"/>
          <w:szCs w:val="24"/>
        </w:rPr>
        <w:t xml:space="preserve"> cu pierderi economice de peste 83 milioane lei</w:t>
      </w:r>
      <w:r w:rsidR="00B807BD" w:rsidRPr="00CD2ADD">
        <w:rPr>
          <w:rFonts w:ascii="Times New Roman" w:hAnsi="Times New Roman" w:cs="Times New Roman"/>
          <w:color w:val="000000" w:themeColor="text1"/>
          <w:sz w:val="24"/>
          <w:szCs w:val="24"/>
        </w:rPr>
        <w:t xml:space="preserve"> doar </w:t>
      </w:r>
      <w:r w:rsidRPr="00CD2ADD">
        <w:rPr>
          <w:rFonts w:ascii="Times New Roman" w:hAnsi="Times New Roman" w:cs="Times New Roman"/>
          <w:color w:val="000000" w:themeColor="text1"/>
          <w:sz w:val="24"/>
          <w:szCs w:val="24"/>
        </w:rPr>
        <w:t xml:space="preserve"> în 2023. Valoarea totală a pagubelor pentru perioada analizată depășește 170 milioane lei. Deși numărul de evenimente a scăzut în ultimii ani, pagubele generate de fiecare eveniment par să fie tot mai mari, ceea ce sugerează o severitate crescută și o vulnerabilitate ridicată a infrastructurii</w:t>
      </w:r>
      <w:r w:rsidR="004B140F" w:rsidRPr="00CD2ADD">
        <w:rPr>
          <w:rFonts w:ascii="Times New Roman" w:hAnsi="Times New Roman" w:cs="Times New Roman"/>
          <w:color w:val="000000" w:themeColor="text1"/>
          <w:sz w:val="24"/>
          <w:szCs w:val="24"/>
        </w:rPr>
        <w:t xml:space="preserve"> (figura </w:t>
      </w:r>
      <w:r w:rsidR="00836A74" w:rsidRPr="00CD2ADD">
        <w:rPr>
          <w:rFonts w:ascii="Times New Roman" w:hAnsi="Times New Roman" w:cs="Times New Roman"/>
          <w:color w:val="000000" w:themeColor="text1"/>
          <w:sz w:val="24"/>
          <w:szCs w:val="24"/>
        </w:rPr>
        <w:t>2</w:t>
      </w:r>
      <w:r w:rsidR="00CD2ADD" w:rsidRPr="00CD2ADD">
        <w:rPr>
          <w:rFonts w:ascii="Times New Roman" w:hAnsi="Times New Roman" w:cs="Times New Roman"/>
          <w:color w:val="000000" w:themeColor="text1"/>
          <w:sz w:val="24"/>
          <w:szCs w:val="24"/>
        </w:rPr>
        <w:t>7</w:t>
      </w:r>
      <w:r w:rsidR="004B140F" w:rsidRPr="00CD2ADD">
        <w:rPr>
          <w:rFonts w:ascii="Times New Roman" w:hAnsi="Times New Roman" w:cs="Times New Roman"/>
          <w:color w:val="000000" w:themeColor="text1"/>
          <w:sz w:val="24"/>
          <w:szCs w:val="24"/>
        </w:rPr>
        <w:t>)</w:t>
      </w:r>
      <w:r w:rsidRPr="00CD2ADD">
        <w:rPr>
          <w:rFonts w:ascii="Times New Roman" w:hAnsi="Times New Roman" w:cs="Times New Roman"/>
          <w:color w:val="000000" w:themeColor="text1"/>
          <w:sz w:val="24"/>
          <w:szCs w:val="24"/>
        </w:rPr>
        <w:t>.</w:t>
      </w:r>
    </w:p>
    <w:p w14:paraId="7D4E4C95" w14:textId="1844F27D" w:rsidR="00E63E05" w:rsidRPr="00CD2ADD" w:rsidRDefault="00E63E05" w:rsidP="00C212BE">
      <w:pPr>
        <w:pStyle w:val="Subtitle"/>
        <w:spacing w:after="0" w:line="240" w:lineRule="auto"/>
        <w:ind w:firstLine="284"/>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 xml:space="preserve">Impact socio-economic </w:t>
      </w:r>
    </w:p>
    <w:p w14:paraId="62101016" w14:textId="445B4AB8" w:rsidR="00D56310" w:rsidRDefault="004B140F">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Între 2019 și 2022, în Republica Moldova au fost înregistrate patru cazuri de furtuni de praf, un fenomen meteorologic rar dar cu potențial impact local. Deși frecvența acestora a fost redusă, evenimentele au provocat pagube materiale cumulate în valoare de peste 10</w:t>
      </w:r>
      <w:r w:rsidR="00CF7871" w:rsidRPr="00CD2ADD">
        <w:rPr>
          <w:rFonts w:ascii="Times New Roman" w:hAnsi="Times New Roman" w:cs="Times New Roman"/>
          <w:color w:val="000000" w:themeColor="text1"/>
          <w:sz w:val="24"/>
          <w:szCs w:val="24"/>
        </w:rPr>
        <w:t>,400</w:t>
      </w:r>
      <w:r w:rsidRPr="00CD2ADD">
        <w:rPr>
          <w:rFonts w:ascii="Times New Roman" w:hAnsi="Times New Roman" w:cs="Times New Roman"/>
          <w:color w:val="000000" w:themeColor="text1"/>
          <w:sz w:val="24"/>
          <w:szCs w:val="24"/>
        </w:rPr>
        <w:t xml:space="preserve"> mii lei, cel mai afectat an fiind 2020. Aceste furtuni pot reduce vizibilitatea, afecta sănătatea respiratorie și contribui la degradarea solurilor, mai ales în zonele afectate de secetă și deșertificare.</w:t>
      </w:r>
    </w:p>
    <w:p w14:paraId="4DD1BE10" w14:textId="77777777" w:rsidR="00AB18CF" w:rsidRDefault="00AB18CF" w:rsidP="00AB18CF">
      <w:pPr>
        <w:jc w:val="both"/>
        <w:rPr>
          <w:color w:val="000000" w:themeColor="text1"/>
        </w:rPr>
      </w:pPr>
    </w:p>
    <w:p w14:paraId="2E4A1F99" w14:textId="77777777" w:rsidR="00AB18CF" w:rsidRDefault="00AB18CF" w:rsidP="00AB18CF">
      <w:pPr>
        <w:jc w:val="both"/>
        <w:rPr>
          <w:color w:val="000000" w:themeColor="text1"/>
        </w:rPr>
      </w:pPr>
    </w:p>
    <w:p w14:paraId="7876A602" w14:textId="77777777" w:rsidR="00AB18CF" w:rsidRDefault="00AB18CF" w:rsidP="00AB18CF">
      <w:pPr>
        <w:jc w:val="both"/>
        <w:rPr>
          <w:color w:val="000000" w:themeColor="text1"/>
        </w:rPr>
      </w:pPr>
    </w:p>
    <w:p w14:paraId="6D8B0AA8" w14:textId="77777777" w:rsidR="00AB18CF" w:rsidRDefault="00AB18CF" w:rsidP="00AB18CF">
      <w:pPr>
        <w:jc w:val="both"/>
        <w:rPr>
          <w:color w:val="000000" w:themeColor="text1"/>
        </w:rPr>
      </w:pPr>
    </w:p>
    <w:p w14:paraId="400F8F7A" w14:textId="77777777" w:rsidR="00AB18CF" w:rsidRDefault="00AB18CF" w:rsidP="00AB18CF">
      <w:pPr>
        <w:jc w:val="both"/>
        <w:rPr>
          <w:color w:val="000000" w:themeColor="text1"/>
        </w:rPr>
      </w:pPr>
    </w:p>
    <w:p w14:paraId="0DB73D64" w14:textId="77777777" w:rsidR="00AB18CF" w:rsidRDefault="00AB18CF" w:rsidP="00AB18CF">
      <w:pPr>
        <w:jc w:val="both"/>
        <w:rPr>
          <w:color w:val="000000" w:themeColor="text1"/>
        </w:rPr>
      </w:pPr>
    </w:p>
    <w:p w14:paraId="1F169447" w14:textId="77777777" w:rsidR="00AB18CF" w:rsidRDefault="00AB18CF" w:rsidP="00AB18CF">
      <w:pPr>
        <w:jc w:val="both"/>
        <w:rPr>
          <w:color w:val="000000" w:themeColor="text1"/>
        </w:rPr>
      </w:pPr>
    </w:p>
    <w:p w14:paraId="6DDDE52B" w14:textId="77777777" w:rsidR="00AB18CF" w:rsidRDefault="00AB18CF" w:rsidP="00AB18CF">
      <w:pPr>
        <w:jc w:val="both"/>
        <w:rPr>
          <w:color w:val="000000" w:themeColor="text1"/>
        </w:rPr>
      </w:pPr>
    </w:p>
    <w:p w14:paraId="44382B3B" w14:textId="77777777" w:rsidR="00AB18CF" w:rsidRDefault="00AB18CF" w:rsidP="00AB18CF">
      <w:pPr>
        <w:jc w:val="both"/>
        <w:rPr>
          <w:color w:val="000000" w:themeColor="text1"/>
        </w:rPr>
      </w:pPr>
    </w:p>
    <w:p w14:paraId="459BF02C" w14:textId="77777777" w:rsidR="00AB18CF" w:rsidRDefault="00AB18CF" w:rsidP="00AB18CF">
      <w:pPr>
        <w:jc w:val="both"/>
        <w:rPr>
          <w:color w:val="000000" w:themeColor="text1"/>
        </w:rPr>
      </w:pPr>
    </w:p>
    <w:p w14:paraId="2C992234" w14:textId="77777777" w:rsidR="00AB18CF" w:rsidRDefault="00AB18CF" w:rsidP="00AB18CF">
      <w:pPr>
        <w:jc w:val="both"/>
        <w:rPr>
          <w:color w:val="000000" w:themeColor="text1"/>
        </w:rPr>
      </w:pPr>
    </w:p>
    <w:p w14:paraId="70E62E28" w14:textId="77777777" w:rsidR="00AB18CF" w:rsidRDefault="00AB18CF" w:rsidP="00AB18CF">
      <w:pPr>
        <w:jc w:val="both"/>
        <w:rPr>
          <w:color w:val="000000" w:themeColor="text1"/>
        </w:rPr>
      </w:pPr>
    </w:p>
    <w:p w14:paraId="27F23360" w14:textId="77777777" w:rsidR="00AB18CF" w:rsidRPr="00AB18CF" w:rsidRDefault="00AB18CF" w:rsidP="00AB18CF">
      <w:pPr>
        <w:jc w:val="both"/>
        <w:rPr>
          <w:color w:val="000000" w:themeColor="text1"/>
        </w:rPr>
      </w:pPr>
    </w:p>
    <w:p w14:paraId="7B26C24C" w14:textId="5FC8839A" w:rsidR="00C212BE" w:rsidRPr="00CD2ADD" w:rsidRDefault="00C212BE" w:rsidP="00C212BE">
      <w:pPr>
        <w:jc w:val="center"/>
        <w:rPr>
          <w:color w:val="000000" w:themeColor="text1"/>
          <w:lang w:eastAsia="en-US"/>
        </w:rPr>
      </w:pPr>
      <w:r w:rsidRPr="00CD2ADD">
        <w:rPr>
          <w:b/>
          <w:bCs/>
          <w:color w:val="000000" w:themeColor="text1"/>
        </w:rPr>
        <w:t>Figura 2</w:t>
      </w:r>
      <w:r w:rsidR="00CD2ADD" w:rsidRPr="00CD2ADD">
        <w:rPr>
          <w:b/>
          <w:bCs/>
          <w:color w:val="000000" w:themeColor="text1"/>
        </w:rPr>
        <w:t>7</w:t>
      </w:r>
      <w:r w:rsidRPr="00CD2ADD">
        <w:rPr>
          <w:b/>
          <w:bCs/>
          <w:color w:val="000000" w:themeColor="text1"/>
        </w:rPr>
        <w:t>.</w:t>
      </w:r>
      <w:r w:rsidRPr="00CD2ADD">
        <w:rPr>
          <w:color w:val="000000" w:themeColor="text1"/>
        </w:rPr>
        <w:t xml:space="preserve"> Numărul situațiilor excepționale </w:t>
      </w:r>
      <w:r w:rsidRPr="00CD2ADD">
        <w:rPr>
          <w:color w:val="000000" w:themeColor="text1"/>
          <w:lang w:eastAsia="en-US"/>
        </w:rPr>
        <w:t xml:space="preserve">de vânturi puternice, vijelii, </w:t>
      </w:r>
    </w:p>
    <w:p w14:paraId="12F07516" w14:textId="2084981C" w:rsidR="00C212BE" w:rsidRPr="00CD2ADD" w:rsidRDefault="00C212BE" w:rsidP="00B66B8C">
      <w:pPr>
        <w:jc w:val="center"/>
        <w:rPr>
          <w:color w:val="000000" w:themeColor="text1"/>
          <w:lang w:eastAsia="en-US"/>
        </w:rPr>
      </w:pPr>
      <w:r w:rsidRPr="00CD2ADD">
        <w:rPr>
          <w:color w:val="000000" w:themeColor="text1"/>
          <w:lang w:eastAsia="en-US"/>
        </w:rPr>
        <w:t>vârtejuri și furtuni cu descărcări electrice</w:t>
      </w:r>
    </w:p>
    <w:p w14:paraId="4A87B6D5" w14:textId="2D5C677E" w:rsidR="008565D0" w:rsidRPr="00CD2ADD" w:rsidRDefault="00B807BD" w:rsidP="00CD2ADD">
      <w:pPr>
        <w:jc w:val="center"/>
        <w:rPr>
          <w:sz w:val="22"/>
          <w:szCs w:val="22"/>
          <w:lang w:eastAsia="en-US"/>
        </w:rPr>
      </w:pPr>
      <w:r w:rsidRPr="00CD2ADD">
        <w:rPr>
          <w:noProof/>
        </w:rPr>
        <w:lastRenderedPageBreak/>
        <w:drawing>
          <wp:inline distT="0" distB="0" distL="0" distR="0" wp14:anchorId="0B863783" wp14:editId="6812B826">
            <wp:extent cx="5919537" cy="3236495"/>
            <wp:effectExtent l="0" t="0" r="11430" b="15240"/>
            <wp:docPr id="1643737424" name="Chart 1">
              <a:extLst xmlns:a="http://schemas.openxmlformats.org/drawingml/2006/main">
                <a:ext uri="{FF2B5EF4-FFF2-40B4-BE49-F238E27FC236}">
                  <a16:creationId xmlns:a16="http://schemas.microsoft.com/office/drawing/2014/main" id="{90376FA4-3DCC-4901-C81A-8D955FE2E9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37DE46A" w14:textId="77777777" w:rsidR="008565D0" w:rsidRPr="00CD2ADD" w:rsidRDefault="008565D0" w:rsidP="00CD2ADD">
      <w:pPr>
        <w:jc w:val="center"/>
        <w:rPr>
          <w:i/>
          <w:iCs/>
          <w:sz w:val="20"/>
          <w:szCs w:val="20"/>
          <w:lang w:eastAsia="en-US"/>
        </w:rPr>
      </w:pPr>
      <w:r w:rsidRPr="00CD2ADD">
        <w:rPr>
          <w:i/>
          <w:iCs/>
          <w:sz w:val="20"/>
          <w:szCs w:val="20"/>
          <w:lang w:eastAsia="en-US"/>
        </w:rPr>
        <w:t>Sursa: IGSU – Analiza Situațiilor Excepționale, 2010–2024</w:t>
      </w:r>
    </w:p>
    <w:p w14:paraId="11712B9B" w14:textId="21C03885" w:rsidR="00302525" w:rsidRPr="00CD2ADD" w:rsidRDefault="008565D0" w:rsidP="00C975CB">
      <w:pPr>
        <w:ind w:firstLine="284"/>
        <w:jc w:val="both"/>
        <w:rPr>
          <w:lang w:eastAsia="en-US"/>
        </w:rPr>
      </w:pPr>
      <w:r w:rsidRPr="00CD2ADD">
        <w:rPr>
          <w:lang w:eastAsia="en-US"/>
        </w:rPr>
        <w:t>Orice furtună cu descărcări electrice (oraje) implică riscuri multiple, printre care: incendii, deteriorări ale echipamentelor electrice, avarii asupra clădirilor și pagube asupra vegetației. Aceste fenomene apar frecvent în perioada mai–septembrie, în special în zonele de câmpie și deal. În cazuri extreme, orajele pot produce rafale de vânt de peste 25 m/s, ceea ce le încadrează în categoria evenimentelor meteo periculoase.</w:t>
      </w:r>
      <w:r w:rsidRPr="00CD2ADD">
        <w:rPr>
          <w:rStyle w:val="FootnoteReference"/>
          <w:lang w:eastAsia="en-US"/>
        </w:rPr>
        <w:footnoteReference w:id="29"/>
      </w:r>
    </w:p>
    <w:p w14:paraId="3DA29879" w14:textId="77777777" w:rsidR="00302525" w:rsidRPr="00CD2ADD" w:rsidRDefault="00302525" w:rsidP="00C975CB">
      <w:pPr>
        <w:ind w:firstLine="284"/>
        <w:jc w:val="both"/>
        <w:rPr>
          <w:rStyle w:val="IntenseEmphasis"/>
          <w:color w:val="000000" w:themeColor="text1"/>
          <w:lang w:eastAsia="en-US"/>
        </w:rPr>
      </w:pPr>
      <w:r w:rsidRPr="00CD2ADD">
        <w:rPr>
          <w:rStyle w:val="IntenseEmphasis"/>
          <w:color w:val="000000" w:themeColor="text1"/>
          <w:lang w:eastAsia="en-US"/>
        </w:rPr>
        <w:t xml:space="preserve">Vulnerabilitate, expunere și capacitate de adaptare </w:t>
      </w:r>
    </w:p>
    <w:p w14:paraId="1F4F0117" w14:textId="664502A2" w:rsidR="00302525" w:rsidRPr="00CD2ADD" w:rsidRDefault="00302525">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Zonele cele mai expuse la vânturi puternice și furtuni sunt localizate în special în regiunile de câmpie din centrul și sudul țării, unde lipsa barierelor naturale (perdele forestiere, vegetație densă) amplifică intensitatea rafalelor. Infrastructura electrică aeriană, în special în zonele rurale, este vulnerabilă la avarii cauzate de căderi de copaci, fulgere sau obiecte antrenate de vânt. Clădirile vechi, cu acoperișuri neconsolidate, sunt deosebit de expuse riscurilor de deteriorare structurală. În mediul urban, pagubele pot fi agravate de lipsa sistemelor eficiente de scurgere a apelor și de construcțiile neadaptate standardelor climatice noi.</w:t>
      </w:r>
    </w:p>
    <w:p w14:paraId="72145908" w14:textId="31B08664" w:rsidR="00001E24" w:rsidRPr="00CD2ADD" w:rsidRDefault="00302525" w:rsidP="00C975CB">
      <w:pPr>
        <w:ind w:firstLine="284"/>
        <w:jc w:val="both"/>
        <w:rPr>
          <w:color w:val="000000" w:themeColor="text1"/>
          <w:lang w:eastAsia="en-US"/>
        </w:rPr>
      </w:pPr>
      <w:r w:rsidRPr="00CD2ADD">
        <w:rPr>
          <w:color w:val="000000" w:themeColor="text1"/>
          <w:lang w:eastAsia="en-US"/>
        </w:rPr>
        <w:t>Capacitatea de adaptare rămâne limitată, în special în localitățile mici, unde fondurile pentru întreținerea infrastructurii și dotarea serviciilor de intervenție sunt insuficiente. De asemenea, sistemele de avertizare timpurie pentru vânturi și furtuni severe sunt subdezvoltate și adesea necorelate cu mecanismele locale de răspuns. Este necesară o integrare mai strânsă a riscului de furtuni în planificarea teritorială și investițiile în infrastructură, alături de consolidarea conștientizării populației.</w:t>
      </w:r>
    </w:p>
    <w:bookmarkEnd w:id="68"/>
    <w:p w14:paraId="38515B5C" w14:textId="77777777" w:rsidR="00302525" w:rsidRPr="00CD2ADD" w:rsidRDefault="00302525">
      <w:pPr>
        <w:pStyle w:val="ListParagraph"/>
        <w:numPr>
          <w:ilvl w:val="0"/>
          <w:numId w:val="42"/>
        </w:numPr>
        <w:spacing w:after="0"/>
        <w:ind w:left="0" w:firstLine="284"/>
        <w:jc w:val="both"/>
        <w:rPr>
          <w:rStyle w:val="IntenseEmphasis"/>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Vânturile puternice și furtunile cu descărcări electrice sunt fenomene frecvente în Republica Moldova, cu potențial crescut de deteriorare a infrastructurii și afectare a vieții economice, în special în agricultură. Este necesară consolidarea sistemelor de avertizare timpurie, a normelor de construcție și a capacităților locale de intervenție rapidă.</w:t>
      </w:r>
      <w:r w:rsidRPr="00CD2ADD">
        <w:rPr>
          <w:rStyle w:val="IntenseEmphasis"/>
          <w:rFonts w:ascii="Times New Roman" w:hAnsi="Times New Roman" w:cs="Times New Roman"/>
          <w:color w:val="000000" w:themeColor="text1"/>
          <w:sz w:val="24"/>
          <w:szCs w:val="24"/>
        </w:rPr>
        <w:t xml:space="preserve"> </w:t>
      </w:r>
    </w:p>
    <w:p w14:paraId="0CB7994F" w14:textId="0E4BE39D" w:rsidR="00CD2ADD" w:rsidRDefault="00CD2ADD" w:rsidP="00CD2ADD">
      <w:pPr>
        <w:jc w:val="right"/>
        <w:rPr>
          <w:rStyle w:val="IntenseEmphasis"/>
          <w:i w:val="0"/>
          <w:iCs w:val="0"/>
          <w:color w:val="000000" w:themeColor="text1"/>
        </w:rPr>
      </w:pPr>
      <w:r w:rsidRPr="00CD2ADD">
        <w:rPr>
          <w:rStyle w:val="IntenseEmphasis"/>
          <w:i w:val="0"/>
          <w:iCs w:val="0"/>
          <w:color w:val="000000" w:themeColor="text1"/>
        </w:rPr>
        <w:t>Tabelul 13</w:t>
      </w:r>
    </w:p>
    <w:p w14:paraId="370BE57F" w14:textId="77777777" w:rsidR="00CD2ADD" w:rsidRDefault="00CD2ADD" w:rsidP="00CD2ADD">
      <w:pPr>
        <w:ind w:firstLine="284"/>
        <w:jc w:val="center"/>
        <w:rPr>
          <w:rStyle w:val="IntenseEmphasis"/>
          <w:i w:val="0"/>
          <w:iCs w:val="0"/>
          <w:color w:val="000000" w:themeColor="text1"/>
          <w:lang w:eastAsia="en-US"/>
        </w:rPr>
      </w:pPr>
      <w:r w:rsidRPr="00CD2ADD">
        <w:rPr>
          <w:rStyle w:val="IntenseEmphasis"/>
          <w:i w:val="0"/>
          <w:iCs w:val="0"/>
          <w:color w:val="000000" w:themeColor="text1"/>
          <w:lang w:eastAsia="en-US"/>
        </w:rPr>
        <w:t xml:space="preserve">Măsuri recomandate pentru reducerea riscului de vânturi puternice, </w:t>
      </w:r>
    </w:p>
    <w:p w14:paraId="00CDC00E" w14:textId="01B27A56" w:rsidR="00CD2ADD" w:rsidRPr="00CD2ADD" w:rsidRDefault="00CD2ADD" w:rsidP="00CD2ADD">
      <w:pPr>
        <w:ind w:firstLine="284"/>
        <w:jc w:val="center"/>
        <w:rPr>
          <w:rStyle w:val="IntenseEmphasis"/>
          <w:i w:val="0"/>
          <w:iCs w:val="0"/>
          <w:color w:val="000000" w:themeColor="text1"/>
          <w:lang w:eastAsia="en-US"/>
        </w:rPr>
      </w:pPr>
      <w:r w:rsidRPr="00CD2ADD">
        <w:rPr>
          <w:rStyle w:val="IntenseEmphasis"/>
          <w:i w:val="0"/>
          <w:iCs w:val="0"/>
          <w:color w:val="000000" w:themeColor="text1"/>
          <w:lang w:eastAsia="en-US"/>
        </w:rPr>
        <w:t>vijelii, vârtejuri și furtuni cu descărcări electrice</w:t>
      </w:r>
    </w:p>
    <w:tbl>
      <w:tblPr>
        <w:tblStyle w:val="GridTable1Light-Accent41"/>
        <w:tblW w:w="9777" w:type="dxa"/>
        <w:tblLook w:val="04A0" w:firstRow="1" w:lastRow="0" w:firstColumn="1" w:lastColumn="0" w:noHBand="0" w:noVBand="1"/>
      </w:tblPr>
      <w:tblGrid>
        <w:gridCol w:w="2886"/>
        <w:gridCol w:w="2974"/>
        <w:gridCol w:w="3917"/>
      </w:tblGrid>
      <w:tr w:rsidR="00D2603A" w:rsidRPr="00CD2ADD" w14:paraId="388A6D9A" w14:textId="77777777" w:rsidTr="00D2603A">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hideMark/>
          </w:tcPr>
          <w:p w14:paraId="022C0EA7" w14:textId="77777777" w:rsidR="00B82783" w:rsidRPr="00CD2ADD" w:rsidRDefault="00B82783" w:rsidP="00B82783">
            <w:pPr>
              <w:rPr>
                <w:sz w:val="21"/>
                <w:szCs w:val="21"/>
              </w:rPr>
            </w:pPr>
            <w:r w:rsidRPr="00CD2ADD">
              <w:rPr>
                <w:sz w:val="21"/>
                <w:szCs w:val="21"/>
              </w:rPr>
              <w:t>Categorie de risc asociat</w:t>
            </w:r>
          </w:p>
        </w:tc>
        <w:tc>
          <w:tcPr>
            <w:tcW w:w="0" w:type="auto"/>
            <w:hideMark/>
          </w:tcPr>
          <w:p w14:paraId="6F3ADB61" w14:textId="77777777" w:rsidR="00B82783" w:rsidRPr="00CD2ADD" w:rsidRDefault="00B82783" w:rsidP="00B82783">
            <w:pPr>
              <w:cnfStyle w:val="100000000000" w:firstRow="1" w:lastRow="0" w:firstColumn="0" w:lastColumn="0" w:oddVBand="0" w:evenVBand="0" w:oddHBand="0" w:evenHBand="0" w:firstRowFirstColumn="0" w:firstRowLastColumn="0" w:lastRowFirstColumn="0" w:lastRowLastColumn="0"/>
              <w:rPr>
                <w:sz w:val="21"/>
                <w:szCs w:val="21"/>
              </w:rPr>
            </w:pPr>
            <w:r w:rsidRPr="00CD2ADD">
              <w:rPr>
                <w:sz w:val="21"/>
                <w:szCs w:val="21"/>
              </w:rPr>
              <w:t>Vulnerabilități relevante</w:t>
            </w:r>
          </w:p>
        </w:tc>
        <w:tc>
          <w:tcPr>
            <w:tcW w:w="0" w:type="auto"/>
            <w:hideMark/>
          </w:tcPr>
          <w:p w14:paraId="3FFF19B8" w14:textId="26F8F23E" w:rsidR="00B82783" w:rsidRPr="00CD2ADD" w:rsidRDefault="00B82783" w:rsidP="00B82783">
            <w:pPr>
              <w:cnfStyle w:val="100000000000" w:firstRow="1" w:lastRow="0" w:firstColumn="0" w:lastColumn="0" w:oddVBand="0" w:evenVBand="0" w:oddHBand="0" w:evenHBand="0" w:firstRowFirstColumn="0" w:firstRowLastColumn="0" w:lastRowFirstColumn="0" w:lastRowLastColumn="0"/>
              <w:rPr>
                <w:sz w:val="21"/>
                <w:szCs w:val="21"/>
              </w:rPr>
            </w:pPr>
            <w:r w:rsidRPr="00CD2ADD">
              <w:rPr>
                <w:sz w:val="21"/>
                <w:szCs w:val="21"/>
              </w:rPr>
              <w:t>Măsuri RRD</w:t>
            </w:r>
            <w:r w:rsidR="00600181" w:rsidRPr="00CD2ADD">
              <w:rPr>
                <w:sz w:val="21"/>
                <w:szCs w:val="21"/>
              </w:rPr>
              <w:t>N</w:t>
            </w:r>
            <w:r w:rsidRPr="00CD2ADD">
              <w:rPr>
                <w:sz w:val="21"/>
                <w:szCs w:val="21"/>
              </w:rPr>
              <w:t xml:space="preserve"> și de adaptare </w:t>
            </w:r>
          </w:p>
        </w:tc>
      </w:tr>
      <w:tr w:rsidR="00D2603A" w:rsidRPr="00CD2ADD" w14:paraId="089420AF" w14:textId="77777777" w:rsidTr="00D2603A">
        <w:trPr>
          <w:trHeight w:val="1260"/>
        </w:trPr>
        <w:tc>
          <w:tcPr>
            <w:cnfStyle w:val="001000000000" w:firstRow="0" w:lastRow="0" w:firstColumn="1" w:lastColumn="0" w:oddVBand="0" w:evenVBand="0" w:oddHBand="0" w:evenHBand="0" w:firstRowFirstColumn="0" w:firstRowLastColumn="0" w:lastRowFirstColumn="0" w:lastRowLastColumn="0"/>
            <w:tcW w:w="0" w:type="auto"/>
            <w:hideMark/>
          </w:tcPr>
          <w:p w14:paraId="319B8AE8" w14:textId="29545384" w:rsidR="00B82783" w:rsidRPr="00CD2ADD" w:rsidRDefault="00B82783" w:rsidP="00B82783">
            <w:pPr>
              <w:rPr>
                <w:sz w:val="21"/>
                <w:szCs w:val="21"/>
              </w:rPr>
            </w:pPr>
            <w:r w:rsidRPr="00CD2ADD">
              <w:rPr>
                <w:sz w:val="21"/>
                <w:szCs w:val="21"/>
              </w:rPr>
              <w:lastRenderedPageBreak/>
              <w:t>Vânturi puternice și vijelii recurente</w:t>
            </w:r>
          </w:p>
        </w:tc>
        <w:tc>
          <w:tcPr>
            <w:tcW w:w="0" w:type="auto"/>
            <w:hideMark/>
          </w:tcPr>
          <w:p w14:paraId="372CB794" w14:textId="77777777" w:rsidR="00B82783" w:rsidRPr="00CD2ADD" w:rsidRDefault="00B82783" w:rsidP="00B82783">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Clădiri vechi, neadaptate</w:t>
            </w:r>
            <w:r w:rsidRPr="00CD2ADD">
              <w:rPr>
                <w:sz w:val="21"/>
                <w:szCs w:val="21"/>
              </w:rPr>
              <w:br/>
              <w:t>- Lipsa standardelor de construcție adaptate schimbărilor climatice</w:t>
            </w:r>
          </w:p>
        </w:tc>
        <w:tc>
          <w:tcPr>
            <w:tcW w:w="0" w:type="auto"/>
            <w:hideMark/>
          </w:tcPr>
          <w:p w14:paraId="498B85AD" w14:textId="77777777" w:rsidR="00B82783" w:rsidRPr="00CD2ADD" w:rsidRDefault="00B82783" w:rsidP="00B82783">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Integrarea riscurilor de vânt în planurile de amenajare teritorială și urbană</w:t>
            </w:r>
            <w:r w:rsidRPr="00CD2ADD">
              <w:rPr>
                <w:sz w:val="21"/>
                <w:szCs w:val="21"/>
              </w:rPr>
              <w:br/>
              <w:t>- Elaborarea de ghiduri tehnice pentru construcții reziliente</w:t>
            </w:r>
          </w:p>
        </w:tc>
      </w:tr>
      <w:tr w:rsidR="00D2603A" w:rsidRPr="00CD2ADD" w14:paraId="202869AB" w14:textId="77777777" w:rsidTr="00D2603A">
        <w:trPr>
          <w:trHeight w:val="1259"/>
        </w:trPr>
        <w:tc>
          <w:tcPr>
            <w:cnfStyle w:val="001000000000" w:firstRow="0" w:lastRow="0" w:firstColumn="1" w:lastColumn="0" w:oddVBand="0" w:evenVBand="0" w:oddHBand="0" w:evenHBand="0" w:firstRowFirstColumn="0" w:firstRowLastColumn="0" w:lastRowFirstColumn="0" w:lastRowLastColumn="0"/>
            <w:tcW w:w="0" w:type="auto"/>
            <w:hideMark/>
          </w:tcPr>
          <w:p w14:paraId="35B67D17" w14:textId="438D351B" w:rsidR="00B82783" w:rsidRPr="00CD2ADD" w:rsidRDefault="00B82783" w:rsidP="00B82783">
            <w:pPr>
              <w:rPr>
                <w:sz w:val="21"/>
                <w:szCs w:val="21"/>
              </w:rPr>
            </w:pPr>
            <w:r w:rsidRPr="00CD2ADD">
              <w:rPr>
                <w:sz w:val="21"/>
                <w:szCs w:val="21"/>
              </w:rPr>
              <w:t>Furtuni cu descărcări electrice și impact multi-sectorial</w:t>
            </w:r>
          </w:p>
        </w:tc>
        <w:tc>
          <w:tcPr>
            <w:tcW w:w="0" w:type="auto"/>
            <w:hideMark/>
          </w:tcPr>
          <w:p w14:paraId="34E9B8F1" w14:textId="77777777" w:rsidR="00B82783" w:rsidRPr="00CD2ADD" w:rsidRDefault="00B82783" w:rsidP="00B82783">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Lipsa parafulgerelor la infrastructuri critice</w:t>
            </w:r>
            <w:r w:rsidRPr="00CD2ADD">
              <w:rPr>
                <w:sz w:val="21"/>
                <w:szCs w:val="21"/>
              </w:rPr>
              <w:br/>
              <w:t>- Pagube recurente la rețele și echipamente expuse</w:t>
            </w:r>
          </w:p>
        </w:tc>
        <w:tc>
          <w:tcPr>
            <w:tcW w:w="0" w:type="auto"/>
            <w:hideMark/>
          </w:tcPr>
          <w:p w14:paraId="0568CA60" w14:textId="672A9D4E" w:rsidR="00B82783" w:rsidRPr="00CD2ADD" w:rsidRDefault="00B82783" w:rsidP="00B82783">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Elaborarea hărților de risc multi-hazard</w:t>
            </w:r>
            <w:r w:rsidRPr="00CD2ADD">
              <w:rPr>
                <w:sz w:val="21"/>
                <w:szCs w:val="21"/>
              </w:rPr>
              <w:br/>
              <w:t>- Sprijin pentru elaborarea standardelor tehnice de protecție infrastructură verde</w:t>
            </w:r>
          </w:p>
        </w:tc>
      </w:tr>
      <w:tr w:rsidR="00D2603A" w:rsidRPr="00CD2ADD" w14:paraId="3EE5E1DA" w14:textId="77777777" w:rsidTr="00D2603A">
        <w:trPr>
          <w:trHeight w:val="2409"/>
        </w:trPr>
        <w:tc>
          <w:tcPr>
            <w:cnfStyle w:val="001000000000" w:firstRow="0" w:lastRow="0" w:firstColumn="1" w:lastColumn="0" w:oddVBand="0" w:evenVBand="0" w:oddHBand="0" w:evenHBand="0" w:firstRowFirstColumn="0" w:firstRowLastColumn="0" w:lastRowFirstColumn="0" w:lastRowLastColumn="0"/>
            <w:tcW w:w="0" w:type="auto"/>
            <w:hideMark/>
          </w:tcPr>
          <w:p w14:paraId="496A7FB7" w14:textId="46048E76" w:rsidR="00B82783" w:rsidRPr="00CD2ADD" w:rsidRDefault="00B82783" w:rsidP="00B82783">
            <w:pPr>
              <w:rPr>
                <w:sz w:val="21"/>
                <w:szCs w:val="21"/>
              </w:rPr>
            </w:pPr>
            <w:r w:rsidRPr="00CD2ADD">
              <w:rPr>
                <w:sz w:val="21"/>
                <w:szCs w:val="21"/>
              </w:rPr>
              <w:t xml:space="preserve"> Intensificarea fenomenelor combinate (vânt + ploi torențiale)</w:t>
            </w:r>
          </w:p>
        </w:tc>
        <w:tc>
          <w:tcPr>
            <w:tcW w:w="0" w:type="auto"/>
            <w:hideMark/>
          </w:tcPr>
          <w:p w14:paraId="15B26AF9" w14:textId="77777777" w:rsidR="00B82783" w:rsidRPr="00CD2ADD" w:rsidRDefault="00B82783" w:rsidP="00B82783">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Sisteme de drenaj inadecvate</w:t>
            </w:r>
            <w:r w:rsidRPr="00CD2ADD">
              <w:rPr>
                <w:sz w:val="21"/>
                <w:szCs w:val="21"/>
              </w:rPr>
              <w:br/>
              <w:t>- Fragmentare administrativă în managementul riscului</w:t>
            </w:r>
          </w:p>
        </w:tc>
        <w:tc>
          <w:tcPr>
            <w:tcW w:w="0" w:type="auto"/>
            <w:hideMark/>
          </w:tcPr>
          <w:p w14:paraId="78BE7D9D" w14:textId="77777777" w:rsidR="00B82783" w:rsidRPr="00CD2ADD" w:rsidRDefault="00B82783" w:rsidP="00B82783">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Reabilitarea ecologică a zonelor de retenție naturală</w:t>
            </w:r>
            <w:r w:rsidRPr="00CD2ADD">
              <w:rPr>
                <w:sz w:val="21"/>
                <w:szCs w:val="21"/>
              </w:rPr>
              <w:br/>
              <w:t>- Coordonarea dezvoltării planurilor locale RRD</w:t>
            </w:r>
            <w:r w:rsidRPr="00CD2ADD">
              <w:rPr>
                <w:sz w:val="21"/>
                <w:szCs w:val="21"/>
              </w:rPr>
              <w:br/>
              <w:t>- Promovarea investițiilor în infrastructură verde (ex. perdele forestiere, spații de amortizare hidrologică)</w:t>
            </w:r>
          </w:p>
        </w:tc>
      </w:tr>
    </w:tbl>
    <w:p w14:paraId="5DF78F36" w14:textId="77777777" w:rsidR="000D7399" w:rsidRPr="00CD2ADD" w:rsidRDefault="000D7399" w:rsidP="00C975CB">
      <w:pPr>
        <w:jc w:val="center"/>
        <w:rPr>
          <w:b/>
          <w:bCs/>
          <w:color w:val="000000" w:themeColor="text1"/>
          <w:lang w:eastAsia="en-US"/>
        </w:rPr>
      </w:pPr>
    </w:p>
    <w:p w14:paraId="466764F1" w14:textId="6F0CED46" w:rsidR="00C975CB" w:rsidRPr="00CD2ADD" w:rsidRDefault="00C975CB" w:rsidP="00590E37">
      <w:pPr>
        <w:pStyle w:val="Heading3"/>
        <w:spacing w:before="0"/>
        <w:jc w:val="center"/>
        <w:rPr>
          <w:rFonts w:ascii="Times New Roman" w:hAnsi="Times New Roman" w:cs="Times New Roman"/>
          <w:b/>
          <w:bCs w:val="0"/>
          <w:color w:val="000000" w:themeColor="text1"/>
        </w:rPr>
      </w:pPr>
      <w:r w:rsidRPr="00CD2ADD">
        <w:rPr>
          <w:rFonts w:ascii="Times New Roman" w:hAnsi="Times New Roman" w:cs="Times New Roman"/>
          <w:b/>
          <w:bCs w:val="0"/>
          <w:color w:val="000000" w:themeColor="text1"/>
        </w:rPr>
        <w:t>Subsecțiunea a 6-a</w:t>
      </w:r>
    </w:p>
    <w:p w14:paraId="779771E0" w14:textId="77777777" w:rsidR="00C975CB" w:rsidRPr="00CD2ADD" w:rsidRDefault="00C975CB" w:rsidP="00590E37">
      <w:pPr>
        <w:pStyle w:val="Heading3"/>
        <w:spacing w:before="0"/>
        <w:jc w:val="center"/>
        <w:rPr>
          <w:rFonts w:ascii="Times New Roman" w:hAnsi="Times New Roman" w:cs="Times New Roman"/>
          <w:b/>
          <w:bCs w:val="0"/>
          <w:color w:val="000000" w:themeColor="text1"/>
        </w:rPr>
      </w:pPr>
      <w:r w:rsidRPr="00CD2ADD">
        <w:rPr>
          <w:rFonts w:ascii="Times New Roman" w:hAnsi="Times New Roman" w:cs="Times New Roman"/>
          <w:b/>
          <w:bCs w:val="0"/>
          <w:color w:val="000000" w:themeColor="text1"/>
        </w:rPr>
        <w:t>Grindina mare</w:t>
      </w:r>
      <w:bookmarkStart w:id="69" w:name="OLE_LINK35"/>
    </w:p>
    <w:p w14:paraId="1DF80A22" w14:textId="63B02565" w:rsidR="008565D0" w:rsidRPr="00CD2ADD" w:rsidRDefault="00F760B4">
      <w:pPr>
        <w:pStyle w:val="ListParagraph"/>
        <w:numPr>
          <w:ilvl w:val="0"/>
          <w:numId w:val="42"/>
        </w:numPr>
        <w:spacing w:after="0"/>
        <w:ind w:left="0" w:firstLine="284"/>
        <w:jc w:val="both"/>
        <w:rPr>
          <w:rFonts w:ascii="Times New Roman" w:hAnsi="Times New Roman" w:cs="Times New Roman"/>
          <w:b/>
          <w:bCs/>
          <w:color w:val="000000" w:themeColor="text1"/>
          <w:sz w:val="24"/>
          <w:szCs w:val="24"/>
        </w:rPr>
      </w:pPr>
      <w:r w:rsidRPr="00CD2ADD">
        <w:rPr>
          <w:rFonts w:ascii="Times New Roman" w:hAnsi="Times New Roman" w:cs="Times New Roman"/>
          <w:color w:val="000000" w:themeColor="text1"/>
          <w:sz w:val="24"/>
          <w:szCs w:val="24"/>
        </w:rPr>
        <w:t>G</w:t>
      </w:r>
      <w:r w:rsidR="008565D0" w:rsidRPr="00CD2ADD">
        <w:rPr>
          <w:rFonts w:ascii="Times New Roman" w:hAnsi="Times New Roman" w:cs="Times New Roman"/>
          <w:color w:val="000000" w:themeColor="text1"/>
          <w:sz w:val="24"/>
          <w:szCs w:val="24"/>
        </w:rPr>
        <w:t>rindina este un fenomen meteorologic extrem care constă în căderea unor bucăți de gheață, formate în norii cumulonimbus, sub formă de precipitații solide. În Republica Moldova, grindina este clasificată ca "mare" atunci când diametrul bucăților de gheață depășește 20 mm. Acest fenomen are o durată scurtă, dar intensitate ridicată și poate produce pagube severe agriculturii, infrastructurii și locuințelor, animalelor si oamenilor</w:t>
      </w:r>
      <w:r w:rsidR="00674C0C" w:rsidRPr="00CD2ADD">
        <w:rPr>
          <w:rStyle w:val="FootnoteReference"/>
          <w:rFonts w:ascii="Times New Roman" w:hAnsi="Times New Roman" w:cs="Times New Roman"/>
          <w:i/>
          <w:iCs/>
          <w:color w:val="000000" w:themeColor="text1"/>
          <w:sz w:val="24"/>
          <w:szCs w:val="24"/>
        </w:rPr>
        <w:footnoteReference w:id="30"/>
      </w:r>
      <w:r w:rsidR="008565D0" w:rsidRPr="00CD2ADD">
        <w:rPr>
          <w:rFonts w:ascii="Times New Roman" w:hAnsi="Times New Roman" w:cs="Times New Roman"/>
          <w:color w:val="000000" w:themeColor="text1"/>
          <w:sz w:val="24"/>
          <w:szCs w:val="24"/>
        </w:rPr>
        <w:t xml:space="preserve">. </w:t>
      </w:r>
    </w:p>
    <w:p w14:paraId="4FA98C79" w14:textId="7225B309" w:rsidR="008565D0" w:rsidRPr="00CD2ADD" w:rsidRDefault="008565D0" w:rsidP="00C975CB">
      <w:pPr>
        <w:ind w:firstLine="284"/>
        <w:jc w:val="both"/>
        <w:rPr>
          <w:rStyle w:val="IntenseEmphasis"/>
          <w:b w:val="0"/>
          <w:bCs w:val="0"/>
          <w:i w:val="0"/>
          <w:iCs w:val="0"/>
          <w:color w:val="000000" w:themeColor="text1"/>
        </w:rPr>
      </w:pPr>
      <w:r w:rsidRPr="00CD2ADD">
        <w:rPr>
          <w:rStyle w:val="IntenseEmphasis"/>
          <w:color w:val="000000" w:themeColor="text1"/>
          <w:lang w:eastAsia="en-US"/>
        </w:rPr>
        <w:t xml:space="preserve">Impact </w:t>
      </w:r>
      <w:r w:rsidR="00CA6A79" w:rsidRPr="00CD2ADD">
        <w:rPr>
          <w:rStyle w:val="IntenseEmphasis"/>
          <w:color w:val="000000" w:themeColor="text1"/>
          <w:lang w:eastAsia="en-US"/>
        </w:rPr>
        <w:t>socio-</w:t>
      </w:r>
      <w:r w:rsidRPr="00CD2ADD">
        <w:rPr>
          <w:rStyle w:val="IntenseEmphasis"/>
          <w:color w:val="000000" w:themeColor="text1"/>
          <w:lang w:eastAsia="en-US"/>
        </w:rPr>
        <w:t>economic</w:t>
      </w:r>
    </w:p>
    <w:p w14:paraId="367EDACB" w14:textId="0C2159B4" w:rsidR="008565D0" w:rsidRPr="00CD2ADD" w:rsidRDefault="008565D0">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Conform datelor IGSU, analiza situațiilor excepționale provocate de grindină mare în perioada 2010–2024 arată o frecvență ridicată a acestor evenimente în anii 2012 (</w:t>
      </w:r>
      <w:r w:rsidR="0021315A" w:rsidRPr="00CD2ADD">
        <w:rPr>
          <w:rFonts w:ascii="Times New Roman" w:hAnsi="Times New Roman" w:cs="Times New Roman"/>
          <w:color w:val="000000" w:themeColor="text1"/>
          <w:sz w:val="24"/>
          <w:szCs w:val="24"/>
        </w:rPr>
        <w:t xml:space="preserve">38 </w:t>
      </w:r>
      <w:r w:rsidRPr="00CD2ADD">
        <w:rPr>
          <w:rFonts w:ascii="Times New Roman" w:hAnsi="Times New Roman" w:cs="Times New Roman"/>
          <w:color w:val="000000" w:themeColor="text1"/>
          <w:sz w:val="24"/>
          <w:szCs w:val="24"/>
        </w:rPr>
        <w:t>de cazuri) și 2013 (</w:t>
      </w:r>
      <w:r w:rsidR="0021315A" w:rsidRPr="00CD2ADD">
        <w:rPr>
          <w:rFonts w:ascii="Times New Roman" w:hAnsi="Times New Roman" w:cs="Times New Roman"/>
          <w:color w:val="000000" w:themeColor="text1"/>
          <w:sz w:val="24"/>
          <w:szCs w:val="24"/>
        </w:rPr>
        <w:t xml:space="preserve">37 </w:t>
      </w:r>
      <w:r w:rsidRPr="00CD2ADD">
        <w:rPr>
          <w:rFonts w:ascii="Times New Roman" w:hAnsi="Times New Roman" w:cs="Times New Roman"/>
          <w:color w:val="000000" w:themeColor="text1"/>
          <w:sz w:val="24"/>
          <w:szCs w:val="24"/>
        </w:rPr>
        <w:t xml:space="preserve">de cazuri), acest lucru este reflectat si in pierderile economice corespunzătoare, atingând valori de peste 215 milioane lei în 2012 și 211 milioane lei în 2013. În anii următori, numărul evenimentelor s-a stabilizat la un nivel mai scăzut, dar continuu, oscilând între 5 și </w:t>
      </w:r>
      <w:r w:rsidR="0021315A" w:rsidRPr="00CD2ADD">
        <w:rPr>
          <w:rFonts w:ascii="Times New Roman" w:hAnsi="Times New Roman" w:cs="Times New Roman"/>
          <w:color w:val="000000" w:themeColor="text1"/>
          <w:sz w:val="24"/>
          <w:szCs w:val="24"/>
        </w:rPr>
        <w:t>29</w:t>
      </w:r>
      <w:r w:rsidRPr="00CD2ADD">
        <w:rPr>
          <w:rFonts w:ascii="Times New Roman" w:hAnsi="Times New Roman" w:cs="Times New Roman"/>
          <w:color w:val="000000" w:themeColor="text1"/>
          <w:sz w:val="24"/>
          <w:szCs w:val="24"/>
        </w:rPr>
        <w:t xml:space="preserve"> cazuri anual, cu pagube de ordinul zecilor de milioane lei în anii</w:t>
      </w:r>
      <w:r w:rsidR="0021315A" w:rsidRPr="00CD2ADD">
        <w:rPr>
          <w:rFonts w:ascii="Times New Roman" w:hAnsi="Times New Roman" w:cs="Times New Roman"/>
          <w:color w:val="000000" w:themeColor="text1"/>
          <w:sz w:val="24"/>
          <w:szCs w:val="24"/>
        </w:rPr>
        <w:t xml:space="preserve">, amintim anii </w:t>
      </w:r>
      <w:r w:rsidRPr="00CD2ADD">
        <w:rPr>
          <w:rFonts w:ascii="Times New Roman" w:hAnsi="Times New Roman" w:cs="Times New Roman"/>
          <w:color w:val="000000" w:themeColor="text1"/>
          <w:sz w:val="24"/>
          <w:szCs w:val="24"/>
        </w:rPr>
        <w:t xml:space="preserve">2018 (70,7 milioane lei), 2020 (62,5 milioane lei) și </w:t>
      </w:r>
      <w:r w:rsidR="0021315A" w:rsidRPr="00CD2ADD">
        <w:rPr>
          <w:rFonts w:ascii="Times New Roman" w:hAnsi="Times New Roman" w:cs="Times New Roman"/>
          <w:color w:val="000000" w:themeColor="text1"/>
          <w:sz w:val="24"/>
          <w:szCs w:val="24"/>
        </w:rPr>
        <w:t xml:space="preserve">2021 </w:t>
      </w:r>
      <w:r w:rsidRPr="00CD2ADD">
        <w:rPr>
          <w:rFonts w:ascii="Times New Roman" w:hAnsi="Times New Roman" w:cs="Times New Roman"/>
          <w:color w:val="000000" w:themeColor="text1"/>
          <w:sz w:val="24"/>
          <w:szCs w:val="24"/>
        </w:rPr>
        <w:t>(</w:t>
      </w:r>
      <w:r w:rsidR="0021315A" w:rsidRPr="00CD2ADD">
        <w:rPr>
          <w:rFonts w:ascii="Times New Roman" w:hAnsi="Times New Roman" w:cs="Times New Roman"/>
          <w:color w:val="000000" w:themeColor="text1"/>
          <w:sz w:val="24"/>
          <w:szCs w:val="24"/>
        </w:rPr>
        <w:t xml:space="preserve">32 </w:t>
      </w:r>
      <w:r w:rsidRPr="00CD2ADD">
        <w:rPr>
          <w:rFonts w:ascii="Times New Roman" w:hAnsi="Times New Roman" w:cs="Times New Roman"/>
          <w:color w:val="000000" w:themeColor="text1"/>
          <w:sz w:val="24"/>
          <w:szCs w:val="24"/>
        </w:rPr>
        <w:t>milioane lei).</w:t>
      </w:r>
    </w:p>
    <w:p w14:paraId="3B9C799C" w14:textId="770231F9" w:rsidR="008565D0" w:rsidRDefault="008565D0" w:rsidP="00C975CB">
      <w:pPr>
        <w:ind w:firstLine="284"/>
        <w:jc w:val="both"/>
        <w:rPr>
          <w:color w:val="000000" w:themeColor="text1"/>
          <w:lang w:eastAsia="en-US"/>
        </w:rPr>
      </w:pPr>
      <w:r w:rsidRPr="00CD2ADD">
        <w:rPr>
          <w:color w:val="000000" w:themeColor="text1"/>
          <w:lang w:eastAsia="en-US"/>
        </w:rPr>
        <w:t xml:space="preserve">Grindina mare generează pierderi semnificative mai ales în sectorul agricol. Valoarea totală a pagubelor înregistrate în perioada 2010–2024 depășește </w:t>
      </w:r>
      <w:r w:rsidR="0021315A" w:rsidRPr="00CD2ADD">
        <w:rPr>
          <w:color w:val="000000" w:themeColor="text1"/>
          <w:lang w:eastAsia="en-US"/>
        </w:rPr>
        <w:t xml:space="preserve">835 </w:t>
      </w:r>
      <w:r w:rsidRPr="00CD2ADD">
        <w:rPr>
          <w:color w:val="000000" w:themeColor="text1"/>
          <w:lang w:eastAsia="en-US"/>
        </w:rPr>
        <w:t>milioane lei. Cele mai afectate culturi sunt vița-de-vie, livezile și cerealele. Frecvența mare în lunile mai–iulie, când plantele sunt în faze critice de dezvoltare, amplifică impactul economic și afectează indirect securitatea alimentară a regiunilor afectate.</w:t>
      </w:r>
    </w:p>
    <w:p w14:paraId="364511FE" w14:textId="77777777" w:rsidR="00AB18CF" w:rsidRDefault="00AB18CF" w:rsidP="00C975CB">
      <w:pPr>
        <w:ind w:firstLine="284"/>
        <w:jc w:val="both"/>
        <w:rPr>
          <w:color w:val="000000" w:themeColor="text1"/>
          <w:lang w:eastAsia="en-US"/>
        </w:rPr>
      </w:pPr>
    </w:p>
    <w:p w14:paraId="53C028F5" w14:textId="77777777" w:rsidR="00AB18CF" w:rsidRDefault="00AB18CF" w:rsidP="00C975CB">
      <w:pPr>
        <w:ind w:firstLine="284"/>
        <w:jc w:val="both"/>
        <w:rPr>
          <w:color w:val="000000" w:themeColor="text1"/>
          <w:lang w:eastAsia="en-US"/>
        </w:rPr>
      </w:pPr>
    </w:p>
    <w:p w14:paraId="4F8E4149" w14:textId="77777777" w:rsidR="00AB18CF" w:rsidRDefault="00AB18CF" w:rsidP="00C975CB">
      <w:pPr>
        <w:ind w:firstLine="284"/>
        <w:jc w:val="both"/>
        <w:rPr>
          <w:color w:val="000000" w:themeColor="text1"/>
          <w:lang w:eastAsia="en-US"/>
        </w:rPr>
      </w:pPr>
    </w:p>
    <w:p w14:paraId="781B1290" w14:textId="77777777" w:rsidR="00AB18CF" w:rsidRDefault="00AB18CF" w:rsidP="00C975CB">
      <w:pPr>
        <w:ind w:firstLine="284"/>
        <w:jc w:val="both"/>
        <w:rPr>
          <w:color w:val="000000" w:themeColor="text1"/>
          <w:lang w:eastAsia="en-US"/>
        </w:rPr>
      </w:pPr>
    </w:p>
    <w:p w14:paraId="4EDD6F04" w14:textId="77777777" w:rsidR="00AB18CF" w:rsidRDefault="00AB18CF" w:rsidP="00C975CB">
      <w:pPr>
        <w:ind w:firstLine="284"/>
        <w:jc w:val="both"/>
        <w:rPr>
          <w:color w:val="000000" w:themeColor="text1"/>
          <w:lang w:eastAsia="en-US"/>
        </w:rPr>
      </w:pPr>
    </w:p>
    <w:p w14:paraId="248BAC0D" w14:textId="77777777" w:rsidR="00AB18CF" w:rsidRDefault="00AB18CF" w:rsidP="00C975CB">
      <w:pPr>
        <w:ind w:firstLine="284"/>
        <w:jc w:val="both"/>
        <w:rPr>
          <w:color w:val="000000" w:themeColor="text1"/>
          <w:lang w:eastAsia="en-US"/>
        </w:rPr>
      </w:pPr>
    </w:p>
    <w:p w14:paraId="42E40B57" w14:textId="77777777" w:rsidR="00AB18CF" w:rsidRDefault="00AB18CF" w:rsidP="00C975CB">
      <w:pPr>
        <w:ind w:firstLine="284"/>
        <w:jc w:val="both"/>
        <w:rPr>
          <w:color w:val="000000" w:themeColor="text1"/>
          <w:lang w:eastAsia="en-US"/>
        </w:rPr>
      </w:pPr>
    </w:p>
    <w:p w14:paraId="63880862" w14:textId="77777777" w:rsidR="00AB18CF" w:rsidRDefault="00AB18CF" w:rsidP="00C975CB">
      <w:pPr>
        <w:ind w:firstLine="284"/>
        <w:jc w:val="both"/>
        <w:rPr>
          <w:color w:val="000000" w:themeColor="text1"/>
          <w:lang w:eastAsia="en-US"/>
        </w:rPr>
      </w:pPr>
    </w:p>
    <w:p w14:paraId="18DF8E8F" w14:textId="77777777" w:rsidR="00AB18CF" w:rsidRPr="00CD2ADD" w:rsidRDefault="00AB18CF" w:rsidP="00C975CB">
      <w:pPr>
        <w:ind w:firstLine="284"/>
        <w:jc w:val="both"/>
        <w:rPr>
          <w:color w:val="000000" w:themeColor="text1"/>
          <w:lang w:eastAsia="en-US"/>
        </w:rPr>
      </w:pPr>
    </w:p>
    <w:p w14:paraId="2540322C" w14:textId="47D21D25" w:rsidR="00C975CB" w:rsidRPr="00CD2ADD" w:rsidRDefault="00C975CB" w:rsidP="00C975CB">
      <w:pPr>
        <w:ind w:firstLine="284"/>
        <w:jc w:val="center"/>
        <w:rPr>
          <w:color w:val="000000" w:themeColor="text1"/>
          <w:lang w:eastAsia="en-US"/>
        </w:rPr>
      </w:pPr>
      <w:r w:rsidRPr="00CD2ADD">
        <w:rPr>
          <w:b/>
          <w:bCs/>
          <w:color w:val="000000" w:themeColor="text1"/>
          <w:lang w:eastAsia="en-US"/>
        </w:rPr>
        <w:lastRenderedPageBreak/>
        <w:t>Figura 2</w:t>
      </w:r>
      <w:r w:rsidR="00CD2ADD">
        <w:rPr>
          <w:b/>
          <w:bCs/>
          <w:color w:val="000000" w:themeColor="text1"/>
          <w:lang w:eastAsia="en-US"/>
        </w:rPr>
        <w:t>8</w:t>
      </w:r>
      <w:r w:rsidRPr="00CD2ADD">
        <w:rPr>
          <w:color w:val="000000" w:themeColor="text1"/>
          <w:lang w:eastAsia="en-US"/>
        </w:rPr>
        <w:t>. Numărul de zile cu grindină mare și pagubele aferente, 2010-2024</w:t>
      </w:r>
    </w:p>
    <w:p w14:paraId="704F5AB1" w14:textId="278EC730" w:rsidR="008565D0" w:rsidRPr="00CD2ADD" w:rsidRDefault="00A95F9A" w:rsidP="00AB18CF">
      <w:pPr>
        <w:jc w:val="center"/>
        <w:rPr>
          <w:rStyle w:val="IntenseEmphasis"/>
          <w:b w:val="0"/>
          <w:bCs w:val="0"/>
          <w:i w:val="0"/>
          <w:iCs w:val="0"/>
          <w:color w:val="000000" w:themeColor="text1"/>
          <w:sz w:val="22"/>
          <w:szCs w:val="22"/>
          <w:lang w:eastAsia="en-US"/>
        </w:rPr>
      </w:pPr>
      <w:r w:rsidRPr="00CD2ADD">
        <w:rPr>
          <w:noProof/>
        </w:rPr>
        <w:drawing>
          <wp:inline distT="0" distB="0" distL="0" distR="0" wp14:anchorId="16940947" wp14:editId="320526F7">
            <wp:extent cx="5829300" cy="2628900"/>
            <wp:effectExtent l="0" t="0" r="12700" b="12700"/>
            <wp:docPr id="1424308740" name="Chart 1">
              <a:extLst xmlns:a="http://schemas.openxmlformats.org/drawingml/2006/main">
                <a:ext uri="{FF2B5EF4-FFF2-40B4-BE49-F238E27FC236}">
                  <a16:creationId xmlns:a16="http://schemas.microsoft.com/office/drawing/2014/main" id="{6391E080-01B1-991F-D8B5-00962DD576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0778FD2" w14:textId="2B7C4036" w:rsidR="003C74B0" w:rsidRPr="00CD2ADD" w:rsidRDefault="008565D0" w:rsidP="00C975CB">
      <w:pPr>
        <w:spacing w:after="120"/>
        <w:jc w:val="center"/>
        <w:rPr>
          <w:rStyle w:val="IntenseEmphasis"/>
          <w:b w:val="0"/>
          <w:bCs w:val="0"/>
          <w:i w:val="0"/>
          <w:iCs w:val="0"/>
          <w:color w:val="000000" w:themeColor="text1"/>
          <w:sz w:val="20"/>
          <w:szCs w:val="20"/>
          <w:lang w:eastAsia="en-US"/>
        </w:rPr>
      </w:pPr>
      <w:r w:rsidRPr="00CD2ADD">
        <w:rPr>
          <w:rStyle w:val="IntenseEmphasis"/>
          <w:b w:val="0"/>
          <w:bCs w:val="0"/>
          <w:i w:val="0"/>
          <w:iCs w:val="0"/>
          <w:color w:val="000000" w:themeColor="text1"/>
          <w:sz w:val="20"/>
          <w:szCs w:val="20"/>
          <w:lang w:eastAsia="en-US"/>
        </w:rPr>
        <w:t xml:space="preserve">Sursa: </w:t>
      </w:r>
      <w:r w:rsidRPr="00CD2ADD">
        <w:rPr>
          <w:i/>
          <w:iCs/>
          <w:sz w:val="20"/>
          <w:szCs w:val="20"/>
          <w:lang w:eastAsia="en-US"/>
        </w:rPr>
        <w:t>IGSU – Analiza Situațiilor Excepționale, 2010–2024</w:t>
      </w:r>
    </w:p>
    <w:p w14:paraId="6B2B66FA" w14:textId="77777777" w:rsidR="00CA6A79" w:rsidRPr="00CD2ADD" w:rsidRDefault="00CA6A79" w:rsidP="00C975CB">
      <w:pPr>
        <w:ind w:firstLine="284"/>
        <w:jc w:val="both"/>
        <w:rPr>
          <w:rStyle w:val="IntenseEmphasis"/>
          <w:color w:val="000000" w:themeColor="text1"/>
          <w:lang w:eastAsia="en-US"/>
        </w:rPr>
      </w:pPr>
      <w:r w:rsidRPr="00CD2ADD">
        <w:rPr>
          <w:rStyle w:val="IntenseEmphasis"/>
          <w:color w:val="000000" w:themeColor="text1"/>
          <w:lang w:eastAsia="en-US"/>
        </w:rPr>
        <w:t xml:space="preserve">Vulnerabilitate, expunere și capacitate de adaptare </w:t>
      </w:r>
    </w:p>
    <w:p w14:paraId="3091E5B3" w14:textId="3422E594" w:rsidR="000D7399" w:rsidRDefault="008565D0" w:rsidP="00AB18CF">
      <w:pPr>
        <w:pStyle w:val="ListParagraph"/>
        <w:numPr>
          <w:ilvl w:val="0"/>
          <w:numId w:val="42"/>
        </w:numPr>
        <w:spacing w:after="12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Distribuția spațială a zilelor cu grindină anuală (</w:t>
      </w:r>
      <w:r w:rsidR="00CD2ADD">
        <w:rPr>
          <w:rFonts w:ascii="Times New Roman" w:hAnsi="Times New Roman" w:cs="Times New Roman"/>
          <w:color w:val="000000" w:themeColor="text1"/>
          <w:sz w:val="24"/>
          <w:szCs w:val="24"/>
        </w:rPr>
        <w:t>figura 29</w:t>
      </w:r>
      <w:r w:rsidRPr="00CD2ADD">
        <w:rPr>
          <w:rFonts w:ascii="Times New Roman" w:hAnsi="Times New Roman" w:cs="Times New Roman"/>
          <w:color w:val="000000" w:themeColor="text1"/>
          <w:sz w:val="24"/>
          <w:szCs w:val="24"/>
        </w:rPr>
        <w:t>) evidențiază o incidență crescută în raioanele sudice și centrale ale Republicii Moldova. Municipiul Chișinău, regiunea Cahul și municipiul Bălți prezintă frecvențe ridicate, cu valori maxime de 5–7 zile pe an în anumite perioade (2005–2013 și 2019–2021). Aceste regiuni sunt caracterizate de densitate mare a populației și de o intensă activitate agricolă, ceea ce le face deosebit de vulnerabile.</w:t>
      </w:r>
    </w:p>
    <w:p w14:paraId="34C381FC" w14:textId="77777777" w:rsidR="00AB18CF" w:rsidRPr="00AB18CF" w:rsidRDefault="00AB18CF" w:rsidP="00AB18CF">
      <w:pPr>
        <w:pStyle w:val="ListParagraph"/>
        <w:spacing w:after="120"/>
        <w:ind w:left="284" w:firstLine="0"/>
        <w:jc w:val="both"/>
        <w:rPr>
          <w:rFonts w:ascii="Times New Roman" w:hAnsi="Times New Roman" w:cs="Times New Roman"/>
          <w:color w:val="000000" w:themeColor="text1"/>
          <w:sz w:val="24"/>
          <w:szCs w:val="24"/>
        </w:rPr>
      </w:pPr>
    </w:p>
    <w:p w14:paraId="6B83CBE4" w14:textId="552E2EE9" w:rsidR="00651E8F" w:rsidRPr="00CD2ADD" w:rsidRDefault="00C975CB" w:rsidP="000D7399">
      <w:pPr>
        <w:pStyle w:val="ListParagraph"/>
        <w:spacing w:after="120"/>
        <w:ind w:left="0" w:firstLine="0"/>
        <w:jc w:val="center"/>
        <w:rPr>
          <w:rFonts w:ascii="Times New Roman" w:hAnsi="Times New Roman" w:cs="Times New Roman"/>
          <w:color w:val="000000" w:themeColor="text1"/>
          <w:sz w:val="24"/>
          <w:szCs w:val="24"/>
        </w:rPr>
      </w:pPr>
      <w:r w:rsidRPr="00CD2ADD">
        <w:rPr>
          <w:rFonts w:ascii="Times New Roman" w:hAnsi="Times New Roman" w:cs="Times New Roman"/>
          <w:b/>
          <w:bCs/>
          <w:color w:val="000000" w:themeColor="text1"/>
          <w:sz w:val="24"/>
          <w:szCs w:val="24"/>
        </w:rPr>
        <w:t>Figura 2</w:t>
      </w:r>
      <w:r w:rsidR="00CD2ADD">
        <w:rPr>
          <w:rFonts w:ascii="Times New Roman" w:hAnsi="Times New Roman" w:cs="Times New Roman"/>
          <w:b/>
          <w:bCs/>
          <w:color w:val="000000" w:themeColor="text1"/>
          <w:sz w:val="24"/>
          <w:szCs w:val="24"/>
        </w:rPr>
        <w:t>9</w:t>
      </w:r>
      <w:r w:rsidRPr="00CD2ADD">
        <w:rPr>
          <w:rFonts w:ascii="Times New Roman" w:hAnsi="Times New Roman" w:cs="Times New Roman"/>
          <w:b/>
          <w:bCs/>
          <w:color w:val="000000" w:themeColor="text1"/>
          <w:sz w:val="24"/>
          <w:szCs w:val="24"/>
        </w:rPr>
        <w:t>.</w:t>
      </w:r>
      <w:r w:rsidRPr="00CD2ADD">
        <w:rPr>
          <w:rFonts w:ascii="Times New Roman" w:hAnsi="Times New Roman" w:cs="Times New Roman"/>
          <w:color w:val="000000" w:themeColor="text1"/>
          <w:sz w:val="24"/>
          <w:szCs w:val="24"/>
        </w:rPr>
        <w:t xml:space="preserve"> Numărul de zile cu grindină la cele 3 stații meteoro</w:t>
      </w:r>
      <w:r w:rsidR="000D7399" w:rsidRPr="00CD2ADD">
        <w:rPr>
          <w:rFonts w:ascii="Times New Roman" w:hAnsi="Times New Roman" w:cs="Times New Roman"/>
          <w:color w:val="000000" w:themeColor="text1"/>
          <w:sz w:val="24"/>
          <w:szCs w:val="24"/>
        </w:rPr>
        <w:t>logice de referință, 1990-2024</w:t>
      </w:r>
      <w:bookmarkStart w:id="70" w:name="_Toc197960226"/>
    </w:p>
    <w:p w14:paraId="45EE7D8B" w14:textId="3290E311" w:rsidR="008565D0" w:rsidRPr="00CD2ADD" w:rsidRDefault="008565D0" w:rsidP="00CD2ADD">
      <w:pPr>
        <w:pStyle w:val="Caption"/>
        <w:spacing w:after="0"/>
        <w:jc w:val="center"/>
        <w:rPr>
          <w:rStyle w:val="IntenseEmphasis"/>
          <w:rFonts w:ascii="Times New Roman" w:hAnsi="Times New Roman" w:cs="Times New Roman"/>
          <w:b w:val="0"/>
          <w:bCs/>
          <w:i w:val="0"/>
          <w:iCs w:val="0"/>
        </w:rPr>
      </w:pPr>
      <w:r w:rsidRPr="00CD2ADD">
        <w:rPr>
          <w:rFonts w:ascii="Times New Roman" w:hAnsi="Times New Roman" w:cs="Times New Roman"/>
          <w:noProof/>
        </w:rPr>
        <w:drawing>
          <wp:inline distT="0" distB="0" distL="0" distR="0" wp14:anchorId="3D652C94" wp14:editId="205DE429">
            <wp:extent cx="6043295" cy="3187700"/>
            <wp:effectExtent l="0" t="0" r="14605" b="12700"/>
            <wp:docPr id="1125113852" name="Chart 1">
              <a:extLst xmlns:a="http://schemas.openxmlformats.org/drawingml/2006/main">
                <a:ext uri="{FF2B5EF4-FFF2-40B4-BE49-F238E27FC236}">
                  <a16:creationId xmlns:a16="http://schemas.microsoft.com/office/drawing/2014/main" id="{0D82790A-2359-5CB6-90C0-5CD31B28F5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bookmarkEnd w:id="70"/>
    </w:p>
    <w:p w14:paraId="6953068D" w14:textId="7984E0B7" w:rsidR="008565D0" w:rsidRPr="00CD2ADD" w:rsidRDefault="008565D0" w:rsidP="000D7399">
      <w:pPr>
        <w:spacing w:after="120"/>
        <w:jc w:val="center"/>
        <w:rPr>
          <w:i/>
          <w:iCs/>
          <w:color w:val="000000" w:themeColor="text1"/>
          <w:sz w:val="20"/>
          <w:szCs w:val="20"/>
          <w:lang w:eastAsia="en-US"/>
        </w:rPr>
      </w:pPr>
      <w:r w:rsidRPr="00CD2ADD">
        <w:rPr>
          <w:rStyle w:val="IntenseEmphasis"/>
          <w:b w:val="0"/>
          <w:bCs w:val="0"/>
          <w:i w:val="0"/>
          <w:iCs w:val="0"/>
          <w:color w:val="000000" w:themeColor="text1"/>
          <w:sz w:val="20"/>
          <w:szCs w:val="20"/>
          <w:lang w:eastAsia="en-US"/>
        </w:rPr>
        <w:t xml:space="preserve">Sursa: SHS </w:t>
      </w:r>
      <w:r w:rsidRPr="00CD2ADD">
        <w:rPr>
          <w:i/>
          <w:iCs/>
          <w:sz w:val="20"/>
          <w:szCs w:val="22"/>
        </w:rPr>
        <w:t>Date climatice istorice SHS (Chișinău, Bălți, Cahul</w:t>
      </w:r>
      <w:r w:rsidR="00C357DE" w:rsidRPr="00CD2ADD">
        <w:rPr>
          <w:i/>
          <w:iCs/>
          <w:sz w:val="20"/>
          <w:szCs w:val="22"/>
        </w:rPr>
        <w:t>)</w:t>
      </w:r>
    </w:p>
    <w:p w14:paraId="312F2CE2" w14:textId="7484D87E" w:rsidR="008565D0" w:rsidRDefault="008565D0" w:rsidP="000D7399">
      <w:pPr>
        <w:ind w:firstLine="284"/>
        <w:jc w:val="both"/>
        <w:rPr>
          <w:lang w:eastAsia="en-US"/>
        </w:rPr>
      </w:pPr>
      <w:r w:rsidRPr="00CD2ADD">
        <w:rPr>
          <w:lang w:eastAsia="en-US"/>
        </w:rPr>
        <w:t>De asemenea, capacitatea de răspuns este limitată: în pofida existenței unui sistem anti-grindină bazat pe rachete antigrindină operat de Ministerul Agriculturii, acoperirea teritorială este parțială, iar eficiența sistemului nu este evaluată public în mod transparent.</w:t>
      </w:r>
    </w:p>
    <w:p w14:paraId="0205BF97" w14:textId="77777777" w:rsidR="00AB18CF" w:rsidRDefault="00AB18CF" w:rsidP="00CD2ADD">
      <w:pPr>
        <w:ind w:firstLine="284"/>
        <w:jc w:val="right"/>
        <w:rPr>
          <w:b/>
          <w:bCs/>
          <w:color w:val="000000" w:themeColor="text1"/>
          <w:lang w:eastAsia="en-US"/>
        </w:rPr>
      </w:pPr>
    </w:p>
    <w:p w14:paraId="0A858E36" w14:textId="77777777" w:rsidR="00AB18CF" w:rsidRDefault="00AB18CF" w:rsidP="00CD2ADD">
      <w:pPr>
        <w:ind w:firstLine="284"/>
        <w:jc w:val="right"/>
        <w:rPr>
          <w:b/>
          <w:bCs/>
          <w:color w:val="000000" w:themeColor="text1"/>
          <w:lang w:eastAsia="en-US"/>
        </w:rPr>
      </w:pPr>
    </w:p>
    <w:p w14:paraId="65C52217" w14:textId="3193B4A3" w:rsidR="00CD2ADD" w:rsidRPr="00CD2ADD" w:rsidRDefault="00CD2ADD" w:rsidP="00CD2ADD">
      <w:pPr>
        <w:ind w:firstLine="284"/>
        <w:jc w:val="right"/>
        <w:rPr>
          <w:b/>
          <w:bCs/>
          <w:color w:val="000000" w:themeColor="text1"/>
          <w:lang w:eastAsia="en-US"/>
        </w:rPr>
      </w:pPr>
      <w:r w:rsidRPr="00CD2ADD">
        <w:rPr>
          <w:b/>
          <w:bCs/>
          <w:color w:val="000000" w:themeColor="text1"/>
          <w:lang w:eastAsia="en-US"/>
        </w:rPr>
        <w:lastRenderedPageBreak/>
        <w:t>Tabelul 14</w:t>
      </w:r>
    </w:p>
    <w:p w14:paraId="604851ED" w14:textId="7D7B2BF1" w:rsidR="00B07100" w:rsidRPr="00CD2ADD" w:rsidRDefault="00B07100" w:rsidP="00CD2ADD">
      <w:pPr>
        <w:ind w:firstLine="284"/>
        <w:jc w:val="center"/>
        <w:rPr>
          <w:rStyle w:val="IntenseEmphasis"/>
          <w:i w:val="0"/>
          <w:iCs w:val="0"/>
          <w:color w:val="000000" w:themeColor="text1"/>
          <w:lang w:eastAsia="en-US"/>
        </w:rPr>
      </w:pPr>
      <w:r w:rsidRPr="00CD2ADD">
        <w:rPr>
          <w:rStyle w:val="IntenseEmphasis"/>
          <w:i w:val="0"/>
          <w:iCs w:val="0"/>
          <w:color w:val="000000" w:themeColor="text1"/>
          <w:lang w:eastAsia="en-US"/>
        </w:rPr>
        <w:t>Măsuri recomandate pentru reducerea riscului de grindină mare</w:t>
      </w:r>
    </w:p>
    <w:tbl>
      <w:tblPr>
        <w:tblStyle w:val="GridTable1Light-Accent41"/>
        <w:tblW w:w="9780" w:type="dxa"/>
        <w:tblLook w:val="04A0" w:firstRow="1" w:lastRow="0" w:firstColumn="1" w:lastColumn="0" w:noHBand="0" w:noVBand="1"/>
      </w:tblPr>
      <w:tblGrid>
        <w:gridCol w:w="2558"/>
        <w:gridCol w:w="2723"/>
        <w:gridCol w:w="4499"/>
      </w:tblGrid>
      <w:tr w:rsidR="00B07100" w:rsidRPr="00CD2ADD" w14:paraId="3D3F80DD" w14:textId="77777777" w:rsidTr="00B07100">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hideMark/>
          </w:tcPr>
          <w:p w14:paraId="688E4AC5" w14:textId="3FC7C5E4" w:rsidR="00B07100" w:rsidRPr="00CD2ADD" w:rsidRDefault="00B07100" w:rsidP="00B07100">
            <w:pPr>
              <w:rPr>
                <w:bCs w:val="0"/>
                <w:iCs/>
                <w:sz w:val="21"/>
                <w:szCs w:val="21"/>
              </w:rPr>
            </w:pPr>
            <w:r w:rsidRPr="00CD2ADD">
              <w:rPr>
                <w:rStyle w:val="Strong"/>
                <w:rFonts w:eastAsiaTheme="majorEastAsia"/>
                <w:sz w:val="21"/>
                <w:szCs w:val="21"/>
              </w:rPr>
              <w:t xml:space="preserve">Grindina </w:t>
            </w:r>
            <w:r w:rsidR="00CD2ADD">
              <w:rPr>
                <w:rStyle w:val="Strong"/>
                <w:rFonts w:eastAsiaTheme="majorEastAsia"/>
                <w:sz w:val="21"/>
                <w:szCs w:val="21"/>
              </w:rPr>
              <w:t>ș</w:t>
            </w:r>
            <w:r w:rsidRPr="00CD2ADD">
              <w:rPr>
                <w:rStyle w:val="Strong"/>
                <w:rFonts w:eastAsiaTheme="majorEastAsia"/>
                <w:sz w:val="21"/>
                <w:szCs w:val="21"/>
              </w:rPr>
              <w:t>i riscurile asociate</w:t>
            </w:r>
          </w:p>
        </w:tc>
        <w:tc>
          <w:tcPr>
            <w:tcW w:w="0" w:type="auto"/>
            <w:hideMark/>
          </w:tcPr>
          <w:p w14:paraId="35D766DF" w14:textId="77777777" w:rsidR="00B07100" w:rsidRPr="00CD2ADD" w:rsidRDefault="00B07100" w:rsidP="00B07100">
            <w:pPr>
              <w:cnfStyle w:val="100000000000" w:firstRow="1" w:lastRow="0" w:firstColumn="0" w:lastColumn="0" w:oddVBand="0" w:evenVBand="0" w:oddHBand="0" w:evenHBand="0" w:firstRowFirstColumn="0" w:firstRowLastColumn="0" w:lastRowFirstColumn="0" w:lastRowLastColumn="0"/>
              <w:rPr>
                <w:b w:val="0"/>
                <w:bCs w:val="0"/>
                <w:sz w:val="21"/>
                <w:szCs w:val="21"/>
              </w:rPr>
            </w:pPr>
            <w:r w:rsidRPr="00CD2ADD">
              <w:rPr>
                <w:rStyle w:val="Strong"/>
                <w:rFonts w:eastAsiaTheme="majorEastAsia"/>
                <w:sz w:val="21"/>
                <w:szCs w:val="21"/>
              </w:rPr>
              <w:t>Vulnerabilități cheie</w:t>
            </w:r>
          </w:p>
        </w:tc>
        <w:tc>
          <w:tcPr>
            <w:tcW w:w="0" w:type="auto"/>
            <w:hideMark/>
          </w:tcPr>
          <w:p w14:paraId="239243CB" w14:textId="13B408F4" w:rsidR="00B07100" w:rsidRPr="00CD2ADD" w:rsidRDefault="00B07100" w:rsidP="00B07100">
            <w:pPr>
              <w:cnfStyle w:val="100000000000" w:firstRow="1" w:lastRow="0" w:firstColumn="0" w:lastColumn="0" w:oddVBand="0" w:evenVBand="0" w:oddHBand="0" w:evenHBand="0" w:firstRowFirstColumn="0" w:firstRowLastColumn="0" w:lastRowFirstColumn="0" w:lastRowLastColumn="0"/>
              <w:rPr>
                <w:b w:val="0"/>
                <w:bCs w:val="0"/>
                <w:sz w:val="21"/>
                <w:szCs w:val="21"/>
              </w:rPr>
            </w:pPr>
            <w:r w:rsidRPr="00CD2ADD">
              <w:rPr>
                <w:rStyle w:val="Strong"/>
                <w:rFonts w:eastAsiaTheme="majorEastAsia"/>
                <w:sz w:val="21"/>
                <w:szCs w:val="21"/>
              </w:rPr>
              <w:t>Măsuri RRD</w:t>
            </w:r>
            <w:r w:rsidR="00600181" w:rsidRPr="00CD2ADD">
              <w:rPr>
                <w:rStyle w:val="Strong"/>
                <w:rFonts w:eastAsiaTheme="majorEastAsia"/>
                <w:sz w:val="21"/>
                <w:szCs w:val="21"/>
              </w:rPr>
              <w:t>N</w:t>
            </w:r>
            <w:r w:rsidRPr="00CD2ADD">
              <w:rPr>
                <w:rStyle w:val="Strong"/>
                <w:rFonts w:eastAsiaTheme="majorEastAsia"/>
                <w:sz w:val="21"/>
                <w:szCs w:val="21"/>
              </w:rPr>
              <w:t xml:space="preserve"> și de adaptare recomandate</w:t>
            </w:r>
          </w:p>
        </w:tc>
      </w:tr>
      <w:tr w:rsidR="00B07100" w:rsidRPr="00CD2ADD" w14:paraId="128C38A2" w14:textId="77777777" w:rsidTr="00B07100">
        <w:trPr>
          <w:trHeight w:val="809"/>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BB2CDFE" w14:textId="77777777" w:rsidR="00B07100" w:rsidRPr="00CD2ADD" w:rsidRDefault="00B07100" w:rsidP="00B07100">
            <w:pPr>
              <w:spacing w:after="120"/>
              <w:rPr>
                <w:b w:val="0"/>
                <w:bCs w:val="0"/>
                <w:sz w:val="21"/>
                <w:szCs w:val="21"/>
              </w:rPr>
            </w:pPr>
          </w:p>
          <w:p w14:paraId="274B9A50" w14:textId="77777777" w:rsidR="00B07100" w:rsidRPr="00CD2ADD" w:rsidRDefault="00B07100" w:rsidP="00B07100">
            <w:pPr>
              <w:spacing w:after="120"/>
              <w:rPr>
                <w:b w:val="0"/>
                <w:bCs w:val="0"/>
                <w:sz w:val="21"/>
                <w:szCs w:val="21"/>
              </w:rPr>
            </w:pPr>
          </w:p>
          <w:p w14:paraId="3409F776" w14:textId="77777777" w:rsidR="00B07100" w:rsidRPr="00CD2ADD" w:rsidRDefault="00B07100" w:rsidP="00B07100">
            <w:pPr>
              <w:spacing w:after="120"/>
              <w:rPr>
                <w:b w:val="0"/>
                <w:bCs w:val="0"/>
                <w:sz w:val="21"/>
                <w:szCs w:val="21"/>
              </w:rPr>
            </w:pPr>
          </w:p>
          <w:p w14:paraId="7CEDF050" w14:textId="77777777" w:rsidR="00B07100" w:rsidRPr="00CD2ADD" w:rsidRDefault="00B07100" w:rsidP="00B07100">
            <w:pPr>
              <w:spacing w:after="120"/>
              <w:rPr>
                <w:b w:val="0"/>
                <w:bCs w:val="0"/>
                <w:sz w:val="21"/>
                <w:szCs w:val="21"/>
              </w:rPr>
            </w:pPr>
          </w:p>
          <w:p w14:paraId="483F6804" w14:textId="7FADA358" w:rsidR="00B07100" w:rsidRPr="00CD2ADD" w:rsidRDefault="00B07100" w:rsidP="00B07100">
            <w:pPr>
              <w:spacing w:after="120"/>
              <w:rPr>
                <w:b w:val="0"/>
                <w:bCs w:val="0"/>
                <w:sz w:val="21"/>
                <w:szCs w:val="21"/>
              </w:rPr>
            </w:pPr>
            <w:r w:rsidRPr="00CD2ADD">
              <w:rPr>
                <w:sz w:val="21"/>
                <w:szCs w:val="21"/>
              </w:rPr>
              <w:t xml:space="preserve">Grindina </w:t>
            </w:r>
            <w:r w:rsidR="00CD2ADD">
              <w:rPr>
                <w:sz w:val="21"/>
                <w:szCs w:val="21"/>
              </w:rPr>
              <w:t>ș</w:t>
            </w:r>
            <w:r w:rsidRPr="00CD2ADD">
              <w:rPr>
                <w:sz w:val="21"/>
                <w:szCs w:val="21"/>
              </w:rPr>
              <w:t>i precipitații solide cu impact sever</w:t>
            </w:r>
          </w:p>
        </w:tc>
        <w:tc>
          <w:tcPr>
            <w:tcW w:w="0" w:type="auto"/>
            <w:hideMark/>
          </w:tcPr>
          <w:p w14:paraId="4386311A" w14:textId="77777777" w:rsidR="00B07100" w:rsidRPr="00CD2ADD" w:rsidRDefault="00B07100" w:rsidP="00B07100">
            <w:pPr>
              <w:spacing w:after="120"/>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xml:space="preserve">- Activitate agricolă expusă </w:t>
            </w:r>
            <w:r w:rsidRPr="00CD2ADD">
              <w:rPr>
                <w:sz w:val="21"/>
                <w:szCs w:val="21"/>
              </w:rPr>
              <w:br/>
              <w:t>- Lipsa protecției infrastructurii agricole</w:t>
            </w:r>
          </w:p>
        </w:tc>
        <w:tc>
          <w:tcPr>
            <w:tcW w:w="0" w:type="auto"/>
            <w:hideMark/>
          </w:tcPr>
          <w:p w14:paraId="0E168F82" w14:textId="77777777" w:rsidR="00B07100" w:rsidRPr="00CD2ADD" w:rsidRDefault="00B07100" w:rsidP="00B07100">
            <w:pPr>
              <w:spacing w:after="120"/>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Extinderea acoperirii sistemului antigrindină în regiunile prioritare</w:t>
            </w:r>
          </w:p>
        </w:tc>
      </w:tr>
      <w:tr w:rsidR="00B07100" w:rsidRPr="00CD2ADD" w14:paraId="030CAD91" w14:textId="77777777" w:rsidTr="00B07100">
        <w:trPr>
          <w:trHeight w:val="656"/>
        </w:trPr>
        <w:tc>
          <w:tcPr>
            <w:cnfStyle w:val="001000000000" w:firstRow="0" w:lastRow="0" w:firstColumn="1" w:lastColumn="0" w:oddVBand="0" w:evenVBand="0" w:oddHBand="0" w:evenHBand="0" w:firstRowFirstColumn="0" w:firstRowLastColumn="0" w:lastRowFirstColumn="0" w:lastRowLastColumn="0"/>
            <w:tcW w:w="0" w:type="auto"/>
            <w:vMerge/>
            <w:hideMark/>
          </w:tcPr>
          <w:p w14:paraId="2865607E" w14:textId="77777777" w:rsidR="00B07100" w:rsidRPr="00CD2ADD" w:rsidRDefault="00B07100" w:rsidP="00B07100">
            <w:pPr>
              <w:spacing w:after="120"/>
              <w:rPr>
                <w:sz w:val="21"/>
                <w:szCs w:val="21"/>
              </w:rPr>
            </w:pPr>
          </w:p>
        </w:tc>
        <w:tc>
          <w:tcPr>
            <w:tcW w:w="0" w:type="auto"/>
            <w:hideMark/>
          </w:tcPr>
          <w:p w14:paraId="543379BE" w14:textId="77777777" w:rsidR="00B07100" w:rsidRPr="00CD2ADD" w:rsidRDefault="00B07100" w:rsidP="00B07100">
            <w:pPr>
              <w:spacing w:after="120"/>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xml:space="preserve">- Lipsa de acces la asigurări </w:t>
            </w:r>
            <w:r w:rsidRPr="00CD2ADD">
              <w:rPr>
                <w:sz w:val="21"/>
                <w:szCs w:val="21"/>
              </w:rPr>
              <w:br/>
              <w:t>- Informații deficitare privind riscurile locale</w:t>
            </w:r>
          </w:p>
        </w:tc>
        <w:tc>
          <w:tcPr>
            <w:tcW w:w="0" w:type="auto"/>
            <w:hideMark/>
          </w:tcPr>
          <w:p w14:paraId="55D26229" w14:textId="7E3A6593" w:rsidR="00B07100" w:rsidRPr="00CD2ADD" w:rsidRDefault="00B07100" w:rsidP="00B07100">
            <w:pPr>
              <w:spacing w:after="120"/>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xml:space="preserve">- Promovarea sistemelor de asigurări agricole </w:t>
            </w:r>
          </w:p>
        </w:tc>
      </w:tr>
      <w:tr w:rsidR="00B07100" w:rsidRPr="00CD2ADD" w14:paraId="7AACFD0F" w14:textId="77777777" w:rsidTr="00B07100">
        <w:trPr>
          <w:trHeight w:val="547"/>
        </w:trPr>
        <w:tc>
          <w:tcPr>
            <w:cnfStyle w:val="001000000000" w:firstRow="0" w:lastRow="0" w:firstColumn="1" w:lastColumn="0" w:oddVBand="0" w:evenVBand="0" w:oddHBand="0" w:evenHBand="0" w:firstRowFirstColumn="0" w:firstRowLastColumn="0" w:lastRowFirstColumn="0" w:lastRowLastColumn="0"/>
            <w:tcW w:w="0" w:type="auto"/>
            <w:vMerge/>
            <w:hideMark/>
          </w:tcPr>
          <w:p w14:paraId="186B5205" w14:textId="77777777" w:rsidR="00B07100" w:rsidRPr="00CD2ADD" w:rsidRDefault="00B07100" w:rsidP="00B07100">
            <w:pPr>
              <w:spacing w:after="120"/>
              <w:rPr>
                <w:sz w:val="21"/>
                <w:szCs w:val="21"/>
              </w:rPr>
            </w:pPr>
          </w:p>
        </w:tc>
        <w:tc>
          <w:tcPr>
            <w:tcW w:w="0" w:type="auto"/>
            <w:vMerge w:val="restart"/>
            <w:hideMark/>
          </w:tcPr>
          <w:p w14:paraId="68CA46B7" w14:textId="77777777" w:rsidR="00B07100" w:rsidRPr="00CD2ADD" w:rsidRDefault="00B07100" w:rsidP="00B07100">
            <w:pPr>
              <w:spacing w:after="120"/>
              <w:cnfStyle w:val="000000000000" w:firstRow="0" w:lastRow="0" w:firstColumn="0" w:lastColumn="0" w:oddVBand="0" w:evenVBand="0" w:oddHBand="0" w:evenHBand="0" w:firstRowFirstColumn="0" w:firstRowLastColumn="0" w:lastRowFirstColumn="0" w:lastRowLastColumn="0"/>
              <w:rPr>
                <w:sz w:val="21"/>
                <w:szCs w:val="21"/>
              </w:rPr>
            </w:pPr>
          </w:p>
          <w:p w14:paraId="68364216" w14:textId="4E9943C9" w:rsidR="00B07100" w:rsidRPr="00CD2ADD" w:rsidRDefault="00B07100" w:rsidP="00B07100">
            <w:pPr>
              <w:spacing w:after="120"/>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Lipsa capacității locale de analiză și planificare</w:t>
            </w:r>
          </w:p>
        </w:tc>
        <w:tc>
          <w:tcPr>
            <w:tcW w:w="0" w:type="auto"/>
            <w:hideMark/>
          </w:tcPr>
          <w:p w14:paraId="049246A6" w14:textId="6F220EB8" w:rsidR="00B07100" w:rsidRPr="00CD2ADD" w:rsidRDefault="00B07100" w:rsidP="00B07100">
            <w:pPr>
              <w:spacing w:after="120"/>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Integrarea riscului de grindină în strategiile de adaptare și planurile locale de RRD</w:t>
            </w:r>
            <w:r w:rsidR="00600181" w:rsidRPr="00CD2ADD">
              <w:rPr>
                <w:sz w:val="21"/>
                <w:szCs w:val="21"/>
              </w:rPr>
              <w:t>N</w:t>
            </w:r>
          </w:p>
        </w:tc>
      </w:tr>
      <w:tr w:rsidR="00B07100" w:rsidRPr="00CD2ADD" w14:paraId="0CFBA4C7" w14:textId="77777777" w:rsidTr="00B07100">
        <w:trPr>
          <w:trHeight w:val="833"/>
        </w:trPr>
        <w:tc>
          <w:tcPr>
            <w:cnfStyle w:val="001000000000" w:firstRow="0" w:lastRow="0" w:firstColumn="1" w:lastColumn="0" w:oddVBand="0" w:evenVBand="0" w:oddHBand="0" w:evenHBand="0" w:firstRowFirstColumn="0" w:firstRowLastColumn="0" w:lastRowFirstColumn="0" w:lastRowLastColumn="0"/>
            <w:tcW w:w="0" w:type="auto"/>
            <w:vMerge/>
            <w:hideMark/>
          </w:tcPr>
          <w:p w14:paraId="59750F79" w14:textId="77777777" w:rsidR="00B07100" w:rsidRPr="00CD2ADD" w:rsidRDefault="00B07100" w:rsidP="00B07100">
            <w:pPr>
              <w:spacing w:after="120"/>
              <w:rPr>
                <w:sz w:val="21"/>
                <w:szCs w:val="21"/>
              </w:rPr>
            </w:pPr>
          </w:p>
        </w:tc>
        <w:tc>
          <w:tcPr>
            <w:tcW w:w="0" w:type="auto"/>
            <w:vMerge/>
            <w:hideMark/>
          </w:tcPr>
          <w:p w14:paraId="7ADF8BDD" w14:textId="77777777" w:rsidR="00B07100" w:rsidRPr="00CD2ADD" w:rsidRDefault="00B07100" w:rsidP="00B07100">
            <w:pPr>
              <w:spacing w:after="120"/>
              <w:cnfStyle w:val="000000000000" w:firstRow="0" w:lastRow="0" w:firstColumn="0" w:lastColumn="0" w:oddVBand="0" w:evenVBand="0" w:oddHBand="0" w:evenHBand="0" w:firstRowFirstColumn="0" w:firstRowLastColumn="0" w:lastRowFirstColumn="0" w:lastRowLastColumn="0"/>
              <w:rPr>
                <w:sz w:val="21"/>
                <w:szCs w:val="21"/>
              </w:rPr>
            </w:pPr>
          </w:p>
        </w:tc>
        <w:tc>
          <w:tcPr>
            <w:tcW w:w="0" w:type="auto"/>
            <w:hideMark/>
          </w:tcPr>
          <w:p w14:paraId="6D05A79A" w14:textId="77777777" w:rsidR="00B07100" w:rsidRPr="00CD2ADD" w:rsidRDefault="00B07100" w:rsidP="00B07100">
            <w:pPr>
              <w:spacing w:after="120"/>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Creșterea transparenței și evaluarea publică a eficienței sistemelor de protecție activă (ex. rachete)</w:t>
            </w:r>
          </w:p>
        </w:tc>
      </w:tr>
    </w:tbl>
    <w:p w14:paraId="18AD6CE7" w14:textId="77777777" w:rsidR="00B07100" w:rsidRPr="00CD2ADD" w:rsidRDefault="00B07100" w:rsidP="00B07100">
      <w:pPr>
        <w:spacing w:after="120"/>
        <w:jc w:val="both"/>
        <w:rPr>
          <w:b/>
          <w:bCs/>
          <w:sz w:val="22"/>
          <w:szCs w:val="22"/>
          <w:lang w:eastAsia="en-US"/>
        </w:rPr>
      </w:pPr>
    </w:p>
    <w:p w14:paraId="7053F5E8" w14:textId="1E21FB2B" w:rsidR="00B07100" w:rsidRPr="00CD2ADD" w:rsidRDefault="00B07100" w:rsidP="000D7399">
      <w:pPr>
        <w:ind w:firstLine="284"/>
        <w:jc w:val="both"/>
        <w:rPr>
          <w:b/>
          <w:bCs/>
          <w:i/>
          <w:iCs/>
          <w:color w:val="000000" w:themeColor="text1"/>
          <w:lang w:eastAsia="en-US"/>
        </w:rPr>
      </w:pPr>
      <w:r w:rsidRPr="00CD2ADD">
        <w:rPr>
          <w:b/>
          <w:bCs/>
          <w:i/>
          <w:iCs/>
          <w:color w:val="000000" w:themeColor="text1"/>
          <w:lang w:eastAsia="en-US"/>
        </w:rPr>
        <w:t>Sistemul Antigrindină în Republica Moldova: Situația Actuală și Perspective</w:t>
      </w:r>
    </w:p>
    <w:p w14:paraId="13FD16C3" w14:textId="577C5C3B" w:rsidR="00B07100" w:rsidRPr="00CD2ADD" w:rsidRDefault="0041611B">
      <w:pPr>
        <w:pStyle w:val="ListParagraph"/>
        <w:numPr>
          <w:ilvl w:val="0"/>
          <w:numId w:val="42"/>
        </w:numPr>
        <w:spacing w:after="0"/>
        <w:ind w:left="0" w:firstLine="142"/>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Pe teritoriul Republicii Moldova, protecția împotriva grindinei este asigurată de Serviciul Special pentru Influențe Active asupra Proceselor Hidrometeorologice, care operează peste 132 de puncte de rachetare, acoperind integral sau parțial 22 de raioane. Zona protejată include circa 1,665 milioane hectare, aproximativ 55% din suprafața totală a țării</w:t>
      </w:r>
      <w:r w:rsidR="00B07100" w:rsidRPr="00CD2ADD">
        <w:rPr>
          <w:rStyle w:val="FootnoteReference"/>
          <w:rFonts w:ascii="Times New Roman" w:hAnsi="Times New Roman" w:cs="Times New Roman"/>
          <w:color w:val="000000" w:themeColor="text1"/>
          <w:sz w:val="24"/>
          <w:szCs w:val="24"/>
        </w:rPr>
        <w:footnoteReference w:id="31"/>
      </w:r>
      <w:r w:rsidR="00B07100" w:rsidRPr="00CD2ADD">
        <w:rPr>
          <w:rFonts w:ascii="Times New Roman" w:hAnsi="Times New Roman" w:cs="Times New Roman"/>
          <w:color w:val="000000" w:themeColor="text1"/>
          <w:sz w:val="24"/>
          <w:szCs w:val="24"/>
        </w:rPr>
        <w:t xml:space="preserve">. Acesta utilizează un sistem de rachete care dispersează iodură de argint în atmosferă, cu scopul de a preveni formarea particulelor mari de gheață. </w:t>
      </w:r>
    </w:p>
    <w:p w14:paraId="29FC1852" w14:textId="47EB4D04" w:rsidR="00B07100" w:rsidRPr="00CD2ADD" w:rsidRDefault="00B07100" w:rsidP="000D7399">
      <w:pPr>
        <w:ind w:firstLine="284"/>
        <w:jc w:val="both"/>
        <w:rPr>
          <w:color w:val="000000" w:themeColor="text1"/>
          <w:lang w:eastAsia="en-US"/>
        </w:rPr>
      </w:pPr>
      <w:r w:rsidRPr="00CD2ADD">
        <w:rPr>
          <w:color w:val="000000" w:themeColor="text1"/>
          <w:lang w:eastAsia="en-US"/>
        </w:rPr>
        <w:t>Cu toate acestea, eficiența sistemului este contestată</w:t>
      </w:r>
      <w:r w:rsidR="0041611B" w:rsidRPr="00CD2ADD">
        <w:rPr>
          <w:color w:val="000000" w:themeColor="text1"/>
          <w:lang w:eastAsia="en-US"/>
        </w:rPr>
        <w:t xml:space="preserve">, si </w:t>
      </w:r>
      <w:r w:rsidRPr="00CD2ADD">
        <w:rPr>
          <w:color w:val="000000" w:themeColor="text1"/>
          <w:lang w:eastAsia="en-US"/>
        </w:rPr>
        <w:t xml:space="preserve">există preocupări legate de impactul asupra mediului, inclusiv poluarea solului și a apei cu iodură de argint, precum și riscul de incendii cauzate de lansarea rachetelor. </w:t>
      </w:r>
    </w:p>
    <w:p w14:paraId="502F015D" w14:textId="473DC573" w:rsidR="00B07100" w:rsidRPr="00CD2ADD" w:rsidRDefault="00B07100" w:rsidP="000D7399">
      <w:pPr>
        <w:ind w:firstLine="284"/>
        <w:jc w:val="both"/>
        <w:rPr>
          <w:color w:val="000000" w:themeColor="text1"/>
          <w:lang w:eastAsia="en-US"/>
        </w:rPr>
      </w:pPr>
      <w:r w:rsidRPr="00CD2ADD">
        <w:rPr>
          <w:color w:val="000000" w:themeColor="text1"/>
          <w:lang w:eastAsia="en-US"/>
        </w:rPr>
        <w:t>În acest context, se explorează alternative mai ecologice și sustenabile, cum ar fi generatoarele de sol care dispersează iodură de argint fără utilizarea rachetelor și plasele antigrindină pentru protecția directă a culturilor. Aceste metode sunt deja utilizate în alte țări europene și oferă avantaje precum costuri mai reduse și un impact ambiental mai mic.</w:t>
      </w:r>
    </w:p>
    <w:p w14:paraId="4D6D24C2" w14:textId="0DD785FD" w:rsidR="0041611B" w:rsidRPr="00CD2ADD" w:rsidRDefault="0041611B" w:rsidP="000D7399">
      <w:pPr>
        <w:ind w:firstLine="284"/>
        <w:jc w:val="both"/>
        <w:rPr>
          <w:color w:val="000000" w:themeColor="text1"/>
          <w:lang w:eastAsia="en-US"/>
        </w:rPr>
      </w:pPr>
      <w:r w:rsidRPr="00CD2ADD">
        <w:rPr>
          <w:color w:val="000000" w:themeColor="text1"/>
          <w:lang w:eastAsia="en-US"/>
        </w:rPr>
        <w:t xml:space="preserve">În încheiere, putem trage concluzia ca grindina mare este un risc hidrometeorologic recurent în Republica Moldova, cu un potențial semnificativ de impact economic și social, în special în zonele agricole. Riscul este amplificat de vulnerabilitatea culturilor și de infrastructura slab protejată. </w:t>
      </w:r>
      <w:r w:rsidR="008C438E" w:rsidRPr="00CD2ADD">
        <w:rPr>
          <w:color w:val="000000" w:themeColor="text1"/>
          <w:lang w:eastAsia="en-US"/>
        </w:rPr>
        <w:t>Astfel, e</w:t>
      </w:r>
      <w:r w:rsidRPr="00CD2ADD">
        <w:rPr>
          <w:color w:val="000000" w:themeColor="text1"/>
          <w:lang w:eastAsia="en-US"/>
        </w:rPr>
        <w:t>ste necesară</w:t>
      </w:r>
      <w:r w:rsidR="008C438E" w:rsidRPr="00CD2ADD">
        <w:rPr>
          <w:color w:val="000000" w:themeColor="text1"/>
          <w:lang w:eastAsia="en-US"/>
        </w:rPr>
        <w:t xml:space="preserve">, </w:t>
      </w:r>
      <w:r w:rsidRPr="00CD2ADD">
        <w:rPr>
          <w:color w:val="000000" w:themeColor="text1"/>
          <w:lang w:eastAsia="en-US"/>
        </w:rPr>
        <w:t>înafar</w:t>
      </w:r>
      <w:r w:rsidR="008C438E" w:rsidRPr="00CD2ADD">
        <w:rPr>
          <w:color w:val="000000" w:themeColor="text1"/>
          <w:lang w:eastAsia="en-US"/>
        </w:rPr>
        <w:t xml:space="preserve">ă </w:t>
      </w:r>
      <w:r w:rsidRPr="00CD2ADD">
        <w:rPr>
          <w:color w:val="000000" w:themeColor="text1"/>
          <w:lang w:eastAsia="en-US"/>
        </w:rPr>
        <w:t>de extinderea sistemelor de protecție activă anti-grindină</w:t>
      </w:r>
      <w:r w:rsidR="007A0200" w:rsidRPr="00CD2ADD">
        <w:rPr>
          <w:color w:val="000000" w:themeColor="text1"/>
          <w:lang w:eastAsia="en-US"/>
        </w:rPr>
        <w:t xml:space="preserve">, </w:t>
      </w:r>
      <w:r w:rsidRPr="00CD2ADD">
        <w:rPr>
          <w:color w:val="000000" w:themeColor="text1"/>
          <w:lang w:eastAsia="en-US"/>
        </w:rPr>
        <w:t>care a fost discutata mai sus</w:t>
      </w:r>
      <w:r w:rsidR="008C438E" w:rsidRPr="00CD2ADD">
        <w:rPr>
          <w:color w:val="000000" w:themeColor="text1"/>
          <w:lang w:eastAsia="en-US"/>
        </w:rPr>
        <w:t>,</w:t>
      </w:r>
      <w:r w:rsidRPr="00CD2ADD">
        <w:rPr>
          <w:color w:val="000000" w:themeColor="text1"/>
          <w:lang w:eastAsia="en-US"/>
        </w:rPr>
        <w:t xml:space="preserve"> si promovarea asigurărilor agricole și integrarea acestui risc în strategiile locale de adaptare la schimbările climatice si de reducere a riscurilor de dezastre.</w:t>
      </w:r>
    </w:p>
    <w:p w14:paraId="0AB43ECF" w14:textId="77777777" w:rsidR="00EC7D41" w:rsidRPr="00CD2ADD" w:rsidRDefault="00EC7D41" w:rsidP="000D7399">
      <w:pPr>
        <w:ind w:firstLine="284"/>
        <w:jc w:val="both"/>
        <w:rPr>
          <w:color w:val="000000" w:themeColor="text1"/>
          <w:lang w:eastAsia="en-US"/>
        </w:rPr>
      </w:pPr>
    </w:p>
    <w:p w14:paraId="708BEBAF" w14:textId="4C63B45D" w:rsidR="006A6410" w:rsidRPr="00CD2ADD" w:rsidRDefault="006A6410" w:rsidP="00590E37">
      <w:pPr>
        <w:pStyle w:val="Heading3"/>
        <w:spacing w:before="0"/>
        <w:jc w:val="center"/>
        <w:rPr>
          <w:rFonts w:ascii="Times New Roman" w:hAnsi="Times New Roman" w:cs="Times New Roman"/>
          <w:b/>
          <w:bCs w:val="0"/>
          <w:color w:val="000000" w:themeColor="text1"/>
        </w:rPr>
      </w:pPr>
      <w:r w:rsidRPr="00CD2ADD">
        <w:rPr>
          <w:rFonts w:ascii="Times New Roman" w:hAnsi="Times New Roman" w:cs="Times New Roman"/>
          <w:b/>
          <w:bCs w:val="0"/>
          <w:color w:val="000000" w:themeColor="text1"/>
        </w:rPr>
        <w:t xml:space="preserve">Subsecțiunea a </w:t>
      </w:r>
      <w:r w:rsidR="00EC7D41" w:rsidRPr="00CD2ADD">
        <w:rPr>
          <w:rFonts w:ascii="Times New Roman" w:hAnsi="Times New Roman" w:cs="Times New Roman"/>
          <w:b/>
          <w:bCs w:val="0"/>
          <w:color w:val="000000" w:themeColor="text1"/>
        </w:rPr>
        <w:t>7</w:t>
      </w:r>
      <w:r w:rsidRPr="00CD2ADD">
        <w:rPr>
          <w:rFonts w:ascii="Times New Roman" w:hAnsi="Times New Roman" w:cs="Times New Roman"/>
          <w:b/>
          <w:bCs w:val="0"/>
          <w:color w:val="000000" w:themeColor="text1"/>
        </w:rPr>
        <w:t>-a</w:t>
      </w:r>
    </w:p>
    <w:p w14:paraId="5254C89A" w14:textId="27432057" w:rsidR="00EC7D41" w:rsidRPr="00CD2ADD" w:rsidRDefault="00EC7D41" w:rsidP="00590E37">
      <w:pPr>
        <w:pStyle w:val="Heading3"/>
        <w:spacing w:before="0"/>
        <w:jc w:val="center"/>
        <w:rPr>
          <w:rFonts w:ascii="Times New Roman" w:hAnsi="Times New Roman" w:cs="Times New Roman"/>
          <w:b/>
          <w:bCs w:val="0"/>
          <w:color w:val="000000" w:themeColor="text1"/>
        </w:rPr>
      </w:pPr>
      <w:r w:rsidRPr="00CD2ADD">
        <w:rPr>
          <w:rFonts w:ascii="Times New Roman" w:hAnsi="Times New Roman" w:cs="Times New Roman"/>
          <w:b/>
          <w:bCs w:val="0"/>
          <w:color w:val="000000" w:themeColor="text1"/>
        </w:rPr>
        <w:t>Ninsori abundente și viscol</w:t>
      </w:r>
    </w:p>
    <w:p w14:paraId="6E7D757A" w14:textId="244F00A4" w:rsidR="008B1DDD" w:rsidRPr="00CD2ADD" w:rsidRDefault="008565D0">
      <w:pPr>
        <w:pStyle w:val="ListParagraph"/>
        <w:numPr>
          <w:ilvl w:val="0"/>
          <w:numId w:val="42"/>
        </w:numPr>
        <w:spacing w:after="0"/>
        <w:ind w:left="0" w:firstLine="284"/>
        <w:jc w:val="both"/>
        <w:rPr>
          <w:rFonts w:ascii="Times New Roman" w:hAnsi="Times New Roman" w:cs="Times New Roman"/>
          <w:color w:val="000000" w:themeColor="text1"/>
          <w:sz w:val="24"/>
          <w:szCs w:val="24"/>
        </w:rPr>
      </w:pPr>
      <w:bookmarkStart w:id="71" w:name="OLE_LINK36"/>
      <w:bookmarkEnd w:id="69"/>
      <w:r w:rsidRPr="00CD2ADD">
        <w:rPr>
          <w:rFonts w:ascii="Times New Roman" w:hAnsi="Times New Roman" w:cs="Times New Roman"/>
          <w:color w:val="000000" w:themeColor="text1"/>
          <w:sz w:val="24"/>
          <w:szCs w:val="24"/>
        </w:rPr>
        <w:t>Conform Serviciului Hidrometeorologic de Stat (SHS), ninsoarea abundentă reprezintă un fenomen meteorologic în care cantitatea de precipitații sub formă de zăpadă depășește 20 mm în decurs de cel mult 12 ore. Viscolul este caracterizat prin căderi de zăpadă însoțite de rafale puternice de vânt, care reduc semnificativ vizibilitatea și provoacă acumulări masive de zăpadă. Aceste fenomene pot duce la blocaje rutiere, avarii ale rețelelor de electricitate și telecomunicații, distrugeri de culturi agricole și izolare a comunităților.</w:t>
      </w:r>
      <w:r w:rsidRPr="00CD2ADD">
        <w:rPr>
          <w:rStyle w:val="FootnoteReference"/>
          <w:rFonts w:ascii="Times New Roman" w:hAnsi="Times New Roman" w:cs="Times New Roman"/>
          <w:color w:val="000000" w:themeColor="text1"/>
          <w:sz w:val="24"/>
          <w:szCs w:val="24"/>
        </w:rPr>
        <w:footnoteReference w:id="32"/>
      </w:r>
    </w:p>
    <w:p w14:paraId="6C3E5004" w14:textId="77777777" w:rsidR="007A733F" w:rsidRPr="00CD2ADD" w:rsidRDefault="007A733F" w:rsidP="00EC7D41">
      <w:pPr>
        <w:pStyle w:val="Subtitle"/>
        <w:spacing w:after="0" w:line="240" w:lineRule="auto"/>
        <w:ind w:firstLine="284"/>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 xml:space="preserve">Impact socio-economic </w:t>
      </w:r>
    </w:p>
    <w:p w14:paraId="62AA49CC" w14:textId="35DECD62" w:rsidR="00EC7D41" w:rsidRPr="00CD2ADD" w:rsidRDefault="008565D0">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lastRenderedPageBreak/>
        <w:t>Analiza datelor meteorologice indică o variabilitate semnificativă a ninsorilor abundente în Republica Moldova în ultimele decenii. Graficul evolutiv (</w:t>
      </w:r>
      <w:r w:rsidR="00CC469C">
        <w:rPr>
          <w:rFonts w:ascii="Times New Roman" w:hAnsi="Times New Roman" w:cs="Times New Roman"/>
          <w:color w:val="000000" w:themeColor="text1"/>
          <w:sz w:val="24"/>
          <w:szCs w:val="24"/>
        </w:rPr>
        <w:t>figura 30</w:t>
      </w:r>
      <w:r w:rsidRPr="00CD2ADD">
        <w:rPr>
          <w:rFonts w:ascii="Times New Roman" w:hAnsi="Times New Roman" w:cs="Times New Roman"/>
          <w:color w:val="000000" w:themeColor="text1"/>
          <w:sz w:val="24"/>
          <w:szCs w:val="24"/>
        </w:rPr>
        <w:t>) arată o frecvență medie de 1–3 cazuri de ninsoare abundentă pe an, cu vârfuri în anii 1996–1999, 2012, 2016, 2018 și 2024. Grosimea stratului de zăpadă a atins valori extreme de peste 60 cm în unele ierni, în special în anii cu viscole severe. Totuși, în ultimul deceniu se observă o ușoară tendință de scădere a frecvenței cazurilor, corelată cu ierni mai blânde din cauza schimbărilor climatice</w:t>
      </w:r>
      <w:r w:rsidR="007A733F" w:rsidRPr="00CD2ADD">
        <w:rPr>
          <w:rFonts w:ascii="Times New Roman" w:hAnsi="Times New Roman" w:cs="Times New Roman"/>
          <w:color w:val="000000" w:themeColor="text1"/>
          <w:sz w:val="24"/>
          <w:szCs w:val="24"/>
        </w:rPr>
        <w:t xml:space="preserve"> (figura </w:t>
      </w:r>
      <w:r w:rsidR="00836A74" w:rsidRPr="00CD2ADD">
        <w:rPr>
          <w:rFonts w:ascii="Times New Roman" w:hAnsi="Times New Roman" w:cs="Times New Roman"/>
          <w:color w:val="000000" w:themeColor="text1"/>
          <w:sz w:val="24"/>
          <w:szCs w:val="24"/>
        </w:rPr>
        <w:t>29</w:t>
      </w:r>
      <w:r w:rsidR="007A733F" w:rsidRPr="00CD2ADD">
        <w:rPr>
          <w:rFonts w:ascii="Times New Roman" w:hAnsi="Times New Roman" w:cs="Times New Roman"/>
          <w:color w:val="000000" w:themeColor="text1"/>
          <w:sz w:val="24"/>
          <w:szCs w:val="24"/>
        </w:rPr>
        <w:t>)</w:t>
      </w:r>
      <w:r w:rsidRPr="00CD2ADD">
        <w:rPr>
          <w:rFonts w:ascii="Times New Roman" w:hAnsi="Times New Roman" w:cs="Times New Roman"/>
          <w:color w:val="000000" w:themeColor="text1"/>
          <w:sz w:val="24"/>
          <w:szCs w:val="24"/>
        </w:rPr>
        <w:t>.</w:t>
      </w:r>
      <w:r w:rsidR="00293ED2" w:rsidRPr="00CD2ADD">
        <w:rPr>
          <w:rFonts w:ascii="Times New Roman" w:hAnsi="Times New Roman" w:cs="Times New Roman"/>
          <w:color w:val="000000" w:themeColor="text1"/>
          <w:sz w:val="24"/>
          <w:szCs w:val="24"/>
        </w:rPr>
        <w:t xml:space="preserve"> </w:t>
      </w:r>
    </w:p>
    <w:p w14:paraId="0BA38F6F" w14:textId="76D84A60" w:rsidR="007A733F" w:rsidRPr="00CD2ADD" w:rsidRDefault="007A733F" w:rsidP="00EC7D41">
      <w:pPr>
        <w:ind w:firstLine="284"/>
        <w:jc w:val="both"/>
        <w:rPr>
          <w:color w:val="000000" w:themeColor="text1"/>
        </w:rPr>
      </w:pPr>
      <w:r w:rsidRPr="00CD2ADD">
        <w:rPr>
          <w:color w:val="000000" w:themeColor="text1"/>
        </w:rPr>
        <w:t xml:space="preserve">Conform datelor IGSU, în perioada 2010–2024 au fost înregistrate 27 de situații excepționale cauzate de ninsori abundente și viscol, reprezentând 2% din totalul SE. Pagubele totale au fost de aproximativ 191 milioane lei (0,82% din totalul pagubelor SE naturale). De asemenea, au fost raportate 2 decese și peste 4.500 de persoane salvate în cadrul intervențiilor de urgență. Costurile indirecte, cum ar fi perturbarea transportului, izolarea comunităților și avariile infrastructurale, nu sunt întotdeauna cuantificate, dar pot fi substanțiale.  </w:t>
      </w:r>
    </w:p>
    <w:p w14:paraId="414AA717" w14:textId="4D06AED8" w:rsidR="007A733F" w:rsidRPr="00CD2ADD" w:rsidRDefault="007A733F" w:rsidP="00EC7D41">
      <w:pPr>
        <w:spacing w:after="120"/>
        <w:ind w:firstLine="284"/>
        <w:jc w:val="both"/>
        <w:rPr>
          <w:color w:val="000000" w:themeColor="text1"/>
          <w:lang w:eastAsia="en-US"/>
        </w:rPr>
      </w:pPr>
      <w:r w:rsidRPr="00CD2ADD">
        <w:rPr>
          <w:color w:val="000000" w:themeColor="text1"/>
          <w:lang w:eastAsia="en-US"/>
        </w:rPr>
        <w:t>Evenimentul cel mai semnificativ din perioada recentă a avut loc în aprilie 2017, când o ninsoare abundentă și viscol au afectat 44 de localități din 15 raioane. 810 km de drumuri au fost blocate, peste 1,300 de persoane au fost salvate (inclusiv 140 copii), iar pagubele materiale s-au ridicat la peste 189 milioane lei. Rețeaua electrică a fost grav afectată (66 km de linii electrice, 522 piloni avariați), iar peste 15.000 ha de culturi agricole au fost distruse, alături de pierderi semnificative în sectorul zootehnic (peste 10.000 păsări moarte și 30 ovine).</w:t>
      </w:r>
    </w:p>
    <w:p w14:paraId="15F4408D" w14:textId="54B9A777" w:rsidR="00EC7D41" w:rsidRPr="00CD2ADD" w:rsidRDefault="00EC7D41" w:rsidP="00EC7D41">
      <w:pPr>
        <w:spacing w:after="120"/>
        <w:ind w:firstLine="284"/>
        <w:jc w:val="center"/>
        <w:rPr>
          <w:color w:val="000000" w:themeColor="text1"/>
          <w:lang w:eastAsia="en-US"/>
        </w:rPr>
      </w:pPr>
      <w:r w:rsidRPr="00CD2ADD">
        <w:rPr>
          <w:b/>
          <w:bCs/>
          <w:color w:val="000000" w:themeColor="text1"/>
          <w:lang w:eastAsia="en-US"/>
        </w:rPr>
        <w:t xml:space="preserve">Figura </w:t>
      </w:r>
      <w:r w:rsidR="00CD2ADD">
        <w:rPr>
          <w:b/>
          <w:bCs/>
          <w:color w:val="000000" w:themeColor="text1"/>
          <w:lang w:eastAsia="en-US"/>
        </w:rPr>
        <w:t>30</w:t>
      </w:r>
      <w:r w:rsidRPr="00CD2ADD">
        <w:rPr>
          <w:b/>
          <w:bCs/>
          <w:color w:val="000000" w:themeColor="text1"/>
          <w:lang w:eastAsia="en-US"/>
        </w:rPr>
        <w:t>.</w:t>
      </w:r>
      <w:r w:rsidRPr="00CD2ADD">
        <w:rPr>
          <w:color w:val="000000" w:themeColor="text1"/>
          <w:lang w:eastAsia="en-US"/>
        </w:rPr>
        <w:t xml:space="preserve"> Numărul de cazuri cu ninsori abundente</w:t>
      </w:r>
    </w:p>
    <w:p w14:paraId="28B4ABD0" w14:textId="77777777" w:rsidR="008565D0" w:rsidRPr="00CD2ADD" w:rsidRDefault="008565D0" w:rsidP="00CD2ADD">
      <w:pPr>
        <w:jc w:val="both"/>
        <w:rPr>
          <w:sz w:val="22"/>
          <w:szCs w:val="22"/>
          <w:lang w:eastAsia="en-US"/>
        </w:rPr>
      </w:pPr>
      <w:r w:rsidRPr="00CD2ADD">
        <w:rPr>
          <w:noProof/>
        </w:rPr>
        <w:drawing>
          <wp:inline distT="0" distB="0" distL="0" distR="0" wp14:anchorId="10FDA0EB" wp14:editId="2A4CC265">
            <wp:extent cx="6172200" cy="3835400"/>
            <wp:effectExtent l="0" t="0" r="12700" b="12700"/>
            <wp:docPr id="1198175196" name="Chart 1">
              <a:extLst xmlns:a="http://schemas.openxmlformats.org/drawingml/2006/main">
                <a:ext uri="{FF2B5EF4-FFF2-40B4-BE49-F238E27FC236}">
                  <a16:creationId xmlns:a16="http://schemas.microsoft.com/office/drawing/2014/main" id="{1C59EF14-4A8E-2E88-919E-9BDA97EE0B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6300F6C" w14:textId="37CFB075" w:rsidR="008565D0" w:rsidRPr="00CD2ADD" w:rsidRDefault="008565D0" w:rsidP="00CD2ADD">
      <w:pPr>
        <w:spacing w:after="120"/>
        <w:jc w:val="center"/>
        <w:rPr>
          <w:i/>
          <w:iCs/>
          <w:sz w:val="20"/>
          <w:szCs w:val="20"/>
          <w:lang w:eastAsia="en-US"/>
        </w:rPr>
      </w:pPr>
      <w:r w:rsidRPr="00CD2ADD">
        <w:rPr>
          <w:i/>
          <w:iCs/>
          <w:sz w:val="20"/>
          <w:szCs w:val="20"/>
          <w:lang w:eastAsia="en-US"/>
        </w:rPr>
        <w:t xml:space="preserve">Sursa: </w:t>
      </w:r>
      <w:r w:rsidR="00C357DE" w:rsidRPr="00CD2ADD">
        <w:rPr>
          <w:rStyle w:val="IntenseEmphasis"/>
          <w:b w:val="0"/>
          <w:bCs w:val="0"/>
          <w:i w:val="0"/>
          <w:iCs w:val="0"/>
          <w:color w:val="000000" w:themeColor="text1"/>
          <w:sz w:val="20"/>
          <w:szCs w:val="20"/>
          <w:lang w:eastAsia="en-US"/>
        </w:rPr>
        <w:t xml:space="preserve">SHS </w:t>
      </w:r>
      <w:r w:rsidR="00C357DE" w:rsidRPr="00CD2ADD">
        <w:rPr>
          <w:i/>
          <w:iCs/>
          <w:sz w:val="20"/>
          <w:szCs w:val="22"/>
        </w:rPr>
        <w:t>Date climatice istorice</w:t>
      </w:r>
    </w:p>
    <w:p w14:paraId="061B6852" w14:textId="65535532" w:rsidR="008565D0" w:rsidRPr="00CD2ADD" w:rsidRDefault="00095B66" w:rsidP="00EC7D41">
      <w:pPr>
        <w:pStyle w:val="Subtitle"/>
        <w:spacing w:after="0" w:line="240" w:lineRule="auto"/>
        <w:ind w:firstLine="284"/>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Vulnerabilitate, e</w:t>
      </w:r>
      <w:r w:rsidR="008565D0" w:rsidRPr="00CD2ADD">
        <w:rPr>
          <w:rStyle w:val="IntenseEmphasis"/>
          <w:rFonts w:ascii="Times New Roman" w:hAnsi="Times New Roman" w:cs="Times New Roman"/>
          <w:color w:val="000000" w:themeColor="text1"/>
          <w:sz w:val="24"/>
        </w:rPr>
        <w:t>xpunere și</w:t>
      </w:r>
      <w:r w:rsidRPr="00CD2ADD">
        <w:rPr>
          <w:rStyle w:val="IntenseEmphasis"/>
          <w:rFonts w:ascii="Times New Roman" w:hAnsi="Times New Roman" w:cs="Times New Roman"/>
          <w:color w:val="000000" w:themeColor="text1"/>
          <w:sz w:val="24"/>
        </w:rPr>
        <w:t xml:space="preserve"> capacitate de adaptare</w:t>
      </w:r>
    </w:p>
    <w:p w14:paraId="647DD526" w14:textId="77777777" w:rsidR="008565D0" w:rsidRPr="00CD2ADD" w:rsidRDefault="008565D0">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Cele mai expuse regiuni sunt nordul și centrul Moldovei, unde grosimea stratului de zăpadă este adesea mai mare. Populația rurală și comunitățile izolate sunt mai vulnerabile din cauza accesului limitat la servicii de urgență, echipamente și infrastructură rezilientă. În zonele urbane, perturbările vizează mai ales rețelele de transport și energie.</w:t>
      </w:r>
    </w:p>
    <w:p w14:paraId="6B435415" w14:textId="41956F70" w:rsidR="008565D0" w:rsidRDefault="008565D0" w:rsidP="00EC7D41">
      <w:pPr>
        <w:spacing w:after="120"/>
        <w:ind w:firstLine="284"/>
        <w:jc w:val="both"/>
        <w:rPr>
          <w:color w:val="000000" w:themeColor="text1"/>
          <w:lang w:eastAsia="en-US"/>
        </w:rPr>
      </w:pPr>
      <w:r w:rsidRPr="00CD2ADD">
        <w:rPr>
          <w:color w:val="000000" w:themeColor="text1"/>
          <w:lang w:eastAsia="en-US"/>
        </w:rPr>
        <w:t xml:space="preserve">Deși frecvența ninsorilor abundente a scăzut ușor în ultimii ani, severitatea evenimentelor rămâne ridicată, cu episoade neașteptate și intense, inclusiv în afara sezonului tipic. Astfel, riscul asociat </w:t>
      </w:r>
      <w:r w:rsidRPr="00CD2ADD">
        <w:rPr>
          <w:color w:val="000000" w:themeColor="text1"/>
          <w:lang w:eastAsia="en-US"/>
        </w:rPr>
        <w:lastRenderedPageBreak/>
        <w:t>acestui hazard nu trebuie neglijat.</w:t>
      </w:r>
      <w:r w:rsidR="001C776A" w:rsidRPr="00CD2ADD">
        <w:rPr>
          <w:color w:val="000000" w:themeColor="text1"/>
          <w:lang w:eastAsia="en-US"/>
        </w:rPr>
        <w:t xml:space="preserve"> </w:t>
      </w:r>
      <w:r w:rsidRPr="00CD2ADD">
        <w:rPr>
          <w:color w:val="000000" w:themeColor="text1"/>
          <w:lang w:eastAsia="en-US"/>
        </w:rPr>
        <w:t>Ninsorile abundente și viscolul rămân riscuri relevante pentru Republica Moldova, în ciuda unei tendințe de scădere a frecvenței. Consolidarea capacităților de răspuns, întreținerea infrastructurii critice și implementarea de sisteme de avertizare timpurie sunt esențiale pentru reducerea impactului acestor fenomene meteorologice extreme.</w:t>
      </w:r>
    </w:p>
    <w:p w14:paraId="452A0CD4" w14:textId="3CE35176" w:rsidR="00CC469C" w:rsidRPr="00CC469C" w:rsidRDefault="00CC469C" w:rsidP="00CC469C">
      <w:pPr>
        <w:ind w:firstLine="284"/>
        <w:jc w:val="right"/>
        <w:rPr>
          <w:b/>
          <w:bCs/>
          <w:color w:val="000000" w:themeColor="text1"/>
          <w:lang w:eastAsia="en-US"/>
        </w:rPr>
      </w:pPr>
      <w:r w:rsidRPr="00CC469C">
        <w:rPr>
          <w:b/>
          <w:bCs/>
          <w:color w:val="000000" w:themeColor="text1"/>
          <w:lang w:eastAsia="en-US"/>
        </w:rPr>
        <w:t>Tabelul 15</w:t>
      </w:r>
    </w:p>
    <w:p w14:paraId="64B653ED" w14:textId="69B586E7" w:rsidR="00731470" w:rsidRPr="00CC469C" w:rsidRDefault="007A733F" w:rsidP="00EC7D41">
      <w:pPr>
        <w:spacing w:after="120"/>
        <w:jc w:val="center"/>
        <w:rPr>
          <w:b/>
          <w:i/>
          <w:iCs/>
          <w:color w:val="000000" w:themeColor="text1"/>
          <w:lang w:eastAsia="en-US"/>
        </w:rPr>
      </w:pPr>
      <w:r w:rsidRPr="00CC469C">
        <w:rPr>
          <w:rStyle w:val="IntenseEmphasis"/>
          <w:bCs w:val="0"/>
          <w:i w:val="0"/>
          <w:iCs w:val="0"/>
          <w:color w:val="000000" w:themeColor="text1"/>
          <w:lang w:eastAsia="en-US"/>
        </w:rPr>
        <w:t xml:space="preserve">Măsuri recomandate pentru reducerea riscului de </w:t>
      </w:r>
      <w:r w:rsidR="00731470" w:rsidRPr="00CC469C">
        <w:rPr>
          <w:rStyle w:val="IntenseEmphasis"/>
          <w:bCs w:val="0"/>
          <w:i w:val="0"/>
          <w:iCs w:val="0"/>
          <w:color w:val="000000" w:themeColor="text1"/>
          <w:lang w:eastAsia="en-US"/>
        </w:rPr>
        <w:t xml:space="preserve">ninsori abundente </w:t>
      </w:r>
      <w:r w:rsidR="00CC469C">
        <w:rPr>
          <w:rStyle w:val="IntenseEmphasis"/>
          <w:bCs w:val="0"/>
          <w:i w:val="0"/>
          <w:iCs w:val="0"/>
          <w:color w:val="000000" w:themeColor="text1"/>
          <w:lang w:eastAsia="en-US"/>
        </w:rPr>
        <w:t xml:space="preserve">și </w:t>
      </w:r>
      <w:r w:rsidR="00731470" w:rsidRPr="00CC469C">
        <w:rPr>
          <w:rStyle w:val="IntenseEmphasis"/>
          <w:bCs w:val="0"/>
          <w:i w:val="0"/>
          <w:iCs w:val="0"/>
          <w:color w:val="000000" w:themeColor="text1"/>
          <w:lang w:eastAsia="en-US"/>
        </w:rPr>
        <w:t>viscol</w:t>
      </w:r>
      <w:bookmarkEnd w:id="71"/>
    </w:p>
    <w:tbl>
      <w:tblPr>
        <w:tblStyle w:val="GridTable1Light-Accent41"/>
        <w:tblW w:w="0" w:type="auto"/>
        <w:tblLook w:val="04A0" w:firstRow="1" w:lastRow="0" w:firstColumn="1" w:lastColumn="0" w:noHBand="0" w:noVBand="1"/>
      </w:tblPr>
      <w:tblGrid>
        <w:gridCol w:w="2689"/>
        <w:gridCol w:w="3118"/>
        <w:gridCol w:w="3929"/>
      </w:tblGrid>
      <w:tr w:rsidR="00731470" w:rsidRPr="00CD2ADD" w14:paraId="1260A891" w14:textId="77777777" w:rsidTr="007314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41BE8C6E" w14:textId="333B20BD" w:rsidR="00731470" w:rsidRPr="00CD2ADD" w:rsidRDefault="00731470" w:rsidP="00731470">
            <w:pPr>
              <w:rPr>
                <w:sz w:val="22"/>
                <w:szCs w:val="22"/>
              </w:rPr>
            </w:pPr>
            <w:r w:rsidRPr="00CD2ADD">
              <w:rPr>
                <w:sz w:val="22"/>
                <w:szCs w:val="22"/>
              </w:rPr>
              <w:t>Ninsori abundente, viscol și riscurile asociate</w:t>
            </w:r>
          </w:p>
        </w:tc>
        <w:tc>
          <w:tcPr>
            <w:tcW w:w="3118" w:type="dxa"/>
            <w:hideMark/>
          </w:tcPr>
          <w:p w14:paraId="461E2FED" w14:textId="77777777" w:rsidR="00731470" w:rsidRPr="00CD2ADD" w:rsidRDefault="00731470" w:rsidP="00731470">
            <w:pPr>
              <w:cnfStyle w:val="100000000000" w:firstRow="1" w:lastRow="0" w:firstColumn="0" w:lastColumn="0" w:oddVBand="0" w:evenVBand="0" w:oddHBand="0" w:evenHBand="0" w:firstRowFirstColumn="0" w:firstRowLastColumn="0" w:lastRowFirstColumn="0" w:lastRowLastColumn="0"/>
              <w:rPr>
                <w:sz w:val="22"/>
                <w:szCs w:val="22"/>
              </w:rPr>
            </w:pPr>
            <w:r w:rsidRPr="00CD2ADD">
              <w:rPr>
                <w:sz w:val="22"/>
                <w:szCs w:val="22"/>
              </w:rPr>
              <w:t>Vulnerabilități cheie</w:t>
            </w:r>
          </w:p>
        </w:tc>
        <w:tc>
          <w:tcPr>
            <w:tcW w:w="3929" w:type="dxa"/>
            <w:hideMark/>
          </w:tcPr>
          <w:p w14:paraId="0F217A62" w14:textId="0803BDB7" w:rsidR="00731470" w:rsidRPr="00CD2ADD" w:rsidRDefault="00731470" w:rsidP="00731470">
            <w:pPr>
              <w:cnfStyle w:val="100000000000" w:firstRow="1" w:lastRow="0" w:firstColumn="0" w:lastColumn="0" w:oddVBand="0" w:evenVBand="0" w:oddHBand="0" w:evenHBand="0" w:firstRowFirstColumn="0" w:firstRowLastColumn="0" w:lastRowFirstColumn="0" w:lastRowLastColumn="0"/>
              <w:rPr>
                <w:sz w:val="22"/>
                <w:szCs w:val="22"/>
              </w:rPr>
            </w:pPr>
            <w:r w:rsidRPr="00CD2ADD">
              <w:rPr>
                <w:sz w:val="22"/>
                <w:szCs w:val="22"/>
              </w:rPr>
              <w:t>Măsuri RRD</w:t>
            </w:r>
            <w:r w:rsidR="00621EB6" w:rsidRPr="00CD2ADD">
              <w:rPr>
                <w:sz w:val="22"/>
                <w:szCs w:val="22"/>
              </w:rPr>
              <w:t xml:space="preserve"> </w:t>
            </w:r>
            <w:r w:rsidRPr="00CD2ADD">
              <w:rPr>
                <w:sz w:val="22"/>
                <w:szCs w:val="22"/>
              </w:rPr>
              <w:t>și de adaptare recomandate</w:t>
            </w:r>
          </w:p>
        </w:tc>
      </w:tr>
      <w:tr w:rsidR="00731470" w:rsidRPr="00CD2ADD" w14:paraId="43B6B167" w14:textId="77777777" w:rsidTr="00731470">
        <w:tc>
          <w:tcPr>
            <w:cnfStyle w:val="001000000000" w:firstRow="0" w:lastRow="0" w:firstColumn="1" w:lastColumn="0" w:oddVBand="0" w:evenVBand="0" w:oddHBand="0" w:evenHBand="0" w:firstRowFirstColumn="0" w:firstRowLastColumn="0" w:lastRowFirstColumn="0" w:lastRowLastColumn="0"/>
            <w:tcW w:w="2689" w:type="dxa"/>
            <w:hideMark/>
          </w:tcPr>
          <w:p w14:paraId="212F8789" w14:textId="77777777" w:rsidR="00731470" w:rsidRPr="00CD2ADD" w:rsidRDefault="00731470" w:rsidP="00731470">
            <w:pPr>
              <w:rPr>
                <w:sz w:val="22"/>
                <w:szCs w:val="22"/>
              </w:rPr>
            </w:pPr>
            <w:r w:rsidRPr="00CD2ADD">
              <w:rPr>
                <w:sz w:val="22"/>
                <w:szCs w:val="22"/>
              </w:rPr>
              <w:t>Ninsori abundente și viscol (zăpadă în exces, drumuri blocate, acces limitat la servicii de bază)</w:t>
            </w:r>
          </w:p>
        </w:tc>
        <w:tc>
          <w:tcPr>
            <w:tcW w:w="3118" w:type="dxa"/>
            <w:hideMark/>
          </w:tcPr>
          <w:p w14:paraId="376F69D6" w14:textId="4A6A4EFF" w:rsidR="00731470" w:rsidRPr="00CD2ADD" w:rsidRDefault="00731470" w:rsidP="00731470">
            <w:pPr>
              <w:cnfStyle w:val="000000000000" w:firstRow="0" w:lastRow="0" w:firstColumn="0" w:lastColumn="0" w:oddVBand="0" w:evenVBand="0" w:oddHBand="0" w:evenHBand="0" w:firstRowFirstColumn="0" w:firstRowLastColumn="0" w:lastRowFirstColumn="0" w:lastRowLastColumn="0"/>
              <w:rPr>
                <w:sz w:val="22"/>
                <w:szCs w:val="22"/>
              </w:rPr>
            </w:pPr>
            <w:r w:rsidRPr="00CD2ADD">
              <w:rPr>
                <w:sz w:val="22"/>
                <w:szCs w:val="22"/>
              </w:rPr>
              <w:t>- Informații meteorologice locale insuficiente</w:t>
            </w:r>
            <w:r w:rsidRPr="00CD2ADD">
              <w:rPr>
                <w:sz w:val="22"/>
                <w:szCs w:val="22"/>
              </w:rPr>
              <w:br/>
              <w:t>- Acces limitat la sisteme de alertă și planuri locale de intervenție</w:t>
            </w:r>
            <w:r w:rsidRPr="00CD2ADD">
              <w:rPr>
                <w:sz w:val="22"/>
                <w:szCs w:val="22"/>
              </w:rPr>
              <w:br/>
              <w:t>- Infrastructură vulnerabilă (drumuri, rețele electrice</w:t>
            </w:r>
            <w:r w:rsidR="007A0200" w:rsidRPr="00CD2ADD">
              <w:rPr>
                <w:sz w:val="22"/>
                <w:szCs w:val="22"/>
              </w:rPr>
              <w:t xml:space="preserve"> și de telecomunicații, </w:t>
            </w:r>
            <w:r w:rsidRPr="00CD2ADD">
              <w:rPr>
                <w:sz w:val="22"/>
                <w:szCs w:val="22"/>
              </w:rPr>
              <w:t>izolare rurală)</w:t>
            </w:r>
          </w:p>
        </w:tc>
        <w:tc>
          <w:tcPr>
            <w:tcW w:w="3929" w:type="dxa"/>
            <w:hideMark/>
          </w:tcPr>
          <w:p w14:paraId="483C1321" w14:textId="38A1F0B5" w:rsidR="00731470" w:rsidRPr="00CD2ADD" w:rsidRDefault="00731470" w:rsidP="00731470">
            <w:pPr>
              <w:cnfStyle w:val="000000000000" w:firstRow="0" w:lastRow="0" w:firstColumn="0" w:lastColumn="0" w:oddVBand="0" w:evenVBand="0" w:oddHBand="0" w:evenHBand="0" w:firstRowFirstColumn="0" w:firstRowLastColumn="0" w:lastRowFirstColumn="0" w:lastRowLastColumn="0"/>
              <w:rPr>
                <w:sz w:val="22"/>
                <w:szCs w:val="22"/>
              </w:rPr>
            </w:pPr>
            <w:r w:rsidRPr="00CD2ADD">
              <w:rPr>
                <w:sz w:val="22"/>
                <w:szCs w:val="22"/>
              </w:rPr>
              <w:t>- Dezvoltarea de protocoale locale de răspuns la viscol în raioanele expuse</w:t>
            </w:r>
            <w:r w:rsidRPr="00CD2ADD">
              <w:rPr>
                <w:sz w:val="22"/>
                <w:szCs w:val="22"/>
              </w:rPr>
              <w:br/>
              <w:t>- Îmbunătățirea sistemelor de prognoză și avertizare timpurie la nivel local (inclusiv prin aplicații mobile)</w:t>
            </w:r>
            <w:r w:rsidRPr="00CD2ADD">
              <w:rPr>
                <w:sz w:val="22"/>
                <w:szCs w:val="22"/>
              </w:rPr>
              <w:br/>
              <w:t>- Sprijinirea APL-urilor pentru achiziția de echipamente de deszăpezire și menținerea accesului la instituții cheie</w:t>
            </w:r>
            <w:r w:rsidRPr="00CD2ADD">
              <w:rPr>
                <w:sz w:val="22"/>
                <w:szCs w:val="22"/>
              </w:rPr>
              <w:br/>
              <w:t>- Includerea acestui risc în strategiile locale de RRD și adaptare</w:t>
            </w:r>
          </w:p>
        </w:tc>
      </w:tr>
    </w:tbl>
    <w:p w14:paraId="17AB9027" w14:textId="77777777" w:rsidR="00EC7D41" w:rsidRPr="00CD2ADD" w:rsidRDefault="00EC7D41" w:rsidP="00EC7D41">
      <w:pPr>
        <w:jc w:val="center"/>
        <w:rPr>
          <w:b/>
          <w:bCs/>
          <w:color w:val="000000" w:themeColor="text1"/>
          <w:lang w:eastAsia="en-US"/>
        </w:rPr>
      </w:pPr>
    </w:p>
    <w:p w14:paraId="7DFF4B6C" w14:textId="34AE2419" w:rsidR="00EC7D41" w:rsidRPr="00CD2ADD" w:rsidRDefault="00EC7D41" w:rsidP="00590E37">
      <w:pPr>
        <w:pStyle w:val="Heading3"/>
        <w:spacing w:before="0"/>
        <w:jc w:val="center"/>
        <w:rPr>
          <w:rFonts w:ascii="Times New Roman" w:hAnsi="Times New Roman" w:cs="Times New Roman"/>
          <w:b/>
          <w:bCs w:val="0"/>
          <w:color w:val="000000" w:themeColor="text1"/>
        </w:rPr>
      </w:pPr>
      <w:r w:rsidRPr="00CD2ADD">
        <w:rPr>
          <w:rFonts w:ascii="Times New Roman" w:hAnsi="Times New Roman" w:cs="Times New Roman"/>
          <w:b/>
          <w:bCs w:val="0"/>
          <w:color w:val="000000" w:themeColor="text1"/>
        </w:rPr>
        <w:t>Subsecțiunea a 8-a</w:t>
      </w:r>
    </w:p>
    <w:p w14:paraId="60BEB828" w14:textId="17B7CCD5" w:rsidR="00EC7D41" w:rsidRPr="00CD2ADD" w:rsidRDefault="00EC7D41" w:rsidP="00590E37">
      <w:pPr>
        <w:pStyle w:val="Heading3"/>
        <w:spacing w:before="0"/>
        <w:jc w:val="center"/>
        <w:rPr>
          <w:rFonts w:ascii="Times New Roman" w:hAnsi="Times New Roman" w:cs="Times New Roman"/>
          <w:b/>
          <w:bCs w:val="0"/>
          <w:color w:val="000000" w:themeColor="text1"/>
        </w:rPr>
      </w:pPr>
      <w:r w:rsidRPr="00CD2ADD">
        <w:rPr>
          <w:rFonts w:ascii="Times New Roman" w:hAnsi="Times New Roman" w:cs="Times New Roman"/>
          <w:b/>
          <w:bCs w:val="0"/>
          <w:color w:val="000000" w:themeColor="text1"/>
        </w:rPr>
        <w:t>Îngheț și ger puternic</w:t>
      </w:r>
    </w:p>
    <w:p w14:paraId="5D7E9AC9" w14:textId="52328B2E" w:rsidR="008565D0" w:rsidRPr="00CD2ADD" w:rsidRDefault="008565D0">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Conform Serviciului Hidrometeorologic de Stat (SHS), înghețul reprezintă scăderea temperaturii aerului sau la suprafața solului până la 0°C și mai jos în perioada de vegetație. Aceste temperaturi negative survenite în afara sezonului rece pot afecta grav culturile agricole, în special în etapele timpurii de dezvoltare. Gerul puternic, în schimb, se referă la temperaturi foarte scăzute (sub -10°C) în sezonul rece, cu potențial de afectare a solului, rețelelor de apă, infrastructurii și sănătății populației vulnerabile.</w:t>
      </w:r>
    </w:p>
    <w:p w14:paraId="13047472" w14:textId="77777777" w:rsidR="00643026" w:rsidRPr="00CD2ADD" w:rsidRDefault="00643026" w:rsidP="00EC7D41">
      <w:pPr>
        <w:pStyle w:val="Subtitle"/>
        <w:spacing w:after="0" w:line="240" w:lineRule="auto"/>
        <w:ind w:firstLine="284"/>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Impact socio-economic</w:t>
      </w:r>
    </w:p>
    <w:p w14:paraId="643AB30B" w14:textId="269CC3F0" w:rsidR="00643026" w:rsidRPr="00CD2ADD" w:rsidRDefault="00643026">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Pagubele materiale generate de aceste evenimente se ridică la peste 615 milioane lei în perioada 2010–2024, reprezentând aproximativ 2,6% din totalul pierderilor provocate de situațiile excepționale naturale din Republica Moldova. Cele mai costisitoare episoade au fost în 2016 (81,9 milioane lei), 2017 (90 milioane lei), 2022 (104 milioane lei) și 2024 (76,6 milioane lei), sugerând o creștere a vulnerabilității în anumite sectoare agricole sau regiuni. De menționat că înghețurile de primăvară afectează în special culturile pomicole și viticole, în perioada de înmugurire sau înflorire.</w:t>
      </w:r>
    </w:p>
    <w:p w14:paraId="5D04F8CB" w14:textId="77777777" w:rsidR="008565D0" w:rsidRPr="00CD2ADD" w:rsidRDefault="008565D0" w:rsidP="00EC7D41">
      <w:pPr>
        <w:ind w:firstLine="284"/>
        <w:jc w:val="both"/>
        <w:rPr>
          <w:color w:val="000000" w:themeColor="text1"/>
          <w:lang w:eastAsia="en-US"/>
        </w:rPr>
      </w:pPr>
      <w:r w:rsidRPr="00CD2ADD">
        <w:rPr>
          <w:color w:val="000000" w:themeColor="text1"/>
          <w:lang w:eastAsia="en-US"/>
        </w:rPr>
        <w:t>Culturile cele mai afectate de înghețurile de primăvară sunt pomii fructiferi, în special caisul, piersicul și cireșul. Aceste specii pot fi grav afectate de temperaturi negative în timpul înfloririi: la cais, daunele apar la -2,5°C în faza de muguri florali și la -1°C în plină înflorire; la piersic, daunele pot apărea încă de la -2,2°C. De asemenea, vița-de-vie este sensibilă în fazele de înmugurire și dezmugurire, cu pierderi semnificative în cazul înghețurilor târzii.</w:t>
      </w:r>
    </w:p>
    <w:p w14:paraId="22C9738B" w14:textId="77777777" w:rsidR="008565D0" w:rsidRDefault="008565D0" w:rsidP="00EC7D41">
      <w:pPr>
        <w:spacing w:after="120"/>
        <w:ind w:firstLine="284"/>
        <w:jc w:val="both"/>
        <w:rPr>
          <w:color w:val="000000" w:themeColor="text1"/>
          <w:lang w:eastAsia="en-US"/>
        </w:rPr>
      </w:pPr>
      <w:r w:rsidRPr="00CD2ADD">
        <w:rPr>
          <w:color w:val="000000" w:themeColor="text1"/>
          <w:lang w:eastAsia="en-US"/>
        </w:rPr>
        <w:t>În general, plantele mai rezistente la îngheț includ cerealele de toamnă (grâu, orz), rapița, căpșunul și unele soiuri de măr sau prun, care pot tolera temperaturi de până la -5°C sau chiar mai scăzute în anumite stadii de dezvoltare. În schimb, plantele mai sensibile, cum sunt vița-de-vie, caisul, piersicul, și cireșul menționate mai sus, precum si pepenele, roșiile sau cartofii, pot suferi pierderi importante chiar la temperaturi ușor negative (între 0°C și -2°C), mai ales în fazele timpurii de vegetație.</w:t>
      </w:r>
    </w:p>
    <w:p w14:paraId="6B073CC9" w14:textId="77777777" w:rsidR="00AB18CF" w:rsidRDefault="00AB18CF" w:rsidP="00EC7D41">
      <w:pPr>
        <w:spacing w:after="120"/>
        <w:ind w:firstLine="284"/>
        <w:jc w:val="both"/>
        <w:rPr>
          <w:color w:val="000000" w:themeColor="text1"/>
          <w:lang w:eastAsia="en-US"/>
        </w:rPr>
      </w:pPr>
    </w:p>
    <w:p w14:paraId="02FACAFA" w14:textId="77777777" w:rsidR="00AB18CF" w:rsidRDefault="00AB18CF" w:rsidP="00EC7D41">
      <w:pPr>
        <w:spacing w:after="120"/>
        <w:ind w:firstLine="284"/>
        <w:jc w:val="both"/>
        <w:rPr>
          <w:color w:val="000000" w:themeColor="text1"/>
          <w:lang w:eastAsia="en-US"/>
        </w:rPr>
      </w:pPr>
    </w:p>
    <w:p w14:paraId="22F12D47" w14:textId="77777777" w:rsidR="00AB18CF" w:rsidRDefault="00AB18CF" w:rsidP="00EC7D41">
      <w:pPr>
        <w:spacing w:after="120"/>
        <w:ind w:firstLine="284"/>
        <w:jc w:val="both"/>
        <w:rPr>
          <w:color w:val="000000" w:themeColor="text1"/>
          <w:lang w:eastAsia="en-US"/>
        </w:rPr>
      </w:pPr>
    </w:p>
    <w:p w14:paraId="7B8C87AA" w14:textId="77777777" w:rsidR="00AB18CF" w:rsidRPr="00CD2ADD" w:rsidRDefault="00AB18CF" w:rsidP="00EC7D41">
      <w:pPr>
        <w:spacing w:after="120"/>
        <w:ind w:firstLine="284"/>
        <w:jc w:val="both"/>
        <w:rPr>
          <w:color w:val="000000" w:themeColor="text1"/>
          <w:lang w:eastAsia="en-US"/>
        </w:rPr>
      </w:pPr>
    </w:p>
    <w:p w14:paraId="19F8AA57" w14:textId="7F683A1E" w:rsidR="00EC7D41" w:rsidRPr="00CD2ADD" w:rsidRDefault="00EC7D41" w:rsidP="00EC7D41">
      <w:pPr>
        <w:spacing w:after="120"/>
        <w:ind w:firstLine="284"/>
        <w:jc w:val="center"/>
        <w:rPr>
          <w:color w:val="000000" w:themeColor="text1"/>
          <w:lang w:eastAsia="en-US"/>
        </w:rPr>
      </w:pPr>
      <w:r w:rsidRPr="00CD2ADD">
        <w:rPr>
          <w:b/>
          <w:bCs/>
          <w:color w:val="000000" w:themeColor="text1"/>
          <w:lang w:eastAsia="en-US"/>
        </w:rPr>
        <w:lastRenderedPageBreak/>
        <w:t>Figura 3</w:t>
      </w:r>
      <w:r w:rsidR="00CC469C">
        <w:rPr>
          <w:b/>
          <w:bCs/>
          <w:color w:val="000000" w:themeColor="text1"/>
          <w:lang w:eastAsia="en-US"/>
        </w:rPr>
        <w:t>1</w:t>
      </w:r>
      <w:r w:rsidRPr="00CD2ADD">
        <w:rPr>
          <w:b/>
          <w:bCs/>
          <w:color w:val="000000" w:themeColor="text1"/>
          <w:lang w:eastAsia="en-US"/>
        </w:rPr>
        <w:t>.</w:t>
      </w:r>
      <w:r w:rsidRPr="00CD2ADD">
        <w:rPr>
          <w:color w:val="000000" w:themeColor="text1"/>
          <w:lang w:eastAsia="en-US"/>
        </w:rPr>
        <w:t xml:space="preserve"> Numărul situațiilor excepționale cu îngheț și ger puternic</w:t>
      </w:r>
    </w:p>
    <w:p w14:paraId="4787F79D" w14:textId="77777777" w:rsidR="008565D0" w:rsidRPr="00CD2ADD" w:rsidRDefault="008565D0" w:rsidP="00CC469C">
      <w:pPr>
        <w:jc w:val="center"/>
        <w:rPr>
          <w:sz w:val="22"/>
          <w:szCs w:val="22"/>
          <w:lang w:eastAsia="en-US"/>
        </w:rPr>
      </w:pPr>
      <w:r w:rsidRPr="00CD2ADD">
        <w:rPr>
          <w:noProof/>
        </w:rPr>
        <w:drawing>
          <wp:inline distT="0" distB="0" distL="0" distR="0" wp14:anchorId="31FF8042" wp14:editId="0054B121">
            <wp:extent cx="5606415" cy="2808514"/>
            <wp:effectExtent l="0" t="0" r="6985" b="11430"/>
            <wp:docPr id="1405085041" name="Chart 1">
              <a:extLst xmlns:a="http://schemas.openxmlformats.org/drawingml/2006/main">
                <a:ext uri="{FF2B5EF4-FFF2-40B4-BE49-F238E27FC236}">
                  <a16:creationId xmlns:a16="http://schemas.microsoft.com/office/drawing/2014/main" id="{E663A3FF-5272-C461-F969-BCD3A23539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6330AF1" w14:textId="77777777" w:rsidR="008565D0" w:rsidRPr="00CC469C" w:rsidRDefault="008565D0" w:rsidP="00EC7D41">
      <w:pPr>
        <w:jc w:val="center"/>
        <w:rPr>
          <w:i/>
          <w:iCs/>
          <w:sz w:val="20"/>
          <w:szCs w:val="20"/>
          <w:lang w:eastAsia="en-US"/>
        </w:rPr>
      </w:pPr>
      <w:r w:rsidRPr="00CC469C">
        <w:rPr>
          <w:i/>
          <w:iCs/>
          <w:sz w:val="20"/>
          <w:szCs w:val="20"/>
          <w:lang w:eastAsia="en-US"/>
        </w:rPr>
        <w:t>Sursa: IGSU – Date privind situațiile excepționale 2010–2024</w:t>
      </w:r>
    </w:p>
    <w:p w14:paraId="2F378F47" w14:textId="48A01EC7" w:rsidR="008565D0" w:rsidRPr="00CC469C" w:rsidRDefault="008565D0" w:rsidP="00EC7D41">
      <w:pPr>
        <w:ind w:firstLine="284"/>
        <w:jc w:val="both"/>
        <w:rPr>
          <w:lang w:eastAsia="en-US"/>
        </w:rPr>
      </w:pPr>
      <w:r w:rsidRPr="00CC469C">
        <w:rPr>
          <w:lang w:eastAsia="en-US"/>
        </w:rPr>
        <w:t xml:space="preserve">Înghețurile și episoadele de ger sever au fost înregistrate sporadic în perioada 2010–2024, cu un total de 54 de situații excepționale. Cele mai multe cazuri s-au produs în anii </w:t>
      </w:r>
      <w:r w:rsidR="00200720" w:rsidRPr="00CC469C">
        <w:rPr>
          <w:lang w:eastAsia="en-US"/>
        </w:rPr>
        <w:t xml:space="preserve">2014 (5 cazuri), </w:t>
      </w:r>
      <w:r w:rsidRPr="00CC469C">
        <w:rPr>
          <w:lang w:eastAsia="en-US"/>
        </w:rPr>
        <w:t xml:space="preserve">2017 (23 cazuri), 2022 (6 cazuri), 2024 (5 cazuri). Deși frecvența este redusă, evenimentele pot avea efecte considerabile atunci când apar în momente critice pentru culturile agricole, în special primăvara devreme sau toamna târziu (figura </w:t>
      </w:r>
      <w:r w:rsidR="001624BA" w:rsidRPr="00CC469C">
        <w:rPr>
          <w:lang w:eastAsia="en-US"/>
        </w:rPr>
        <w:t>3</w:t>
      </w:r>
      <w:r w:rsidR="00CC469C">
        <w:rPr>
          <w:lang w:eastAsia="en-US"/>
        </w:rPr>
        <w:t>1</w:t>
      </w:r>
      <w:r w:rsidRPr="00CC469C">
        <w:rPr>
          <w:lang w:eastAsia="en-US"/>
        </w:rPr>
        <w:t>).</w:t>
      </w:r>
    </w:p>
    <w:p w14:paraId="01805477" w14:textId="45B1219D" w:rsidR="008565D0" w:rsidRPr="00CC469C" w:rsidRDefault="008565D0" w:rsidP="00CC469C">
      <w:pPr>
        <w:ind w:firstLine="284"/>
        <w:jc w:val="both"/>
        <w:rPr>
          <w:lang w:eastAsia="en-US"/>
        </w:rPr>
      </w:pPr>
      <w:r w:rsidRPr="00CC469C">
        <w:rPr>
          <w:lang w:eastAsia="en-US"/>
        </w:rPr>
        <w:t xml:space="preserve">Conform datelor istorice privind frecvența înghețurilor de primăvară colectate de SHS (tabel </w:t>
      </w:r>
      <w:r w:rsidR="00CC469C">
        <w:rPr>
          <w:lang w:eastAsia="en-US"/>
        </w:rPr>
        <w:t>1</w:t>
      </w:r>
      <w:r w:rsidR="001624BA" w:rsidRPr="00CC469C">
        <w:rPr>
          <w:lang w:eastAsia="en-US"/>
        </w:rPr>
        <w:t>6</w:t>
      </w:r>
      <w:r w:rsidRPr="00CC469C">
        <w:rPr>
          <w:lang w:eastAsia="en-US"/>
        </w:rPr>
        <w:t>):</w:t>
      </w:r>
    </w:p>
    <w:p w14:paraId="4DEB0F06" w14:textId="53E5741E" w:rsidR="00361687" w:rsidRPr="00CD2ADD" w:rsidRDefault="008565D0" w:rsidP="00EC7D41">
      <w:pPr>
        <w:spacing w:after="120"/>
        <w:ind w:firstLine="284"/>
        <w:jc w:val="both"/>
        <w:rPr>
          <w:color w:val="000000" w:themeColor="text1"/>
          <w:sz w:val="22"/>
        </w:rPr>
      </w:pPr>
      <w:r w:rsidRPr="00CD2ADD">
        <w:rPr>
          <w:b/>
          <w:bCs/>
          <w:color w:val="000000" w:themeColor="text1"/>
          <w:sz w:val="22"/>
        </w:rPr>
        <w:t>În nordul țării (Bălți),</w:t>
      </w:r>
      <w:r w:rsidRPr="00CD2ADD">
        <w:rPr>
          <w:color w:val="000000" w:themeColor="text1"/>
          <w:sz w:val="22"/>
        </w:rPr>
        <w:t xml:space="preserve"> în intervalul 16–20 aprilie, temperaturile pot coborî până la -4°C o dată la 20 de ani, -1°C o dată la 5 ani și 0°C chiar o dată la 3 ani. La începutul lunii mai (1–5.V), sunt posibile temperaturi negative de până la -1°C o dată la 20 de ani.</w:t>
      </w:r>
      <w:r w:rsidR="00F42332" w:rsidRPr="00CD2ADD">
        <w:rPr>
          <w:color w:val="000000" w:themeColor="text1"/>
          <w:sz w:val="22"/>
        </w:rPr>
        <w:t xml:space="preserve"> </w:t>
      </w:r>
      <w:r w:rsidRPr="00CD2ADD">
        <w:rPr>
          <w:b/>
          <w:bCs/>
          <w:color w:val="000000" w:themeColor="text1"/>
          <w:sz w:val="22"/>
        </w:rPr>
        <w:t>În zona centrală (Chișinău),</w:t>
      </w:r>
      <w:r w:rsidRPr="00CD2ADD">
        <w:rPr>
          <w:color w:val="000000" w:themeColor="text1"/>
          <w:sz w:val="22"/>
        </w:rPr>
        <w:t xml:space="preserve"> în aceeași perioadă (16–20.IV), temperaturile scad rar sub 0°C, dar înghețuri de -1°C sunt posibile o dată la 20 de ani. În perioada 1–5 mai, temperaturile negative nu mai apar, dar pot fi înregistrate valori de +2°C până la +5°C cu frecvență relativ mare.</w:t>
      </w:r>
      <w:r w:rsidR="00F42332" w:rsidRPr="00CD2ADD">
        <w:rPr>
          <w:color w:val="000000" w:themeColor="text1"/>
          <w:sz w:val="22"/>
        </w:rPr>
        <w:t xml:space="preserve"> </w:t>
      </w:r>
      <w:r w:rsidRPr="00CD2ADD">
        <w:rPr>
          <w:b/>
          <w:bCs/>
          <w:color w:val="000000" w:themeColor="text1"/>
          <w:sz w:val="22"/>
        </w:rPr>
        <w:t>În sudul țării (Cahul),</w:t>
      </w:r>
      <w:r w:rsidRPr="00CD2ADD">
        <w:rPr>
          <w:color w:val="000000" w:themeColor="text1"/>
          <w:sz w:val="22"/>
        </w:rPr>
        <w:t xml:space="preserve"> riscul de îngheț este semnificativ redus după 20 aprilie. Totuși, temperaturi de -1°C pot apărea în perioada 16–20 aprilie o dată la 20 de ani, iar între 1–5 mai pot apărea valori scăzute de până la +2°C (o dată la 20 de ani) sau chiar +6°C (o dată la 3 ani).</w:t>
      </w:r>
      <w:r w:rsidR="00AD40CA" w:rsidRPr="00CD2ADD">
        <w:rPr>
          <w:color w:val="000000" w:themeColor="text1"/>
          <w:sz w:val="22"/>
        </w:rPr>
        <w:t xml:space="preserve"> </w:t>
      </w:r>
    </w:p>
    <w:p w14:paraId="5868ACC4" w14:textId="66F0F9EF" w:rsidR="00AD40CA" w:rsidRPr="00CD2ADD" w:rsidRDefault="00AD40CA" w:rsidP="00AD40CA">
      <w:pPr>
        <w:spacing w:after="120"/>
        <w:ind w:firstLine="284"/>
        <w:jc w:val="right"/>
        <w:rPr>
          <w:b/>
          <w:bCs/>
          <w:color w:val="000000" w:themeColor="text1"/>
          <w:sz w:val="22"/>
        </w:rPr>
      </w:pPr>
      <w:r w:rsidRPr="00CD2ADD">
        <w:rPr>
          <w:b/>
          <w:bCs/>
          <w:color w:val="000000" w:themeColor="text1"/>
          <w:sz w:val="22"/>
        </w:rPr>
        <w:t xml:space="preserve">Tabelul </w:t>
      </w:r>
      <w:r w:rsidR="00CC469C">
        <w:rPr>
          <w:b/>
          <w:bCs/>
          <w:color w:val="000000" w:themeColor="text1"/>
          <w:sz w:val="22"/>
        </w:rPr>
        <w:t>16</w:t>
      </w:r>
    </w:p>
    <w:p w14:paraId="623E5A5C" w14:textId="65F7A948" w:rsidR="008565D0" w:rsidRPr="00CD2ADD" w:rsidRDefault="00AD40CA" w:rsidP="00AD40CA">
      <w:pPr>
        <w:spacing w:after="120"/>
        <w:ind w:firstLine="284"/>
        <w:jc w:val="center"/>
        <w:rPr>
          <w:b/>
          <w:bCs/>
          <w:color w:val="000000" w:themeColor="text1"/>
          <w:sz w:val="22"/>
        </w:rPr>
      </w:pPr>
      <w:r w:rsidRPr="00CD2ADD">
        <w:rPr>
          <w:b/>
          <w:bCs/>
          <w:color w:val="000000" w:themeColor="text1"/>
          <w:sz w:val="22"/>
        </w:rPr>
        <w:t>Frecvența înghețurilor de primăvară la cele 3 stații meteorologice de referinț</w:t>
      </w:r>
      <w:r w:rsidR="00BE3BDE">
        <w:rPr>
          <w:b/>
          <w:bCs/>
          <w:color w:val="000000" w:themeColor="text1"/>
          <w:sz w:val="22"/>
        </w:rPr>
        <w:t>ă</w:t>
      </w:r>
    </w:p>
    <w:tbl>
      <w:tblPr>
        <w:tblStyle w:val="GridTable7Colorful-Accent4"/>
        <w:tblW w:w="9394" w:type="dxa"/>
        <w:tblLook w:val="04A0" w:firstRow="1" w:lastRow="0" w:firstColumn="1" w:lastColumn="0" w:noHBand="0" w:noVBand="1"/>
      </w:tblPr>
      <w:tblGrid>
        <w:gridCol w:w="2034"/>
        <w:gridCol w:w="1840"/>
        <w:gridCol w:w="1840"/>
        <w:gridCol w:w="1840"/>
        <w:gridCol w:w="1840"/>
      </w:tblGrid>
      <w:tr w:rsidR="008565D0" w:rsidRPr="00CD2ADD" w14:paraId="3CD4F50D" w14:textId="77777777" w:rsidTr="00361687">
        <w:trPr>
          <w:cnfStyle w:val="100000000000" w:firstRow="1" w:lastRow="0" w:firstColumn="0" w:lastColumn="0" w:oddVBand="0" w:evenVBand="0" w:oddHBand="0" w:evenHBand="0" w:firstRowFirstColumn="0" w:firstRowLastColumn="0" w:lastRowFirstColumn="0" w:lastRowLastColumn="0"/>
          <w:trHeight w:val="319"/>
        </w:trPr>
        <w:tc>
          <w:tcPr>
            <w:cnfStyle w:val="001000000100" w:firstRow="0" w:lastRow="0" w:firstColumn="1" w:lastColumn="0" w:oddVBand="0" w:evenVBand="0" w:oddHBand="0" w:evenHBand="0" w:firstRowFirstColumn="1" w:firstRowLastColumn="0" w:lastRowFirstColumn="0" w:lastRowLastColumn="0"/>
            <w:tcW w:w="0" w:type="dxa"/>
            <w:gridSpan w:val="5"/>
            <w:noWrap/>
            <w:hideMark/>
          </w:tcPr>
          <w:p w14:paraId="0D1D6C6B" w14:textId="77777777" w:rsidR="008565D0" w:rsidRPr="00CD2ADD" w:rsidRDefault="008565D0" w:rsidP="00741F9B">
            <w:pPr>
              <w:jc w:val="center"/>
              <w:rPr>
                <w:color w:val="000000"/>
                <w:sz w:val="22"/>
              </w:rPr>
            </w:pPr>
            <w:r w:rsidRPr="00CD2ADD">
              <w:rPr>
                <w:color w:val="000000"/>
                <w:sz w:val="22"/>
              </w:rPr>
              <w:t>Bălți</w:t>
            </w:r>
          </w:p>
        </w:tc>
      </w:tr>
      <w:tr w:rsidR="00F36723" w:rsidRPr="00CD2ADD" w14:paraId="71139223" w14:textId="77777777" w:rsidTr="0036168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50C9C5B2" w14:textId="77777777" w:rsidR="008565D0" w:rsidRPr="00CD2ADD" w:rsidRDefault="008565D0" w:rsidP="00741F9B">
            <w:pPr>
              <w:jc w:val="center"/>
              <w:rPr>
                <w:b/>
                <w:color w:val="000000"/>
                <w:sz w:val="22"/>
              </w:rPr>
            </w:pPr>
            <w:r w:rsidRPr="00CD2ADD">
              <w:rPr>
                <w:b/>
                <w:color w:val="000000"/>
                <w:sz w:val="22"/>
              </w:rPr>
              <w:t>Data</w:t>
            </w:r>
          </w:p>
        </w:tc>
        <w:tc>
          <w:tcPr>
            <w:tcW w:w="0" w:type="dxa"/>
            <w:hideMark/>
          </w:tcPr>
          <w:p w14:paraId="67B20C90"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b/>
                <w:color w:val="000000"/>
                <w:sz w:val="22"/>
              </w:rPr>
            </w:pPr>
            <w:r w:rsidRPr="00CD2ADD">
              <w:rPr>
                <w:b/>
                <w:color w:val="000000"/>
                <w:sz w:val="22"/>
              </w:rPr>
              <w:t>O dată la 20 ani</w:t>
            </w:r>
          </w:p>
        </w:tc>
        <w:tc>
          <w:tcPr>
            <w:tcW w:w="0" w:type="dxa"/>
            <w:hideMark/>
          </w:tcPr>
          <w:p w14:paraId="3498D46B"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b/>
                <w:color w:val="000000"/>
                <w:sz w:val="22"/>
              </w:rPr>
            </w:pPr>
            <w:r w:rsidRPr="00CD2ADD">
              <w:rPr>
                <w:b/>
                <w:color w:val="000000"/>
                <w:sz w:val="22"/>
              </w:rPr>
              <w:t>O dată la 10 ani</w:t>
            </w:r>
          </w:p>
        </w:tc>
        <w:tc>
          <w:tcPr>
            <w:tcW w:w="0" w:type="dxa"/>
            <w:hideMark/>
          </w:tcPr>
          <w:p w14:paraId="6619DA1F"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b/>
                <w:color w:val="000000"/>
                <w:sz w:val="22"/>
              </w:rPr>
            </w:pPr>
            <w:r w:rsidRPr="00CD2ADD">
              <w:rPr>
                <w:b/>
                <w:color w:val="000000"/>
                <w:sz w:val="22"/>
              </w:rPr>
              <w:t>O dată la 5 ani</w:t>
            </w:r>
          </w:p>
        </w:tc>
        <w:tc>
          <w:tcPr>
            <w:tcW w:w="0" w:type="dxa"/>
            <w:hideMark/>
          </w:tcPr>
          <w:p w14:paraId="08D1BB85"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b/>
                <w:color w:val="000000"/>
                <w:sz w:val="22"/>
              </w:rPr>
            </w:pPr>
            <w:r w:rsidRPr="00CD2ADD">
              <w:rPr>
                <w:b/>
                <w:color w:val="000000"/>
                <w:sz w:val="22"/>
              </w:rPr>
              <w:t>O dată la 3 ani</w:t>
            </w:r>
          </w:p>
        </w:tc>
      </w:tr>
      <w:tr w:rsidR="008565D0" w:rsidRPr="00CD2ADD" w14:paraId="6B5C4B36" w14:textId="77777777" w:rsidTr="00361687">
        <w:trPr>
          <w:trHeight w:val="299"/>
        </w:trPr>
        <w:tc>
          <w:tcPr>
            <w:cnfStyle w:val="001000000000" w:firstRow="0" w:lastRow="0" w:firstColumn="1" w:lastColumn="0" w:oddVBand="0" w:evenVBand="0" w:oddHBand="0" w:evenHBand="0" w:firstRowFirstColumn="0" w:firstRowLastColumn="0" w:lastRowFirstColumn="0" w:lastRowLastColumn="0"/>
            <w:tcW w:w="0" w:type="dxa"/>
            <w:vMerge/>
            <w:hideMark/>
          </w:tcPr>
          <w:p w14:paraId="16DA4B18" w14:textId="77777777" w:rsidR="008565D0" w:rsidRPr="00CD2ADD" w:rsidRDefault="008565D0" w:rsidP="00741F9B">
            <w:pPr>
              <w:rPr>
                <w:b/>
                <w:color w:val="000000"/>
                <w:sz w:val="22"/>
              </w:rPr>
            </w:pPr>
          </w:p>
        </w:tc>
        <w:tc>
          <w:tcPr>
            <w:tcW w:w="0" w:type="dxa"/>
            <w:gridSpan w:val="4"/>
            <w:hideMark/>
          </w:tcPr>
          <w:p w14:paraId="4F7F8D4B"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Temperatura aerului, °С</w:t>
            </w:r>
          </w:p>
        </w:tc>
      </w:tr>
      <w:tr w:rsidR="00F36723" w:rsidRPr="00CD2ADD" w14:paraId="12B2C7BA" w14:textId="77777777" w:rsidTr="0036168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dxa"/>
            <w:hideMark/>
          </w:tcPr>
          <w:p w14:paraId="4EBE5612" w14:textId="77777777" w:rsidR="008565D0" w:rsidRPr="00CD2ADD" w:rsidRDefault="008565D0" w:rsidP="00741F9B">
            <w:pPr>
              <w:jc w:val="center"/>
              <w:rPr>
                <w:color w:val="000000"/>
                <w:sz w:val="22"/>
              </w:rPr>
            </w:pPr>
            <w:r w:rsidRPr="00CD2ADD">
              <w:rPr>
                <w:color w:val="000000"/>
                <w:sz w:val="22"/>
              </w:rPr>
              <w:t>16-20.IV</w:t>
            </w:r>
          </w:p>
        </w:tc>
        <w:tc>
          <w:tcPr>
            <w:tcW w:w="0" w:type="dxa"/>
            <w:hideMark/>
          </w:tcPr>
          <w:p w14:paraId="76F8C953"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-4</w:t>
            </w:r>
          </w:p>
        </w:tc>
        <w:tc>
          <w:tcPr>
            <w:tcW w:w="0" w:type="dxa"/>
            <w:hideMark/>
          </w:tcPr>
          <w:p w14:paraId="41507EB9"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-3</w:t>
            </w:r>
          </w:p>
        </w:tc>
        <w:tc>
          <w:tcPr>
            <w:tcW w:w="0" w:type="dxa"/>
            <w:hideMark/>
          </w:tcPr>
          <w:p w14:paraId="481A4591"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-1</w:t>
            </w:r>
          </w:p>
        </w:tc>
        <w:tc>
          <w:tcPr>
            <w:tcW w:w="0" w:type="dxa"/>
            <w:hideMark/>
          </w:tcPr>
          <w:p w14:paraId="32EB94A8"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0</w:t>
            </w:r>
          </w:p>
        </w:tc>
      </w:tr>
      <w:tr w:rsidR="008565D0" w:rsidRPr="00CD2ADD" w14:paraId="2FDDDD5B" w14:textId="77777777" w:rsidTr="00361687">
        <w:trPr>
          <w:trHeight w:val="299"/>
        </w:trPr>
        <w:tc>
          <w:tcPr>
            <w:cnfStyle w:val="001000000000" w:firstRow="0" w:lastRow="0" w:firstColumn="1" w:lastColumn="0" w:oddVBand="0" w:evenVBand="0" w:oddHBand="0" w:evenHBand="0" w:firstRowFirstColumn="0" w:firstRowLastColumn="0" w:lastRowFirstColumn="0" w:lastRowLastColumn="0"/>
            <w:tcW w:w="0" w:type="dxa"/>
            <w:hideMark/>
          </w:tcPr>
          <w:p w14:paraId="6FA4E41D" w14:textId="77777777" w:rsidR="008565D0" w:rsidRPr="00CD2ADD" w:rsidRDefault="008565D0" w:rsidP="00741F9B">
            <w:pPr>
              <w:jc w:val="center"/>
              <w:rPr>
                <w:color w:val="000000"/>
                <w:sz w:val="22"/>
              </w:rPr>
            </w:pPr>
            <w:r w:rsidRPr="00CD2ADD">
              <w:rPr>
                <w:color w:val="000000"/>
                <w:sz w:val="22"/>
              </w:rPr>
              <w:t>21-25.IV</w:t>
            </w:r>
          </w:p>
        </w:tc>
        <w:tc>
          <w:tcPr>
            <w:tcW w:w="0" w:type="dxa"/>
            <w:hideMark/>
          </w:tcPr>
          <w:p w14:paraId="23D0198F"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-3</w:t>
            </w:r>
          </w:p>
        </w:tc>
        <w:tc>
          <w:tcPr>
            <w:tcW w:w="0" w:type="dxa"/>
            <w:hideMark/>
          </w:tcPr>
          <w:p w14:paraId="01714185"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-2</w:t>
            </w:r>
          </w:p>
        </w:tc>
        <w:tc>
          <w:tcPr>
            <w:tcW w:w="0" w:type="dxa"/>
            <w:hideMark/>
          </w:tcPr>
          <w:p w14:paraId="70EB3220"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-1</w:t>
            </w:r>
          </w:p>
        </w:tc>
        <w:tc>
          <w:tcPr>
            <w:tcW w:w="0" w:type="dxa"/>
            <w:hideMark/>
          </w:tcPr>
          <w:p w14:paraId="09EEF947"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0</w:t>
            </w:r>
          </w:p>
        </w:tc>
      </w:tr>
      <w:tr w:rsidR="00F36723" w:rsidRPr="00CD2ADD" w14:paraId="4C147E7A" w14:textId="77777777" w:rsidTr="0036168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dxa"/>
            <w:hideMark/>
          </w:tcPr>
          <w:p w14:paraId="6D81A740" w14:textId="77777777" w:rsidR="008565D0" w:rsidRPr="00CD2ADD" w:rsidRDefault="008565D0" w:rsidP="00741F9B">
            <w:pPr>
              <w:jc w:val="center"/>
              <w:rPr>
                <w:color w:val="000000"/>
                <w:sz w:val="22"/>
              </w:rPr>
            </w:pPr>
            <w:r w:rsidRPr="00CD2ADD">
              <w:rPr>
                <w:color w:val="000000"/>
                <w:sz w:val="22"/>
              </w:rPr>
              <w:t>26-30.IV</w:t>
            </w:r>
          </w:p>
        </w:tc>
        <w:tc>
          <w:tcPr>
            <w:tcW w:w="0" w:type="dxa"/>
            <w:hideMark/>
          </w:tcPr>
          <w:p w14:paraId="21FA2F1F"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-2</w:t>
            </w:r>
          </w:p>
        </w:tc>
        <w:tc>
          <w:tcPr>
            <w:tcW w:w="0" w:type="dxa"/>
            <w:hideMark/>
          </w:tcPr>
          <w:p w14:paraId="15EE8F42"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-1</w:t>
            </w:r>
          </w:p>
        </w:tc>
        <w:tc>
          <w:tcPr>
            <w:tcW w:w="0" w:type="dxa"/>
            <w:hideMark/>
          </w:tcPr>
          <w:p w14:paraId="7BFA8607"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1</w:t>
            </w:r>
          </w:p>
        </w:tc>
        <w:tc>
          <w:tcPr>
            <w:tcW w:w="0" w:type="dxa"/>
            <w:hideMark/>
          </w:tcPr>
          <w:p w14:paraId="54F4BD71"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2</w:t>
            </w:r>
          </w:p>
        </w:tc>
      </w:tr>
      <w:tr w:rsidR="008565D0" w:rsidRPr="00CD2ADD" w14:paraId="576D8175" w14:textId="77777777" w:rsidTr="00361687">
        <w:trPr>
          <w:trHeight w:val="359"/>
        </w:trPr>
        <w:tc>
          <w:tcPr>
            <w:cnfStyle w:val="001000000000" w:firstRow="0" w:lastRow="0" w:firstColumn="1" w:lastColumn="0" w:oddVBand="0" w:evenVBand="0" w:oddHBand="0" w:evenHBand="0" w:firstRowFirstColumn="0" w:firstRowLastColumn="0" w:lastRowFirstColumn="0" w:lastRowLastColumn="0"/>
            <w:tcW w:w="0" w:type="dxa"/>
            <w:hideMark/>
          </w:tcPr>
          <w:p w14:paraId="4944F3C6" w14:textId="77777777" w:rsidR="008565D0" w:rsidRPr="00CD2ADD" w:rsidRDefault="008565D0" w:rsidP="00741F9B">
            <w:pPr>
              <w:jc w:val="center"/>
              <w:rPr>
                <w:color w:val="000000"/>
                <w:sz w:val="22"/>
              </w:rPr>
            </w:pPr>
            <w:r w:rsidRPr="00CD2ADD">
              <w:rPr>
                <w:color w:val="000000"/>
                <w:sz w:val="22"/>
              </w:rPr>
              <w:t>1-5.V</w:t>
            </w:r>
          </w:p>
        </w:tc>
        <w:tc>
          <w:tcPr>
            <w:tcW w:w="0" w:type="dxa"/>
            <w:hideMark/>
          </w:tcPr>
          <w:p w14:paraId="7548CA85"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-1</w:t>
            </w:r>
          </w:p>
        </w:tc>
        <w:tc>
          <w:tcPr>
            <w:tcW w:w="0" w:type="dxa"/>
            <w:hideMark/>
          </w:tcPr>
          <w:p w14:paraId="048E371F"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1</w:t>
            </w:r>
          </w:p>
        </w:tc>
        <w:tc>
          <w:tcPr>
            <w:tcW w:w="0" w:type="dxa"/>
            <w:hideMark/>
          </w:tcPr>
          <w:p w14:paraId="5EE55BD4"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2</w:t>
            </w:r>
          </w:p>
        </w:tc>
        <w:tc>
          <w:tcPr>
            <w:tcW w:w="0" w:type="dxa"/>
            <w:hideMark/>
          </w:tcPr>
          <w:p w14:paraId="2000BD5E"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3</w:t>
            </w:r>
          </w:p>
        </w:tc>
      </w:tr>
      <w:tr w:rsidR="008565D0" w:rsidRPr="00CD2ADD" w14:paraId="383992DA" w14:textId="77777777" w:rsidTr="0036168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dxa"/>
            <w:gridSpan w:val="5"/>
            <w:noWrap/>
            <w:hideMark/>
          </w:tcPr>
          <w:p w14:paraId="1F0C5C31" w14:textId="77777777" w:rsidR="008565D0" w:rsidRPr="00CD2ADD" w:rsidRDefault="008565D0" w:rsidP="00741F9B">
            <w:pPr>
              <w:jc w:val="center"/>
              <w:rPr>
                <w:b/>
                <w:color w:val="000000"/>
                <w:sz w:val="22"/>
              </w:rPr>
            </w:pPr>
            <w:r w:rsidRPr="00CD2ADD">
              <w:rPr>
                <w:b/>
                <w:color w:val="000000"/>
                <w:sz w:val="22"/>
              </w:rPr>
              <w:t>Chișinău</w:t>
            </w:r>
          </w:p>
        </w:tc>
      </w:tr>
      <w:tr w:rsidR="008565D0" w:rsidRPr="00CD2ADD" w14:paraId="54109705" w14:textId="77777777" w:rsidTr="00361687">
        <w:trPr>
          <w:trHeight w:val="359"/>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13C380E0" w14:textId="77777777" w:rsidR="008565D0" w:rsidRPr="00CD2ADD" w:rsidRDefault="008565D0" w:rsidP="00741F9B">
            <w:pPr>
              <w:jc w:val="center"/>
              <w:rPr>
                <w:b/>
                <w:color w:val="000000"/>
                <w:sz w:val="22"/>
              </w:rPr>
            </w:pPr>
            <w:r w:rsidRPr="00CD2ADD">
              <w:rPr>
                <w:b/>
                <w:color w:val="000000"/>
                <w:sz w:val="22"/>
              </w:rPr>
              <w:t>Data</w:t>
            </w:r>
          </w:p>
        </w:tc>
        <w:tc>
          <w:tcPr>
            <w:tcW w:w="0" w:type="dxa"/>
            <w:hideMark/>
          </w:tcPr>
          <w:p w14:paraId="4E33D662"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b/>
                <w:color w:val="000000"/>
                <w:sz w:val="22"/>
              </w:rPr>
            </w:pPr>
            <w:r w:rsidRPr="00CD2ADD">
              <w:rPr>
                <w:b/>
                <w:color w:val="000000"/>
                <w:sz w:val="22"/>
              </w:rPr>
              <w:t>O dată la 20 ani</w:t>
            </w:r>
          </w:p>
        </w:tc>
        <w:tc>
          <w:tcPr>
            <w:tcW w:w="0" w:type="dxa"/>
            <w:hideMark/>
          </w:tcPr>
          <w:p w14:paraId="35B4529B"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b/>
                <w:color w:val="000000"/>
                <w:sz w:val="22"/>
              </w:rPr>
            </w:pPr>
            <w:r w:rsidRPr="00CD2ADD">
              <w:rPr>
                <w:b/>
                <w:color w:val="000000"/>
                <w:sz w:val="22"/>
              </w:rPr>
              <w:t>O dată la 10 ani</w:t>
            </w:r>
          </w:p>
        </w:tc>
        <w:tc>
          <w:tcPr>
            <w:tcW w:w="0" w:type="dxa"/>
            <w:hideMark/>
          </w:tcPr>
          <w:p w14:paraId="61D1D874"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b/>
                <w:color w:val="000000"/>
                <w:sz w:val="22"/>
              </w:rPr>
            </w:pPr>
            <w:r w:rsidRPr="00CD2ADD">
              <w:rPr>
                <w:b/>
                <w:color w:val="000000"/>
                <w:sz w:val="22"/>
              </w:rPr>
              <w:t>O dată la 5 ani</w:t>
            </w:r>
          </w:p>
        </w:tc>
        <w:tc>
          <w:tcPr>
            <w:tcW w:w="0" w:type="dxa"/>
            <w:hideMark/>
          </w:tcPr>
          <w:p w14:paraId="4A69B34E"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b/>
                <w:color w:val="000000"/>
                <w:sz w:val="22"/>
              </w:rPr>
            </w:pPr>
            <w:r w:rsidRPr="00CD2ADD">
              <w:rPr>
                <w:b/>
                <w:color w:val="000000"/>
                <w:sz w:val="22"/>
              </w:rPr>
              <w:t>O dată la 3 ani</w:t>
            </w:r>
          </w:p>
        </w:tc>
      </w:tr>
      <w:tr w:rsidR="008565D0" w:rsidRPr="00CD2ADD" w14:paraId="3142A94C" w14:textId="77777777" w:rsidTr="0036168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0" w:type="dxa"/>
            <w:vMerge/>
            <w:hideMark/>
          </w:tcPr>
          <w:p w14:paraId="1B7E72EF" w14:textId="77777777" w:rsidR="008565D0" w:rsidRPr="00CD2ADD" w:rsidRDefault="008565D0" w:rsidP="00741F9B">
            <w:pPr>
              <w:rPr>
                <w:b/>
                <w:color w:val="000000"/>
                <w:sz w:val="22"/>
              </w:rPr>
            </w:pPr>
          </w:p>
        </w:tc>
        <w:tc>
          <w:tcPr>
            <w:tcW w:w="0" w:type="dxa"/>
            <w:gridSpan w:val="4"/>
            <w:hideMark/>
          </w:tcPr>
          <w:p w14:paraId="5D0C05AD"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Temperatura aerului, °С</w:t>
            </w:r>
          </w:p>
        </w:tc>
      </w:tr>
      <w:tr w:rsidR="008565D0" w:rsidRPr="00CD2ADD" w14:paraId="210F3CBC" w14:textId="77777777" w:rsidTr="00361687">
        <w:trPr>
          <w:trHeight w:val="359"/>
        </w:trPr>
        <w:tc>
          <w:tcPr>
            <w:cnfStyle w:val="001000000000" w:firstRow="0" w:lastRow="0" w:firstColumn="1" w:lastColumn="0" w:oddVBand="0" w:evenVBand="0" w:oddHBand="0" w:evenHBand="0" w:firstRowFirstColumn="0" w:firstRowLastColumn="0" w:lastRowFirstColumn="0" w:lastRowLastColumn="0"/>
            <w:tcW w:w="0" w:type="dxa"/>
            <w:hideMark/>
          </w:tcPr>
          <w:p w14:paraId="65658E37" w14:textId="77777777" w:rsidR="008565D0" w:rsidRPr="00CD2ADD" w:rsidRDefault="008565D0" w:rsidP="00741F9B">
            <w:pPr>
              <w:jc w:val="center"/>
              <w:rPr>
                <w:color w:val="000000"/>
                <w:sz w:val="22"/>
              </w:rPr>
            </w:pPr>
            <w:r w:rsidRPr="00CD2ADD">
              <w:rPr>
                <w:color w:val="000000"/>
                <w:sz w:val="22"/>
              </w:rPr>
              <w:t>16-20.IV</w:t>
            </w:r>
          </w:p>
        </w:tc>
        <w:tc>
          <w:tcPr>
            <w:tcW w:w="0" w:type="dxa"/>
            <w:hideMark/>
          </w:tcPr>
          <w:p w14:paraId="040DCA5F"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-1</w:t>
            </w:r>
          </w:p>
        </w:tc>
        <w:tc>
          <w:tcPr>
            <w:tcW w:w="0" w:type="dxa"/>
            <w:hideMark/>
          </w:tcPr>
          <w:p w14:paraId="201951B1"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0</w:t>
            </w:r>
          </w:p>
        </w:tc>
        <w:tc>
          <w:tcPr>
            <w:tcW w:w="0" w:type="dxa"/>
            <w:hideMark/>
          </w:tcPr>
          <w:p w14:paraId="065FA91A"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1</w:t>
            </w:r>
          </w:p>
        </w:tc>
        <w:tc>
          <w:tcPr>
            <w:tcW w:w="0" w:type="dxa"/>
            <w:hideMark/>
          </w:tcPr>
          <w:p w14:paraId="1EE70DF5"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2</w:t>
            </w:r>
          </w:p>
        </w:tc>
      </w:tr>
      <w:tr w:rsidR="00F36723" w:rsidRPr="00CD2ADD" w14:paraId="2FCBDB9C" w14:textId="77777777" w:rsidTr="0036168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0" w:type="dxa"/>
            <w:hideMark/>
          </w:tcPr>
          <w:p w14:paraId="6099ABC5" w14:textId="77777777" w:rsidR="008565D0" w:rsidRPr="00CD2ADD" w:rsidRDefault="008565D0" w:rsidP="00741F9B">
            <w:pPr>
              <w:jc w:val="center"/>
              <w:rPr>
                <w:color w:val="000000"/>
                <w:sz w:val="22"/>
              </w:rPr>
            </w:pPr>
            <w:r w:rsidRPr="00CD2ADD">
              <w:rPr>
                <w:color w:val="000000"/>
                <w:sz w:val="22"/>
              </w:rPr>
              <w:t>21-25.IV</w:t>
            </w:r>
          </w:p>
        </w:tc>
        <w:tc>
          <w:tcPr>
            <w:tcW w:w="0" w:type="dxa"/>
            <w:hideMark/>
          </w:tcPr>
          <w:p w14:paraId="025F9C9B"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-1</w:t>
            </w:r>
          </w:p>
        </w:tc>
        <w:tc>
          <w:tcPr>
            <w:tcW w:w="0" w:type="dxa"/>
            <w:hideMark/>
          </w:tcPr>
          <w:p w14:paraId="29079956"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0</w:t>
            </w:r>
          </w:p>
        </w:tc>
        <w:tc>
          <w:tcPr>
            <w:tcW w:w="0" w:type="dxa"/>
            <w:hideMark/>
          </w:tcPr>
          <w:p w14:paraId="23924679"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1</w:t>
            </w:r>
          </w:p>
        </w:tc>
        <w:tc>
          <w:tcPr>
            <w:tcW w:w="0" w:type="dxa"/>
            <w:hideMark/>
          </w:tcPr>
          <w:p w14:paraId="3DA64C5A"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2</w:t>
            </w:r>
          </w:p>
        </w:tc>
      </w:tr>
      <w:tr w:rsidR="008565D0" w:rsidRPr="00CD2ADD" w14:paraId="1A2F383C" w14:textId="77777777" w:rsidTr="00361687">
        <w:trPr>
          <w:trHeight w:val="359"/>
        </w:trPr>
        <w:tc>
          <w:tcPr>
            <w:cnfStyle w:val="001000000000" w:firstRow="0" w:lastRow="0" w:firstColumn="1" w:lastColumn="0" w:oddVBand="0" w:evenVBand="0" w:oddHBand="0" w:evenHBand="0" w:firstRowFirstColumn="0" w:firstRowLastColumn="0" w:lastRowFirstColumn="0" w:lastRowLastColumn="0"/>
            <w:tcW w:w="0" w:type="dxa"/>
            <w:hideMark/>
          </w:tcPr>
          <w:p w14:paraId="3AB4AB04" w14:textId="77777777" w:rsidR="008565D0" w:rsidRPr="00CD2ADD" w:rsidRDefault="008565D0" w:rsidP="00741F9B">
            <w:pPr>
              <w:jc w:val="center"/>
              <w:rPr>
                <w:color w:val="000000"/>
                <w:sz w:val="22"/>
              </w:rPr>
            </w:pPr>
            <w:r w:rsidRPr="00CD2ADD">
              <w:rPr>
                <w:color w:val="000000"/>
                <w:sz w:val="22"/>
              </w:rPr>
              <w:lastRenderedPageBreak/>
              <w:t>26-30.IV</w:t>
            </w:r>
          </w:p>
        </w:tc>
        <w:tc>
          <w:tcPr>
            <w:tcW w:w="0" w:type="dxa"/>
            <w:hideMark/>
          </w:tcPr>
          <w:p w14:paraId="40118CE6"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0</w:t>
            </w:r>
          </w:p>
        </w:tc>
        <w:tc>
          <w:tcPr>
            <w:tcW w:w="0" w:type="dxa"/>
            <w:hideMark/>
          </w:tcPr>
          <w:p w14:paraId="7C57223A"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1</w:t>
            </w:r>
          </w:p>
        </w:tc>
        <w:tc>
          <w:tcPr>
            <w:tcW w:w="0" w:type="dxa"/>
            <w:hideMark/>
          </w:tcPr>
          <w:p w14:paraId="35C900A2"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3</w:t>
            </w:r>
          </w:p>
        </w:tc>
        <w:tc>
          <w:tcPr>
            <w:tcW w:w="0" w:type="dxa"/>
            <w:hideMark/>
          </w:tcPr>
          <w:p w14:paraId="7B2A208A"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4</w:t>
            </w:r>
          </w:p>
        </w:tc>
      </w:tr>
      <w:tr w:rsidR="00F36723" w:rsidRPr="00CD2ADD" w14:paraId="0FDC2128" w14:textId="77777777" w:rsidTr="0036168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0" w:type="dxa"/>
            <w:hideMark/>
          </w:tcPr>
          <w:p w14:paraId="208D1111" w14:textId="77777777" w:rsidR="008565D0" w:rsidRPr="00CD2ADD" w:rsidRDefault="008565D0" w:rsidP="00741F9B">
            <w:pPr>
              <w:jc w:val="center"/>
              <w:rPr>
                <w:color w:val="000000"/>
                <w:sz w:val="22"/>
              </w:rPr>
            </w:pPr>
            <w:r w:rsidRPr="00CD2ADD">
              <w:rPr>
                <w:color w:val="000000"/>
                <w:sz w:val="22"/>
              </w:rPr>
              <w:t>1-5.V</w:t>
            </w:r>
          </w:p>
        </w:tc>
        <w:tc>
          <w:tcPr>
            <w:tcW w:w="0" w:type="dxa"/>
            <w:hideMark/>
          </w:tcPr>
          <w:p w14:paraId="5ED486A6"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2</w:t>
            </w:r>
          </w:p>
        </w:tc>
        <w:tc>
          <w:tcPr>
            <w:tcW w:w="0" w:type="dxa"/>
            <w:hideMark/>
          </w:tcPr>
          <w:p w14:paraId="1A3E8777"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3</w:t>
            </w:r>
          </w:p>
        </w:tc>
        <w:tc>
          <w:tcPr>
            <w:tcW w:w="0" w:type="dxa"/>
            <w:hideMark/>
          </w:tcPr>
          <w:p w14:paraId="6BDFAF0D"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4</w:t>
            </w:r>
          </w:p>
        </w:tc>
        <w:tc>
          <w:tcPr>
            <w:tcW w:w="0" w:type="dxa"/>
            <w:hideMark/>
          </w:tcPr>
          <w:p w14:paraId="7F4B8938"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5</w:t>
            </w:r>
          </w:p>
        </w:tc>
      </w:tr>
      <w:tr w:rsidR="008565D0" w:rsidRPr="00CD2ADD" w14:paraId="510613E9" w14:textId="77777777" w:rsidTr="00361687">
        <w:trPr>
          <w:trHeight w:val="299"/>
        </w:trPr>
        <w:tc>
          <w:tcPr>
            <w:cnfStyle w:val="001000000000" w:firstRow="0" w:lastRow="0" w:firstColumn="1" w:lastColumn="0" w:oddVBand="0" w:evenVBand="0" w:oddHBand="0" w:evenHBand="0" w:firstRowFirstColumn="0" w:firstRowLastColumn="0" w:lastRowFirstColumn="0" w:lastRowLastColumn="0"/>
            <w:tcW w:w="0" w:type="dxa"/>
            <w:gridSpan w:val="5"/>
            <w:noWrap/>
            <w:hideMark/>
          </w:tcPr>
          <w:p w14:paraId="0AF0C018" w14:textId="77777777" w:rsidR="008565D0" w:rsidRPr="00CD2ADD" w:rsidRDefault="008565D0" w:rsidP="00741F9B">
            <w:pPr>
              <w:jc w:val="center"/>
              <w:rPr>
                <w:b/>
                <w:color w:val="000000"/>
                <w:sz w:val="22"/>
              </w:rPr>
            </w:pPr>
            <w:r w:rsidRPr="00CD2ADD">
              <w:rPr>
                <w:b/>
                <w:color w:val="000000"/>
                <w:sz w:val="22"/>
              </w:rPr>
              <w:t>Cahul</w:t>
            </w:r>
          </w:p>
        </w:tc>
      </w:tr>
      <w:tr w:rsidR="00F36723" w:rsidRPr="00CD2ADD" w14:paraId="32A6290A" w14:textId="77777777" w:rsidTr="0036168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7136BE83" w14:textId="77777777" w:rsidR="008565D0" w:rsidRPr="00CD2ADD" w:rsidRDefault="008565D0" w:rsidP="00741F9B">
            <w:pPr>
              <w:jc w:val="center"/>
              <w:rPr>
                <w:b/>
                <w:color w:val="000000"/>
                <w:sz w:val="22"/>
              </w:rPr>
            </w:pPr>
            <w:r w:rsidRPr="00CD2ADD">
              <w:rPr>
                <w:b/>
                <w:color w:val="000000"/>
                <w:sz w:val="22"/>
              </w:rPr>
              <w:t>Data</w:t>
            </w:r>
          </w:p>
        </w:tc>
        <w:tc>
          <w:tcPr>
            <w:tcW w:w="0" w:type="dxa"/>
            <w:hideMark/>
          </w:tcPr>
          <w:p w14:paraId="5C37A4DE"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b/>
                <w:color w:val="000000"/>
                <w:sz w:val="22"/>
              </w:rPr>
            </w:pPr>
            <w:r w:rsidRPr="00CD2ADD">
              <w:rPr>
                <w:b/>
                <w:color w:val="000000"/>
                <w:sz w:val="22"/>
              </w:rPr>
              <w:t>O dată la 20 ani</w:t>
            </w:r>
          </w:p>
        </w:tc>
        <w:tc>
          <w:tcPr>
            <w:tcW w:w="0" w:type="dxa"/>
            <w:hideMark/>
          </w:tcPr>
          <w:p w14:paraId="5DBCCD76"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b/>
                <w:color w:val="000000"/>
                <w:sz w:val="22"/>
              </w:rPr>
            </w:pPr>
            <w:r w:rsidRPr="00CD2ADD">
              <w:rPr>
                <w:b/>
                <w:color w:val="000000"/>
                <w:sz w:val="22"/>
              </w:rPr>
              <w:t>O dată la 10 ani</w:t>
            </w:r>
          </w:p>
        </w:tc>
        <w:tc>
          <w:tcPr>
            <w:tcW w:w="0" w:type="dxa"/>
            <w:hideMark/>
          </w:tcPr>
          <w:p w14:paraId="2F230887"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b/>
                <w:color w:val="000000"/>
                <w:sz w:val="22"/>
              </w:rPr>
            </w:pPr>
            <w:r w:rsidRPr="00CD2ADD">
              <w:rPr>
                <w:b/>
                <w:color w:val="000000"/>
                <w:sz w:val="22"/>
              </w:rPr>
              <w:t>O dată la 5 ani</w:t>
            </w:r>
          </w:p>
        </w:tc>
        <w:tc>
          <w:tcPr>
            <w:tcW w:w="0" w:type="dxa"/>
            <w:hideMark/>
          </w:tcPr>
          <w:p w14:paraId="6E0AE2A8"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b/>
                <w:color w:val="000000"/>
                <w:sz w:val="22"/>
              </w:rPr>
            </w:pPr>
            <w:r w:rsidRPr="00CD2ADD">
              <w:rPr>
                <w:b/>
                <w:color w:val="000000"/>
                <w:sz w:val="22"/>
              </w:rPr>
              <w:t>O dată la 3 ani</w:t>
            </w:r>
          </w:p>
        </w:tc>
      </w:tr>
      <w:tr w:rsidR="008565D0" w:rsidRPr="00CD2ADD" w14:paraId="10653E0F" w14:textId="77777777" w:rsidTr="00361687">
        <w:trPr>
          <w:trHeight w:val="339"/>
        </w:trPr>
        <w:tc>
          <w:tcPr>
            <w:cnfStyle w:val="001000000000" w:firstRow="0" w:lastRow="0" w:firstColumn="1" w:lastColumn="0" w:oddVBand="0" w:evenVBand="0" w:oddHBand="0" w:evenHBand="0" w:firstRowFirstColumn="0" w:firstRowLastColumn="0" w:lastRowFirstColumn="0" w:lastRowLastColumn="0"/>
            <w:tcW w:w="0" w:type="dxa"/>
            <w:vMerge/>
            <w:hideMark/>
          </w:tcPr>
          <w:p w14:paraId="2B812E97" w14:textId="77777777" w:rsidR="008565D0" w:rsidRPr="00CD2ADD" w:rsidRDefault="008565D0" w:rsidP="00741F9B">
            <w:pPr>
              <w:rPr>
                <w:b/>
                <w:color w:val="000000"/>
                <w:sz w:val="22"/>
              </w:rPr>
            </w:pPr>
          </w:p>
        </w:tc>
        <w:tc>
          <w:tcPr>
            <w:tcW w:w="0" w:type="dxa"/>
            <w:gridSpan w:val="4"/>
            <w:hideMark/>
          </w:tcPr>
          <w:p w14:paraId="15E5150D"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Temperatura aerului, °С</w:t>
            </w:r>
          </w:p>
        </w:tc>
      </w:tr>
      <w:tr w:rsidR="00F36723" w:rsidRPr="00CD2ADD" w14:paraId="092BD963" w14:textId="77777777" w:rsidTr="0036168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0" w:type="dxa"/>
            <w:hideMark/>
          </w:tcPr>
          <w:p w14:paraId="170A90FB" w14:textId="77777777" w:rsidR="008565D0" w:rsidRPr="00CD2ADD" w:rsidRDefault="008565D0" w:rsidP="00741F9B">
            <w:pPr>
              <w:jc w:val="center"/>
              <w:rPr>
                <w:color w:val="000000"/>
                <w:sz w:val="22"/>
              </w:rPr>
            </w:pPr>
            <w:r w:rsidRPr="00CD2ADD">
              <w:rPr>
                <w:color w:val="000000"/>
                <w:sz w:val="22"/>
              </w:rPr>
              <w:t>16-20.IV</w:t>
            </w:r>
          </w:p>
        </w:tc>
        <w:tc>
          <w:tcPr>
            <w:tcW w:w="0" w:type="dxa"/>
            <w:hideMark/>
          </w:tcPr>
          <w:p w14:paraId="0B68A442"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-1</w:t>
            </w:r>
          </w:p>
        </w:tc>
        <w:tc>
          <w:tcPr>
            <w:tcW w:w="0" w:type="dxa"/>
            <w:hideMark/>
          </w:tcPr>
          <w:p w14:paraId="48723EDC"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0</w:t>
            </w:r>
          </w:p>
        </w:tc>
        <w:tc>
          <w:tcPr>
            <w:tcW w:w="0" w:type="dxa"/>
            <w:hideMark/>
          </w:tcPr>
          <w:p w14:paraId="61E25151"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1</w:t>
            </w:r>
          </w:p>
        </w:tc>
        <w:tc>
          <w:tcPr>
            <w:tcW w:w="0" w:type="dxa"/>
            <w:hideMark/>
          </w:tcPr>
          <w:p w14:paraId="425670A2"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2</w:t>
            </w:r>
          </w:p>
        </w:tc>
      </w:tr>
      <w:tr w:rsidR="008565D0" w:rsidRPr="00CD2ADD" w14:paraId="6EC4B7EF" w14:textId="77777777" w:rsidTr="00361687">
        <w:trPr>
          <w:trHeight w:val="359"/>
        </w:trPr>
        <w:tc>
          <w:tcPr>
            <w:cnfStyle w:val="001000000000" w:firstRow="0" w:lastRow="0" w:firstColumn="1" w:lastColumn="0" w:oddVBand="0" w:evenVBand="0" w:oddHBand="0" w:evenHBand="0" w:firstRowFirstColumn="0" w:firstRowLastColumn="0" w:lastRowFirstColumn="0" w:lastRowLastColumn="0"/>
            <w:tcW w:w="0" w:type="dxa"/>
            <w:hideMark/>
          </w:tcPr>
          <w:p w14:paraId="723F58F8" w14:textId="77777777" w:rsidR="008565D0" w:rsidRPr="00CD2ADD" w:rsidRDefault="008565D0" w:rsidP="00741F9B">
            <w:pPr>
              <w:jc w:val="center"/>
              <w:rPr>
                <w:color w:val="000000"/>
                <w:sz w:val="22"/>
              </w:rPr>
            </w:pPr>
            <w:r w:rsidRPr="00CD2ADD">
              <w:rPr>
                <w:color w:val="000000"/>
                <w:sz w:val="22"/>
              </w:rPr>
              <w:t>21-25.IV</w:t>
            </w:r>
          </w:p>
        </w:tc>
        <w:tc>
          <w:tcPr>
            <w:tcW w:w="0" w:type="dxa"/>
            <w:hideMark/>
          </w:tcPr>
          <w:p w14:paraId="0345102B"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0</w:t>
            </w:r>
          </w:p>
        </w:tc>
        <w:tc>
          <w:tcPr>
            <w:tcW w:w="0" w:type="dxa"/>
            <w:hideMark/>
          </w:tcPr>
          <w:p w14:paraId="0B89EEA8"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1</w:t>
            </w:r>
          </w:p>
        </w:tc>
        <w:tc>
          <w:tcPr>
            <w:tcW w:w="0" w:type="dxa"/>
            <w:hideMark/>
          </w:tcPr>
          <w:p w14:paraId="45955CE1"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2</w:t>
            </w:r>
          </w:p>
        </w:tc>
        <w:tc>
          <w:tcPr>
            <w:tcW w:w="0" w:type="dxa"/>
            <w:hideMark/>
          </w:tcPr>
          <w:p w14:paraId="0E18F6E7" w14:textId="77777777" w:rsidR="008565D0" w:rsidRPr="00CD2ADD" w:rsidRDefault="008565D0" w:rsidP="00741F9B">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3</w:t>
            </w:r>
          </w:p>
        </w:tc>
      </w:tr>
      <w:tr w:rsidR="00F36723" w:rsidRPr="00CD2ADD" w14:paraId="12D07E5F" w14:textId="77777777" w:rsidTr="0036168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0" w:type="dxa"/>
            <w:hideMark/>
          </w:tcPr>
          <w:p w14:paraId="0BD138A0" w14:textId="77777777" w:rsidR="008565D0" w:rsidRPr="00CD2ADD" w:rsidRDefault="008565D0" w:rsidP="00741F9B">
            <w:pPr>
              <w:jc w:val="center"/>
              <w:rPr>
                <w:color w:val="000000"/>
                <w:sz w:val="22"/>
              </w:rPr>
            </w:pPr>
            <w:r w:rsidRPr="00CD2ADD">
              <w:rPr>
                <w:color w:val="000000"/>
                <w:sz w:val="22"/>
              </w:rPr>
              <w:t>26-30.IV</w:t>
            </w:r>
          </w:p>
        </w:tc>
        <w:tc>
          <w:tcPr>
            <w:tcW w:w="0" w:type="dxa"/>
            <w:hideMark/>
          </w:tcPr>
          <w:p w14:paraId="7475FBB5"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1</w:t>
            </w:r>
          </w:p>
        </w:tc>
        <w:tc>
          <w:tcPr>
            <w:tcW w:w="0" w:type="dxa"/>
            <w:hideMark/>
          </w:tcPr>
          <w:p w14:paraId="6D4647B0"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2</w:t>
            </w:r>
          </w:p>
        </w:tc>
        <w:tc>
          <w:tcPr>
            <w:tcW w:w="0" w:type="dxa"/>
            <w:hideMark/>
          </w:tcPr>
          <w:p w14:paraId="3C390B5F"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3</w:t>
            </w:r>
          </w:p>
        </w:tc>
        <w:tc>
          <w:tcPr>
            <w:tcW w:w="0" w:type="dxa"/>
            <w:hideMark/>
          </w:tcPr>
          <w:p w14:paraId="73760CA8" w14:textId="77777777" w:rsidR="008565D0" w:rsidRPr="00CD2ADD" w:rsidRDefault="008565D0" w:rsidP="00741F9B">
            <w:pPr>
              <w:jc w:val="center"/>
              <w:cnfStyle w:val="000000100000" w:firstRow="0" w:lastRow="0" w:firstColumn="0" w:lastColumn="0" w:oddVBand="0" w:evenVBand="0" w:oddHBand="1" w:evenHBand="0" w:firstRowFirstColumn="0" w:firstRowLastColumn="0" w:lastRowFirstColumn="0" w:lastRowLastColumn="0"/>
              <w:rPr>
                <w:color w:val="000000"/>
                <w:sz w:val="22"/>
              </w:rPr>
            </w:pPr>
            <w:r w:rsidRPr="00CD2ADD">
              <w:rPr>
                <w:color w:val="000000"/>
                <w:sz w:val="22"/>
              </w:rPr>
              <w:t>4</w:t>
            </w:r>
          </w:p>
        </w:tc>
      </w:tr>
      <w:tr w:rsidR="008565D0" w:rsidRPr="00CD2ADD" w14:paraId="67E8DE85" w14:textId="77777777" w:rsidTr="00361687">
        <w:trPr>
          <w:trHeight w:val="95"/>
        </w:trPr>
        <w:tc>
          <w:tcPr>
            <w:cnfStyle w:val="001000000000" w:firstRow="0" w:lastRow="0" w:firstColumn="1" w:lastColumn="0" w:oddVBand="0" w:evenVBand="0" w:oddHBand="0" w:evenHBand="0" w:firstRowFirstColumn="0" w:firstRowLastColumn="0" w:lastRowFirstColumn="0" w:lastRowLastColumn="0"/>
            <w:tcW w:w="0" w:type="dxa"/>
            <w:hideMark/>
          </w:tcPr>
          <w:p w14:paraId="638CC75E" w14:textId="77777777" w:rsidR="008565D0" w:rsidRPr="00CD2ADD" w:rsidRDefault="008565D0" w:rsidP="009F6E03">
            <w:pPr>
              <w:spacing w:after="120"/>
              <w:jc w:val="center"/>
              <w:rPr>
                <w:color w:val="000000"/>
                <w:sz w:val="22"/>
              </w:rPr>
            </w:pPr>
            <w:r w:rsidRPr="00CD2ADD">
              <w:rPr>
                <w:color w:val="000000"/>
                <w:sz w:val="22"/>
              </w:rPr>
              <w:t>1-5.V</w:t>
            </w:r>
          </w:p>
        </w:tc>
        <w:tc>
          <w:tcPr>
            <w:tcW w:w="0" w:type="dxa"/>
            <w:hideMark/>
          </w:tcPr>
          <w:p w14:paraId="2AC95E94" w14:textId="77777777" w:rsidR="008565D0" w:rsidRPr="00CD2ADD" w:rsidRDefault="008565D0" w:rsidP="009F6E03">
            <w:pPr>
              <w:spacing w:after="120"/>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2</w:t>
            </w:r>
          </w:p>
        </w:tc>
        <w:tc>
          <w:tcPr>
            <w:tcW w:w="0" w:type="dxa"/>
            <w:hideMark/>
          </w:tcPr>
          <w:p w14:paraId="0A3E3028" w14:textId="77777777" w:rsidR="008565D0" w:rsidRPr="00CD2ADD" w:rsidRDefault="008565D0" w:rsidP="009F6E03">
            <w:pPr>
              <w:spacing w:after="120"/>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3</w:t>
            </w:r>
          </w:p>
        </w:tc>
        <w:tc>
          <w:tcPr>
            <w:tcW w:w="0" w:type="dxa"/>
            <w:hideMark/>
          </w:tcPr>
          <w:p w14:paraId="0ECA2096" w14:textId="77777777" w:rsidR="008565D0" w:rsidRPr="00CD2ADD" w:rsidRDefault="008565D0" w:rsidP="009F6E03">
            <w:pPr>
              <w:spacing w:after="120"/>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5</w:t>
            </w:r>
          </w:p>
        </w:tc>
        <w:tc>
          <w:tcPr>
            <w:tcW w:w="0" w:type="dxa"/>
            <w:hideMark/>
          </w:tcPr>
          <w:p w14:paraId="7B50DADA" w14:textId="77777777" w:rsidR="008565D0" w:rsidRPr="00CD2ADD" w:rsidRDefault="008565D0" w:rsidP="009F6E03">
            <w:pPr>
              <w:spacing w:after="120"/>
              <w:jc w:val="center"/>
              <w:cnfStyle w:val="000000000000" w:firstRow="0" w:lastRow="0" w:firstColumn="0" w:lastColumn="0" w:oddVBand="0" w:evenVBand="0" w:oddHBand="0" w:evenHBand="0" w:firstRowFirstColumn="0" w:firstRowLastColumn="0" w:lastRowFirstColumn="0" w:lastRowLastColumn="0"/>
              <w:rPr>
                <w:color w:val="000000"/>
                <w:sz w:val="22"/>
              </w:rPr>
            </w:pPr>
            <w:r w:rsidRPr="00CD2ADD">
              <w:rPr>
                <w:color w:val="000000"/>
                <w:sz w:val="22"/>
              </w:rPr>
              <w:t>6</w:t>
            </w:r>
          </w:p>
        </w:tc>
      </w:tr>
    </w:tbl>
    <w:p w14:paraId="6BAD81EF" w14:textId="77777777" w:rsidR="008565D0" w:rsidRPr="00CC469C" w:rsidRDefault="008565D0" w:rsidP="00AD40CA">
      <w:pPr>
        <w:spacing w:after="120"/>
        <w:jc w:val="center"/>
        <w:rPr>
          <w:i/>
          <w:iCs/>
          <w:sz w:val="20"/>
          <w:szCs w:val="20"/>
          <w:lang w:eastAsia="en-US"/>
        </w:rPr>
      </w:pPr>
      <w:r w:rsidRPr="00CC469C">
        <w:rPr>
          <w:i/>
          <w:iCs/>
          <w:sz w:val="20"/>
          <w:szCs w:val="20"/>
          <w:lang w:eastAsia="en-US"/>
        </w:rPr>
        <w:t>Sursa: SHS, Date meteorologice istorice Chișinău, Bălți, Cahul</w:t>
      </w:r>
    </w:p>
    <w:p w14:paraId="2AD34B42" w14:textId="77777777" w:rsidR="001B384F" w:rsidRPr="00CD2ADD" w:rsidRDefault="001B384F" w:rsidP="00AD40CA">
      <w:pPr>
        <w:pStyle w:val="Subtitle"/>
        <w:spacing w:after="0" w:line="240" w:lineRule="auto"/>
        <w:ind w:firstLine="284"/>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Vulnerabilitate, expunere și capacitate de adaptare</w:t>
      </w:r>
    </w:p>
    <w:p w14:paraId="36F93AB8" w14:textId="59D92965" w:rsidR="008565D0" w:rsidRDefault="008565D0">
      <w:pPr>
        <w:pStyle w:val="ListParagraph"/>
        <w:numPr>
          <w:ilvl w:val="0"/>
          <w:numId w:val="42"/>
        </w:numPr>
        <w:spacing w:after="120"/>
        <w:ind w:left="0" w:firstLine="284"/>
        <w:jc w:val="both"/>
        <w:rPr>
          <w:rFonts w:ascii="Times New Roman" w:hAnsi="Times New Roman" w:cs="Times New Roman"/>
          <w:color w:val="000000" w:themeColor="text1"/>
          <w:sz w:val="22"/>
        </w:rPr>
      </w:pPr>
      <w:r w:rsidRPr="00CD2ADD">
        <w:rPr>
          <w:rFonts w:ascii="Times New Roman" w:hAnsi="Times New Roman" w:cs="Times New Roman"/>
          <w:color w:val="000000" w:themeColor="text1"/>
          <w:sz w:val="22"/>
        </w:rPr>
        <w:t>Regiunile agricole cu plantații perene, livezi și viță-de-vie sunt deosebit de sensibile la înghețuri timpurii sau târzii. De asemenea, comunitățile rurale cu acces limitat la mijloace moderne de încălzire sau infrastructuri de protecție (depozite, sere, sisteme de irigare) sunt mai expuse riscurilor asociate cu temperaturile extreme scăzute. Lipsa unor sisteme eficiente de avertizare timpurie și a schemelor de compensare agricolă adecvate amplifică vulnerabilitatea socio-economică.</w:t>
      </w:r>
      <w:r w:rsidR="00F42332" w:rsidRPr="00CD2ADD">
        <w:rPr>
          <w:rFonts w:ascii="Times New Roman" w:hAnsi="Times New Roman" w:cs="Times New Roman"/>
          <w:color w:val="000000" w:themeColor="text1"/>
          <w:sz w:val="22"/>
        </w:rPr>
        <w:t xml:space="preserve"> </w:t>
      </w:r>
      <w:r w:rsidRPr="00CD2ADD">
        <w:rPr>
          <w:rFonts w:ascii="Times New Roman" w:hAnsi="Times New Roman" w:cs="Times New Roman"/>
          <w:color w:val="000000" w:themeColor="text1"/>
          <w:sz w:val="22"/>
        </w:rPr>
        <w:t>Înghețul și gerul puternic sunt riscuri climatice punctuale, cu frecvență redusă (</w:t>
      </w:r>
      <w:r w:rsidR="0003458B" w:rsidRPr="00CD2ADD">
        <w:rPr>
          <w:rFonts w:ascii="Times New Roman" w:hAnsi="Times New Roman" w:cs="Times New Roman"/>
          <w:color w:val="000000" w:themeColor="text1"/>
          <w:sz w:val="22"/>
        </w:rPr>
        <w:t xml:space="preserve">2.6 </w:t>
      </w:r>
      <w:r w:rsidRPr="00CD2ADD">
        <w:rPr>
          <w:rFonts w:ascii="Times New Roman" w:hAnsi="Times New Roman" w:cs="Times New Roman"/>
          <w:color w:val="000000" w:themeColor="text1"/>
          <w:sz w:val="22"/>
        </w:rPr>
        <w:t xml:space="preserve">% din totalul SE naturale între 2010 și 2024), dar cu potențial semnificativ de impact atunci când coincid cu perioade agricole critice. Investiții în tehnologii agricole reziliente, sisteme de avertizare timpurie și sprijin pentru fermieri în vederea reducerii pierderilor ar trebui integrate în strategiile de adaptare climatică si de reducere a riscurilor de dezastre. </w:t>
      </w:r>
      <w:r w:rsidR="0003458B" w:rsidRPr="00CD2ADD">
        <w:rPr>
          <w:rFonts w:ascii="Times New Roman" w:hAnsi="Times New Roman" w:cs="Times New Roman"/>
          <w:color w:val="000000" w:themeColor="text1"/>
          <w:sz w:val="22"/>
        </w:rPr>
        <w:t xml:space="preserve">Tabelul de mai jos discuta riscuri conexe asociate ninsorilor abundente și viscolului in sectoare cheie ale economiei naționale. </w:t>
      </w:r>
    </w:p>
    <w:p w14:paraId="7743AC81" w14:textId="53F125FC" w:rsidR="00CC469C" w:rsidRPr="00CC469C" w:rsidRDefault="00CC469C" w:rsidP="00CC469C">
      <w:pPr>
        <w:pStyle w:val="ListParagraph"/>
        <w:spacing w:after="0"/>
        <w:ind w:left="284" w:firstLine="0"/>
        <w:jc w:val="right"/>
        <w:rPr>
          <w:rFonts w:ascii="Times New Roman" w:hAnsi="Times New Roman" w:cs="Times New Roman"/>
          <w:b/>
          <w:bCs/>
          <w:color w:val="000000" w:themeColor="text1"/>
          <w:sz w:val="24"/>
          <w:szCs w:val="24"/>
        </w:rPr>
      </w:pPr>
      <w:r w:rsidRPr="00CC469C">
        <w:rPr>
          <w:rFonts w:ascii="Times New Roman" w:hAnsi="Times New Roman" w:cs="Times New Roman"/>
          <w:b/>
          <w:bCs/>
          <w:color w:val="000000" w:themeColor="text1"/>
          <w:sz w:val="24"/>
          <w:szCs w:val="24"/>
        </w:rPr>
        <w:t>Tabelul 17</w:t>
      </w:r>
    </w:p>
    <w:p w14:paraId="49FB4088" w14:textId="6FF58F4B" w:rsidR="003E612C" w:rsidRPr="00CC469C" w:rsidRDefault="003E612C" w:rsidP="00AD40CA">
      <w:pPr>
        <w:spacing w:after="120"/>
        <w:jc w:val="center"/>
        <w:rPr>
          <w:rStyle w:val="IntenseEmphasis"/>
          <w:bCs w:val="0"/>
          <w:i w:val="0"/>
          <w:iCs w:val="0"/>
          <w:color w:val="000000" w:themeColor="text1"/>
          <w:lang w:eastAsia="en-US"/>
        </w:rPr>
      </w:pPr>
      <w:r w:rsidRPr="00CC469C">
        <w:rPr>
          <w:rStyle w:val="IntenseEmphasis"/>
          <w:bCs w:val="0"/>
          <w:i w:val="0"/>
          <w:iCs w:val="0"/>
          <w:color w:val="000000" w:themeColor="text1"/>
          <w:lang w:eastAsia="en-US"/>
        </w:rPr>
        <w:t>Măsuri recomandate pentru reducerea riscului de îngheț si ger puternic</w:t>
      </w:r>
    </w:p>
    <w:tbl>
      <w:tblPr>
        <w:tblStyle w:val="GridTable1Light-Accent41"/>
        <w:tblW w:w="0" w:type="auto"/>
        <w:tblLook w:val="04A0" w:firstRow="1" w:lastRow="0" w:firstColumn="1" w:lastColumn="0" w:noHBand="0" w:noVBand="1"/>
      </w:tblPr>
      <w:tblGrid>
        <w:gridCol w:w="2867"/>
        <w:gridCol w:w="3006"/>
        <w:gridCol w:w="3863"/>
      </w:tblGrid>
      <w:tr w:rsidR="0003458B" w:rsidRPr="00CD2ADD" w14:paraId="31320B35" w14:textId="77777777" w:rsidTr="00AD40CA">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2867" w:type="dxa"/>
            <w:hideMark/>
          </w:tcPr>
          <w:p w14:paraId="61E7A8F4" w14:textId="77777777" w:rsidR="0003458B" w:rsidRPr="00CD2ADD" w:rsidRDefault="0003458B" w:rsidP="0003458B">
            <w:pPr>
              <w:rPr>
                <w:sz w:val="21"/>
                <w:szCs w:val="21"/>
              </w:rPr>
            </w:pPr>
            <w:r w:rsidRPr="00CD2ADD">
              <w:rPr>
                <w:color w:val="000000"/>
                <w:sz w:val="21"/>
                <w:szCs w:val="21"/>
              </w:rPr>
              <w:t>Riscuri asociate ninsorilor abundente și viscolului</w:t>
            </w:r>
          </w:p>
        </w:tc>
        <w:tc>
          <w:tcPr>
            <w:tcW w:w="3006" w:type="dxa"/>
            <w:hideMark/>
          </w:tcPr>
          <w:p w14:paraId="0F497FAC" w14:textId="77777777" w:rsidR="0003458B" w:rsidRPr="00CD2ADD" w:rsidRDefault="0003458B" w:rsidP="0003458B">
            <w:pPr>
              <w:cnfStyle w:val="100000000000" w:firstRow="1"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Vulnerabilități specifice</w:t>
            </w:r>
          </w:p>
        </w:tc>
        <w:tc>
          <w:tcPr>
            <w:tcW w:w="3863" w:type="dxa"/>
            <w:hideMark/>
          </w:tcPr>
          <w:p w14:paraId="11B39399" w14:textId="03050BF4" w:rsidR="0003458B" w:rsidRPr="00CD2ADD" w:rsidRDefault="0003458B" w:rsidP="0003458B">
            <w:pPr>
              <w:cnfStyle w:val="100000000000" w:firstRow="1"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Recomandări RRD</w:t>
            </w:r>
            <w:r w:rsidR="00600181" w:rsidRPr="00CD2ADD">
              <w:rPr>
                <w:color w:val="000000"/>
                <w:sz w:val="21"/>
                <w:szCs w:val="21"/>
              </w:rPr>
              <w:t>N</w:t>
            </w:r>
            <w:r w:rsidRPr="00CD2ADD">
              <w:rPr>
                <w:color w:val="000000"/>
                <w:sz w:val="21"/>
                <w:szCs w:val="21"/>
              </w:rPr>
              <w:t xml:space="preserve"> și de adaptare</w:t>
            </w:r>
          </w:p>
        </w:tc>
      </w:tr>
      <w:tr w:rsidR="0003458B" w:rsidRPr="00CD2ADD" w14:paraId="732E4170" w14:textId="77777777" w:rsidTr="00AD40CA">
        <w:trPr>
          <w:trHeight w:val="180"/>
        </w:trPr>
        <w:tc>
          <w:tcPr>
            <w:cnfStyle w:val="001000000000" w:firstRow="0" w:lastRow="0" w:firstColumn="1" w:lastColumn="0" w:oddVBand="0" w:evenVBand="0" w:oddHBand="0" w:evenHBand="0" w:firstRowFirstColumn="0" w:firstRowLastColumn="0" w:lastRowFirstColumn="0" w:lastRowLastColumn="0"/>
            <w:tcW w:w="2867" w:type="dxa"/>
            <w:hideMark/>
          </w:tcPr>
          <w:p w14:paraId="67E4B3B0" w14:textId="77777777" w:rsidR="0003458B" w:rsidRPr="00CD2ADD" w:rsidRDefault="0003458B" w:rsidP="0003458B">
            <w:pPr>
              <w:rPr>
                <w:sz w:val="21"/>
                <w:szCs w:val="21"/>
              </w:rPr>
            </w:pPr>
            <w:r w:rsidRPr="00CD2ADD">
              <w:rPr>
                <w:color w:val="000000"/>
                <w:sz w:val="21"/>
                <w:szCs w:val="21"/>
              </w:rPr>
              <w:t>Blocaje în transport și izolare a comunităților</w:t>
            </w:r>
          </w:p>
        </w:tc>
        <w:tc>
          <w:tcPr>
            <w:tcW w:w="3006" w:type="dxa"/>
            <w:hideMark/>
          </w:tcPr>
          <w:p w14:paraId="4BCE530F" w14:textId="7A894541" w:rsidR="0003458B" w:rsidRPr="00CD2ADD" w:rsidRDefault="0003458B" w:rsidP="0003458B">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Rețele rutiere insuficient pregătite pentru intervenții rapide în condiții de iarnă</w:t>
            </w:r>
          </w:p>
        </w:tc>
        <w:tc>
          <w:tcPr>
            <w:tcW w:w="3863" w:type="dxa"/>
            <w:hideMark/>
          </w:tcPr>
          <w:p w14:paraId="45554469" w14:textId="137F58CD" w:rsidR="0003458B" w:rsidRPr="00CD2ADD" w:rsidRDefault="0003458B" w:rsidP="0003458B">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Elaborarea și actualizarea planurilor locale de intervenție pe timp de iarnă; creșterea rezilienței rețelei rutiere</w:t>
            </w:r>
          </w:p>
        </w:tc>
      </w:tr>
      <w:tr w:rsidR="0003458B" w:rsidRPr="00CD2ADD" w14:paraId="32C33185" w14:textId="77777777" w:rsidTr="00AD40CA">
        <w:trPr>
          <w:trHeight w:val="165"/>
        </w:trPr>
        <w:tc>
          <w:tcPr>
            <w:cnfStyle w:val="001000000000" w:firstRow="0" w:lastRow="0" w:firstColumn="1" w:lastColumn="0" w:oddVBand="0" w:evenVBand="0" w:oddHBand="0" w:evenHBand="0" w:firstRowFirstColumn="0" w:firstRowLastColumn="0" w:lastRowFirstColumn="0" w:lastRowLastColumn="0"/>
            <w:tcW w:w="2867" w:type="dxa"/>
            <w:hideMark/>
          </w:tcPr>
          <w:p w14:paraId="509168F6" w14:textId="77777777" w:rsidR="0003458B" w:rsidRPr="00CD2ADD" w:rsidRDefault="0003458B" w:rsidP="0003458B">
            <w:pPr>
              <w:rPr>
                <w:sz w:val="21"/>
                <w:szCs w:val="21"/>
              </w:rPr>
            </w:pPr>
            <w:r w:rsidRPr="00CD2ADD">
              <w:rPr>
                <w:color w:val="000000"/>
                <w:sz w:val="21"/>
                <w:szCs w:val="21"/>
              </w:rPr>
              <w:t>Avarii asupra infrastructurii energetice și de comunicații</w:t>
            </w:r>
          </w:p>
        </w:tc>
        <w:tc>
          <w:tcPr>
            <w:tcW w:w="3006" w:type="dxa"/>
            <w:hideMark/>
          </w:tcPr>
          <w:p w14:paraId="75748832" w14:textId="6A93077E" w:rsidR="0003458B" w:rsidRPr="00CD2ADD" w:rsidRDefault="0003458B" w:rsidP="0003458B">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Linii electrice aeriene expuse și piloni slab întreținuți</w:t>
            </w:r>
          </w:p>
        </w:tc>
        <w:tc>
          <w:tcPr>
            <w:tcW w:w="3863" w:type="dxa"/>
            <w:hideMark/>
          </w:tcPr>
          <w:p w14:paraId="0E4C9670" w14:textId="77777777" w:rsidR="0003458B" w:rsidRPr="00CD2ADD" w:rsidRDefault="0003458B" w:rsidP="0003458B">
            <w:pPr>
              <w:cnfStyle w:val="000000000000" w:firstRow="0" w:lastRow="0" w:firstColumn="0" w:lastColumn="0" w:oddVBand="0" w:evenVBand="0" w:oddHBand="0" w:evenHBand="0" w:firstRowFirstColumn="0" w:firstRowLastColumn="0" w:lastRowFirstColumn="0" w:lastRowLastColumn="0"/>
              <w:rPr>
                <w:color w:val="000000"/>
                <w:sz w:val="21"/>
                <w:szCs w:val="21"/>
              </w:rPr>
            </w:pPr>
            <w:r w:rsidRPr="00CD2ADD">
              <w:rPr>
                <w:color w:val="000000"/>
                <w:sz w:val="21"/>
                <w:szCs w:val="21"/>
              </w:rPr>
              <w:t>- Investiții în modernizarea și protecția infrastructurii de transport și electricitate; control preventiv</w:t>
            </w:r>
          </w:p>
          <w:p w14:paraId="1299D669" w14:textId="6447A678" w:rsidR="00AC6481" w:rsidRPr="00CD2ADD" w:rsidRDefault="00AC6481" w:rsidP="0003458B">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xml:space="preserve">- Adițional, </w:t>
            </w:r>
            <w:r w:rsidRPr="00CD2ADD">
              <w:rPr>
                <w:sz w:val="21"/>
                <w:szCs w:val="21"/>
              </w:rPr>
              <w:t>mentenanța trebuie să includă utilizarea, în cadrul acestor procese, a soluțiilor tehnice și echipamentelor adaptate condițiilor climatice extreme, cum ar fi cele rezistente la ger, polei sau temperaturi foarte ridicate, de exemplu, în cazul liniilor de înaltă tensiune sau al materialului rulant pentru transport</w:t>
            </w:r>
          </w:p>
        </w:tc>
      </w:tr>
      <w:tr w:rsidR="0003458B" w:rsidRPr="00CD2ADD" w14:paraId="5D1345B1" w14:textId="77777777" w:rsidTr="00AD40CA">
        <w:trPr>
          <w:trHeight w:val="165"/>
        </w:trPr>
        <w:tc>
          <w:tcPr>
            <w:cnfStyle w:val="001000000000" w:firstRow="0" w:lastRow="0" w:firstColumn="1" w:lastColumn="0" w:oddVBand="0" w:evenVBand="0" w:oddHBand="0" w:evenHBand="0" w:firstRowFirstColumn="0" w:firstRowLastColumn="0" w:lastRowFirstColumn="0" w:lastRowLastColumn="0"/>
            <w:tcW w:w="2867" w:type="dxa"/>
            <w:hideMark/>
          </w:tcPr>
          <w:p w14:paraId="054F77B6" w14:textId="77777777" w:rsidR="0003458B" w:rsidRPr="00CD2ADD" w:rsidRDefault="0003458B" w:rsidP="0003458B">
            <w:pPr>
              <w:rPr>
                <w:sz w:val="21"/>
                <w:szCs w:val="21"/>
              </w:rPr>
            </w:pPr>
            <w:r w:rsidRPr="00CD2ADD">
              <w:rPr>
                <w:color w:val="000000"/>
                <w:sz w:val="21"/>
                <w:szCs w:val="21"/>
              </w:rPr>
              <w:t>Afectarea agriculturii (pierderi de culturi și animale)</w:t>
            </w:r>
          </w:p>
        </w:tc>
        <w:tc>
          <w:tcPr>
            <w:tcW w:w="3006" w:type="dxa"/>
            <w:hideMark/>
          </w:tcPr>
          <w:p w14:paraId="54B04407" w14:textId="13B598D1" w:rsidR="0003458B" w:rsidRPr="00CD2ADD" w:rsidRDefault="0003458B" w:rsidP="0003458B">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Fermieri cu acces limitat la mecanisme de protecție și compensații</w:t>
            </w:r>
          </w:p>
        </w:tc>
        <w:tc>
          <w:tcPr>
            <w:tcW w:w="3863" w:type="dxa"/>
            <w:hideMark/>
          </w:tcPr>
          <w:p w14:paraId="092EA241" w14:textId="1726C189" w:rsidR="0003458B" w:rsidRPr="00CD2ADD" w:rsidRDefault="0003458B" w:rsidP="0003458B">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Subvenții pentru infrastructură agricolă de iarnă și promovarea asigurărilor</w:t>
            </w:r>
          </w:p>
        </w:tc>
      </w:tr>
      <w:tr w:rsidR="0003458B" w:rsidRPr="00CD2ADD" w14:paraId="196E4AE9" w14:textId="77777777" w:rsidTr="00AD40CA">
        <w:trPr>
          <w:trHeight w:val="165"/>
        </w:trPr>
        <w:tc>
          <w:tcPr>
            <w:cnfStyle w:val="001000000000" w:firstRow="0" w:lastRow="0" w:firstColumn="1" w:lastColumn="0" w:oddVBand="0" w:evenVBand="0" w:oddHBand="0" w:evenHBand="0" w:firstRowFirstColumn="0" w:firstRowLastColumn="0" w:lastRowFirstColumn="0" w:lastRowLastColumn="0"/>
            <w:tcW w:w="2867" w:type="dxa"/>
            <w:hideMark/>
          </w:tcPr>
          <w:p w14:paraId="47658C57" w14:textId="77777777" w:rsidR="0003458B" w:rsidRPr="00CD2ADD" w:rsidRDefault="0003458B" w:rsidP="0003458B">
            <w:pPr>
              <w:rPr>
                <w:sz w:val="21"/>
                <w:szCs w:val="21"/>
              </w:rPr>
            </w:pPr>
            <w:r w:rsidRPr="00CD2ADD">
              <w:rPr>
                <w:color w:val="000000"/>
                <w:sz w:val="21"/>
                <w:szCs w:val="21"/>
              </w:rPr>
              <w:t>Impact asupra sănătății populației vulnerabile (accidente, hipotermie)</w:t>
            </w:r>
          </w:p>
        </w:tc>
        <w:tc>
          <w:tcPr>
            <w:tcW w:w="3006" w:type="dxa"/>
            <w:hideMark/>
          </w:tcPr>
          <w:p w14:paraId="1DC5B4CF" w14:textId="79C63A7F" w:rsidR="0003458B" w:rsidRPr="00CD2ADD" w:rsidRDefault="0003458B" w:rsidP="0003458B">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Persoane vârstnice sau izolate cu acces redus la încălzire și asistență</w:t>
            </w:r>
          </w:p>
        </w:tc>
        <w:tc>
          <w:tcPr>
            <w:tcW w:w="3863" w:type="dxa"/>
            <w:hideMark/>
          </w:tcPr>
          <w:p w14:paraId="44B61C73" w14:textId="31395381" w:rsidR="0003458B" w:rsidRPr="00CD2ADD" w:rsidRDefault="0003458B" w:rsidP="0003458B">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Campanii de informare și măsuri specifice pentru protejarea grupurilor vulnerabile</w:t>
            </w:r>
          </w:p>
        </w:tc>
      </w:tr>
      <w:tr w:rsidR="0003458B" w:rsidRPr="00CD2ADD" w14:paraId="4866C472" w14:textId="77777777" w:rsidTr="00AD40CA">
        <w:trPr>
          <w:trHeight w:val="165"/>
        </w:trPr>
        <w:tc>
          <w:tcPr>
            <w:cnfStyle w:val="001000000000" w:firstRow="0" w:lastRow="0" w:firstColumn="1" w:lastColumn="0" w:oddVBand="0" w:evenVBand="0" w:oddHBand="0" w:evenHBand="0" w:firstRowFirstColumn="0" w:firstRowLastColumn="0" w:lastRowFirstColumn="0" w:lastRowLastColumn="0"/>
            <w:tcW w:w="2867" w:type="dxa"/>
            <w:hideMark/>
          </w:tcPr>
          <w:p w14:paraId="373C8C09" w14:textId="77777777" w:rsidR="0003458B" w:rsidRPr="00CD2ADD" w:rsidRDefault="0003458B" w:rsidP="0003458B">
            <w:pPr>
              <w:rPr>
                <w:sz w:val="21"/>
                <w:szCs w:val="21"/>
              </w:rPr>
            </w:pPr>
            <w:r w:rsidRPr="00CD2ADD">
              <w:rPr>
                <w:color w:val="000000"/>
                <w:sz w:val="21"/>
                <w:szCs w:val="21"/>
              </w:rPr>
              <w:t>Întârzieri în serviciile de urgență și acces limitat la servicii esențiale</w:t>
            </w:r>
          </w:p>
        </w:tc>
        <w:tc>
          <w:tcPr>
            <w:tcW w:w="3006" w:type="dxa"/>
            <w:hideMark/>
          </w:tcPr>
          <w:p w14:paraId="28D5025F" w14:textId="6F43314D" w:rsidR="0003458B" w:rsidRPr="00CD2ADD" w:rsidRDefault="0003458B" w:rsidP="0003458B">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Capacitate redusă de intervenție la nivel local și lipsa planurilor de continuitate</w:t>
            </w:r>
          </w:p>
        </w:tc>
        <w:tc>
          <w:tcPr>
            <w:tcW w:w="3863" w:type="dxa"/>
            <w:hideMark/>
          </w:tcPr>
          <w:p w14:paraId="0EC8CCD5" w14:textId="04382EFC" w:rsidR="0003458B" w:rsidRPr="00CD2ADD" w:rsidRDefault="0003458B" w:rsidP="0003458B">
            <w:pPr>
              <w:cnfStyle w:val="000000000000" w:firstRow="0" w:lastRow="0" w:firstColumn="0" w:lastColumn="0" w:oddVBand="0" w:evenVBand="0" w:oddHBand="0" w:evenHBand="0" w:firstRowFirstColumn="0" w:firstRowLastColumn="0" w:lastRowFirstColumn="0" w:lastRowLastColumn="0"/>
              <w:rPr>
                <w:sz w:val="21"/>
                <w:szCs w:val="21"/>
              </w:rPr>
            </w:pPr>
            <w:r w:rsidRPr="00CD2ADD">
              <w:rPr>
                <w:color w:val="000000"/>
                <w:sz w:val="21"/>
                <w:szCs w:val="21"/>
              </w:rPr>
              <w:t>- C</w:t>
            </w:r>
            <w:r w:rsidR="00925F3E" w:rsidRPr="00CD2ADD">
              <w:rPr>
                <w:color w:val="000000"/>
                <w:sz w:val="21"/>
                <w:szCs w:val="21"/>
              </w:rPr>
              <w:t xml:space="preserve">onsolidarea </w:t>
            </w:r>
            <w:r w:rsidRPr="00CD2ADD">
              <w:rPr>
                <w:color w:val="000000"/>
                <w:sz w:val="21"/>
                <w:szCs w:val="21"/>
              </w:rPr>
              <w:t xml:space="preserve"> fonduri</w:t>
            </w:r>
            <w:r w:rsidR="00925F3E" w:rsidRPr="00CD2ADD">
              <w:rPr>
                <w:color w:val="000000"/>
                <w:sz w:val="21"/>
                <w:szCs w:val="21"/>
              </w:rPr>
              <w:t>lor</w:t>
            </w:r>
            <w:r w:rsidRPr="00CD2ADD">
              <w:rPr>
                <w:color w:val="000000"/>
                <w:sz w:val="21"/>
                <w:szCs w:val="21"/>
              </w:rPr>
              <w:t xml:space="preserve"> de intervenție rapidă și protocoale clare de cooperare interinstituțională</w:t>
            </w:r>
          </w:p>
        </w:tc>
      </w:tr>
    </w:tbl>
    <w:p w14:paraId="2F4C2783" w14:textId="77777777" w:rsidR="00AD40CA" w:rsidRPr="00CD2ADD" w:rsidRDefault="00AD40CA" w:rsidP="00AD40CA">
      <w:pPr>
        <w:jc w:val="center"/>
        <w:rPr>
          <w:b/>
          <w:bCs/>
          <w:color w:val="000000" w:themeColor="text1"/>
          <w:lang w:eastAsia="en-US"/>
        </w:rPr>
      </w:pPr>
    </w:p>
    <w:p w14:paraId="4949203E" w14:textId="5D73673B" w:rsidR="00AD40CA" w:rsidRPr="00CD2ADD" w:rsidRDefault="00AD40CA" w:rsidP="00590E37">
      <w:pPr>
        <w:pStyle w:val="Heading3"/>
        <w:spacing w:before="0"/>
        <w:jc w:val="center"/>
        <w:rPr>
          <w:rFonts w:ascii="Times New Roman" w:hAnsi="Times New Roman" w:cs="Times New Roman"/>
          <w:b/>
          <w:bCs w:val="0"/>
          <w:color w:val="000000" w:themeColor="text1"/>
          <w:szCs w:val="24"/>
        </w:rPr>
      </w:pPr>
      <w:r w:rsidRPr="00CD2ADD">
        <w:rPr>
          <w:rFonts w:ascii="Times New Roman" w:hAnsi="Times New Roman" w:cs="Times New Roman"/>
          <w:b/>
          <w:bCs w:val="0"/>
          <w:color w:val="000000" w:themeColor="text1"/>
          <w:szCs w:val="24"/>
        </w:rPr>
        <w:lastRenderedPageBreak/>
        <w:t>Subsecțiunea a 9-a</w:t>
      </w:r>
    </w:p>
    <w:p w14:paraId="6624A64B" w14:textId="76396891" w:rsidR="00643026" w:rsidRPr="00CD2ADD" w:rsidRDefault="00AD40CA" w:rsidP="00590E37">
      <w:pPr>
        <w:pStyle w:val="Heading3"/>
        <w:spacing w:before="0"/>
        <w:jc w:val="center"/>
        <w:rPr>
          <w:rFonts w:ascii="Times New Roman" w:hAnsi="Times New Roman" w:cs="Times New Roman"/>
          <w:b/>
          <w:bCs w:val="0"/>
          <w:color w:val="000000" w:themeColor="text1"/>
          <w:szCs w:val="24"/>
        </w:rPr>
      </w:pPr>
      <w:r w:rsidRPr="00CD2ADD">
        <w:rPr>
          <w:rFonts w:ascii="Times New Roman" w:hAnsi="Times New Roman" w:cs="Times New Roman"/>
          <w:b/>
          <w:bCs w:val="0"/>
          <w:color w:val="000000" w:themeColor="text1"/>
          <w:szCs w:val="24"/>
        </w:rPr>
        <w:t>Depuneri de gheață (polei, chiciură, lapoviță)</w:t>
      </w:r>
    </w:p>
    <w:p w14:paraId="4989A1B1" w14:textId="4843F42D" w:rsidR="00FB4FDD" w:rsidRPr="00CD2ADD" w:rsidRDefault="00FB4FDD">
      <w:pPr>
        <w:pStyle w:val="ListParagraph"/>
        <w:numPr>
          <w:ilvl w:val="0"/>
          <w:numId w:val="42"/>
        </w:numPr>
        <w:tabs>
          <w:tab w:val="left" w:pos="709"/>
        </w:tabs>
        <w:spacing w:after="0"/>
        <w:ind w:left="0" w:firstLine="284"/>
        <w:jc w:val="both"/>
        <w:rPr>
          <w:rFonts w:ascii="Times New Roman" w:hAnsi="Times New Roman" w:cs="Times New Roman"/>
          <w:color w:val="000000" w:themeColor="text1"/>
          <w:sz w:val="22"/>
        </w:rPr>
      </w:pPr>
      <w:bookmarkStart w:id="72" w:name="OLE_LINK37"/>
      <w:r w:rsidRPr="00CD2ADD">
        <w:rPr>
          <w:rFonts w:ascii="Times New Roman" w:hAnsi="Times New Roman" w:cs="Times New Roman"/>
          <w:color w:val="000000" w:themeColor="text1"/>
          <w:sz w:val="22"/>
        </w:rPr>
        <w:t>Conform SHS, poleiul este stratul subțire de gheață transparentă care se formează pe suprafețe terestre atunci când ploaia sau burnița cade pe un sol sau o infrastructură cu temperaturi sub 0°C. Fenomenul se manifestă în special iarna și poate afecta rețelele electrice, drumurile, transportul, sănătatea publică și culturile agricole. Chiciura și lapovița sunt forme complementare ale depunerilor de gheață care contribuie la riscul asociat acestui fenomen</w:t>
      </w:r>
      <w:r w:rsidRPr="00CD2ADD">
        <w:rPr>
          <w:rStyle w:val="FootnoteReference"/>
          <w:rFonts w:ascii="Times New Roman" w:hAnsi="Times New Roman" w:cs="Times New Roman"/>
          <w:color w:val="000000" w:themeColor="text1"/>
          <w:sz w:val="22"/>
        </w:rPr>
        <w:footnoteReference w:id="33"/>
      </w:r>
      <w:r w:rsidRPr="00CD2ADD">
        <w:rPr>
          <w:rFonts w:ascii="Times New Roman" w:hAnsi="Times New Roman" w:cs="Times New Roman"/>
          <w:color w:val="000000" w:themeColor="text1"/>
          <w:sz w:val="22"/>
        </w:rPr>
        <w:t>.</w:t>
      </w:r>
    </w:p>
    <w:p w14:paraId="0892EC78" w14:textId="07865BCA" w:rsidR="00187B26" w:rsidRPr="00CD2ADD" w:rsidRDefault="00187B26" w:rsidP="00545A7D">
      <w:pPr>
        <w:pStyle w:val="Subtitle"/>
        <w:spacing w:after="0" w:line="240" w:lineRule="auto"/>
        <w:ind w:firstLine="284"/>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 xml:space="preserve">Impact socio-economic </w:t>
      </w:r>
    </w:p>
    <w:p w14:paraId="25881212" w14:textId="3D58139D" w:rsidR="004424C2" w:rsidRPr="00CD2ADD" w:rsidRDefault="004424C2">
      <w:pPr>
        <w:pStyle w:val="ListParagraph"/>
        <w:numPr>
          <w:ilvl w:val="0"/>
          <w:numId w:val="42"/>
        </w:numPr>
        <w:spacing w:after="0"/>
        <w:ind w:left="0" w:firstLine="284"/>
        <w:jc w:val="both"/>
        <w:rPr>
          <w:rFonts w:ascii="Times New Roman" w:hAnsi="Times New Roman" w:cs="Times New Roman"/>
          <w:color w:val="000000" w:themeColor="text1"/>
          <w:sz w:val="22"/>
        </w:rPr>
      </w:pPr>
      <w:r w:rsidRPr="00CD2ADD">
        <w:rPr>
          <w:rFonts w:ascii="Times New Roman" w:hAnsi="Times New Roman" w:cs="Times New Roman"/>
          <w:color w:val="000000" w:themeColor="text1"/>
          <w:sz w:val="22"/>
        </w:rPr>
        <w:t>În perioada 2010–2024, în Republica Moldova au fost înregistrate oficial 4 situații excepționale asociate cu fenomene de tip polei, chiciură sau lapoviță, semnalate izolat în anii 2010, 2014 și 2023. Înregistrarea acestor situații a fost efectuată de Inspectoratul General pentru Situații de Urgență, în conformitate cu procedurile și criteriile de clasificare prevăzute în Hotărârea Guvernului nr. 1076/2010 privind clasificarea situațiilor excepționale</w:t>
      </w:r>
      <w:r w:rsidR="00187B26" w:rsidRPr="00CD2ADD">
        <w:rPr>
          <w:rStyle w:val="FootnoteReference"/>
          <w:rFonts w:ascii="Times New Roman" w:hAnsi="Times New Roman" w:cs="Times New Roman"/>
          <w:color w:val="000000" w:themeColor="text1"/>
          <w:sz w:val="22"/>
        </w:rPr>
        <w:footnoteReference w:id="34"/>
      </w:r>
      <w:r w:rsidRPr="00CD2ADD">
        <w:rPr>
          <w:rFonts w:ascii="Times New Roman" w:hAnsi="Times New Roman" w:cs="Times New Roman"/>
          <w:color w:val="000000" w:themeColor="text1"/>
          <w:sz w:val="22"/>
        </w:rPr>
        <w:t>.</w:t>
      </w:r>
    </w:p>
    <w:p w14:paraId="7029FAA7" w14:textId="4B9EB6C3" w:rsidR="004424C2" w:rsidRPr="00CD2ADD" w:rsidRDefault="004424C2" w:rsidP="00545A7D">
      <w:pPr>
        <w:ind w:firstLine="284"/>
        <w:jc w:val="both"/>
        <w:rPr>
          <w:sz w:val="22"/>
          <w:szCs w:val="22"/>
          <w:lang w:eastAsia="en-US"/>
        </w:rPr>
      </w:pPr>
      <w:r w:rsidRPr="00CD2ADD">
        <w:rPr>
          <w:sz w:val="22"/>
          <w:szCs w:val="22"/>
          <w:lang w:eastAsia="en-US"/>
        </w:rPr>
        <w:t>Potrivit datelor Serviciului Hidrometeorologic de Stat, în aceeași perioadă au fost semnalate frecvent fenomene de polei și chiciură în diverse regiuni ale țării, în special în municipiul Chișinău și în zona de nord. Spre exemplu, în sezonul rece 2012–2013, în Chișinău s-au înregistrat până la 26 de zile cu polei, iar în Bălți și Cahul frecvența medie anuală variază între 5 și 15 zile, cu vârfuri în anii 1995, 2009 și 2014.</w:t>
      </w:r>
    </w:p>
    <w:p w14:paraId="2EFFB07D" w14:textId="264F2020" w:rsidR="004424C2" w:rsidRPr="00CD2ADD" w:rsidRDefault="004424C2" w:rsidP="00545A7D">
      <w:pPr>
        <w:ind w:firstLine="284"/>
        <w:jc w:val="both"/>
        <w:rPr>
          <w:sz w:val="22"/>
          <w:szCs w:val="22"/>
          <w:lang w:eastAsia="en-US"/>
        </w:rPr>
      </w:pPr>
      <w:r w:rsidRPr="00CD2ADD">
        <w:rPr>
          <w:sz w:val="22"/>
          <w:szCs w:val="22"/>
          <w:lang w:eastAsia="en-US"/>
        </w:rPr>
        <w:t>Această diferență între datele SHS și cele ale IGSU este explicabilă prin diferențele instituționale de competență și scop: SHS are ca atribuție monitorizarea și înregistrarea fenomenelor meteorologice periculoase, fără a evalua efectele acestora asupra infrastructurii, economiei sau vieții sociale;</w:t>
      </w:r>
    </w:p>
    <w:p w14:paraId="22228879" w14:textId="77777777" w:rsidR="004424C2" w:rsidRPr="00CD2ADD" w:rsidRDefault="004424C2" w:rsidP="00545A7D">
      <w:pPr>
        <w:ind w:firstLine="284"/>
        <w:jc w:val="both"/>
        <w:rPr>
          <w:sz w:val="22"/>
          <w:szCs w:val="22"/>
          <w:lang w:eastAsia="en-US"/>
        </w:rPr>
      </w:pPr>
      <w:r w:rsidRPr="00CD2ADD">
        <w:rPr>
          <w:sz w:val="22"/>
          <w:szCs w:val="22"/>
          <w:lang w:eastAsia="en-US"/>
        </w:rPr>
        <w:t>IGSU, în schimb, înregistrează doar acele evenimente care îndeplinesc criteriile legale pentru a fi recunoscute drept situații excepționale, respectiv atunci când impactul socio-economic, ecologic sau funcțional este semnificativ.</w:t>
      </w:r>
    </w:p>
    <w:p w14:paraId="21DA545D" w14:textId="685FD638" w:rsidR="004424C2" w:rsidRPr="00CD2ADD" w:rsidRDefault="004424C2" w:rsidP="00545A7D">
      <w:pPr>
        <w:ind w:firstLine="284"/>
        <w:jc w:val="both"/>
        <w:rPr>
          <w:sz w:val="22"/>
          <w:szCs w:val="22"/>
          <w:lang w:eastAsia="en-US"/>
        </w:rPr>
      </w:pPr>
      <w:r w:rsidRPr="00CD2ADD">
        <w:rPr>
          <w:sz w:val="22"/>
          <w:szCs w:val="22"/>
          <w:lang w:eastAsia="en-US"/>
        </w:rPr>
        <w:t>Conform H</w:t>
      </w:r>
      <w:r w:rsidR="00D963B6" w:rsidRPr="00CD2ADD">
        <w:rPr>
          <w:sz w:val="22"/>
          <w:szCs w:val="22"/>
          <w:lang w:eastAsia="en-US"/>
        </w:rPr>
        <w:t xml:space="preserve">otărârii </w:t>
      </w:r>
      <w:r w:rsidRPr="00CD2ADD">
        <w:rPr>
          <w:sz w:val="22"/>
          <w:szCs w:val="22"/>
          <w:lang w:eastAsia="en-US"/>
        </w:rPr>
        <w:t>G</w:t>
      </w:r>
      <w:r w:rsidR="00D963B6" w:rsidRPr="00CD2ADD">
        <w:rPr>
          <w:sz w:val="22"/>
          <w:szCs w:val="22"/>
          <w:lang w:eastAsia="en-US"/>
        </w:rPr>
        <w:t xml:space="preserve">uvernului </w:t>
      </w:r>
      <w:r w:rsidRPr="00CD2ADD">
        <w:rPr>
          <w:sz w:val="22"/>
          <w:szCs w:val="22"/>
          <w:lang w:eastAsia="en-US"/>
        </w:rPr>
        <w:t xml:space="preserve"> nr. 1076/2010, fenomenele precum chiciura și lapovița nu sunt clasificate în mod direct ca situații excepționale, ci pot fi considerate factori declanșatori ai acestora, în cazul în care generează efecte grave, cum ar fi distrugerea rețelelor electrice, avarii de infrastructură, accidente multiple sau alte consecințe de amploare.</w:t>
      </w:r>
    </w:p>
    <w:p w14:paraId="5A854E91" w14:textId="1E297B7F" w:rsidR="004424C2" w:rsidRPr="00CD2ADD" w:rsidRDefault="004424C2" w:rsidP="00545A7D">
      <w:pPr>
        <w:ind w:firstLine="284"/>
        <w:jc w:val="both"/>
        <w:rPr>
          <w:sz w:val="22"/>
          <w:szCs w:val="22"/>
          <w:lang w:eastAsia="en-US"/>
        </w:rPr>
      </w:pPr>
      <w:r w:rsidRPr="00CD2ADD">
        <w:rPr>
          <w:sz w:val="22"/>
          <w:szCs w:val="22"/>
          <w:lang w:eastAsia="en-US"/>
        </w:rPr>
        <w:t>Înregistrarea unei situații excepționale de către IGSU are loc numai în baza unei constatări oficiale, în conformitate cu legislația în vigoare, care include decizii ale autorităților publice locale, rapoarte de evaluare a pagubelor, sau dispoziții ale Comisiei pentru Situații Excepționale.</w:t>
      </w:r>
    </w:p>
    <w:p w14:paraId="33DA6B37" w14:textId="472404D1" w:rsidR="004424C2" w:rsidRDefault="004424C2" w:rsidP="00545A7D">
      <w:pPr>
        <w:spacing w:after="120"/>
        <w:ind w:firstLine="284"/>
        <w:jc w:val="both"/>
        <w:rPr>
          <w:sz w:val="22"/>
          <w:szCs w:val="22"/>
          <w:lang w:eastAsia="en-US"/>
        </w:rPr>
      </w:pPr>
      <w:r w:rsidRPr="00CD2ADD">
        <w:rPr>
          <w:sz w:val="22"/>
          <w:szCs w:val="22"/>
          <w:lang w:eastAsia="en-US"/>
        </w:rPr>
        <w:t>Astfel, nu orice eveniment meteorologic constituie o situație excepțională, iar evidențele IGSU reflectă doar evenimentele care întrunesc formal criteriile juridice, fiind confirmate de autoritățile competente. Această delimitare este esențială pentru o înțelegere corectă a riscurilor și pentru fundamentarea politicilor publice în domeniul protecției civile și reducerii riscurilor de dezastre.</w:t>
      </w:r>
    </w:p>
    <w:p w14:paraId="2708EFCA" w14:textId="77777777" w:rsidR="00AB18CF" w:rsidRDefault="00AB18CF" w:rsidP="00545A7D">
      <w:pPr>
        <w:spacing w:after="120"/>
        <w:ind w:firstLine="284"/>
        <w:jc w:val="both"/>
        <w:rPr>
          <w:sz w:val="22"/>
          <w:szCs w:val="22"/>
          <w:lang w:eastAsia="en-US"/>
        </w:rPr>
      </w:pPr>
    </w:p>
    <w:p w14:paraId="6E12BA6C" w14:textId="77777777" w:rsidR="00AB18CF" w:rsidRDefault="00AB18CF" w:rsidP="00545A7D">
      <w:pPr>
        <w:spacing w:after="120"/>
        <w:ind w:firstLine="284"/>
        <w:jc w:val="both"/>
        <w:rPr>
          <w:sz w:val="22"/>
          <w:szCs w:val="22"/>
          <w:lang w:eastAsia="en-US"/>
        </w:rPr>
      </w:pPr>
    </w:p>
    <w:p w14:paraId="4DA3EF6F" w14:textId="77777777" w:rsidR="00AB18CF" w:rsidRDefault="00AB18CF" w:rsidP="00545A7D">
      <w:pPr>
        <w:spacing w:after="120"/>
        <w:ind w:firstLine="284"/>
        <w:jc w:val="both"/>
        <w:rPr>
          <w:sz w:val="22"/>
          <w:szCs w:val="22"/>
          <w:lang w:eastAsia="en-US"/>
        </w:rPr>
      </w:pPr>
    </w:p>
    <w:p w14:paraId="24A5610F" w14:textId="77777777" w:rsidR="00AB18CF" w:rsidRDefault="00AB18CF" w:rsidP="00545A7D">
      <w:pPr>
        <w:spacing w:after="120"/>
        <w:ind w:firstLine="284"/>
        <w:jc w:val="both"/>
        <w:rPr>
          <w:sz w:val="22"/>
          <w:szCs w:val="22"/>
          <w:lang w:eastAsia="en-US"/>
        </w:rPr>
      </w:pPr>
    </w:p>
    <w:p w14:paraId="68A69EBD" w14:textId="77777777" w:rsidR="00AB18CF" w:rsidRDefault="00AB18CF" w:rsidP="00545A7D">
      <w:pPr>
        <w:spacing w:after="120"/>
        <w:ind w:firstLine="284"/>
        <w:jc w:val="both"/>
        <w:rPr>
          <w:sz w:val="22"/>
          <w:szCs w:val="22"/>
          <w:lang w:eastAsia="en-US"/>
        </w:rPr>
      </w:pPr>
    </w:p>
    <w:p w14:paraId="25880500" w14:textId="77777777" w:rsidR="00AB18CF" w:rsidRDefault="00AB18CF" w:rsidP="00545A7D">
      <w:pPr>
        <w:spacing w:after="120"/>
        <w:ind w:firstLine="284"/>
        <w:jc w:val="both"/>
        <w:rPr>
          <w:sz w:val="22"/>
          <w:szCs w:val="22"/>
          <w:lang w:eastAsia="en-US"/>
        </w:rPr>
      </w:pPr>
    </w:p>
    <w:p w14:paraId="73C4A035" w14:textId="77777777" w:rsidR="00AB18CF" w:rsidRDefault="00AB18CF" w:rsidP="00545A7D">
      <w:pPr>
        <w:spacing w:after="120"/>
        <w:ind w:firstLine="284"/>
        <w:jc w:val="both"/>
        <w:rPr>
          <w:sz w:val="22"/>
          <w:szCs w:val="22"/>
          <w:lang w:eastAsia="en-US"/>
        </w:rPr>
      </w:pPr>
    </w:p>
    <w:p w14:paraId="7CC809D5" w14:textId="77777777" w:rsidR="00AB18CF" w:rsidRDefault="00AB18CF" w:rsidP="00545A7D">
      <w:pPr>
        <w:spacing w:after="120"/>
        <w:ind w:firstLine="284"/>
        <w:jc w:val="both"/>
        <w:rPr>
          <w:sz w:val="22"/>
          <w:szCs w:val="22"/>
          <w:lang w:eastAsia="en-US"/>
        </w:rPr>
      </w:pPr>
    </w:p>
    <w:p w14:paraId="05DF20E0" w14:textId="77777777" w:rsidR="00AB18CF" w:rsidRDefault="00AB18CF" w:rsidP="00545A7D">
      <w:pPr>
        <w:spacing w:after="120"/>
        <w:ind w:firstLine="284"/>
        <w:jc w:val="both"/>
        <w:rPr>
          <w:sz w:val="22"/>
          <w:szCs w:val="22"/>
          <w:lang w:eastAsia="en-US"/>
        </w:rPr>
      </w:pPr>
    </w:p>
    <w:p w14:paraId="3C5CBF68" w14:textId="77777777" w:rsidR="00AB18CF" w:rsidRDefault="00AB18CF" w:rsidP="00545A7D">
      <w:pPr>
        <w:spacing w:after="120"/>
        <w:ind w:firstLine="284"/>
        <w:jc w:val="both"/>
        <w:rPr>
          <w:sz w:val="22"/>
          <w:szCs w:val="22"/>
          <w:lang w:eastAsia="en-US"/>
        </w:rPr>
      </w:pPr>
    </w:p>
    <w:p w14:paraId="09104EBC" w14:textId="77777777" w:rsidR="00AB18CF" w:rsidRPr="00CD2ADD" w:rsidRDefault="00AB18CF" w:rsidP="00545A7D">
      <w:pPr>
        <w:spacing w:after="120"/>
        <w:ind w:firstLine="284"/>
        <w:jc w:val="both"/>
        <w:rPr>
          <w:sz w:val="22"/>
          <w:szCs w:val="22"/>
          <w:lang w:eastAsia="en-US"/>
        </w:rPr>
      </w:pPr>
    </w:p>
    <w:p w14:paraId="7000C3C5" w14:textId="72E8D22E" w:rsidR="00B34788" w:rsidRPr="00CD2ADD" w:rsidRDefault="00B34788" w:rsidP="00B34788">
      <w:pPr>
        <w:spacing w:after="120"/>
        <w:ind w:firstLine="284"/>
        <w:jc w:val="center"/>
        <w:rPr>
          <w:sz w:val="22"/>
          <w:szCs w:val="22"/>
          <w:lang w:eastAsia="en-US"/>
        </w:rPr>
      </w:pPr>
      <w:r w:rsidRPr="00CD2ADD">
        <w:rPr>
          <w:b/>
          <w:bCs/>
          <w:sz w:val="22"/>
          <w:szCs w:val="22"/>
          <w:lang w:eastAsia="en-US"/>
        </w:rPr>
        <w:lastRenderedPageBreak/>
        <w:t>Figura 3</w:t>
      </w:r>
      <w:r w:rsidR="00CC469C">
        <w:rPr>
          <w:b/>
          <w:bCs/>
          <w:sz w:val="22"/>
          <w:szCs w:val="22"/>
          <w:lang w:eastAsia="en-US"/>
        </w:rPr>
        <w:t>2</w:t>
      </w:r>
      <w:r w:rsidRPr="00CD2ADD">
        <w:rPr>
          <w:b/>
          <w:bCs/>
          <w:sz w:val="22"/>
          <w:szCs w:val="22"/>
          <w:lang w:eastAsia="en-US"/>
        </w:rPr>
        <w:t>.</w:t>
      </w:r>
      <w:r w:rsidRPr="00CD2ADD">
        <w:rPr>
          <w:sz w:val="22"/>
          <w:szCs w:val="22"/>
          <w:lang w:eastAsia="en-US"/>
        </w:rPr>
        <w:t xml:space="preserve"> Numărul de zile cu polei la cele 3 stații meteorologice de referință</w:t>
      </w:r>
    </w:p>
    <w:p w14:paraId="379C94CE" w14:textId="1A858113" w:rsidR="00FB4FDD" w:rsidRPr="00CD2ADD" w:rsidRDefault="00FB4FDD" w:rsidP="00CC469C">
      <w:pPr>
        <w:jc w:val="both"/>
        <w:rPr>
          <w:sz w:val="22"/>
          <w:szCs w:val="22"/>
          <w:lang w:eastAsia="en-US"/>
        </w:rPr>
      </w:pPr>
      <w:r w:rsidRPr="00CD2ADD">
        <w:rPr>
          <w:noProof/>
        </w:rPr>
        <w:drawing>
          <wp:inline distT="0" distB="0" distL="0" distR="0" wp14:anchorId="0EB570A6" wp14:editId="042E7E04">
            <wp:extent cx="5943600" cy="3269673"/>
            <wp:effectExtent l="0" t="0" r="12700" b="6985"/>
            <wp:docPr id="1541696576" name="Chart 1">
              <a:extLst xmlns:a="http://schemas.openxmlformats.org/drawingml/2006/main">
                <a:ext uri="{FF2B5EF4-FFF2-40B4-BE49-F238E27FC236}">
                  <a16:creationId xmlns:a16="http://schemas.microsoft.com/office/drawing/2014/main" id="{CF000001-1B85-A6ED-1CB2-80FF7AF9CD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290333C" w14:textId="60C2FEFF" w:rsidR="00FB4FDD" w:rsidRPr="00CC469C" w:rsidRDefault="00FB4FDD" w:rsidP="00B34788">
      <w:pPr>
        <w:spacing w:after="120"/>
        <w:jc w:val="center"/>
        <w:rPr>
          <w:i/>
          <w:iCs/>
          <w:sz w:val="20"/>
          <w:szCs w:val="20"/>
          <w:lang w:eastAsia="en-US"/>
        </w:rPr>
      </w:pPr>
      <w:r w:rsidRPr="00CC469C">
        <w:rPr>
          <w:i/>
          <w:iCs/>
          <w:sz w:val="20"/>
          <w:szCs w:val="20"/>
          <w:lang w:eastAsia="en-US"/>
        </w:rPr>
        <w:t>Sursa: SHS, Date meteorologice istorice Chișinău, Bălți, Cahul</w:t>
      </w:r>
    </w:p>
    <w:p w14:paraId="58EB6004" w14:textId="77777777" w:rsidR="00FB4FDD" w:rsidRPr="00CD2ADD" w:rsidRDefault="00FB4FDD" w:rsidP="00B34788">
      <w:pPr>
        <w:ind w:firstLine="284"/>
        <w:jc w:val="both"/>
        <w:rPr>
          <w:rStyle w:val="IntenseEmphasis"/>
          <w:color w:val="000000" w:themeColor="text1"/>
        </w:rPr>
      </w:pPr>
      <w:r w:rsidRPr="00CD2ADD">
        <w:rPr>
          <w:rStyle w:val="IntenseEmphasis"/>
          <w:rFonts w:eastAsiaTheme="majorEastAsia"/>
          <w:color w:val="000000" w:themeColor="text1"/>
          <w:lang w:eastAsia="en-US"/>
        </w:rPr>
        <w:t>Impact socio-economic</w:t>
      </w:r>
      <w:r w:rsidRPr="00CD2ADD">
        <w:rPr>
          <w:rStyle w:val="IntenseEmphasis"/>
          <w:color w:val="000000" w:themeColor="text1"/>
          <w:lang w:eastAsia="en-US"/>
        </w:rPr>
        <w:t xml:space="preserve"> </w:t>
      </w:r>
    </w:p>
    <w:p w14:paraId="233EA9B0" w14:textId="6BE765A4" w:rsidR="00DD3E56" w:rsidRPr="00CD2ADD" w:rsidRDefault="00FB4FDD">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 xml:space="preserve">Pagubele raportate de IGSU din aceste </w:t>
      </w:r>
      <w:r w:rsidR="0060615F" w:rsidRPr="00CD2ADD">
        <w:rPr>
          <w:rFonts w:ascii="Times New Roman" w:hAnsi="Times New Roman" w:cs="Times New Roman"/>
          <w:color w:val="000000" w:themeColor="text1"/>
          <w:sz w:val="24"/>
          <w:szCs w:val="24"/>
        </w:rPr>
        <w:t>4</w:t>
      </w:r>
      <w:r w:rsidRPr="00CD2ADD">
        <w:rPr>
          <w:rFonts w:ascii="Times New Roman" w:hAnsi="Times New Roman" w:cs="Times New Roman"/>
          <w:color w:val="000000" w:themeColor="text1"/>
          <w:sz w:val="24"/>
          <w:szCs w:val="24"/>
        </w:rPr>
        <w:t xml:space="preserve"> evenimente totalizează aproximativ 2,</w:t>
      </w:r>
      <w:r w:rsidR="00317A3C" w:rsidRPr="00CD2ADD">
        <w:rPr>
          <w:rFonts w:ascii="Times New Roman" w:hAnsi="Times New Roman" w:cs="Times New Roman"/>
          <w:color w:val="000000" w:themeColor="text1"/>
          <w:sz w:val="24"/>
          <w:szCs w:val="24"/>
        </w:rPr>
        <w:t xml:space="preserve">6 </w:t>
      </w:r>
      <w:r w:rsidRPr="00CD2ADD">
        <w:rPr>
          <w:rFonts w:ascii="Times New Roman" w:hAnsi="Times New Roman" w:cs="Times New Roman"/>
          <w:color w:val="000000" w:themeColor="text1"/>
          <w:sz w:val="24"/>
          <w:szCs w:val="24"/>
        </w:rPr>
        <w:t>milioane lei, o valoare relativ scăzută (sub 0,01% din totalul pagubelor SE naturale). Totuși, impactul poleiului este adesea sub raportat, cu efecte majore indirecte asupra transportului rutier, sănătății (accidente), alimentării cu energie electrică și accesului la servicii esențiale.</w:t>
      </w:r>
    </w:p>
    <w:p w14:paraId="08B27D73" w14:textId="77777777" w:rsidR="00C85310" w:rsidRPr="00CD2ADD" w:rsidRDefault="00C85310" w:rsidP="00B34788">
      <w:pPr>
        <w:pStyle w:val="Subtitle"/>
        <w:spacing w:after="0" w:line="240" w:lineRule="auto"/>
        <w:ind w:firstLine="284"/>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Vulnerabilitate, expunere și capacitate de adaptare</w:t>
      </w:r>
    </w:p>
    <w:p w14:paraId="74A00B76" w14:textId="42512EEB" w:rsidR="00FB4FDD" w:rsidRPr="00CD2ADD" w:rsidRDefault="00FB4FDD">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Zonele urbane, mai ales Chișinău, prezintă vulnerabilitate crescută din cauza densității infrastructurii și a traficului rutier. De asemenea, zonele rurale pot suferi întreruperi prelungite în aprovizionarea cu energie electrică și servicii de urgență. Populațiile în vârstă, copiii și persoanele cu dizabilități sunt deosebit de expuse riscurilor asociate cu deplasarea pe drumuri acoperite de polei.</w:t>
      </w:r>
    </w:p>
    <w:p w14:paraId="1A85DE15" w14:textId="65A2A10C" w:rsidR="00E10ABF" w:rsidRPr="00CD2ADD" w:rsidRDefault="00FB4FDD" w:rsidP="00B34788">
      <w:pPr>
        <w:ind w:firstLine="284"/>
        <w:jc w:val="both"/>
        <w:rPr>
          <w:sz w:val="22"/>
          <w:szCs w:val="22"/>
          <w:lang w:eastAsia="en-US"/>
        </w:rPr>
      </w:pPr>
      <w:r w:rsidRPr="00CD2ADD">
        <w:rPr>
          <w:sz w:val="22"/>
          <w:szCs w:val="22"/>
          <w:lang w:eastAsia="en-US"/>
        </w:rPr>
        <w:t>Deși rare ca situații excepționale, depunerile de gheață reprezintă un risc meteorologic cu frecvență ridicată și impact potențial sever, în special asupra infrastructurii și siguranței populației urbane. Monitorizarea meteorologică, alertele timpurii și măsuri de intervenție rapidă sunt esențiale pentru reducerea impactului acestor fenomene.</w:t>
      </w:r>
    </w:p>
    <w:p w14:paraId="153DD752" w14:textId="79B5C688" w:rsidR="00537B03" w:rsidRDefault="00537B03" w:rsidP="00B34788">
      <w:pPr>
        <w:spacing w:after="120"/>
        <w:ind w:firstLine="284"/>
        <w:jc w:val="both"/>
        <w:rPr>
          <w:sz w:val="22"/>
          <w:szCs w:val="22"/>
          <w:lang w:eastAsia="en-US"/>
        </w:rPr>
      </w:pPr>
      <w:r w:rsidRPr="00CD2ADD">
        <w:rPr>
          <w:sz w:val="22"/>
          <w:szCs w:val="22"/>
          <w:lang w:eastAsia="en-US"/>
        </w:rPr>
        <w:t xml:space="preserve">Capacitatea de adaptare la depuneri de gheață în Republica Moldova rămâne limitată, mai ales în zonele rurale și în orașele cu infrastructură învechită. Un răspuns eficient necesită cooperare între mai multe instituții: Ministerul Afacerilor Interne (prin IGSU) pentru intervenții de urgență, Ministerul Infrastructurii </w:t>
      </w:r>
      <w:r w:rsidR="002E6C6C" w:rsidRPr="00CD2ADD">
        <w:rPr>
          <w:sz w:val="22"/>
          <w:szCs w:val="22"/>
          <w:lang w:eastAsia="en-US"/>
        </w:rPr>
        <w:t xml:space="preserve">și Dezvoltării Regionale </w:t>
      </w:r>
      <w:r w:rsidRPr="00CD2ADD">
        <w:rPr>
          <w:sz w:val="22"/>
          <w:szCs w:val="22"/>
          <w:lang w:eastAsia="en-US"/>
        </w:rPr>
        <w:t>pentru întreținerea drumurilor, Ministerul Sănătății pentru prevenirea riscurilor medicale, iar Ministerul Mediului (prin SHS) pentru monitorizare meteorologică și alerte. Autoritățile locale joacă un rol esențial în aplicarea măsurilor la nivel comunitar. Consolidarea cooperării și dezvoltarea unor sisteme integrate de alertă și intervenție sunt esențiale pentru reducerea impactului acestor fenomene.</w:t>
      </w:r>
    </w:p>
    <w:p w14:paraId="503240FA" w14:textId="635A4744" w:rsidR="00321BD8" w:rsidRPr="00CC469C" w:rsidRDefault="00CC469C" w:rsidP="00CC469C">
      <w:pPr>
        <w:ind w:firstLine="284"/>
        <w:jc w:val="right"/>
        <w:rPr>
          <w:b/>
          <w:bCs/>
          <w:sz w:val="22"/>
          <w:szCs w:val="22"/>
          <w:lang w:eastAsia="en-US"/>
        </w:rPr>
      </w:pPr>
      <w:r w:rsidRPr="00CC469C">
        <w:rPr>
          <w:b/>
          <w:bCs/>
          <w:sz w:val="22"/>
          <w:szCs w:val="22"/>
          <w:lang w:eastAsia="en-US"/>
        </w:rPr>
        <w:t>Tabelul 18</w:t>
      </w:r>
    </w:p>
    <w:p w14:paraId="295A71FC" w14:textId="23214917" w:rsidR="00537B03" w:rsidRPr="00CC469C" w:rsidRDefault="00537B03" w:rsidP="00B34788">
      <w:pPr>
        <w:spacing w:after="120"/>
        <w:jc w:val="center"/>
        <w:rPr>
          <w:rStyle w:val="IntenseEmphasis"/>
          <w:bCs w:val="0"/>
          <w:i w:val="0"/>
          <w:iCs w:val="0"/>
          <w:color w:val="000000" w:themeColor="text1"/>
          <w:lang w:eastAsia="en-US"/>
        </w:rPr>
      </w:pPr>
      <w:r w:rsidRPr="00CC469C">
        <w:rPr>
          <w:rStyle w:val="IntenseEmphasis"/>
          <w:bCs w:val="0"/>
          <w:i w:val="0"/>
          <w:iCs w:val="0"/>
          <w:color w:val="000000" w:themeColor="text1"/>
          <w:lang w:eastAsia="en-US"/>
        </w:rPr>
        <w:t>Măsuri recomandate pentru reducerea riscului de polei, chiciur</w:t>
      </w:r>
      <w:r w:rsidR="008E65A5">
        <w:rPr>
          <w:rStyle w:val="IntenseEmphasis"/>
          <w:bCs w:val="0"/>
          <w:i w:val="0"/>
          <w:iCs w:val="0"/>
          <w:color w:val="000000" w:themeColor="text1"/>
          <w:lang w:eastAsia="en-US"/>
        </w:rPr>
        <w:t>ă</w:t>
      </w:r>
      <w:r w:rsidRPr="00CC469C">
        <w:rPr>
          <w:rStyle w:val="IntenseEmphasis"/>
          <w:bCs w:val="0"/>
          <w:i w:val="0"/>
          <w:iCs w:val="0"/>
          <w:color w:val="000000" w:themeColor="text1"/>
          <w:lang w:eastAsia="en-US"/>
        </w:rPr>
        <w:t>, lapoviță</w:t>
      </w:r>
    </w:p>
    <w:tbl>
      <w:tblPr>
        <w:tblStyle w:val="GridTable1Light-Accent41"/>
        <w:tblW w:w="9854" w:type="dxa"/>
        <w:tblLook w:val="04A0" w:firstRow="1" w:lastRow="0" w:firstColumn="1" w:lastColumn="0" w:noHBand="0" w:noVBand="1"/>
      </w:tblPr>
      <w:tblGrid>
        <w:gridCol w:w="3264"/>
        <w:gridCol w:w="3103"/>
        <w:gridCol w:w="3487"/>
      </w:tblGrid>
      <w:tr w:rsidR="00EF55C8" w:rsidRPr="00CD2ADD" w14:paraId="0203E7BA" w14:textId="77777777" w:rsidTr="00385DB3">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0" w:type="auto"/>
            <w:hideMark/>
          </w:tcPr>
          <w:p w14:paraId="63279FE0" w14:textId="6BA5745F" w:rsidR="00EF55C8" w:rsidRPr="00CD2ADD" w:rsidRDefault="00EF55C8" w:rsidP="00EF55C8">
            <w:pPr>
              <w:rPr>
                <w:sz w:val="21"/>
                <w:szCs w:val="21"/>
              </w:rPr>
            </w:pPr>
            <w:r w:rsidRPr="00CD2ADD">
              <w:rPr>
                <w:sz w:val="21"/>
                <w:szCs w:val="21"/>
              </w:rPr>
              <w:t>Riscul de polei, chiciura, lapoviță</w:t>
            </w:r>
          </w:p>
        </w:tc>
        <w:tc>
          <w:tcPr>
            <w:tcW w:w="0" w:type="auto"/>
            <w:hideMark/>
          </w:tcPr>
          <w:p w14:paraId="022D375C" w14:textId="77777777" w:rsidR="00EF55C8" w:rsidRPr="00CD2ADD" w:rsidRDefault="00EF55C8" w:rsidP="00EF55C8">
            <w:pPr>
              <w:cnfStyle w:val="100000000000" w:firstRow="1" w:lastRow="0" w:firstColumn="0" w:lastColumn="0" w:oddVBand="0" w:evenVBand="0" w:oddHBand="0" w:evenHBand="0" w:firstRowFirstColumn="0" w:firstRowLastColumn="0" w:lastRowFirstColumn="0" w:lastRowLastColumn="0"/>
              <w:rPr>
                <w:sz w:val="21"/>
                <w:szCs w:val="21"/>
              </w:rPr>
            </w:pPr>
            <w:r w:rsidRPr="00CD2ADD">
              <w:rPr>
                <w:sz w:val="21"/>
                <w:szCs w:val="21"/>
              </w:rPr>
              <w:t>Vulnerabilități specifice</w:t>
            </w:r>
          </w:p>
        </w:tc>
        <w:tc>
          <w:tcPr>
            <w:tcW w:w="0" w:type="auto"/>
            <w:hideMark/>
          </w:tcPr>
          <w:p w14:paraId="1BB175E1" w14:textId="77777777" w:rsidR="00EF55C8" w:rsidRPr="00CD2ADD" w:rsidRDefault="00EF55C8" w:rsidP="00EF55C8">
            <w:pPr>
              <w:cnfStyle w:val="100000000000" w:firstRow="1" w:lastRow="0" w:firstColumn="0" w:lastColumn="0" w:oddVBand="0" w:evenVBand="0" w:oddHBand="0" w:evenHBand="0" w:firstRowFirstColumn="0" w:firstRowLastColumn="0" w:lastRowFirstColumn="0" w:lastRowLastColumn="0"/>
              <w:rPr>
                <w:sz w:val="21"/>
                <w:szCs w:val="21"/>
              </w:rPr>
            </w:pPr>
            <w:r w:rsidRPr="00CD2ADD">
              <w:rPr>
                <w:sz w:val="21"/>
                <w:szCs w:val="21"/>
              </w:rPr>
              <w:t>Măsuri recomandate pentru reducerea riscului</w:t>
            </w:r>
          </w:p>
        </w:tc>
      </w:tr>
      <w:tr w:rsidR="00EF55C8" w:rsidRPr="00CD2ADD" w14:paraId="0E3954E1" w14:textId="77777777" w:rsidTr="00385DB3">
        <w:trPr>
          <w:trHeight w:val="1248"/>
        </w:trPr>
        <w:tc>
          <w:tcPr>
            <w:cnfStyle w:val="001000000000" w:firstRow="0" w:lastRow="0" w:firstColumn="1" w:lastColumn="0" w:oddVBand="0" w:evenVBand="0" w:oddHBand="0" w:evenHBand="0" w:firstRowFirstColumn="0" w:firstRowLastColumn="0" w:lastRowFirstColumn="0" w:lastRowLastColumn="0"/>
            <w:tcW w:w="0" w:type="auto"/>
            <w:hideMark/>
          </w:tcPr>
          <w:p w14:paraId="6ADD6A6A" w14:textId="77777777" w:rsidR="00EF55C8" w:rsidRPr="00CD2ADD" w:rsidRDefault="00EF55C8" w:rsidP="00EF55C8">
            <w:pPr>
              <w:rPr>
                <w:sz w:val="21"/>
                <w:szCs w:val="21"/>
              </w:rPr>
            </w:pPr>
            <w:r w:rsidRPr="00CD2ADD">
              <w:rPr>
                <w:sz w:val="21"/>
                <w:szCs w:val="21"/>
              </w:rPr>
              <w:lastRenderedPageBreak/>
              <w:t>Accidente rutiere și pietonale din cauza poleiului</w:t>
            </w:r>
          </w:p>
        </w:tc>
        <w:tc>
          <w:tcPr>
            <w:tcW w:w="0" w:type="auto"/>
            <w:hideMark/>
          </w:tcPr>
          <w:p w14:paraId="4B4845EB" w14:textId="1492CAE0" w:rsidR="00EF55C8" w:rsidRPr="00CD2ADD" w:rsidRDefault="00EF55C8" w:rsidP="00EF55C8">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Infrastructură rutieră veche</w:t>
            </w:r>
            <w:r w:rsidRPr="00CD2ADD">
              <w:rPr>
                <w:sz w:val="21"/>
                <w:szCs w:val="21"/>
              </w:rPr>
              <w:br/>
              <w:t>- Lipsa dotării pentru intervenții rapide</w:t>
            </w:r>
            <w:r w:rsidRPr="00CD2ADD">
              <w:rPr>
                <w:sz w:val="21"/>
                <w:szCs w:val="21"/>
              </w:rPr>
              <w:br/>
              <w:t>- Populație vulnerabila i.e. pietoni vârstnici și copii</w:t>
            </w:r>
          </w:p>
        </w:tc>
        <w:tc>
          <w:tcPr>
            <w:tcW w:w="0" w:type="auto"/>
            <w:hideMark/>
          </w:tcPr>
          <w:p w14:paraId="2EAF1805" w14:textId="3F9497AB" w:rsidR="00EF55C8" w:rsidRPr="00CD2ADD" w:rsidRDefault="00EF55C8" w:rsidP="00EF55C8">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Sisteme de alertă timpurie locale și aplicații mobile de avertizare</w:t>
            </w:r>
            <w:r w:rsidRPr="00CD2ADD">
              <w:rPr>
                <w:sz w:val="21"/>
                <w:szCs w:val="21"/>
              </w:rPr>
              <w:br/>
              <w:t>- Intervenții rapide de dezghețare, si îndreptate spre populația vulnerabila</w:t>
            </w:r>
          </w:p>
        </w:tc>
      </w:tr>
      <w:tr w:rsidR="00EF55C8" w:rsidRPr="00CD2ADD" w14:paraId="32FEBDB9" w14:textId="77777777" w:rsidTr="00385DB3">
        <w:trPr>
          <w:trHeight w:val="1225"/>
        </w:trPr>
        <w:tc>
          <w:tcPr>
            <w:cnfStyle w:val="001000000000" w:firstRow="0" w:lastRow="0" w:firstColumn="1" w:lastColumn="0" w:oddVBand="0" w:evenVBand="0" w:oddHBand="0" w:evenHBand="0" w:firstRowFirstColumn="0" w:firstRowLastColumn="0" w:lastRowFirstColumn="0" w:lastRowLastColumn="0"/>
            <w:tcW w:w="0" w:type="auto"/>
            <w:hideMark/>
          </w:tcPr>
          <w:p w14:paraId="487A0624" w14:textId="77777777" w:rsidR="00EF55C8" w:rsidRPr="00CD2ADD" w:rsidRDefault="00EF55C8" w:rsidP="00EF55C8">
            <w:pPr>
              <w:rPr>
                <w:sz w:val="21"/>
                <w:szCs w:val="21"/>
              </w:rPr>
            </w:pPr>
            <w:r w:rsidRPr="00CD2ADD">
              <w:rPr>
                <w:sz w:val="21"/>
                <w:szCs w:val="21"/>
              </w:rPr>
              <w:t>Întreruperi în alimentarea cu energie și acces rutier</w:t>
            </w:r>
          </w:p>
        </w:tc>
        <w:tc>
          <w:tcPr>
            <w:tcW w:w="0" w:type="auto"/>
            <w:hideMark/>
          </w:tcPr>
          <w:p w14:paraId="0C4A7B15" w14:textId="77777777" w:rsidR="00EF55C8" w:rsidRPr="00CD2ADD" w:rsidRDefault="00EF55C8" w:rsidP="00EF55C8">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Rețele aeriene neprotejate</w:t>
            </w:r>
            <w:r w:rsidRPr="00CD2ADD">
              <w:rPr>
                <w:sz w:val="21"/>
                <w:szCs w:val="21"/>
              </w:rPr>
              <w:br/>
              <w:t>- Lipsa accesului la echipamente de deszăpezire în unele localități</w:t>
            </w:r>
          </w:p>
        </w:tc>
        <w:tc>
          <w:tcPr>
            <w:tcW w:w="0" w:type="auto"/>
            <w:hideMark/>
          </w:tcPr>
          <w:p w14:paraId="20608C9A" w14:textId="77777777" w:rsidR="00EF55C8" w:rsidRPr="00CD2ADD" w:rsidRDefault="00EF55C8" w:rsidP="00EF55C8">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Modernizarea rețelelor de distribuție vulnerabile</w:t>
            </w:r>
            <w:r w:rsidRPr="00CD2ADD">
              <w:rPr>
                <w:sz w:val="21"/>
                <w:szCs w:val="21"/>
              </w:rPr>
              <w:br/>
              <w:t>- Stocuri locale de material antiderapant și echipamente</w:t>
            </w:r>
          </w:p>
        </w:tc>
      </w:tr>
      <w:tr w:rsidR="00EF55C8" w:rsidRPr="00CD2ADD" w14:paraId="0FFF7864" w14:textId="77777777" w:rsidTr="00385DB3">
        <w:trPr>
          <w:trHeight w:val="1160"/>
        </w:trPr>
        <w:tc>
          <w:tcPr>
            <w:cnfStyle w:val="001000000000" w:firstRow="0" w:lastRow="0" w:firstColumn="1" w:lastColumn="0" w:oddVBand="0" w:evenVBand="0" w:oddHBand="0" w:evenHBand="0" w:firstRowFirstColumn="0" w:firstRowLastColumn="0" w:lastRowFirstColumn="0" w:lastRowLastColumn="0"/>
            <w:tcW w:w="0" w:type="auto"/>
            <w:hideMark/>
          </w:tcPr>
          <w:p w14:paraId="71C12A83" w14:textId="77777777" w:rsidR="00EF55C8" w:rsidRPr="00CD2ADD" w:rsidRDefault="00EF55C8" w:rsidP="00EF55C8">
            <w:pPr>
              <w:rPr>
                <w:sz w:val="21"/>
                <w:szCs w:val="21"/>
              </w:rPr>
            </w:pPr>
            <w:r w:rsidRPr="00CD2ADD">
              <w:rPr>
                <w:sz w:val="21"/>
                <w:szCs w:val="21"/>
              </w:rPr>
              <w:t>Pagube asupra culturilor agricole din cauza chiciurii/lapoviței</w:t>
            </w:r>
          </w:p>
        </w:tc>
        <w:tc>
          <w:tcPr>
            <w:tcW w:w="0" w:type="auto"/>
            <w:hideMark/>
          </w:tcPr>
          <w:p w14:paraId="1A88C84C" w14:textId="77777777" w:rsidR="00EF55C8" w:rsidRPr="00CD2ADD" w:rsidRDefault="00EF55C8" w:rsidP="00EF55C8">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Culturile pomicole și viticole în faze sensibile</w:t>
            </w:r>
            <w:r w:rsidRPr="00CD2ADD">
              <w:rPr>
                <w:sz w:val="21"/>
                <w:szCs w:val="21"/>
              </w:rPr>
              <w:br/>
              <w:t>- Lipsa acoperirii prin asigurări agricole</w:t>
            </w:r>
          </w:p>
        </w:tc>
        <w:tc>
          <w:tcPr>
            <w:tcW w:w="0" w:type="auto"/>
            <w:hideMark/>
          </w:tcPr>
          <w:p w14:paraId="0C78C3E2" w14:textId="77777777" w:rsidR="00EF55C8" w:rsidRPr="00CD2ADD" w:rsidRDefault="00EF55C8" w:rsidP="00EF55C8">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Monitorizarea agrometeorologică și avertizări pentru fermieri</w:t>
            </w:r>
            <w:r w:rsidRPr="00CD2ADD">
              <w:rPr>
                <w:sz w:val="21"/>
                <w:szCs w:val="21"/>
              </w:rPr>
              <w:br/>
              <w:t>- Sprijin pentru asigurări agricole adaptate</w:t>
            </w:r>
          </w:p>
        </w:tc>
      </w:tr>
      <w:bookmarkEnd w:id="72"/>
    </w:tbl>
    <w:p w14:paraId="3795ACFA" w14:textId="77777777" w:rsidR="00EF55C8" w:rsidRPr="00CD2ADD" w:rsidRDefault="00EF55C8" w:rsidP="00E10ABF">
      <w:pPr>
        <w:spacing w:after="120"/>
        <w:jc w:val="both"/>
        <w:rPr>
          <w:b/>
          <w:sz w:val="22"/>
          <w:szCs w:val="22"/>
          <w:lang w:eastAsia="en-US"/>
        </w:rPr>
      </w:pPr>
    </w:p>
    <w:p w14:paraId="6A6CB1B6" w14:textId="64B8DC39" w:rsidR="00B34788" w:rsidRPr="00CD2ADD" w:rsidRDefault="00B34788" w:rsidP="00590E37">
      <w:pPr>
        <w:pStyle w:val="Heading3"/>
        <w:spacing w:before="0"/>
        <w:jc w:val="center"/>
        <w:rPr>
          <w:rFonts w:ascii="Times New Roman" w:hAnsi="Times New Roman" w:cs="Times New Roman"/>
          <w:b/>
          <w:bCs w:val="0"/>
          <w:color w:val="000000" w:themeColor="text1"/>
        </w:rPr>
      </w:pPr>
      <w:r w:rsidRPr="00CD2ADD">
        <w:rPr>
          <w:rFonts w:ascii="Times New Roman" w:hAnsi="Times New Roman" w:cs="Times New Roman"/>
          <w:b/>
          <w:bCs w:val="0"/>
          <w:color w:val="000000" w:themeColor="text1"/>
        </w:rPr>
        <w:t>Subsecțiunea a 10-a</w:t>
      </w:r>
    </w:p>
    <w:p w14:paraId="59F48690" w14:textId="2DA04CFE" w:rsidR="00B34788" w:rsidRPr="00CD2ADD" w:rsidRDefault="00B34788" w:rsidP="00590E37">
      <w:pPr>
        <w:pStyle w:val="Heading3"/>
        <w:spacing w:before="0"/>
        <w:jc w:val="center"/>
        <w:rPr>
          <w:rFonts w:ascii="Times New Roman" w:hAnsi="Times New Roman" w:cs="Times New Roman"/>
          <w:b/>
          <w:bCs w:val="0"/>
          <w:color w:val="000000" w:themeColor="text1"/>
        </w:rPr>
      </w:pPr>
      <w:r w:rsidRPr="00CD2ADD">
        <w:rPr>
          <w:rFonts w:ascii="Times New Roman" w:hAnsi="Times New Roman" w:cs="Times New Roman"/>
          <w:b/>
          <w:bCs w:val="0"/>
          <w:color w:val="000000" w:themeColor="text1"/>
        </w:rPr>
        <w:t>Cutremure de pământ în Republica Moldova</w:t>
      </w:r>
    </w:p>
    <w:p w14:paraId="4BC4786C" w14:textId="50817107" w:rsidR="00462C50" w:rsidRPr="00CD2ADD" w:rsidRDefault="00462C50">
      <w:pPr>
        <w:pStyle w:val="ListParagraph"/>
        <w:numPr>
          <w:ilvl w:val="0"/>
          <w:numId w:val="42"/>
        </w:numPr>
        <w:spacing w:after="0"/>
        <w:ind w:left="0" w:firstLine="284"/>
        <w:jc w:val="both"/>
        <w:rPr>
          <w:rFonts w:ascii="Times New Roman" w:hAnsi="Times New Roman" w:cs="Times New Roman"/>
          <w:color w:val="000000" w:themeColor="text1"/>
          <w:sz w:val="24"/>
          <w:szCs w:val="24"/>
        </w:rPr>
      </w:pPr>
      <w:bookmarkStart w:id="73" w:name="OLE_LINK7"/>
      <w:r w:rsidRPr="00CD2ADD">
        <w:rPr>
          <w:rFonts w:ascii="Times New Roman" w:hAnsi="Times New Roman" w:cs="Times New Roman"/>
          <w:color w:val="000000" w:themeColor="text1"/>
          <w:sz w:val="24"/>
          <w:szCs w:val="24"/>
        </w:rPr>
        <w:t>Republica Moldova este expusă unui risc seismic semnificativ din cauza proximității față de sursa seismogenă Vrancea, situată în curbura Carpaților, în România. Această zonă produce cutremure intermediare (la adâncimi de 70–180 km) cu o distribuție largă a energiei seismice și efecte semnificative în Moldova, chiar dacă epicentrul se află în afara granițelor. Hazardul seismic este descris prin probabilitatea apariției unor mișcări seismice semnificative într-o anumită zonă și perioadă de timp. Conform Eurocodului 8, evenimentul de referință pentru Republica Moldova este un cutremur cu magnitudinea Mw = 7,9 și o perioadă de revenire de 475 ani.</w:t>
      </w:r>
      <w:r w:rsidR="00D72E66" w:rsidRPr="00CD2ADD">
        <w:rPr>
          <w:rStyle w:val="FootnoteReference"/>
          <w:rFonts w:ascii="Times New Roman" w:hAnsi="Times New Roman" w:cs="Times New Roman"/>
          <w:color w:val="000000" w:themeColor="text1"/>
          <w:sz w:val="24"/>
          <w:szCs w:val="24"/>
        </w:rPr>
        <w:footnoteReference w:id="35"/>
      </w:r>
    </w:p>
    <w:p w14:paraId="051E3D16" w14:textId="77777777" w:rsidR="004D08C9" w:rsidRPr="00CD2ADD" w:rsidRDefault="004D08C9" w:rsidP="00B34788">
      <w:pPr>
        <w:pStyle w:val="Subtitle"/>
        <w:spacing w:after="0" w:line="240" w:lineRule="auto"/>
        <w:ind w:firstLine="284"/>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Impact socio-economic</w:t>
      </w:r>
    </w:p>
    <w:p w14:paraId="55844ACE" w14:textId="77777777" w:rsidR="00462C50" w:rsidRPr="00CD2ADD" w:rsidRDefault="00462C50">
      <w:pPr>
        <w:pStyle w:val="ListParagraph"/>
        <w:numPr>
          <w:ilvl w:val="0"/>
          <w:numId w:val="42"/>
        </w:numPr>
        <w:spacing w:after="12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Istoria seismicității Moldovei este marcată de mai multe cutremure vrâncene care au provocat daune considerabile:</w:t>
      </w:r>
    </w:p>
    <w:p w14:paraId="63BA01C9" w14:textId="737EE5E8" w:rsidR="00462C50" w:rsidRPr="00CD2ADD" w:rsidRDefault="00462C50">
      <w:pPr>
        <w:pStyle w:val="ListParagraph"/>
        <w:numPr>
          <w:ilvl w:val="0"/>
          <w:numId w:val="12"/>
        </w:numPr>
        <w:spacing w:after="120"/>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Cutremurul din 10 noiembrie 1940</w:t>
      </w:r>
      <w:r w:rsidR="00287B32" w:rsidRPr="00CD2ADD">
        <w:rPr>
          <w:rFonts w:ascii="Times New Roman" w:hAnsi="Times New Roman" w:cs="Times New Roman"/>
          <w:color w:val="000000" w:themeColor="text1"/>
          <w:sz w:val="24"/>
          <w:szCs w:val="24"/>
        </w:rPr>
        <w:t>, 7.7 Mw</w:t>
      </w:r>
      <w:r w:rsidRPr="00CD2ADD">
        <w:rPr>
          <w:rFonts w:ascii="Times New Roman" w:hAnsi="Times New Roman" w:cs="Times New Roman"/>
          <w:color w:val="000000" w:themeColor="text1"/>
          <w:sz w:val="24"/>
          <w:szCs w:val="24"/>
        </w:rPr>
        <w:t>: 2.795 clădiri avariate în Chișinău, dintre care 172 complet distruse, cel puțin 78 de decese;</w:t>
      </w:r>
    </w:p>
    <w:p w14:paraId="1FC6B265" w14:textId="520FC12E" w:rsidR="00462C50" w:rsidRPr="00CD2ADD" w:rsidRDefault="00462C50">
      <w:pPr>
        <w:pStyle w:val="ListParagraph"/>
        <w:numPr>
          <w:ilvl w:val="0"/>
          <w:numId w:val="12"/>
        </w:numPr>
        <w:spacing w:after="120"/>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Cutremurul din 4 martie 1977</w:t>
      </w:r>
      <w:r w:rsidR="00287B32" w:rsidRPr="00CD2ADD">
        <w:rPr>
          <w:rFonts w:ascii="Times New Roman" w:hAnsi="Times New Roman" w:cs="Times New Roman"/>
          <w:color w:val="000000" w:themeColor="text1"/>
          <w:sz w:val="24"/>
          <w:szCs w:val="24"/>
        </w:rPr>
        <w:t>, 7.4 Mw</w:t>
      </w:r>
      <w:r w:rsidRPr="00CD2ADD">
        <w:rPr>
          <w:rFonts w:ascii="Times New Roman" w:hAnsi="Times New Roman" w:cs="Times New Roman"/>
          <w:color w:val="000000" w:themeColor="text1"/>
          <w:sz w:val="24"/>
          <w:szCs w:val="24"/>
        </w:rPr>
        <w:t>: 11.848 clădiri avariate, 2.786 distruse;</w:t>
      </w:r>
    </w:p>
    <w:p w14:paraId="2D61FEC4" w14:textId="7591FDBC" w:rsidR="00ED4C4C" w:rsidRPr="00CD2ADD" w:rsidRDefault="00462C50">
      <w:pPr>
        <w:pStyle w:val="ListParagraph"/>
        <w:numPr>
          <w:ilvl w:val="0"/>
          <w:numId w:val="12"/>
        </w:numPr>
        <w:spacing w:after="120"/>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Cutremurul din 30 august 1986</w:t>
      </w:r>
      <w:r w:rsidR="00287B32" w:rsidRPr="00CD2ADD">
        <w:rPr>
          <w:rFonts w:ascii="Times New Roman" w:hAnsi="Times New Roman" w:cs="Times New Roman"/>
          <w:color w:val="000000" w:themeColor="text1"/>
          <w:sz w:val="24"/>
          <w:szCs w:val="24"/>
        </w:rPr>
        <w:t>, 7.1 Mw</w:t>
      </w:r>
      <w:r w:rsidRPr="00CD2ADD">
        <w:rPr>
          <w:rFonts w:ascii="Times New Roman" w:hAnsi="Times New Roman" w:cs="Times New Roman"/>
          <w:color w:val="000000" w:themeColor="text1"/>
          <w:sz w:val="24"/>
          <w:szCs w:val="24"/>
        </w:rPr>
        <w:t>: 1.169 clădiri distruse, peste 7.000 grav afectate, 2 morți și 561 răniți.</w:t>
      </w:r>
    </w:p>
    <w:p w14:paraId="453532BD" w14:textId="77777777" w:rsidR="00321BD8" w:rsidRPr="00CD2ADD" w:rsidRDefault="00321BD8" w:rsidP="00321BD8">
      <w:pPr>
        <w:spacing w:after="120"/>
        <w:jc w:val="both"/>
        <w:rPr>
          <w:color w:val="000000" w:themeColor="text1"/>
          <w:sz w:val="22"/>
        </w:rPr>
      </w:pPr>
    </w:p>
    <w:p w14:paraId="3A23994C" w14:textId="77777777" w:rsidR="00321BD8" w:rsidRPr="00CD2ADD" w:rsidRDefault="00321BD8" w:rsidP="00321BD8">
      <w:pPr>
        <w:spacing w:after="120"/>
        <w:jc w:val="both"/>
        <w:rPr>
          <w:color w:val="000000" w:themeColor="text1"/>
          <w:sz w:val="22"/>
        </w:rPr>
      </w:pPr>
    </w:p>
    <w:p w14:paraId="68C5E730" w14:textId="77777777" w:rsidR="00321BD8" w:rsidRPr="00CD2ADD" w:rsidRDefault="00321BD8" w:rsidP="00321BD8">
      <w:pPr>
        <w:spacing w:after="120"/>
        <w:jc w:val="both"/>
        <w:rPr>
          <w:color w:val="000000" w:themeColor="text1"/>
          <w:sz w:val="22"/>
        </w:rPr>
      </w:pPr>
    </w:p>
    <w:p w14:paraId="748D1842" w14:textId="77777777" w:rsidR="00321BD8" w:rsidRPr="00CD2ADD" w:rsidRDefault="00321BD8" w:rsidP="00321BD8">
      <w:pPr>
        <w:spacing w:after="120"/>
        <w:jc w:val="both"/>
        <w:rPr>
          <w:color w:val="000000" w:themeColor="text1"/>
          <w:sz w:val="22"/>
        </w:rPr>
      </w:pPr>
    </w:p>
    <w:p w14:paraId="252FF1D6" w14:textId="77777777" w:rsidR="00321BD8" w:rsidRDefault="00321BD8" w:rsidP="00B34788">
      <w:pPr>
        <w:spacing w:after="120"/>
        <w:jc w:val="center"/>
        <w:rPr>
          <w:color w:val="000000" w:themeColor="text1"/>
          <w:sz w:val="22"/>
        </w:rPr>
      </w:pPr>
    </w:p>
    <w:p w14:paraId="6369BFA2" w14:textId="77777777" w:rsidR="00AB18CF" w:rsidRDefault="00AB18CF" w:rsidP="00B34788">
      <w:pPr>
        <w:spacing w:after="120"/>
        <w:jc w:val="center"/>
        <w:rPr>
          <w:color w:val="000000" w:themeColor="text1"/>
          <w:sz w:val="22"/>
        </w:rPr>
      </w:pPr>
    </w:p>
    <w:p w14:paraId="204D76D9" w14:textId="77777777" w:rsidR="00AB18CF" w:rsidRDefault="00AB18CF" w:rsidP="00B34788">
      <w:pPr>
        <w:spacing w:after="120"/>
        <w:jc w:val="center"/>
        <w:rPr>
          <w:color w:val="000000" w:themeColor="text1"/>
          <w:sz w:val="22"/>
        </w:rPr>
      </w:pPr>
    </w:p>
    <w:p w14:paraId="49E20E0F" w14:textId="77777777" w:rsidR="00AB18CF" w:rsidRDefault="00AB18CF" w:rsidP="00B34788">
      <w:pPr>
        <w:spacing w:after="120"/>
        <w:jc w:val="center"/>
        <w:rPr>
          <w:color w:val="000000" w:themeColor="text1"/>
          <w:sz w:val="22"/>
        </w:rPr>
      </w:pPr>
    </w:p>
    <w:p w14:paraId="04EC4944" w14:textId="77777777" w:rsidR="00AB18CF" w:rsidRDefault="00AB18CF" w:rsidP="00B34788">
      <w:pPr>
        <w:spacing w:after="120"/>
        <w:jc w:val="center"/>
        <w:rPr>
          <w:color w:val="000000" w:themeColor="text1"/>
          <w:sz w:val="22"/>
        </w:rPr>
      </w:pPr>
    </w:p>
    <w:p w14:paraId="20CED0ED" w14:textId="77777777" w:rsidR="00AB18CF" w:rsidRDefault="00AB18CF" w:rsidP="00B34788">
      <w:pPr>
        <w:spacing w:after="120"/>
        <w:jc w:val="center"/>
        <w:rPr>
          <w:color w:val="000000" w:themeColor="text1"/>
          <w:sz w:val="22"/>
        </w:rPr>
      </w:pPr>
    </w:p>
    <w:p w14:paraId="7A995C62" w14:textId="77777777" w:rsidR="00AB18CF" w:rsidRPr="00CD2ADD" w:rsidRDefault="00AB18CF" w:rsidP="00B34788">
      <w:pPr>
        <w:spacing w:after="120"/>
        <w:jc w:val="center"/>
        <w:rPr>
          <w:color w:val="000000" w:themeColor="text1"/>
          <w:sz w:val="22"/>
        </w:rPr>
      </w:pPr>
    </w:p>
    <w:p w14:paraId="7921ECA0" w14:textId="352E9FBA" w:rsidR="00321BD8" w:rsidRPr="00CD2ADD" w:rsidRDefault="00BE3BDE" w:rsidP="00B34788">
      <w:pPr>
        <w:spacing w:after="120"/>
        <w:jc w:val="center"/>
        <w:rPr>
          <w:color w:val="000000" w:themeColor="text1"/>
          <w:sz w:val="22"/>
        </w:rPr>
      </w:pPr>
      <w:r>
        <w:rPr>
          <w:b/>
          <w:bCs/>
          <w:color w:val="000000" w:themeColor="text1"/>
          <w:sz w:val="22"/>
        </w:rPr>
        <w:lastRenderedPageBreak/>
        <w:t>Harta 2</w:t>
      </w:r>
      <w:r w:rsidR="00B34788" w:rsidRPr="00CD2ADD">
        <w:rPr>
          <w:b/>
          <w:bCs/>
          <w:color w:val="000000" w:themeColor="text1"/>
          <w:sz w:val="22"/>
        </w:rPr>
        <w:t>.</w:t>
      </w:r>
      <w:r w:rsidR="00B34788" w:rsidRPr="00CD2ADD">
        <w:rPr>
          <w:color w:val="000000" w:themeColor="text1"/>
          <w:sz w:val="22"/>
        </w:rPr>
        <w:t xml:space="preserve"> </w:t>
      </w:r>
      <w:r>
        <w:rPr>
          <w:color w:val="000000" w:themeColor="text1"/>
          <w:sz w:val="22"/>
        </w:rPr>
        <w:t>D</w:t>
      </w:r>
      <w:r w:rsidR="00B34788" w:rsidRPr="00CD2ADD">
        <w:rPr>
          <w:color w:val="000000" w:themeColor="text1"/>
          <w:sz w:val="22"/>
        </w:rPr>
        <w:t>istribuți</w:t>
      </w:r>
      <w:r>
        <w:rPr>
          <w:color w:val="000000" w:themeColor="text1"/>
          <w:sz w:val="22"/>
        </w:rPr>
        <w:t>a</w:t>
      </w:r>
      <w:r w:rsidR="00B34788" w:rsidRPr="00CD2ADD">
        <w:rPr>
          <w:color w:val="000000" w:themeColor="text1"/>
          <w:sz w:val="22"/>
        </w:rPr>
        <w:t xml:space="preserve"> riscului seismic complex pe teritoriul Republicii Moldova</w:t>
      </w:r>
    </w:p>
    <w:p w14:paraId="1AA9CBDA" w14:textId="6062C01A" w:rsidR="00300BFB" w:rsidRPr="00CD2ADD" w:rsidRDefault="00300BFB" w:rsidP="00B34788">
      <w:pPr>
        <w:spacing w:after="120"/>
        <w:jc w:val="center"/>
        <w:rPr>
          <w:color w:val="000000" w:themeColor="text1"/>
          <w:sz w:val="22"/>
        </w:rPr>
      </w:pPr>
      <w:r w:rsidRPr="00CD2ADD">
        <w:rPr>
          <w:noProof/>
          <w:color w:val="000000" w:themeColor="text1"/>
          <w:sz w:val="22"/>
        </w:rPr>
        <w:drawing>
          <wp:inline distT="0" distB="0" distL="0" distR="0" wp14:anchorId="4770879A" wp14:editId="4F0A1B9D">
            <wp:extent cx="4191000" cy="4905518"/>
            <wp:effectExtent l="0" t="0" r="0" b="0"/>
            <wp:docPr id="330689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89401" name=""/>
                    <pic:cNvPicPr/>
                  </pic:nvPicPr>
                  <pic:blipFill rotWithShape="1">
                    <a:blip r:embed="rId60"/>
                    <a:srcRect l="14105" t="7164" r="39779" b="6469"/>
                    <a:stretch/>
                  </pic:blipFill>
                  <pic:spPr bwMode="auto">
                    <a:xfrm>
                      <a:off x="0" y="0"/>
                      <a:ext cx="4219749" cy="4939168"/>
                    </a:xfrm>
                    <a:prstGeom prst="rect">
                      <a:avLst/>
                    </a:prstGeom>
                    <a:ln>
                      <a:noFill/>
                    </a:ln>
                    <a:extLst>
                      <a:ext uri="{53640926-AAD7-44D8-BBD7-CCE9431645EC}">
                        <a14:shadowObscured xmlns:a14="http://schemas.microsoft.com/office/drawing/2010/main"/>
                      </a:ext>
                    </a:extLst>
                  </pic:spPr>
                </pic:pic>
              </a:graphicData>
            </a:graphic>
          </wp:inline>
        </w:drawing>
      </w:r>
    </w:p>
    <w:p w14:paraId="1BC65DE5" w14:textId="4AF20251" w:rsidR="002E6C6C" w:rsidRPr="008E65A5" w:rsidRDefault="00300BFB" w:rsidP="00B34788">
      <w:pPr>
        <w:spacing w:after="120"/>
        <w:jc w:val="center"/>
        <w:rPr>
          <w:i/>
          <w:iCs/>
          <w:color w:val="000000" w:themeColor="text1"/>
          <w:sz w:val="20"/>
          <w:szCs w:val="22"/>
        </w:rPr>
      </w:pPr>
      <w:r w:rsidRPr="008E65A5">
        <w:rPr>
          <w:i/>
          <w:iCs/>
          <w:color w:val="000000" w:themeColor="text1"/>
          <w:sz w:val="20"/>
          <w:szCs w:val="22"/>
        </w:rPr>
        <w:t>Sursa: Alcaz, A., Nicoară, I., Isicico, M., Troian, A. (2020). Estimarea pierderilor posibile în caz de cutremur pentru localitatea Ungheni, Republica Moldova</w:t>
      </w:r>
    </w:p>
    <w:p w14:paraId="7E7EF8A6" w14:textId="77777777" w:rsidR="00D61B3A" w:rsidRPr="008E65A5" w:rsidRDefault="00D61B3A" w:rsidP="00B34788">
      <w:pPr>
        <w:ind w:firstLine="284"/>
        <w:jc w:val="both"/>
        <w:rPr>
          <w:color w:val="000000" w:themeColor="text1"/>
          <w:szCs w:val="28"/>
        </w:rPr>
      </w:pPr>
      <w:r w:rsidRPr="008E65A5">
        <w:rPr>
          <w:color w:val="000000" w:themeColor="text1"/>
          <w:szCs w:val="28"/>
        </w:rPr>
        <w:t>Clădirile din Republica Moldova sunt, în proporții considerabile, vulnerabile la cutremure. Evaluări efectuate de Institutul de Geologie și Seismologie (IGS) indică că majoritatea clădirilor aparțin claselor de vulnerabilitate A și B (construcții din materiale slabe și nearmate), cu o capacitate redusă de a rezista la cutremure puternice. Un studiu detaliat pentru raionul Ungheni (Alcaz et al., 2020) a estimat că un cutremur-scenariu cu magnitudinea Mw = 7,9 ar putea cauza circa 3.910 clădiri distruse, 910 persoane rănite și 32 decese.</w:t>
      </w:r>
      <w:r w:rsidRPr="008E65A5">
        <w:rPr>
          <w:rStyle w:val="FootnoteReference"/>
          <w:color w:val="000000" w:themeColor="text1"/>
          <w:szCs w:val="28"/>
        </w:rPr>
        <w:footnoteReference w:id="36"/>
      </w:r>
    </w:p>
    <w:p w14:paraId="11A31594" w14:textId="63E36221" w:rsidR="00321BD8" w:rsidRPr="008E65A5" w:rsidRDefault="00D61B3A" w:rsidP="00B34788">
      <w:pPr>
        <w:ind w:firstLine="284"/>
        <w:jc w:val="both"/>
        <w:rPr>
          <w:color w:val="000000" w:themeColor="text1"/>
          <w:szCs w:val="28"/>
        </w:rPr>
      </w:pPr>
      <w:r w:rsidRPr="008E65A5">
        <w:rPr>
          <w:color w:val="000000" w:themeColor="text1"/>
          <w:szCs w:val="28"/>
        </w:rPr>
        <w:t>În acest studiu, evaluările folosesc atât scara MSK-64 (Medvedev–Sponheuer–Karnik), cât și scara modernizată EMS-98 (European Macroseismic Scale), care permite clasificarea efectelor cutremurelor asupra oamenilor, clădirilor și mediului, pe o scară de la I (nesimțit) la XII (distrugere totală). Conform simulărilor, pentru intensități de 7–8 grade, peste 30% din clădiri ar putea suferi deteriorări grave sau distrugere completă. Clădirile de tip A ar suferi cele mai severe daune: 3.481 clădiri cu deteriorări de grad 4 și 218 complet distruse (grad 5).</w:t>
      </w:r>
    </w:p>
    <w:p w14:paraId="6E1BB451" w14:textId="77777777" w:rsidR="004D08C9" w:rsidRPr="00CD2ADD" w:rsidRDefault="004D08C9" w:rsidP="00B34788">
      <w:pPr>
        <w:pStyle w:val="Subtitle"/>
        <w:spacing w:after="0" w:line="240" w:lineRule="auto"/>
        <w:ind w:firstLine="284"/>
        <w:rPr>
          <w:rStyle w:val="IntenseEmphasis"/>
          <w:rFonts w:ascii="Times New Roman" w:hAnsi="Times New Roman" w:cs="Times New Roman"/>
          <w:sz w:val="24"/>
        </w:rPr>
      </w:pPr>
      <w:r w:rsidRPr="00CD2ADD">
        <w:rPr>
          <w:rStyle w:val="IntenseEmphasis"/>
          <w:rFonts w:ascii="Times New Roman" w:hAnsi="Times New Roman" w:cs="Times New Roman"/>
          <w:color w:val="000000" w:themeColor="text1"/>
          <w:sz w:val="24"/>
        </w:rPr>
        <w:t>Vulnerabilitate, expunere și capacitate de adaptare</w:t>
      </w:r>
    </w:p>
    <w:p w14:paraId="069E0288" w14:textId="15C5FB22" w:rsidR="00D72E66" w:rsidRPr="00CD2ADD" w:rsidRDefault="00D72E66">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 xml:space="preserve">Datele INFORM arată o expunere ridicată la cutremure în raioanele Chișinău, Ungheni, Cahul și Căușeni, unde densitatea populației și vulnerabilitatea infrastructurii se combină cu o zonare seismică de 7–8 MSK. Capacitatea de răspuns este limitată în multe dintre aceste raioane, din cauza </w:t>
      </w:r>
      <w:r w:rsidRPr="00CD2ADD">
        <w:rPr>
          <w:rFonts w:ascii="Times New Roman" w:hAnsi="Times New Roman" w:cs="Times New Roman"/>
          <w:color w:val="000000" w:themeColor="text1"/>
          <w:sz w:val="24"/>
          <w:szCs w:val="24"/>
        </w:rPr>
        <w:lastRenderedPageBreak/>
        <w:t>lipsei hărților de microzonare actualizate și a capacității instituționale reduse de implementare a măsurilor de consolidare structurală.</w:t>
      </w:r>
      <w:r w:rsidRPr="00CD2ADD">
        <w:rPr>
          <w:rStyle w:val="FootnoteReference"/>
          <w:rFonts w:ascii="Times New Roman" w:hAnsi="Times New Roman" w:cs="Times New Roman"/>
          <w:color w:val="000000" w:themeColor="text1"/>
          <w:sz w:val="24"/>
          <w:szCs w:val="24"/>
        </w:rPr>
        <w:footnoteReference w:id="37"/>
      </w:r>
    </w:p>
    <w:p w14:paraId="6A005B86" w14:textId="35BAB8ED" w:rsidR="00605B7B" w:rsidRPr="00CD2ADD" w:rsidRDefault="002B7350" w:rsidP="00B34788">
      <w:pPr>
        <w:ind w:firstLine="284"/>
        <w:jc w:val="both"/>
        <w:rPr>
          <w:color w:val="000000" w:themeColor="text1"/>
        </w:rPr>
      </w:pPr>
      <w:r w:rsidRPr="00CD2ADD">
        <w:rPr>
          <w:color w:val="000000" w:themeColor="text1"/>
        </w:rPr>
        <w:t>Astfel, r</w:t>
      </w:r>
      <w:r w:rsidR="00D72E66" w:rsidRPr="00CD2ADD">
        <w:rPr>
          <w:color w:val="000000" w:themeColor="text1"/>
        </w:rPr>
        <w:t xml:space="preserve">iscul seismic în Moldova nu este frecvent, dar este cu impact potențial sever. Vulnerabilitatea structurală ridicată și lipsa unor politici sistemice de reducere a riscului fac ca orice cutremur major să aibă potențialul de a provoca daune </w:t>
      </w:r>
      <w:r w:rsidRPr="00CD2ADD">
        <w:rPr>
          <w:color w:val="000000" w:themeColor="text1"/>
        </w:rPr>
        <w:t>extrem de importante</w:t>
      </w:r>
      <w:r w:rsidR="00D72E66" w:rsidRPr="00CD2ADD">
        <w:rPr>
          <w:color w:val="000000" w:themeColor="text1"/>
        </w:rPr>
        <w:t xml:space="preserve">. </w:t>
      </w:r>
      <w:r w:rsidRPr="00CD2ADD">
        <w:rPr>
          <w:color w:val="000000" w:themeColor="text1"/>
        </w:rPr>
        <w:t>Printre prioritățile urgente se numără consolidarea infrastructurii existente, completarea microzonării seismice, aplicarea normelor de proiectare pentru clădirile noi, creșterea conștientizării la nivel local și îmbunătățirea coordonării între actorii relevanți în gestionarea riscurilor seismice.</w:t>
      </w:r>
      <w:r w:rsidR="00672A8F" w:rsidRPr="00CD2ADD">
        <w:rPr>
          <w:color w:val="000000" w:themeColor="text1"/>
        </w:rPr>
        <w:t xml:space="preserve"> </w:t>
      </w:r>
    </w:p>
    <w:p w14:paraId="2C3F613E" w14:textId="66CDF06F" w:rsidR="00A6538F" w:rsidRDefault="00A6538F" w:rsidP="00B34788">
      <w:pPr>
        <w:spacing w:after="120"/>
        <w:ind w:firstLine="284"/>
        <w:jc w:val="both"/>
        <w:rPr>
          <w:color w:val="000000" w:themeColor="text1"/>
        </w:rPr>
      </w:pPr>
      <w:r w:rsidRPr="00CD2ADD">
        <w:rPr>
          <w:color w:val="000000" w:themeColor="text1"/>
        </w:rPr>
        <w:t xml:space="preserve">Cutremurele majore pot avea un impact disproporționat asupra femeilor, fetelor și persoanelor aflate în situații de vulnerabilitate, în special cele însărcinate, cu dizabilități sau în vârstă. Aceste grupuri întâmpină dificultăți semnificative în timpul evacuării, în accesarea serviciilor medicale esențiale, a adăpostului temporar și a suportului psihosocial. În lipsa unor planuri de continuitate pentru serviciile de sănătate sexuală și reproductivă accesul la îngrijiri obstetricale de urgență, planificare familială sau protecție împotriva violenței bazate pe gen este grav afectat. Este esențial ca măsurile de pregătire pentru riscul seismic să includă explicit componenta de gen și să asigure protecție și asistență adaptată acestor categorii în cazul producerii unui cutremur major. </w:t>
      </w:r>
    </w:p>
    <w:p w14:paraId="74A67E03" w14:textId="3EFCFA63" w:rsidR="008E65A5" w:rsidRPr="008E65A5" w:rsidRDefault="008E65A5" w:rsidP="008E65A5">
      <w:pPr>
        <w:ind w:firstLine="284"/>
        <w:jc w:val="right"/>
        <w:rPr>
          <w:b/>
          <w:bCs/>
          <w:color w:val="000000" w:themeColor="text1"/>
        </w:rPr>
      </w:pPr>
      <w:r w:rsidRPr="008E65A5">
        <w:rPr>
          <w:b/>
          <w:bCs/>
          <w:color w:val="000000" w:themeColor="text1"/>
        </w:rPr>
        <w:t>Tabelul 19</w:t>
      </w:r>
    </w:p>
    <w:p w14:paraId="7C65FC1F" w14:textId="2A4E3C50" w:rsidR="004D08C9" w:rsidRPr="008E65A5" w:rsidRDefault="004D08C9" w:rsidP="00B34788">
      <w:pPr>
        <w:spacing w:after="120"/>
        <w:jc w:val="center"/>
        <w:rPr>
          <w:rStyle w:val="IntenseEmphasis"/>
          <w:bCs w:val="0"/>
          <w:i w:val="0"/>
          <w:iCs w:val="0"/>
          <w:color w:val="000000" w:themeColor="text1"/>
          <w:lang w:eastAsia="en-US"/>
        </w:rPr>
      </w:pPr>
      <w:r w:rsidRPr="008E65A5">
        <w:rPr>
          <w:rStyle w:val="IntenseEmphasis"/>
          <w:bCs w:val="0"/>
          <w:i w:val="0"/>
          <w:iCs w:val="0"/>
          <w:color w:val="000000" w:themeColor="text1"/>
          <w:lang w:eastAsia="en-US"/>
        </w:rPr>
        <w:t xml:space="preserve">Măsuri recomandate pentru </w:t>
      </w:r>
      <w:r w:rsidR="00B50412" w:rsidRPr="008E65A5">
        <w:rPr>
          <w:rStyle w:val="IntenseEmphasis"/>
          <w:bCs w:val="0"/>
          <w:i w:val="0"/>
          <w:iCs w:val="0"/>
          <w:color w:val="000000" w:themeColor="text1"/>
          <w:lang w:eastAsia="en-US"/>
        </w:rPr>
        <w:t>atenuare</w:t>
      </w:r>
      <w:r w:rsidRPr="008E65A5">
        <w:rPr>
          <w:rStyle w:val="IntenseEmphasis"/>
          <w:bCs w:val="0"/>
          <w:i w:val="0"/>
          <w:iCs w:val="0"/>
          <w:color w:val="000000" w:themeColor="text1"/>
          <w:lang w:eastAsia="en-US"/>
        </w:rPr>
        <w:t xml:space="preserve">a </w:t>
      </w:r>
      <w:r w:rsidR="00B50412" w:rsidRPr="008E65A5">
        <w:rPr>
          <w:rStyle w:val="IntenseEmphasis"/>
          <w:bCs w:val="0"/>
          <w:i w:val="0"/>
          <w:iCs w:val="0"/>
          <w:color w:val="000000" w:themeColor="text1"/>
          <w:lang w:eastAsia="en-US"/>
        </w:rPr>
        <w:t>impactului</w:t>
      </w:r>
      <w:r w:rsidRPr="008E65A5">
        <w:rPr>
          <w:rStyle w:val="IntenseEmphasis"/>
          <w:bCs w:val="0"/>
          <w:i w:val="0"/>
          <w:iCs w:val="0"/>
          <w:color w:val="000000" w:themeColor="text1"/>
          <w:lang w:eastAsia="en-US"/>
        </w:rPr>
        <w:t xml:space="preserve"> </w:t>
      </w:r>
      <w:r w:rsidR="00B50412" w:rsidRPr="008E65A5">
        <w:rPr>
          <w:rStyle w:val="IntenseEmphasis"/>
          <w:bCs w:val="0"/>
          <w:i w:val="0"/>
          <w:iCs w:val="0"/>
          <w:color w:val="000000" w:themeColor="text1"/>
          <w:lang w:eastAsia="en-US"/>
        </w:rPr>
        <w:t xml:space="preserve">în caz de </w:t>
      </w:r>
      <w:r w:rsidRPr="008E65A5">
        <w:rPr>
          <w:rStyle w:val="IntenseEmphasis"/>
          <w:bCs w:val="0"/>
          <w:i w:val="0"/>
          <w:iCs w:val="0"/>
          <w:color w:val="000000" w:themeColor="text1"/>
          <w:lang w:eastAsia="en-US"/>
        </w:rPr>
        <w:t>cutremur</w:t>
      </w:r>
    </w:p>
    <w:tbl>
      <w:tblPr>
        <w:tblStyle w:val="GridTable1Light-Accent41"/>
        <w:tblW w:w="9673" w:type="dxa"/>
        <w:tblLook w:val="04A0" w:firstRow="1" w:lastRow="0" w:firstColumn="1" w:lastColumn="0" w:noHBand="0" w:noVBand="1"/>
      </w:tblPr>
      <w:tblGrid>
        <w:gridCol w:w="2689"/>
        <w:gridCol w:w="2842"/>
        <w:gridCol w:w="4142"/>
      </w:tblGrid>
      <w:tr w:rsidR="006672C7" w:rsidRPr="00CD2ADD" w14:paraId="235D137D" w14:textId="77777777" w:rsidTr="006672C7">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hideMark/>
          </w:tcPr>
          <w:p w14:paraId="7E50E089" w14:textId="77777777" w:rsidR="006672C7" w:rsidRPr="00CD2ADD" w:rsidRDefault="006672C7" w:rsidP="006672C7">
            <w:pPr>
              <w:jc w:val="center"/>
              <w:rPr>
                <w:sz w:val="21"/>
                <w:szCs w:val="21"/>
              </w:rPr>
            </w:pPr>
            <w:r w:rsidRPr="00CD2ADD">
              <w:rPr>
                <w:sz w:val="21"/>
                <w:szCs w:val="21"/>
              </w:rPr>
              <w:t>Riscuri asociate</w:t>
            </w:r>
          </w:p>
        </w:tc>
        <w:tc>
          <w:tcPr>
            <w:tcW w:w="0" w:type="auto"/>
            <w:hideMark/>
          </w:tcPr>
          <w:p w14:paraId="7FC2F561" w14:textId="77777777" w:rsidR="006672C7" w:rsidRPr="00CD2ADD" w:rsidRDefault="006672C7" w:rsidP="006672C7">
            <w:pPr>
              <w:jc w:val="center"/>
              <w:cnfStyle w:val="100000000000" w:firstRow="1" w:lastRow="0" w:firstColumn="0" w:lastColumn="0" w:oddVBand="0" w:evenVBand="0" w:oddHBand="0" w:evenHBand="0" w:firstRowFirstColumn="0" w:firstRowLastColumn="0" w:lastRowFirstColumn="0" w:lastRowLastColumn="0"/>
              <w:rPr>
                <w:sz w:val="21"/>
                <w:szCs w:val="21"/>
              </w:rPr>
            </w:pPr>
            <w:r w:rsidRPr="00CD2ADD">
              <w:rPr>
                <w:sz w:val="21"/>
                <w:szCs w:val="21"/>
              </w:rPr>
              <w:t>Vulnerabilități specifice</w:t>
            </w:r>
          </w:p>
        </w:tc>
        <w:tc>
          <w:tcPr>
            <w:tcW w:w="0" w:type="auto"/>
            <w:hideMark/>
          </w:tcPr>
          <w:p w14:paraId="754C9620" w14:textId="77777777" w:rsidR="006672C7" w:rsidRPr="00CD2ADD" w:rsidRDefault="006672C7" w:rsidP="006672C7">
            <w:pPr>
              <w:jc w:val="center"/>
              <w:cnfStyle w:val="100000000000" w:firstRow="1" w:lastRow="0" w:firstColumn="0" w:lastColumn="0" w:oddVBand="0" w:evenVBand="0" w:oddHBand="0" w:evenHBand="0" w:firstRowFirstColumn="0" w:firstRowLastColumn="0" w:lastRowFirstColumn="0" w:lastRowLastColumn="0"/>
              <w:rPr>
                <w:sz w:val="21"/>
                <w:szCs w:val="21"/>
              </w:rPr>
            </w:pPr>
            <w:r w:rsidRPr="00CD2ADD">
              <w:rPr>
                <w:sz w:val="21"/>
                <w:szCs w:val="21"/>
              </w:rPr>
              <w:t>Măsură recomandată</w:t>
            </w:r>
          </w:p>
        </w:tc>
      </w:tr>
      <w:tr w:rsidR="006672C7" w:rsidRPr="00CD2ADD" w14:paraId="6A78CABD" w14:textId="77777777" w:rsidTr="006672C7">
        <w:trPr>
          <w:trHeight w:val="1010"/>
        </w:trPr>
        <w:tc>
          <w:tcPr>
            <w:cnfStyle w:val="001000000000" w:firstRow="0" w:lastRow="0" w:firstColumn="1" w:lastColumn="0" w:oddVBand="0" w:evenVBand="0" w:oddHBand="0" w:evenHBand="0" w:firstRowFirstColumn="0" w:firstRowLastColumn="0" w:lastRowFirstColumn="0" w:lastRowLastColumn="0"/>
            <w:tcW w:w="0" w:type="auto"/>
            <w:hideMark/>
          </w:tcPr>
          <w:p w14:paraId="44C16133" w14:textId="28D6CE9E" w:rsidR="006672C7" w:rsidRPr="00CD2ADD" w:rsidRDefault="006672C7" w:rsidP="006672C7">
            <w:pPr>
              <w:rPr>
                <w:sz w:val="21"/>
                <w:szCs w:val="21"/>
              </w:rPr>
            </w:pPr>
            <w:r w:rsidRPr="00CD2ADD">
              <w:rPr>
                <w:sz w:val="21"/>
                <w:szCs w:val="21"/>
              </w:rPr>
              <w:t>Amplasarea infrastructurii</w:t>
            </w:r>
            <w:r w:rsidR="00175634" w:rsidRPr="00CD2ADD">
              <w:rPr>
                <w:sz w:val="21"/>
                <w:szCs w:val="21"/>
              </w:rPr>
              <w:t xml:space="preserve"> critice</w:t>
            </w:r>
            <w:r w:rsidRPr="00CD2ADD">
              <w:rPr>
                <w:sz w:val="21"/>
                <w:szCs w:val="21"/>
              </w:rPr>
              <w:t xml:space="preserve"> în zone expuse la hazard seismic</w:t>
            </w:r>
          </w:p>
        </w:tc>
        <w:tc>
          <w:tcPr>
            <w:tcW w:w="0" w:type="auto"/>
            <w:hideMark/>
          </w:tcPr>
          <w:p w14:paraId="49BAC39C" w14:textId="7CF2A02F" w:rsidR="006672C7" w:rsidRPr="00CD2ADD" w:rsidRDefault="00175634" w:rsidP="006672C7">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xml:space="preserve">- </w:t>
            </w:r>
            <w:r w:rsidR="006672C7" w:rsidRPr="00CD2ADD">
              <w:rPr>
                <w:sz w:val="21"/>
                <w:szCs w:val="21"/>
              </w:rPr>
              <w:t>Lipsa de date geologice detaliate</w:t>
            </w:r>
            <w:r w:rsidRPr="00CD2ADD">
              <w:rPr>
                <w:sz w:val="21"/>
                <w:szCs w:val="21"/>
              </w:rPr>
              <w:t xml:space="preserve">, actualizate </w:t>
            </w:r>
            <w:r w:rsidR="006672C7" w:rsidRPr="00CD2ADD">
              <w:rPr>
                <w:sz w:val="21"/>
                <w:szCs w:val="21"/>
              </w:rPr>
              <w:t>la nivel local</w:t>
            </w:r>
          </w:p>
        </w:tc>
        <w:tc>
          <w:tcPr>
            <w:tcW w:w="0" w:type="auto"/>
            <w:hideMark/>
          </w:tcPr>
          <w:p w14:paraId="1CEF0899" w14:textId="50C51494" w:rsidR="006672C7" w:rsidRPr="00CD2ADD" w:rsidRDefault="00175634" w:rsidP="006672C7">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Completarea si consolidarea</w:t>
            </w:r>
            <w:r w:rsidR="006672C7" w:rsidRPr="00CD2ADD">
              <w:rPr>
                <w:sz w:val="21"/>
                <w:szCs w:val="21"/>
              </w:rPr>
              <w:t xml:space="preserve"> hărților de microzonare seismică, permite integrarea riscului seismic în evaluările de mediu, planificare și autorizare.</w:t>
            </w:r>
          </w:p>
        </w:tc>
      </w:tr>
      <w:tr w:rsidR="006672C7" w:rsidRPr="00CD2ADD" w14:paraId="582AA84D" w14:textId="77777777" w:rsidTr="006672C7">
        <w:trPr>
          <w:trHeight w:val="1106"/>
        </w:trPr>
        <w:tc>
          <w:tcPr>
            <w:cnfStyle w:val="001000000000" w:firstRow="0" w:lastRow="0" w:firstColumn="1" w:lastColumn="0" w:oddVBand="0" w:evenVBand="0" w:oddHBand="0" w:evenHBand="0" w:firstRowFirstColumn="0" w:firstRowLastColumn="0" w:lastRowFirstColumn="0" w:lastRowLastColumn="0"/>
            <w:tcW w:w="0" w:type="auto"/>
            <w:hideMark/>
          </w:tcPr>
          <w:p w14:paraId="3706A308" w14:textId="77777777" w:rsidR="006672C7" w:rsidRPr="00CD2ADD" w:rsidRDefault="006672C7" w:rsidP="006672C7">
            <w:pPr>
              <w:rPr>
                <w:sz w:val="21"/>
                <w:szCs w:val="21"/>
              </w:rPr>
            </w:pPr>
            <w:r w:rsidRPr="00CD2ADD">
              <w:rPr>
                <w:sz w:val="21"/>
                <w:szCs w:val="21"/>
              </w:rPr>
              <w:t>Urbanizare necontrolată în zone de risc</w:t>
            </w:r>
          </w:p>
        </w:tc>
        <w:tc>
          <w:tcPr>
            <w:tcW w:w="0" w:type="auto"/>
            <w:hideMark/>
          </w:tcPr>
          <w:p w14:paraId="14A932BD" w14:textId="03598EB9" w:rsidR="006672C7" w:rsidRPr="00CD2ADD" w:rsidRDefault="00175634" w:rsidP="006672C7">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xml:space="preserve">- </w:t>
            </w:r>
            <w:r w:rsidR="006672C7" w:rsidRPr="00CD2ADD">
              <w:rPr>
                <w:sz w:val="21"/>
                <w:szCs w:val="21"/>
              </w:rPr>
              <w:t>Lipsa de corelare între planificare spațială și riscurile naturale</w:t>
            </w:r>
          </w:p>
        </w:tc>
        <w:tc>
          <w:tcPr>
            <w:tcW w:w="0" w:type="auto"/>
            <w:hideMark/>
          </w:tcPr>
          <w:p w14:paraId="3A0C456B" w14:textId="7F538AC8" w:rsidR="006672C7" w:rsidRPr="00CD2ADD" w:rsidRDefault="00175634" w:rsidP="006672C7">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xml:space="preserve">- </w:t>
            </w:r>
            <w:r w:rsidR="006672C7" w:rsidRPr="00CD2ADD">
              <w:rPr>
                <w:sz w:val="21"/>
                <w:szCs w:val="21"/>
              </w:rPr>
              <w:t>Integrarea riscurilor seismice în planurile de urbanism și amenajare a teritoriului. Susține prevenirea amplasării necorespunzătoare a obiectivelor sensibile (școli, spitale etc.).</w:t>
            </w:r>
          </w:p>
        </w:tc>
      </w:tr>
      <w:tr w:rsidR="006672C7" w:rsidRPr="00CD2ADD" w14:paraId="3FF52D7B" w14:textId="77777777" w:rsidTr="006672C7">
        <w:trPr>
          <w:trHeight w:val="1106"/>
        </w:trPr>
        <w:tc>
          <w:tcPr>
            <w:cnfStyle w:val="001000000000" w:firstRow="0" w:lastRow="0" w:firstColumn="1" w:lastColumn="0" w:oddVBand="0" w:evenVBand="0" w:oddHBand="0" w:evenHBand="0" w:firstRowFirstColumn="0" w:firstRowLastColumn="0" w:lastRowFirstColumn="0" w:lastRowLastColumn="0"/>
            <w:tcW w:w="0" w:type="auto"/>
            <w:hideMark/>
          </w:tcPr>
          <w:p w14:paraId="77877DDE" w14:textId="77777777" w:rsidR="006672C7" w:rsidRPr="00CD2ADD" w:rsidRDefault="006672C7" w:rsidP="006672C7">
            <w:pPr>
              <w:rPr>
                <w:sz w:val="21"/>
                <w:szCs w:val="21"/>
              </w:rPr>
            </w:pPr>
            <w:r w:rsidRPr="00CD2ADD">
              <w:rPr>
                <w:sz w:val="21"/>
                <w:szCs w:val="21"/>
              </w:rPr>
              <w:t>Intervenții necoordonate post-dezastru</w:t>
            </w:r>
          </w:p>
        </w:tc>
        <w:tc>
          <w:tcPr>
            <w:tcW w:w="0" w:type="auto"/>
            <w:hideMark/>
          </w:tcPr>
          <w:p w14:paraId="23F49D12" w14:textId="28D709D2" w:rsidR="006672C7" w:rsidRPr="00CD2ADD" w:rsidRDefault="00175634" w:rsidP="006672C7">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xml:space="preserve">- </w:t>
            </w:r>
            <w:r w:rsidR="006672C7" w:rsidRPr="00CD2ADD">
              <w:rPr>
                <w:sz w:val="21"/>
                <w:szCs w:val="21"/>
              </w:rPr>
              <w:t>Fragmentarea atribuțiilor instituționale</w:t>
            </w:r>
          </w:p>
        </w:tc>
        <w:tc>
          <w:tcPr>
            <w:tcW w:w="0" w:type="auto"/>
            <w:hideMark/>
          </w:tcPr>
          <w:p w14:paraId="7A3A72E8" w14:textId="79B245A9" w:rsidR="006672C7" w:rsidRPr="00CD2ADD" w:rsidRDefault="00175634" w:rsidP="006672C7">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xml:space="preserve">- </w:t>
            </w:r>
            <w:r w:rsidR="006672C7" w:rsidRPr="00CD2ADD">
              <w:rPr>
                <w:sz w:val="21"/>
                <w:szCs w:val="21"/>
              </w:rPr>
              <w:t xml:space="preserve">Clarificarea rolurilor și cooperarea interinstituțională în gestionarea riscului de cutremur pentru a asigura un răspuns coerent și a preveni efectele </w:t>
            </w:r>
            <w:r w:rsidR="000C18DE" w:rsidRPr="00CD2ADD">
              <w:rPr>
                <w:sz w:val="21"/>
                <w:szCs w:val="21"/>
              </w:rPr>
              <w:t>nefaste</w:t>
            </w:r>
            <w:r w:rsidR="006672C7" w:rsidRPr="00CD2ADD">
              <w:rPr>
                <w:sz w:val="21"/>
                <w:szCs w:val="21"/>
              </w:rPr>
              <w:t xml:space="preserve"> asupra mediului (ex. deversări, poluări accidentale).</w:t>
            </w:r>
          </w:p>
        </w:tc>
      </w:tr>
      <w:tr w:rsidR="006672C7" w:rsidRPr="00CD2ADD" w14:paraId="5EF92A8C" w14:textId="77777777" w:rsidTr="006672C7">
        <w:trPr>
          <w:trHeight w:val="1415"/>
        </w:trPr>
        <w:tc>
          <w:tcPr>
            <w:cnfStyle w:val="001000000000" w:firstRow="0" w:lastRow="0" w:firstColumn="1" w:lastColumn="0" w:oddVBand="0" w:evenVBand="0" w:oddHBand="0" w:evenHBand="0" w:firstRowFirstColumn="0" w:firstRowLastColumn="0" w:lastRowFirstColumn="0" w:lastRowLastColumn="0"/>
            <w:tcW w:w="0" w:type="auto"/>
            <w:hideMark/>
          </w:tcPr>
          <w:p w14:paraId="3BDE90F7" w14:textId="77777777" w:rsidR="006672C7" w:rsidRPr="00CD2ADD" w:rsidRDefault="006672C7" w:rsidP="006672C7">
            <w:pPr>
              <w:rPr>
                <w:sz w:val="21"/>
                <w:szCs w:val="21"/>
              </w:rPr>
            </w:pPr>
            <w:r w:rsidRPr="00CD2ADD">
              <w:rPr>
                <w:sz w:val="21"/>
                <w:szCs w:val="21"/>
              </w:rPr>
              <w:t>Întreruperea funcționării serviciilor de mediu și utilităților</w:t>
            </w:r>
          </w:p>
        </w:tc>
        <w:tc>
          <w:tcPr>
            <w:tcW w:w="0" w:type="auto"/>
            <w:hideMark/>
          </w:tcPr>
          <w:p w14:paraId="646C1FEE" w14:textId="15B7A6E9" w:rsidR="006672C7" w:rsidRPr="00CD2ADD" w:rsidRDefault="00175634" w:rsidP="006672C7">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xml:space="preserve">- </w:t>
            </w:r>
            <w:r w:rsidR="006672C7" w:rsidRPr="00CD2ADD">
              <w:rPr>
                <w:sz w:val="21"/>
                <w:szCs w:val="21"/>
              </w:rPr>
              <w:t>Lipsa planurilor de continuitate pentru servicii esențiale</w:t>
            </w:r>
          </w:p>
        </w:tc>
        <w:tc>
          <w:tcPr>
            <w:tcW w:w="0" w:type="auto"/>
            <w:hideMark/>
          </w:tcPr>
          <w:p w14:paraId="2311E340" w14:textId="13F9DFF8" w:rsidR="006672C7" w:rsidRPr="00CD2ADD" w:rsidRDefault="00175634" w:rsidP="006672C7">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xml:space="preserve">- </w:t>
            </w:r>
            <w:r w:rsidR="006672C7" w:rsidRPr="00CD2ADD">
              <w:rPr>
                <w:sz w:val="21"/>
                <w:szCs w:val="21"/>
              </w:rPr>
              <w:t xml:space="preserve">Elaborarea planurilor de continuitate pentru serviciile esențiale (apă, salubritate, </w:t>
            </w:r>
            <w:r w:rsidR="000C18DE" w:rsidRPr="00CD2ADD">
              <w:rPr>
                <w:sz w:val="21"/>
                <w:szCs w:val="21"/>
              </w:rPr>
              <w:t>educație, sănătate</w:t>
            </w:r>
            <w:r w:rsidR="006672C7" w:rsidRPr="00CD2ADD">
              <w:rPr>
                <w:sz w:val="21"/>
                <w:szCs w:val="21"/>
              </w:rPr>
              <w:t>). Reduce riscul de contaminare a resurselor naturale și de afectare a populației dependente de aceste servicii.</w:t>
            </w:r>
          </w:p>
        </w:tc>
      </w:tr>
      <w:tr w:rsidR="003D1A11" w:rsidRPr="00CD2ADD" w14:paraId="6A40D0FF" w14:textId="77777777" w:rsidTr="004359CB">
        <w:trPr>
          <w:trHeight w:val="1415"/>
        </w:trPr>
        <w:tc>
          <w:tcPr>
            <w:cnfStyle w:val="001000000000" w:firstRow="0" w:lastRow="0" w:firstColumn="1" w:lastColumn="0" w:oddVBand="0" w:evenVBand="0" w:oddHBand="0" w:evenHBand="0" w:firstRowFirstColumn="0" w:firstRowLastColumn="0" w:lastRowFirstColumn="0" w:lastRowLastColumn="0"/>
            <w:tcW w:w="2689" w:type="dxa"/>
          </w:tcPr>
          <w:p w14:paraId="5939D8AD" w14:textId="020AB11D" w:rsidR="009A6A4F" w:rsidRPr="00CD2ADD" w:rsidRDefault="009A6A4F" w:rsidP="006672C7">
            <w:pPr>
              <w:rPr>
                <w:sz w:val="21"/>
                <w:szCs w:val="21"/>
              </w:rPr>
            </w:pPr>
            <w:r w:rsidRPr="00CD2ADD">
              <w:rPr>
                <w:sz w:val="21"/>
                <w:szCs w:val="21"/>
              </w:rPr>
              <w:t>Întreruperea serviciilor medicale esențiale, inclusiv SRHR, în urma prăbușirii infrastructurii sau a evacuărilor</w:t>
            </w:r>
          </w:p>
        </w:tc>
        <w:tc>
          <w:tcPr>
            <w:tcW w:w="2842" w:type="dxa"/>
          </w:tcPr>
          <w:p w14:paraId="7E2A92B2" w14:textId="47CEA9D9" w:rsidR="009A6A4F" w:rsidRPr="00CD2ADD" w:rsidRDefault="009A6A4F" w:rsidP="009A6A4F">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Acces limitat la îngrijiri medicale pentru femei însărcinate, nou-născuți și supraviețuitoare ale violenței</w:t>
            </w:r>
          </w:p>
          <w:p w14:paraId="1B3A3BFE" w14:textId="1C2D6069" w:rsidR="009A6A4F" w:rsidRPr="00CD2ADD" w:rsidRDefault="009A6A4F" w:rsidP="006672C7">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Lipsa formării echipelor locale pentru intervenții adaptate nevoilor de sănătate reproductivă și protecție în situații de criză</w:t>
            </w:r>
          </w:p>
        </w:tc>
        <w:tc>
          <w:tcPr>
            <w:tcW w:w="0" w:type="auto"/>
          </w:tcPr>
          <w:p w14:paraId="241C3C44" w14:textId="0E9E5CC1" w:rsidR="009A6A4F" w:rsidRPr="00CD2ADD" w:rsidRDefault="009A6A4F" w:rsidP="006672C7">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Crearea și instruirea echipelor locale de intervenție pentru furnizarea Pachetului Minim de Servicii (MISP) în domeniul sănătății sexuale și reproductive în caz de cutremur, inclusiv asigurarea accesului rapid la servicii de obstetrică de urgență, contracepție și sprijin psihosocial pentru femei și fete vulnerabile.</w:t>
            </w:r>
          </w:p>
        </w:tc>
      </w:tr>
    </w:tbl>
    <w:p w14:paraId="5A98D217" w14:textId="77777777" w:rsidR="00310A54" w:rsidRPr="00CD2ADD" w:rsidRDefault="00310A54" w:rsidP="00310A54">
      <w:pPr>
        <w:jc w:val="center"/>
        <w:rPr>
          <w:b/>
          <w:bCs/>
          <w:color w:val="000000" w:themeColor="text1"/>
          <w:lang w:eastAsia="en-US"/>
        </w:rPr>
      </w:pPr>
    </w:p>
    <w:p w14:paraId="56E8EC81" w14:textId="36B1B5D1" w:rsidR="00310A54" w:rsidRPr="00CD2ADD" w:rsidRDefault="00310A54" w:rsidP="00590E37">
      <w:pPr>
        <w:pStyle w:val="Heading3"/>
        <w:spacing w:before="0"/>
        <w:jc w:val="center"/>
        <w:rPr>
          <w:rFonts w:ascii="Times New Roman" w:hAnsi="Times New Roman" w:cs="Times New Roman"/>
          <w:b/>
          <w:bCs w:val="0"/>
          <w:color w:val="000000" w:themeColor="text1"/>
        </w:rPr>
      </w:pPr>
      <w:r w:rsidRPr="00CD2ADD">
        <w:rPr>
          <w:rFonts w:ascii="Times New Roman" w:hAnsi="Times New Roman" w:cs="Times New Roman"/>
          <w:b/>
          <w:bCs w:val="0"/>
          <w:color w:val="000000" w:themeColor="text1"/>
        </w:rPr>
        <w:lastRenderedPageBreak/>
        <w:t>Subsecțiunea a 11-a</w:t>
      </w:r>
    </w:p>
    <w:p w14:paraId="6081EFA7" w14:textId="422358C4" w:rsidR="004D08C9" w:rsidRPr="00CD2ADD" w:rsidRDefault="00310A54" w:rsidP="00590E37">
      <w:pPr>
        <w:pStyle w:val="Heading3"/>
        <w:spacing w:before="0"/>
        <w:jc w:val="center"/>
        <w:rPr>
          <w:rFonts w:ascii="Times New Roman" w:hAnsi="Times New Roman" w:cs="Times New Roman"/>
          <w:b/>
          <w:bCs w:val="0"/>
          <w:color w:val="000000" w:themeColor="text1"/>
          <w:sz w:val="22"/>
        </w:rPr>
      </w:pPr>
      <w:r w:rsidRPr="00CD2ADD">
        <w:rPr>
          <w:rFonts w:ascii="Times New Roman" w:hAnsi="Times New Roman" w:cs="Times New Roman"/>
          <w:b/>
          <w:bCs w:val="0"/>
          <w:color w:val="000000" w:themeColor="text1"/>
          <w:sz w:val="22"/>
        </w:rPr>
        <w:t>Alunecări de teren, surpări, eroziunea solurilor</w:t>
      </w:r>
    </w:p>
    <w:p w14:paraId="7FFC054A" w14:textId="63CA4DFE" w:rsidR="003F7138" w:rsidRPr="00CD2ADD" w:rsidRDefault="003F7138">
      <w:pPr>
        <w:pStyle w:val="ListParagraph"/>
        <w:numPr>
          <w:ilvl w:val="0"/>
          <w:numId w:val="42"/>
        </w:numPr>
        <w:spacing w:after="0"/>
        <w:ind w:left="0" w:firstLine="284"/>
        <w:jc w:val="both"/>
        <w:rPr>
          <w:rFonts w:ascii="Times New Roman" w:hAnsi="Times New Roman" w:cs="Times New Roman"/>
          <w:color w:val="000000" w:themeColor="text1"/>
          <w:sz w:val="24"/>
          <w:szCs w:val="24"/>
        </w:rPr>
      </w:pPr>
      <w:bookmarkStart w:id="75" w:name="OLE_LINK38"/>
      <w:bookmarkEnd w:id="1"/>
      <w:bookmarkEnd w:id="73"/>
      <w:r w:rsidRPr="00CD2ADD">
        <w:rPr>
          <w:rFonts w:ascii="Times New Roman" w:hAnsi="Times New Roman" w:cs="Times New Roman"/>
          <w:color w:val="000000" w:themeColor="text1"/>
          <w:sz w:val="24"/>
          <w:szCs w:val="24"/>
        </w:rPr>
        <w:t>Alunecările de teren sunt procese geodinamice exogene caracterizate prin mișcarea gravitațională a maselor de rocă sau sol de-a lungul unor suprafețe de alunecare, în general pe versanți cu înclinări moderate și structură argiloasă sau marnoasă. Acestea pot lua forme diverse: de la alunecări de curgere (deplasări plastice ale materialului deluvial umed), până la alunecări în blocuri, unde segmente mari din versant se desprind și se mișcă în masă. Unele procese pot fi contemporane, aflate în dinamică activă (permanentă sau periodică), în timp ce altele sunt străvechi, dar pot fi reactivabile sub influența factorilor naturali sau antropici. Dimensiunea și intensitatea acestor procese sunt influențate de umiditate, proprietățile geotehnice ale rocilor, regimul apelor subterane și modificările antropice ale versantului. Deși rare la scară națională, alunecările de teren pot avea efecte locale semnificative asupra infrastructurii, terenurilor agricole și stabilității comunităților expuse</w:t>
      </w:r>
      <w:r w:rsidRPr="00CD2ADD">
        <w:rPr>
          <w:rStyle w:val="FootnoteReference"/>
          <w:rFonts w:ascii="Times New Roman" w:hAnsi="Times New Roman" w:cs="Times New Roman"/>
          <w:color w:val="000000" w:themeColor="text1"/>
          <w:sz w:val="24"/>
          <w:szCs w:val="24"/>
        </w:rPr>
        <w:footnoteReference w:id="38"/>
      </w:r>
      <w:r w:rsidRPr="00CD2ADD">
        <w:rPr>
          <w:rFonts w:ascii="Times New Roman" w:hAnsi="Times New Roman" w:cs="Times New Roman"/>
          <w:color w:val="000000" w:themeColor="text1"/>
          <w:sz w:val="24"/>
          <w:szCs w:val="24"/>
        </w:rPr>
        <w:t>.</w:t>
      </w:r>
    </w:p>
    <w:p w14:paraId="0263ECBC" w14:textId="38352CBE" w:rsidR="003F7138" w:rsidRPr="00CD2ADD" w:rsidRDefault="003F7138" w:rsidP="00310A54">
      <w:pPr>
        <w:ind w:firstLine="284"/>
        <w:jc w:val="both"/>
        <w:rPr>
          <w:color w:val="000000" w:themeColor="text1"/>
        </w:rPr>
      </w:pPr>
      <w:r w:rsidRPr="00CD2ADD">
        <w:rPr>
          <w:color w:val="000000" w:themeColor="text1"/>
        </w:rPr>
        <w:t xml:space="preserve">Alunecările de teren reprezintă un risc punctual, cu o frecvență </w:t>
      </w:r>
      <w:r w:rsidRPr="00CD2ADD">
        <w:rPr>
          <w:rStyle w:val="Strong"/>
          <w:rFonts w:eastAsiaTheme="majorEastAsia"/>
          <w:i w:val="0"/>
          <w:iCs/>
          <w:color w:val="000000" w:themeColor="text1"/>
        </w:rPr>
        <w:t>foarte redusă</w:t>
      </w:r>
      <w:r w:rsidRPr="00CD2ADD">
        <w:rPr>
          <w:color w:val="000000" w:themeColor="text1"/>
        </w:rPr>
        <w:t xml:space="preserve"> în Republica Moldova. În perioada 2010–2024 au fost înregistrate doar </w:t>
      </w:r>
      <w:r w:rsidRPr="00CD2ADD">
        <w:rPr>
          <w:rStyle w:val="Strong"/>
          <w:rFonts w:eastAsiaTheme="majorEastAsia"/>
          <w:i w:val="0"/>
          <w:iCs/>
          <w:color w:val="000000" w:themeColor="text1"/>
        </w:rPr>
        <w:t>8 cazuri</w:t>
      </w:r>
      <w:r w:rsidRPr="00CD2ADD">
        <w:rPr>
          <w:i/>
          <w:iCs/>
          <w:color w:val="000000" w:themeColor="text1"/>
        </w:rPr>
        <w:t>,</w:t>
      </w:r>
      <w:r w:rsidRPr="00CD2ADD">
        <w:rPr>
          <w:color w:val="000000" w:themeColor="text1"/>
        </w:rPr>
        <w:t xml:space="preserve"> reprezentând </w:t>
      </w:r>
      <w:r w:rsidRPr="00CD2ADD">
        <w:rPr>
          <w:rStyle w:val="Strong"/>
          <w:rFonts w:eastAsiaTheme="majorEastAsia"/>
          <w:i w:val="0"/>
          <w:iCs/>
          <w:color w:val="000000" w:themeColor="text1"/>
        </w:rPr>
        <w:t>0,</w:t>
      </w:r>
      <w:r w:rsidR="006C106D" w:rsidRPr="00CD2ADD">
        <w:rPr>
          <w:rStyle w:val="Strong"/>
          <w:rFonts w:eastAsiaTheme="majorEastAsia"/>
          <w:i w:val="0"/>
          <w:iCs/>
          <w:color w:val="000000" w:themeColor="text1"/>
        </w:rPr>
        <w:t>6</w:t>
      </w:r>
      <w:r w:rsidRPr="00CD2ADD">
        <w:rPr>
          <w:rStyle w:val="Strong"/>
          <w:rFonts w:eastAsiaTheme="majorEastAsia"/>
          <w:i w:val="0"/>
          <w:iCs/>
          <w:color w:val="000000" w:themeColor="text1"/>
        </w:rPr>
        <w:t>% din totalul situațiilor excepționale</w:t>
      </w:r>
      <w:r w:rsidRPr="00CD2ADD">
        <w:rPr>
          <w:color w:val="000000" w:themeColor="text1"/>
        </w:rPr>
        <w:t xml:space="preserve"> din această perioadă (8 din  </w:t>
      </w:r>
      <w:r w:rsidR="006C106D" w:rsidRPr="00CD2ADD">
        <w:rPr>
          <w:color w:val="000000" w:themeColor="text1"/>
        </w:rPr>
        <w:t xml:space="preserve">1.329 </w:t>
      </w:r>
      <w:r w:rsidRPr="00CD2ADD">
        <w:rPr>
          <w:color w:val="000000" w:themeColor="text1"/>
        </w:rPr>
        <w:t xml:space="preserve">SE </w:t>
      </w:r>
      <w:r w:rsidR="006C106D" w:rsidRPr="00CD2ADD">
        <w:rPr>
          <w:color w:val="000000" w:themeColor="text1"/>
        </w:rPr>
        <w:t xml:space="preserve">naturale </w:t>
      </w:r>
      <w:r w:rsidRPr="00CD2ADD">
        <w:rPr>
          <w:color w:val="000000" w:themeColor="text1"/>
        </w:rPr>
        <w:t>totale).</w:t>
      </w:r>
    </w:p>
    <w:p w14:paraId="609700A7" w14:textId="61245D9E" w:rsidR="00B84A1F" w:rsidRPr="00CD2ADD" w:rsidRDefault="003F7138" w:rsidP="00310A54">
      <w:pPr>
        <w:spacing w:after="120"/>
        <w:ind w:firstLine="284"/>
        <w:jc w:val="both"/>
        <w:rPr>
          <w:color w:val="000000" w:themeColor="text1"/>
        </w:rPr>
      </w:pPr>
      <w:r w:rsidRPr="00CD2ADD">
        <w:rPr>
          <w:color w:val="000000" w:themeColor="text1"/>
        </w:rPr>
        <w:t>Acestea au apărut în anii 2010, 2013, 2018, 2023 și 2024, fără o recurență clară sau o distribuție constantă în timp. Nu există o tendință evidentă de creștere sau scădere, dar este de remarcat reapariția cazurilor în ultimii doi ani, ceea ce ar putea semnala o expunere locală reactivată sau o schimbare în regimul precipitațiilor</w:t>
      </w:r>
      <w:r w:rsidR="00B30DDA">
        <w:rPr>
          <w:color w:val="000000" w:themeColor="text1"/>
        </w:rPr>
        <w:t xml:space="preserve"> (figura 33)</w:t>
      </w:r>
      <w:r w:rsidRPr="00CD2ADD">
        <w:rPr>
          <w:color w:val="000000" w:themeColor="text1"/>
        </w:rPr>
        <w:t>.</w:t>
      </w:r>
    </w:p>
    <w:p w14:paraId="304DC3B6" w14:textId="1841F404" w:rsidR="00310A54" w:rsidRPr="00CD2ADD" w:rsidRDefault="00310A54" w:rsidP="00310A54">
      <w:pPr>
        <w:spacing w:after="120"/>
        <w:ind w:firstLine="284"/>
        <w:jc w:val="center"/>
        <w:rPr>
          <w:color w:val="000000" w:themeColor="text1"/>
        </w:rPr>
      </w:pPr>
      <w:r w:rsidRPr="00CD2ADD">
        <w:rPr>
          <w:b/>
          <w:bCs/>
          <w:color w:val="000000" w:themeColor="text1"/>
        </w:rPr>
        <w:t>Figura 33.</w:t>
      </w:r>
      <w:r w:rsidRPr="00CD2ADD">
        <w:rPr>
          <w:color w:val="000000" w:themeColor="text1"/>
        </w:rPr>
        <w:t xml:space="preserve"> Numărul alunecărilor de teren produse între 2010-2024 și pagubele aferente</w:t>
      </w:r>
    </w:p>
    <w:p w14:paraId="4418893E" w14:textId="353AF520" w:rsidR="003F7138" w:rsidRPr="00CD2ADD" w:rsidRDefault="003F7138" w:rsidP="00BE3BDE">
      <w:pPr>
        <w:pStyle w:val="Caption"/>
        <w:spacing w:after="0"/>
        <w:jc w:val="center"/>
        <w:rPr>
          <w:rFonts w:ascii="Times New Roman" w:hAnsi="Times New Roman" w:cs="Times New Roman"/>
        </w:rPr>
      </w:pPr>
      <w:r w:rsidRPr="00CD2ADD">
        <w:rPr>
          <w:rFonts w:ascii="Times New Roman" w:hAnsi="Times New Roman" w:cs="Times New Roman"/>
          <w:noProof/>
        </w:rPr>
        <w:drawing>
          <wp:inline distT="0" distB="0" distL="0" distR="0" wp14:anchorId="592CD44F" wp14:editId="0C494E00">
            <wp:extent cx="5867400" cy="2298700"/>
            <wp:effectExtent l="0" t="0" r="12700" b="12700"/>
            <wp:docPr id="1117434276" name="Chart 1">
              <a:extLst xmlns:a="http://schemas.openxmlformats.org/drawingml/2006/main">
                <a:ext uri="{FF2B5EF4-FFF2-40B4-BE49-F238E27FC236}">
                  <a16:creationId xmlns:a16="http://schemas.microsoft.com/office/drawing/2014/main" id="{83505670-B44E-6F53-0184-290AD84C51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C55E17E" w14:textId="68D628E7" w:rsidR="003F7138" w:rsidRPr="00BE3BDE" w:rsidRDefault="003F7138" w:rsidP="00310A54">
      <w:pPr>
        <w:spacing w:after="120"/>
        <w:jc w:val="center"/>
        <w:rPr>
          <w:i/>
          <w:iCs/>
          <w:sz w:val="20"/>
          <w:szCs w:val="20"/>
          <w:lang w:eastAsia="en-US"/>
        </w:rPr>
      </w:pPr>
      <w:r w:rsidRPr="00BE3BDE">
        <w:rPr>
          <w:i/>
          <w:iCs/>
          <w:sz w:val="20"/>
          <w:szCs w:val="20"/>
          <w:lang w:eastAsia="en-US"/>
        </w:rPr>
        <w:t xml:space="preserve">Sursa: </w:t>
      </w:r>
      <w:r w:rsidR="001301E0" w:rsidRPr="00BE3BDE">
        <w:rPr>
          <w:i/>
          <w:iCs/>
          <w:sz w:val="20"/>
          <w:szCs w:val="20"/>
          <w:lang w:eastAsia="en-US"/>
        </w:rPr>
        <w:t>IGSU – Date privind situațiile excepționale 2010–2024</w:t>
      </w:r>
    </w:p>
    <w:p w14:paraId="459F0A5B" w14:textId="3DB3AB29" w:rsidR="00B30DDA" w:rsidRPr="00B30DDA" w:rsidRDefault="00B30DDA" w:rsidP="00B30DDA">
      <w:pPr>
        <w:pStyle w:val="ListParagraph"/>
        <w:numPr>
          <w:ilvl w:val="0"/>
          <w:numId w:val="42"/>
        </w:numPr>
        <w:spacing w:after="0"/>
        <w:ind w:left="0" w:firstLine="284"/>
        <w:jc w:val="both"/>
        <w:rPr>
          <w:rFonts w:ascii="Times New Roman" w:hAnsi="Times New Roman" w:cs="Times New Roman"/>
          <w:color w:val="000000" w:themeColor="text1"/>
          <w:sz w:val="24"/>
          <w:szCs w:val="24"/>
        </w:rPr>
      </w:pPr>
      <w:bookmarkStart w:id="76" w:name="_Toc197960232"/>
      <w:bookmarkStart w:id="77" w:name="_Toc197960503"/>
      <w:r w:rsidRPr="00B30DDA">
        <w:rPr>
          <w:rFonts w:ascii="Times New Roman" w:hAnsi="Times New Roman" w:cs="Times New Roman"/>
          <w:color w:val="000000" w:themeColor="text1"/>
          <w:sz w:val="24"/>
          <w:szCs w:val="24"/>
        </w:rPr>
        <w:t xml:space="preserve">Eroziunea solurilor este un proces gradual dar extins de degradare fizică a terenurilor agricole, cauzat de scurgerea apei, lipsa vegetației de protecție și practicile agricole inadecvate. Conform datelor istorice, suprafața agricolă afectată de eroziune în Republica Moldova a crescut semnificativ în ultimele decenii: de la 28,7% din suprafața agricolă totală în 1965, la 49% în 2020. Aceasta înseamnă că aproape jumătate din terenurile agricole ale țării sunt supuse, într-o formă sau alta, proceselor de eroziune – slabă, moderată sau puternică. Cele mai mari creșteri s-au înregistrat după anul 2000, ceea ce reflectă o acumulare de presiuni climatice și antropice, în special în zonele colinare sau slab împădurite (figura 34). </w:t>
      </w:r>
    </w:p>
    <w:p w14:paraId="122B7EFD" w14:textId="77777777" w:rsidR="00B30DDA" w:rsidRPr="00CD2ADD" w:rsidRDefault="00B30DDA" w:rsidP="00B30DDA">
      <w:pPr>
        <w:pStyle w:val="Subtitle"/>
        <w:numPr>
          <w:ilvl w:val="0"/>
          <w:numId w:val="0"/>
        </w:numPr>
        <w:spacing w:after="0" w:line="240" w:lineRule="auto"/>
        <w:ind w:firstLine="284"/>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Impact socio-economic</w:t>
      </w:r>
    </w:p>
    <w:p w14:paraId="5B43E312" w14:textId="77777777" w:rsidR="00B30DDA" w:rsidRPr="00B30DDA" w:rsidRDefault="00B30DDA" w:rsidP="00B30DDA">
      <w:pPr>
        <w:jc w:val="both"/>
        <w:rPr>
          <w:color w:val="000000" w:themeColor="text1"/>
        </w:rPr>
      </w:pPr>
    </w:p>
    <w:p w14:paraId="29A1B693" w14:textId="787929C2" w:rsidR="00B9134E" w:rsidRPr="00CD2ADD" w:rsidRDefault="00B9134E">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lastRenderedPageBreak/>
        <w:t xml:space="preserve">Impactul economic al alunecărilor de teren este neglijabil în termeni naționali: pagubele totale cauzate de alunecările de teren se ridică la 4.6 mln lei, ceea ce reprezintă doar 0,02% din valoarea totală a pagubelor înregistrate în perioada 2010–2024 (care însumează peste 23 milioane lei). </w:t>
      </w:r>
    </w:p>
    <w:p w14:paraId="3BE5F101" w14:textId="77777777" w:rsidR="00B9134E" w:rsidRPr="00CD2ADD" w:rsidRDefault="00B9134E" w:rsidP="00310A54">
      <w:pPr>
        <w:ind w:firstLine="284"/>
        <w:jc w:val="both"/>
        <w:rPr>
          <w:color w:val="000000" w:themeColor="text1"/>
          <w:lang w:eastAsia="en-US"/>
        </w:rPr>
      </w:pPr>
      <w:r w:rsidRPr="00CD2ADD">
        <w:rPr>
          <w:color w:val="000000" w:themeColor="text1"/>
          <w:lang w:eastAsia="en-US"/>
        </w:rPr>
        <w:t>Totuși, în anul 2023 se observă o creștere semnificativă a impactului economic, cu pagube de peste 2,200 mii lei, ceea ce sugerează un incident local cu afectare mai amplă a infrastructurii sau terenurilor agricole/construite.</w:t>
      </w:r>
    </w:p>
    <w:p w14:paraId="5F7CBADC" w14:textId="627D9B51" w:rsidR="00B84A1F" w:rsidRPr="00CD2ADD" w:rsidRDefault="00B9134E" w:rsidP="00310A54">
      <w:pPr>
        <w:spacing w:after="120"/>
        <w:ind w:firstLine="284"/>
        <w:jc w:val="both"/>
        <w:rPr>
          <w:color w:val="000000" w:themeColor="text1"/>
          <w:lang w:eastAsia="en-US"/>
        </w:rPr>
      </w:pPr>
      <w:r w:rsidRPr="00CD2ADD">
        <w:rPr>
          <w:color w:val="000000" w:themeColor="text1"/>
          <w:lang w:eastAsia="en-US"/>
        </w:rPr>
        <w:t>In ceea ce privește eroziunea solurilor, deși aceasta este un proces lent și difuz, efectele sale economice sunt cumulative și deseori subestimate, pierderi de fertilitate, scăderea productivității agricole, colmatarea lacurilor și degradarea infrastructurii rurale. Poate fi legată indirect de costuri sociale (migrație rurală, scăderea veniturilor fermierilor, vulnerabilitate alimentară).</w:t>
      </w:r>
    </w:p>
    <w:p w14:paraId="6614C6A5" w14:textId="185D4123" w:rsidR="00310A54" w:rsidRPr="00CD2ADD" w:rsidRDefault="00310A54" w:rsidP="00310A54">
      <w:pPr>
        <w:spacing w:after="120"/>
        <w:ind w:firstLine="284"/>
        <w:jc w:val="center"/>
        <w:rPr>
          <w:color w:val="000000" w:themeColor="text1"/>
          <w:lang w:eastAsia="en-US"/>
        </w:rPr>
      </w:pPr>
      <w:r w:rsidRPr="00CD2ADD">
        <w:rPr>
          <w:b/>
          <w:bCs/>
          <w:color w:val="000000" w:themeColor="text1"/>
          <w:lang w:eastAsia="en-US"/>
        </w:rPr>
        <w:t>Figura 34</w:t>
      </w:r>
      <w:r w:rsidRPr="00CD2ADD">
        <w:rPr>
          <w:color w:val="000000" w:themeColor="text1"/>
          <w:lang w:eastAsia="en-US"/>
        </w:rPr>
        <w:t>. Zona afectată de eroziune (Republica Moldova), 1965-2020</w:t>
      </w:r>
    </w:p>
    <w:bookmarkEnd w:id="76"/>
    <w:bookmarkEnd w:id="77"/>
    <w:p w14:paraId="3B886CFF" w14:textId="77777777" w:rsidR="003F7138" w:rsidRPr="00CD2ADD" w:rsidRDefault="003F7138" w:rsidP="00B30DDA">
      <w:pPr>
        <w:jc w:val="both"/>
        <w:rPr>
          <w:sz w:val="22"/>
          <w:szCs w:val="22"/>
          <w:lang w:eastAsia="en-US"/>
        </w:rPr>
      </w:pPr>
      <w:r w:rsidRPr="00CD2ADD">
        <w:rPr>
          <w:noProof/>
        </w:rPr>
        <w:drawing>
          <wp:inline distT="0" distB="0" distL="0" distR="0" wp14:anchorId="65BF0600" wp14:editId="76F3751F">
            <wp:extent cx="5972175" cy="3400425"/>
            <wp:effectExtent l="0" t="0" r="9525" b="15875"/>
            <wp:docPr id="1657933926" name="Chart 1">
              <a:extLst xmlns:a="http://schemas.openxmlformats.org/drawingml/2006/main">
                <a:ext uri="{FF2B5EF4-FFF2-40B4-BE49-F238E27FC236}">
                  <a16:creationId xmlns:a16="http://schemas.microsoft.com/office/drawing/2014/main" id="{73448196-7F67-F69A-D94C-B35BFD3DB9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BCA52C4" w14:textId="4C989EDA" w:rsidR="003F7138" w:rsidRPr="00B30DDA" w:rsidRDefault="003F7138" w:rsidP="00310A54">
      <w:pPr>
        <w:spacing w:after="120"/>
        <w:jc w:val="center"/>
        <w:rPr>
          <w:i/>
          <w:iCs/>
          <w:sz w:val="20"/>
          <w:szCs w:val="20"/>
          <w:lang w:eastAsia="en-US"/>
        </w:rPr>
      </w:pPr>
      <w:r w:rsidRPr="00B30DDA">
        <w:rPr>
          <w:i/>
          <w:iCs/>
          <w:sz w:val="20"/>
          <w:szCs w:val="20"/>
          <w:lang w:eastAsia="en-US"/>
        </w:rPr>
        <w:t xml:space="preserve">Sursa: </w:t>
      </w:r>
      <w:r w:rsidR="008D69CA" w:rsidRPr="00B30DDA">
        <w:rPr>
          <w:i/>
          <w:iCs/>
          <w:sz w:val="20"/>
          <w:szCs w:val="20"/>
          <w:lang w:eastAsia="en-US"/>
        </w:rPr>
        <w:t>Agenția</w:t>
      </w:r>
      <w:r w:rsidR="00BE0747" w:rsidRPr="00B30DDA">
        <w:rPr>
          <w:i/>
          <w:iCs/>
          <w:sz w:val="20"/>
          <w:szCs w:val="20"/>
          <w:lang w:eastAsia="en-US"/>
        </w:rPr>
        <w:t xml:space="preserve"> de Mediu</w:t>
      </w:r>
    </w:p>
    <w:p w14:paraId="4BF2FFFB" w14:textId="77777777" w:rsidR="00901A2A" w:rsidRPr="00CD2ADD" w:rsidRDefault="00901A2A" w:rsidP="00310A54">
      <w:pPr>
        <w:pStyle w:val="Subtitle"/>
        <w:spacing w:after="0" w:line="240" w:lineRule="auto"/>
        <w:ind w:firstLine="284"/>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Vulnerabilitate, expunere și capacitate de adaptare</w:t>
      </w:r>
    </w:p>
    <w:p w14:paraId="693D606D" w14:textId="77777777" w:rsidR="00B30DDA" w:rsidRDefault="003F7138" w:rsidP="00B30DDA">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Datele din platforma INFORM Moldova (2023) indică faptul că riscul de alunecări de teren este localizat și variază semnificativ între raioane. Cele mai ridicate niveluri de expunere la acest risc apar în raioane precum Cahul (9,4), Leova (9,2), Edineț (8,3) și Anenii Noi (7,2). Acestea coincid adesea cu zone colinare sau instabile geologic.</w:t>
      </w:r>
      <w:r w:rsidR="001301E0" w:rsidRPr="00CD2ADD">
        <w:rPr>
          <w:rFonts w:ascii="Times New Roman" w:hAnsi="Times New Roman" w:cs="Times New Roman"/>
          <w:color w:val="000000" w:themeColor="text1"/>
          <w:sz w:val="24"/>
          <w:szCs w:val="24"/>
        </w:rPr>
        <w:t xml:space="preserve"> </w:t>
      </w:r>
      <w:r w:rsidRPr="00CD2ADD">
        <w:rPr>
          <w:rFonts w:ascii="Times New Roman" w:hAnsi="Times New Roman" w:cs="Times New Roman"/>
          <w:color w:val="000000" w:themeColor="text1"/>
          <w:sz w:val="24"/>
          <w:szCs w:val="24"/>
        </w:rPr>
        <w:t>În ceea ce privește vulnerabilitatea socială, aceste raioane înregistrează scoruri moderate spre ridicate atât la indicatorul de dezvoltare deficitară (peste 5,7), cât și la grupuri vulnerabile (ex. Cahul – 3,5; Leova – 4,0). În plus, capacitatea de răspuns este afectată în unele cazuri de acces redus la infrastructură (ex. Leova – 2,7) sau de capacitate instituțională insuficientă.</w:t>
      </w:r>
    </w:p>
    <w:p w14:paraId="5EE0FDE5" w14:textId="77777777" w:rsidR="00B30DDA" w:rsidRPr="00B30DDA" w:rsidRDefault="003F7138" w:rsidP="00B30DDA">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B30DDA">
        <w:rPr>
          <w:rFonts w:ascii="Times New Roman" w:hAnsi="Times New Roman" w:cs="Times New Roman"/>
          <w:color w:val="000000" w:themeColor="text1"/>
          <w:sz w:val="24"/>
          <w:szCs w:val="24"/>
        </w:rPr>
        <w:t>Eroziunea contribuie direct la scăderea fertilității solului și productivității agricole, dar și indirect la instabilitatea versanților și amplificarea riscurilor de alunecări de teren și surpări. Impactul său este resimțit mai ales în gospodăriile agricole mici și în zonele cu acces limitat la măsuri de conservare a solului, ceea ce sporește vulnerabilitatea comunităților rurale și riscul de insecuritate alimentară pe termen lung. M</w:t>
      </w:r>
      <w:r w:rsidR="00ED57FA" w:rsidRPr="00B30DDA">
        <w:rPr>
          <w:rFonts w:ascii="Times New Roman" w:hAnsi="Times New Roman" w:cs="Times New Roman"/>
          <w:color w:val="000000" w:themeColor="text1"/>
          <w:sz w:val="24"/>
          <w:szCs w:val="24"/>
        </w:rPr>
        <w:t>ă</w:t>
      </w:r>
      <w:r w:rsidRPr="00B30DDA">
        <w:rPr>
          <w:rFonts w:ascii="Times New Roman" w:hAnsi="Times New Roman" w:cs="Times New Roman"/>
          <w:color w:val="000000" w:themeColor="text1"/>
          <w:sz w:val="24"/>
          <w:szCs w:val="24"/>
        </w:rPr>
        <w:t>surile cele mai recomandate pentru combaterea alunecărilor de teren includ drenaje,</w:t>
      </w:r>
      <w:r w:rsidR="001301E0" w:rsidRPr="00B30DDA">
        <w:rPr>
          <w:rFonts w:ascii="Times New Roman" w:hAnsi="Times New Roman" w:cs="Times New Roman"/>
          <w:color w:val="000000" w:themeColor="text1"/>
          <w:sz w:val="24"/>
          <w:szCs w:val="24"/>
        </w:rPr>
        <w:t xml:space="preserve"> </w:t>
      </w:r>
      <w:r w:rsidRPr="00B30DDA">
        <w:rPr>
          <w:rFonts w:ascii="Times New Roman" w:hAnsi="Times New Roman" w:cs="Times New Roman"/>
          <w:color w:val="000000" w:themeColor="text1"/>
          <w:sz w:val="24"/>
          <w:szCs w:val="24"/>
        </w:rPr>
        <w:t>ranforsări, modificare geometrie versanți, susțineri, stabilizare a versanților cu specii native de vegetație</w:t>
      </w:r>
      <w:r w:rsidRPr="00B30DDA">
        <w:rPr>
          <w:rStyle w:val="FootnoteReference"/>
          <w:rFonts w:ascii="Times New Roman" w:hAnsi="Times New Roman" w:cs="Times New Roman"/>
          <w:color w:val="000000" w:themeColor="text1"/>
          <w:sz w:val="24"/>
          <w:szCs w:val="24"/>
        </w:rPr>
        <w:footnoteReference w:id="39"/>
      </w:r>
      <w:r w:rsidRPr="00B30DDA">
        <w:rPr>
          <w:rFonts w:ascii="Times New Roman" w:hAnsi="Times New Roman" w:cs="Times New Roman"/>
          <w:color w:val="000000" w:themeColor="text1"/>
          <w:sz w:val="24"/>
          <w:szCs w:val="24"/>
        </w:rPr>
        <w:t xml:space="preserve">. </w:t>
      </w:r>
    </w:p>
    <w:p w14:paraId="21E26CBD" w14:textId="72A92AEF" w:rsidR="00B30DDA" w:rsidRPr="00B30DDA" w:rsidRDefault="00E1519F" w:rsidP="00B30DDA">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B30DDA">
        <w:rPr>
          <w:rFonts w:ascii="Times New Roman" w:hAnsi="Times New Roman" w:cs="Times New Roman"/>
          <w:color w:val="000000" w:themeColor="text1"/>
          <w:sz w:val="24"/>
          <w:szCs w:val="24"/>
        </w:rPr>
        <w:lastRenderedPageBreak/>
        <w:t>Deși alunecările de teren sunt fenomene cu manifestare geografică localizată, impactul lor socio-economic poate depăși granițele imediate ale zonelor afectate. Distrugerea locuințelor, a drumurilor de acces, a terenurilor agricole și a infrastructurii de bază poate conduce la deplasări temporare sau permanente ale populației. În lipsa unor mecanisme adecvate de protecție socială și sprijin instituțional, unele familii aleg migrarea internă spre centre urbane sau chiar emigrarea internațională ca strategie de adaptare. Aceste mișcări de populație pot genera presiuni suplimentare asupra localităților de destinație și pot afecta structura socio-demografică a zonelor de origine, accentuând procesul de depopulare rurală deja observat în mai multe regiuni ale țării.</w:t>
      </w:r>
    </w:p>
    <w:p w14:paraId="54BABA23" w14:textId="50F353CB" w:rsidR="00E1519F" w:rsidRPr="00B30DDA" w:rsidRDefault="00E1519F" w:rsidP="00B30DDA">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B30DDA">
        <w:rPr>
          <w:rFonts w:ascii="Times New Roman" w:hAnsi="Times New Roman" w:cs="Times New Roman"/>
          <w:color w:val="000000" w:themeColor="text1"/>
          <w:sz w:val="24"/>
          <w:szCs w:val="24"/>
        </w:rPr>
        <w:t>În acest context, este esențial ca măsurile de reducere a riscurilor de alunecări de teren să fie completate de componente de planificare umană, inclusiv evaluarea necesităților de relocare și dezvoltarea unor planuri preventive de strămutare asistată. Aceasta implică nu doar identificarea zonelor cu risc ridicat și vulnerabilitate cumulativă, ci și alocarea resurselor pentru servicii sociale, locuințe alternative, infrastructură de bază și sprijin psihosocial pentru comunitățile afectate. Integrarea acestor aspecte în planurile teritoriale și de protecție civilă poate contribui la o mai bună gestionare a mobilității generate de riscurile climatice și naturale, precum și la consolidarea coeziunii teritoriale și sociale.</w:t>
      </w:r>
    </w:p>
    <w:p w14:paraId="59727ABB" w14:textId="2DDD56C5" w:rsidR="00B30DDA" w:rsidRPr="00B30DDA" w:rsidRDefault="00B30DDA" w:rsidP="00B30DDA">
      <w:pPr>
        <w:ind w:firstLine="284"/>
        <w:jc w:val="right"/>
        <w:rPr>
          <w:b/>
          <w:bCs/>
          <w:color w:val="000000" w:themeColor="text1"/>
          <w:lang w:eastAsia="en-US"/>
        </w:rPr>
      </w:pPr>
      <w:r w:rsidRPr="00B30DDA">
        <w:rPr>
          <w:b/>
          <w:bCs/>
          <w:color w:val="000000" w:themeColor="text1"/>
          <w:lang w:eastAsia="en-US"/>
        </w:rPr>
        <w:t>Tabelul 20</w:t>
      </w:r>
    </w:p>
    <w:p w14:paraId="58330038" w14:textId="755E1B56" w:rsidR="00B30DDA" w:rsidRPr="00B30DDA" w:rsidRDefault="00B30DDA" w:rsidP="00B30DDA">
      <w:pPr>
        <w:spacing w:after="120"/>
        <w:jc w:val="center"/>
        <w:rPr>
          <w:color w:val="000000" w:themeColor="text1"/>
          <w:lang w:eastAsia="en-US"/>
        </w:rPr>
      </w:pPr>
      <w:r w:rsidRPr="00B30DDA">
        <w:rPr>
          <w:b/>
          <w:bCs/>
          <w:color w:val="000000" w:themeColor="text1"/>
          <w:lang w:eastAsia="en-US"/>
        </w:rPr>
        <w:t>Măsuri de reducere a riscurilor de alunecări de teren</w:t>
      </w:r>
    </w:p>
    <w:tbl>
      <w:tblPr>
        <w:tblStyle w:val="GridTable1Light-Accent41"/>
        <w:tblW w:w="0" w:type="auto"/>
        <w:tblLook w:val="04A0" w:firstRow="1" w:lastRow="0" w:firstColumn="1" w:lastColumn="0" w:noHBand="0" w:noVBand="1"/>
      </w:tblPr>
      <w:tblGrid>
        <w:gridCol w:w="3348"/>
        <w:gridCol w:w="2916"/>
        <w:gridCol w:w="3472"/>
      </w:tblGrid>
      <w:tr w:rsidR="00255F60" w:rsidRPr="00CD2ADD" w14:paraId="7B3524CE" w14:textId="77777777" w:rsidTr="00310A54">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348" w:type="dxa"/>
            <w:hideMark/>
          </w:tcPr>
          <w:bookmarkEnd w:id="75"/>
          <w:p w14:paraId="6D07BC63" w14:textId="77777777" w:rsidR="00255F60" w:rsidRPr="00CD2ADD" w:rsidRDefault="00255F60" w:rsidP="00255F60">
            <w:pPr>
              <w:jc w:val="both"/>
              <w:rPr>
                <w:color w:val="000000" w:themeColor="text1"/>
                <w:sz w:val="21"/>
                <w:szCs w:val="21"/>
              </w:rPr>
            </w:pPr>
            <w:r w:rsidRPr="00CD2ADD">
              <w:rPr>
                <w:color w:val="000000" w:themeColor="text1"/>
                <w:sz w:val="21"/>
                <w:szCs w:val="21"/>
              </w:rPr>
              <w:t>Riscuri asociate</w:t>
            </w:r>
          </w:p>
        </w:tc>
        <w:tc>
          <w:tcPr>
            <w:tcW w:w="2916" w:type="dxa"/>
            <w:hideMark/>
          </w:tcPr>
          <w:p w14:paraId="5CD30E16" w14:textId="77777777" w:rsidR="00255F60" w:rsidRPr="00CD2ADD" w:rsidRDefault="00255F60" w:rsidP="00255F60">
            <w:pPr>
              <w:jc w:val="both"/>
              <w:cnfStyle w:val="100000000000" w:firstRow="1" w:lastRow="0" w:firstColumn="0" w:lastColumn="0" w:oddVBand="0" w:evenVBand="0" w:oddHBand="0" w:evenHBand="0" w:firstRowFirstColumn="0" w:firstRowLastColumn="0" w:lastRowFirstColumn="0" w:lastRowLastColumn="0"/>
              <w:rPr>
                <w:color w:val="000000" w:themeColor="text1"/>
                <w:sz w:val="21"/>
                <w:szCs w:val="21"/>
              </w:rPr>
            </w:pPr>
            <w:r w:rsidRPr="00CD2ADD">
              <w:rPr>
                <w:color w:val="000000" w:themeColor="text1"/>
                <w:sz w:val="21"/>
                <w:szCs w:val="21"/>
              </w:rPr>
              <w:t>Vulnerabilități specifice</w:t>
            </w:r>
          </w:p>
        </w:tc>
        <w:tc>
          <w:tcPr>
            <w:tcW w:w="3472" w:type="dxa"/>
            <w:hideMark/>
          </w:tcPr>
          <w:p w14:paraId="27D04007" w14:textId="0C0B7D16" w:rsidR="00255F60" w:rsidRPr="00CD2ADD" w:rsidRDefault="00255F60" w:rsidP="00255F60">
            <w:pPr>
              <w:jc w:val="both"/>
              <w:cnfStyle w:val="100000000000" w:firstRow="1" w:lastRow="0" w:firstColumn="0" w:lastColumn="0" w:oddVBand="0" w:evenVBand="0" w:oddHBand="0" w:evenHBand="0" w:firstRowFirstColumn="0" w:firstRowLastColumn="0" w:lastRowFirstColumn="0" w:lastRowLastColumn="0"/>
              <w:rPr>
                <w:color w:val="000000" w:themeColor="text1"/>
                <w:sz w:val="21"/>
                <w:szCs w:val="21"/>
              </w:rPr>
            </w:pPr>
            <w:r w:rsidRPr="00CD2ADD">
              <w:rPr>
                <w:color w:val="000000" w:themeColor="text1"/>
                <w:sz w:val="21"/>
                <w:szCs w:val="21"/>
              </w:rPr>
              <w:t>Măsuri recomandate RRD</w:t>
            </w:r>
            <w:r w:rsidR="00600181" w:rsidRPr="00CD2ADD">
              <w:rPr>
                <w:color w:val="000000" w:themeColor="text1"/>
                <w:sz w:val="21"/>
                <w:szCs w:val="21"/>
              </w:rPr>
              <w:t>N</w:t>
            </w:r>
            <w:r w:rsidRPr="00CD2ADD">
              <w:rPr>
                <w:color w:val="000000" w:themeColor="text1"/>
                <w:sz w:val="21"/>
                <w:szCs w:val="21"/>
              </w:rPr>
              <w:t xml:space="preserve"> și de adaptare</w:t>
            </w:r>
          </w:p>
        </w:tc>
      </w:tr>
      <w:tr w:rsidR="00255F60" w:rsidRPr="00CD2ADD" w14:paraId="297ED1D9" w14:textId="77777777" w:rsidTr="00310A54">
        <w:trPr>
          <w:trHeight w:val="180"/>
        </w:trPr>
        <w:tc>
          <w:tcPr>
            <w:cnfStyle w:val="001000000000" w:firstRow="0" w:lastRow="0" w:firstColumn="1" w:lastColumn="0" w:oddVBand="0" w:evenVBand="0" w:oddHBand="0" w:evenHBand="0" w:firstRowFirstColumn="0" w:firstRowLastColumn="0" w:lastRowFirstColumn="0" w:lastRowLastColumn="0"/>
            <w:tcW w:w="3348" w:type="dxa"/>
            <w:hideMark/>
          </w:tcPr>
          <w:p w14:paraId="40D1F1FD" w14:textId="77777777" w:rsidR="00255F60" w:rsidRPr="00CD2ADD" w:rsidRDefault="00255F60" w:rsidP="00255F60">
            <w:pPr>
              <w:rPr>
                <w:color w:val="000000" w:themeColor="text1"/>
                <w:sz w:val="21"/>
                <w:szCs w:val="21"/>
              </w:rPr>
            </w:pPr>
            <w:r w:rsidRPr="00CD2ADD">
              <w:rPr>
                <w:color w:val="000000" w:themeColor="text1"/>
                <w:sz w:val="21"/>
                <w:szCs w:val="21"/>
              </w:rPr>
              <w:t>Instabilitatea versanților în zone colinare sau cu soluri argiloase</w:t>
            </w:r>
          </w:p>
        </w:tc>
        <w:tc>
          <w:tcPr>
            <w:tcW w:w="2916" w:type="dxa"/>
            <w:hideMark/>
          </w:tcPr>
          <w:p w14:paraId="513D5A30" w14:textId="11510792" w:rsidR="00255F60" w:rsidRPr="00CD2ADD" w:rsidRDefault="00067DB1" w:rsidP="00255F60">
            <w:pPr>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CD2ADD">
              <w:rPr>
                <w:color w:val="000000" w:themeColor="text1"/>
                <w:sz w:val="21"/>
                <w:szCs w:val="21"/>
              </w:rPr>
              <w:t xml:space="preserve">- </w:t>
            </w:r>
            <w:r w:rsidR="00255F60" w:rsidRPr="00CD2ADD">
              <w:rPr>
                <w:color w:val="000000" w:themeColor="text1"/>
                <w:sz w:val="21"/>
                <w:szCs w:val="21"/>
              </w:rPr>
              <w:t>Topografie defavorabilă și lipsa lucrărilor de stabilizare</w:t>
            </w:r>
          </w:p>
        </w:tc>
        <w:tc>
          <w:tcPr>
            <w:tcW w:w="3472" w:type="dxa"/>
            <w:hideMark/>
          </w:tcPr>
          <w:p w14:paraId="39B9D721" w14:textId="3EA26368" w:rsidR="00255F60" w:rsidRPr="00CD2ADD" w:rsidRDefault="00067DB1" w:rsidP="00255F60">
            <w:pPr>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CD2ADD">
              <w:rPr>
                <w:color w:val="000000" w:themeColor="text1"/>
                <w:sz w:val="21"/>
                <w:szCs w:val="21"/>
              </w:rPr>
              <w:t xml:space="preserve">- </w:t>
            </w:r>
            <w:r w:rsidR="00255F60" w:rsidRPr="00CD2ADD">
              <w:rPr>
                <w:color w:val="000000" w:themeColor="text1"/>
                <w:sz w:val="21"/>
                <w:szCs w:val="21"/>
              </w:rPr>
              <w:t>Stabilizarea versanților prin drenaje, plantări și terasări</w:t>
            </w:r>
          </w:p>
        </w:tc>
      </w:tr>
      <w:tr w:rsidR="00255F60" w:rsidRPr="00CD2ADD" w14:paraId="746289EB" w14:textId="77777777" w:rsidTr="00310A54">
        <w:trPr>
          <w:trHeight w:val="165"/>
        </w:trPr>
        <w:tc>
          <w:tcPr>
            <w:cnfStyle w:val="001000000000" w:firstRow="0" w:lastRow="0" w:firstColumn="1" w:lastColumn="0" w:oddVBand="0" w:evenVBand="0" w:oddHBand="0" w:evenHBand="0" w:firstRowFirstColumn="0" w:firstRowLastColumn="0" w:lastRowFirstColumn="0" w:lastRowLastColumn="0"/>
            <w:tcW w:w="3348" w:type="dxa"/>
            <w:hideMark/>
          </w:tcPr>
          <w:p w14:paraId="014548E7" w14:textId="77777777" w:rsidR="00255F60" w:rsidRPr="00CD2ADD" w:rsidRDefault="00255F60" w:rsidP="00255F60">
            <w:pPr>
              <w:rPr>
                <w:color w:val="000000" w:themeColor="text1"/>
                <w:sz w:val="21"/>
                <w:szCs w:val="21"/>
              </w:rPr>
            </w:pPr>
            <w:r w:rsidRPr="00CD2ADD">
              <w:rPr>
                <w:color w:val="000000" w:themeColor="text1"/>
                <w:sz w:val="21"/>
                <w:szCs w:val="21"/>
              </w:rPr>
              <w:t>Degradarea continuă a terenurilor agricole prin eroziune</w:t>
            </w:r>
          </w:p>
        </w:tc>
        <w:tc>
          <w:tcPr>
            <w:tcW w:w="2916" w:type="dxa"/>
            <w:hideMark/>
          </w:tcPr>
          <w:p w14:paraId="5A0A7BF1" w14:textId="1AC8F097" w:rsidR="00255F60" w:rsidRPr="00CD2ADD" w:rsidRDefault="00067DB1" w:rsidP="00255F60">
            <w:pPr>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CD2ADD">
              <w:rPr>
                <w:color w:val="000000" w:themeColor="text1"/>
                <w:sz w:val="21"/>
                <w:szCs w:val="21"/>
              </w:rPr>
              <w:t xml:space="preserve">- </w:t>
            </w:r>
            <w:r w:rsidR="00255F60" w:rsidRPr="00CD2ADD">
              <w:rPr>
                <w:color w:val="000000" w:themeColor="text1"/>
                <w:sz w:val="21"/>
                <w:szCs w:val="21"/>
              </w:rPr>
              <w:t>Lipsa practicilor de conservare a solului și defrișări</w:t>
            </w:r>
          </w:p>
        </w:tc>
        <w:tc>
          <w:tcPr>
            <w:tcW w:w="3472" w:type="dxa"/>
            <w:hideMark/>
          </w:tcPr>
          <w:p w14:paraId="5F41A4F7" w14:textId="29F3592B" w:rsidR="00255F60" w:rsidRPr="00CD2ADD" w:rsidRDefault="00067DB1" w:rsidP="00255F60">
            <w:pPr>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CD2ADD">
              <w:rPr>
                <w:color w:val="000000" w:themeColor="text1"/>
                <w:sz w:val="21"/>
                <w:szCs w:val="21"/>
              </w:rPr>
              <w:t xml:space="preserve">- </w:t>
            </w:r>
            <w:r w:rsidR="00255F60" w:rsidRPr="00CD2ADD">
              <w:rPr>
                <w:color w:val="000000" w:themeColor="text1"/>
                <w:sz w:val="21"/>
                <w:szCs w:val="21"/>
              </w:rPr>
              <w:t>Promovarea agriculturii conservate și refacerea vegetației de protecție</w:t>
            </w:r>
          </w:p>
        </w:tc>
      </w:tr>
      <w:tr w:rsidR="00255F60" w:rsidRPr="00CD2ADD" w14:paraId="441CB0C9" w14:textId="77777777" w:rsidTr="00310A54">
        <w:trPr>
          <w:trHeight w:val="165"/>
        </w:trPr>
        <w:tc>
          <w:tcPr>
            <w:cnfStyle w:val="001000000000" w:firstRow="0" w:lastRow="0" w:firstColumn="1" w:lastColumn="0" w:oddVBand="0" w:evenVBand="0" w:oddHBand="0" w:evenHBand="0" w:firstRowFirstColumn="0" w:firstRowLastColumn="0" w:lastRowFirstColumn="0" w:lastRowLastColumn="0"/>
            <w:tcW w:w="3348" w:type="dxa"/>
            <w:hideMark/>
          </w:tcPr>
          <w:p w14:paraId="0351F5AF" w14:textId="77777777" w:rsidR="00255F60" w:rsidRPr="00CD2ADD" w:rsidRDefault="00255F60" w:rsidP="00255F60">
            <w:pPr>
              <w:rPr>
                <w:color w:val="000000" w:themeColor="text1"/>
                <w:sz w:val="21"/>
                <w:szCs w:val="21"/>
              </w:rPr>
            </w:pPr>
            <w:r w:rsidRPr="00CD2ADD">
              <w:rPr>
                <w:color w:val="000000" w:themeColor="text1"/>
                <w:sz w:val="21"/>
                <w:szCs w:val="21"/>
              </w:rPr>
              <w:t>Afectarea locuințelor, drumurilor și infrastructurii în zone cu alunecări active</w:t>
            </w:r>
          </w:p>
        </w:tc>
        <w:tc>
          <w:tcPr>
            <w:tcW w:w="2916" w:type="dxa"/>
            <w:hideMark/>
          </w:tcPr>
          <w:p w14:paraId="7A4AF10B" w14:textId="4EBFCFEC" w:rsidR="00255F60" w:rsidRPr="00CD2ADD" w:rsidRDefault="00067DB1" w:rsidP="00255F60">
            <w:pPr>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CD2ADD">
              <w:rPr>
                <w:color w:val="000000" w:themeColor="text1"/>
                <w:sz w:val="21"/>
                <w:szCs w:val="21"/>
              </w:rPr>
              <w:t xml:space="preserve">- </w:t>
            </w:r>
            <w:r w:rsidR="00255F60" w:rsidRPr="00CD2ADD">
              <w:rPr>
                <w:color w:val="000000" w:themeColor="text1"/>
                <w:sz w:val="21"/>
                <w:szCs w:val="21"/>
              </w:rPr>
              <w:t xml:space="preserve">Infrastructură construită </w:t>
            </w:r>
            <w:r w:rsidRPr="00CD2ADD">
              <w:rPr>
                <w:color w:val="000000" w:themeColor="text1"/>
                <w:sz w:val="21"/>
                <w:szCs w:val="21"/>
              </w:rPr>
              <w:t xml:space="preserve">cu </w:t>
            </w:r>
            <w:r w:rsidR="00255F60" w:rsidRPr="00CD2ADD">
              <w:rPr>
                <w:color w:val="000000" w:themeColor="text1"/>
                <w:sz w:val="21"/>
                <w:szCs w:val="21"/>
              </w:rPr>
              <w:t>studii geotehnice</w:t>
            </w:r>
            <w:r w:rsidRPr="00CD2ADD">
              <w:rPr>
                <w:color w:val="000000" w:themeColor="text1"/>
                <w:sz w:val="21"/>
                <w:szCs w:val="21"/>
              </w:rPr>
              <w:t xml:space="preserve"> neaprofundate</w:t>
            </w:r>
          </w:p>
        </w:tc>
        <w:tc>
          <w:tcPr>
            <w:tcW w:w="3472" w:type="dxa"/>
            <w:hideMark/>
          </w:tcPr>
          <w:p w14:paraId="280E353A" w14:textId="663885C1" w:rsidR="00255F60" w:rsidRPr="00CD2ADD" w:rsidRDefault="00067DB1" w:rsidP="00255F60">
            <w:pPr>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CD2ADD">
              <w:rPr>
                <w:color w:val="000000" w:themeColor="text1"/>
                <w:sz w:val="21"/>
                <w:szCs w:val="21"/>
              </w:rPr>
              <w:t xml:space="preserve">- </w:t>
            </w:r>
            <w:r w:rsidR="00255F60" w:rsidRPr="00CD2ADD">
              <w:rPr>
                <w:color w:val="000000" w:themeColor="text1"/>
                <w:sz w:val="21"/>
                <w:szCs w:val="21"/>
              </w:rPr>
              <w:t>Interzicerea construcțiilor în zone cu risc ridicat și consolidarea celor existente</w:t>
            </w:r>
          </w:p>
        </w:tc>
      </w:tr>
      <w:tr w:rsidR="00255F60" w:rsidRPr="00CD2ADD" w14:paraId="3C10FB58" w14:textId="77777777" w:rsidTr="00310A54">
        <w:trPr>
          <w:trHeight w:val="165"/>
        </w:trPr>
        <w:tc>
          <w:tcPr>
            <w:cnfStyle w:val="001000000000" w:firstRow="0" w:lastRow="0" w:firstColumn="1" w:lastColumn="0" w:oddVBand="0" w:evenVBand="0" w:oddHBand="0" w:evenHBand="0" w:firstRowFirstColumn="0" w:firstRowLastColumn="0" w:lastRowFirstColumn="0" w:lastRowLastColumn="0"/>
            <w:tcW w:w="3348" w:type="dxa"/>
            <w:hideMark/>
          </w:tcPr>
          <w:p w14:paraId="1BB6EA23" w14:textId="77777777" w:rsidR="00255F60" w:rsidRPr="00CD2ADD" w:rsidRDefault="00255F60" w:rsidP="00255F60">
            <w:pPr>
              <w:rPr>
                <w:color w:val="000000" w:themeColor="text1"/>
                <w:sz w:val="21"/>
                <w:szCs w:val="21"/>
              </w:rPr>
            </w:pPr>
            <w:r w:rsidRPr="00CD2ADD">
              <w:rPr>
                <w:color w:val="000000" w:themeColor="text1"/>
                <w:sz w:val="21"/>
                <w:szCs w:val="21"/>
              </w:rPr>
              <w:t>Pierderea fertilității solului și scăderea producției agricole</w:t>
            </w:r>
          </w:p>
        </w:tc>
        <w:tc>
          <w:tcPr>
            <w:tcW w:w="2916" w:type="dxa"/>
            <w:hideMark/>
          </w:tcPr>
          <w:p w14:paraId="5340EF65" w14:textId="04462633" w:rsidR="00255F60" w:rsidRPr="00CD2ADD" w:rsidRDefault="00067DB1" w:rsidP="00255F60">
            <w:pPr>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CD2ADD">
              <w:rPr>
                <w:color w:val="000000" w:themeColor="text1"/>
                <w:sz w:val="21"/>
                <w:szCs w:val="21"/>
              </w:rPr>
              <w:t xml:space="preserve">- </w:t>
            </w:r>
            <w:r w:rsidR="00255F60" w:rsidRPr="00CD2ADD">
              <w:rPr>
                <w:color w:val="000000" w:themeColor="text1"/>
                <w:sz w:val="21"/>
                <w:szCs w:val="21"/>
              </w:rPr>
              <w:t>Gospodării mici cu acces redus la tehnologie agricolă</w:t>
            </w:r>
          </w:p>
        </w:tc>
        <w:tc>
          <w:tcPr>
            <w:tcW w:w="3472" w:type="dxa"/>
            <w:hideMark/>
          </w:tcPr>
          <w:p w14:paraId="7D2CD5BF" w14:textId="7A62D737" w:rsidR="00255F60" w:rsidRPr="00CD2ADD" w:rsidRDefault="00067DB1" w:rsidP="00255F60">
            <w:pPr>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CD2ADD">
              <w:rPr>
                <w:color w:val="000000" w:themeColor="text1"/>
                <w:sz w:val="21"/>
                <w:szCs w:val="21"/>
              </w:rPr>
              <w:t xml:space="preserve">- </w:t>
            </w:r>
            <w:r w:rsidR="00255F60" w:rsidRPr="00CD2ADD">
              <w:rPr>
                <w:color w:val="000000" w:themeColor="text1"/>
                <w:sz w:val="21"/>
                <w:szCs w:val="21"/>
              </w:rPr>
              <w:t>S</w:t>
            </w:r>
            <w:r w:rsidR="00702C8E" w:rsidRPr="00CD2ADD">
              <w:rPr>
                <w:color w:val="000000" w:themeColor="text1"/>
                <w:sz w:val="21"/>
                <w:szCs w:val="21"/>
              </w:rPr>
              <w:t>timulente</w:t>
            </w:r>
            <w:r w:rsidR="00255F60" w:rsidRPr="00CD2ADD">
              <w:rPr>
                <w:color w:val="000000" w:themeColor="text1"/>
                <w:sz w:val="21"/>
                <w:szCs w:val="21"/>
              </w:rPr>
              <w:t xml:space="preserve"> pentru practici anti-eroziunile și acces la tehnologii verzi</w:t>
            </w:r>
          </w:p>
        </w:tc>
      </w:tr>
      <w:tr w:rsidR="00255F60" w:rsidRPr="00CD2ADD" w14:paraId="3B23F759" w14:textId="77777777" w:rsidTr="00310A54">
        <w:trPr>
          <w:trHeight w:val="165"/>
        </w:trPr>
        <w:tc>
          <w:tcPr>
            <w:cnfStyle w:val="001000000000" w:firstRow="0" w:lastRow="0" w:firstColumn="1" w:lastColumn="0" w:oddVBand="0" w:evenVBand="0" w:oddHBand="0" w:evenHBand="0" w:firstRowFirstColumn="0" w:firstRowLastColumn="0" w:lastRowFirstColumn="0" w:lastRowLastColumn="0"/>
            <w:tcW w:w="3348" w:type="dxa"/>
            <w:hideMark/>
          </w:tcPr>
          <w:p w14:paraId="72873BA7" w14:textId="77777777" w:rsidR="00255F60" w:rsidRPr="00CD2ADD" w:rsidRDefault="00255F60" w:rsidP="00255F60">
            <w:pPr>
              <w:rPr>
                <w:color w:val="000000" w:themeColor="text1"/>
                <w:sz w:val="21"/>
                <w:szCs w:val="21"/>
              </w:rPr>
            </w:pPr>
            <w:r w:rsidRPr="00CD2ADD">
              <w:rPr>
                <w:color w:val="000000" w:themeColor="text1"/>
                <w:sz w:val="21"/>
                <w:szCs w:val="21"/>
              </w:rPr>
              <w:t>Creșterea migrației interne din cauza pierderii mijloacelor de trai</w:t>
            </w:r>
          </w:p>
        </w:tc>
        <w:tc>
          <w:tcPr>
            <w:tcW w:w="2916" w:type="dxa"/>
            <w:hideMark/>
          </w:tcPr>
          <w:p w14:paraId="490869F5" w14:textId="76F03708" w:rsidR="00255F60" w:rsidRPr="00CD2ADD" w:rsidRDefault="00067DB1" w:rsidP="00255F60">
            <w:pPr>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CD2ADD">
              <w:rPr>
                <w:color w:val="000000" w:themeColor="text1"/>
                <w:sz w:val="21"/>
                <w:szCs w:val="21"/>
              </w:rPr>
              <w:t xml:space="preserve">- </w:t>
            </w:r>
            <w:r w:rsidR="00255F60" w:rsidRPr="00CD2ADD">
              <w:rPr>
                <w:color w:val="000000" w:themeColor="text1"/>
                <w:sz w:val="21"/>
                <w:szCs w:val="21"/>
              </w:rPr>
              <w:t>Comunități cu venituri scăzute și acces limitat la sprijin instituțional</w:t>
            </w:r>
          </w:p>
        </w:tc>
        <w:tc>
          <w:tcPr>
            <w:tcW w:w="3472" w:type="dxa"/>
            <w:hideMark/>
          </w:tcPr>
          <w:p w14:paraId="62D5B23F" w14:textId="4C4A1937" w:rsidR="00255F60" w:rsidRPr="00CD2ADD" w:rsidRDefault="00067DB1" w:rsidP="00255F60">
            <w:pPr>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CD2ADD">
              <w:rPr>
                <w:color w:val="000000" w:themeColor="text1"/>
                <w:sz w:val="21"/>
                <w:szCs w:val="21"/>
              </w:rPr>
              <w:t xml:space="preserve">- </w:t>
            </w:r>
            <w:r w:rsidR="00255F60" w:rsidRPr="00CD2ADD">
              <w:rPr>
                <w:color w:val="000000" w:themeColor="text1"/>
                <w:sz w:val="21"/>
                <w:szCs w:val="21"/>
              </w:rPr>
              <w:t>Planuri de strămutare preventivă în zone cu risc ridicat și sprijin integrat pentru relocare</w:t>
            </w:r>
          </w:p>
        </w:tc>
      </w:tr>
    </w:tbl>
    <w:p w14:paraId="75F0E096" w14:textId="77777777" w:rsidR="00A95BDE" w:rsidRPr="00CD2ADD" w:rsidRDefault="00A95BDE" w:rsidP="00310A54">
      <w:pPr>
        <w:spacing w:after="120"/>
        <w:jc w:val="center"/>
        <w:rPr>
          <w:rStyle w:val="IntenseEmphasis"/>
          <w:bCs w:val="0"/>
          <w:i w:val="0"/>
          <w:iCs w:val="0"/>
          <w:color w:val="000000" w:themeColor="text1"/>
          <w:lang w:eastAsia="en-US"/>
        </w:rPr>
      </w:pPr>
      <w:bookmarkStart w:id="78" w:name="OLE_LINK44"/>
      <w:bookmarkStart w:id="79" w:name="OLE_LINK43"/>
    </w:p>
    <w:p w14:paraId="4B0B7E55" w14:textId="144353C1" w:rsidR="00255F60" w:rsidRPr="00CD2ADD" w:rsidRDefault="00310A54" w:rsidP="00590E37">
      <w:pPr>
        <w:pStyle w:val="Heading3"/>
        <w:spacing w:before="0"/>
        <w:jc w:val="center"/>
        <w:rPr>
          <w:rStyle w:val="IntenseEmphasis"/>
          <w:rFonts w:ascii="Times New Roman" w:hAnsi="Times New Roman" w:cs="Times New Roman"/>
          <w:bCs/>
          <w:i w:val="0"/>
          <w:iCs w:val="0"/>
          <w:color w:val="000000" w:themeColor="text1"/>
          <w:szCs w:val="24"/>
        </w:rPr>
      </w:pPr>
      <w:r w:rsidRPr="00CD2ADD">
        <w:rPr>
          <w:rStyle w:val="IntenseEmphasis"/>
          <w:rFonts w:ascii="Times New Roman" w:hAnsi="Times New Roman" w:cs="Times New Roman"/>
          <w:bCs/>
          <w:i w:val="0"/>
          <w:iCs w:val="0"/>
          <w:color w:val="000000" w:themeColor="text1"/>
          <w:szCs w:val="24"/>
        </w:rPr>
        <w:t>Subsecțiunea a 12-a</w:t>
      </w:r>
    </w:p>
    <w:p w14:paraId="43064222" w14:textId="029ABFFB" w:rsidR="00310A54" w:rsidRPr="00CD2ADD" w:rsidRDefault="00A95BDE" w:rsidP="00590E37">
      <w:pPr>
        <w:pStyle w:val="Heading3"/>
        <w:spacing w:before="0"/>
        <w:jc w:val="center"/>
        <w:rPr>
          <w:rFonts w:ascii="Times New Roman" w:hAnsi="Times New Roman" w:cs="Times New Roman"/>
          <w:b/>
          <w:color w:val="000000" w:themeColor="text1"/>
          <w:szCs w:val="24"/>
        </w:rPr>
      </w:pPr>
      <w:r w:rsidRPr="00CD2ADD">
        <w:rPr>
          <w:rFonts w:ascii="Times New Roman" w:hAnsi="Times New Roman" w:cs="Times New Roman"/>
          <w:b/>
          <w:color w:val="000000" w:themeColor="text1"/>
          <w:szCs w:val="24"/>
        </w:rPr>
        <w:t>Riscurile biologico-sociale</w:t>
      </w:r>
    </w:p>
    <w:p w14:paraId="597FF0A0" w14:textId="7B786175" w:rsidR="003C6C4D" w:rsidRPr="00CD2ADD" w:rsidRDefault="003C6C4D">
      <w:pPr>
        <w:pStyle w:val="ListParagraph"/>
        <w:numPr>
          <w:ilvl w:val="0"/>
          <w:numId w:val="42"/>
        </w:numPr>
        <w:spacing w:after="0"/>
        <w:ind w:left="0" w:firstLine="284"/>
        <w:jc w:val="both"/>
        <w:rPr>
          <w:rStyle w:val="IntenseEmphasis"/>
          <w:rFonts w:ascii="Times New Roman" w:hAnsi="Times New Roman" w:cs="Times New Roman"/>
          <w:b w:val="0"/>
          <w:bCs w:val="0"/>
          <w:i w:val="0"/>
          <w:iCs w:val="0"/>
          <w:color w:val="000000" w:themeColor="text1"/>
          <w:sz w:val="24"/>
          <w:szCs w:val="24"/>
        </w:rPr>
      </w:pPr>
      <w:bookmarkStart w:id="80" w:name="OLE_LINK39"/>
      <w:bookmarkStart w:id="81" w:name="OLE_LINK41"/>
      <w:bookmarkStart w:id="82" w:name="OLE_LINK42"/>
      <w:bookmarkStart w:id="83" w:name="OLE_LINK45"/>
      <w:r w:rsidRPr="00CD2ADD">
        <w:rPr>
          <w:rStyle w:val="IntenseEmphasis"/>
          <w:rFonts w:ascii="Times New Roman" w:hAnsi="Times New Roman" w:cs="Times New Roman"/>
          <w:b w:val="0"/>
          <w:bCs w:val="0"/>
          <w:i w:val="0"/>
          <w:iCs w:val="0"/>
          <w:color w:val="000000" w:themeColor="text1"/>
          <w:sz w:val="24"/>
          <w:szCs w:val="24"/>
        </w:rPr>
        <w:t xml:space="preserve">Schimbările climatice, degradarea ecosistemelor și presiunile socio-economice amplifică în mod direct riscurile biologico-sociale care afectează sănătatea publică în Republica Moldova. Fenomene precum valurile de căldură, variațiile extreme ale precipitațiilor, inundațiile și secetele prelungite influențează transmiterea agenților patogeni, calitatea apei, siguranța alimentară și pot declanșa sau agrava epidemii, zoonoze și focare </w:t>
      </w:r>
      <w:r w:rsidR="002B0D71" w:rsidRPr="00CD2ADD">
        <w:rPr>
          <w:rStyle w:val="IntenseEmphasis"/>
          <w:rFonts w:ascii="Times New Roman" w:hAnsi="Times New Roman" w:cs="Times New Roman"/>
          <w:b w:val="0"/>
          <w:bCs w:val="0"/>
          <w:i w:val="0"/>
          <w:iCs w:val="0"/>
          <w:color w:val="000000" w:themeColor="text1"/>
          <w:sz w:val="24"/>
          <w:szCs w:val="24"/>
        </w:rPr>
        <w:t xml:space="preserve">intoxicații </w:t>
      </w:r>
      <w:r w:rsidRPr="00CD2ADD">
        <w:rPr>
          <w:rStyle w:val="IntenseEmphasis"/>
          <w:rFonts w:ascii="Times New Roman" w:hAnsi="Times New Roman" w:cs="Times New Roman"/>
          <w:b w:val="0"/>
          <w:bCs w:val="0"/>
          <w:i w:val="0"/>
          <w:iCs w:val="0"/>
          <w:color w:val="000000" w:themeColor="text1"/>
          <w:sz w:val="24"/>
          <w:szCs w:val="24"/>
        </w:rPr>
        <w:t>alimentare. În același timp, infrastructura medicală, sistemele de apă-canalizare și lanțurile de aprovizionare devin vulnerabile la șocuri naturale, ceea ce poate perturba continuitatea serviciilor esențiale, în special în comunitățile rurale și în grupurile deja vulnerabile.</w:t>
      </w:r>
    </w:p>
    <w:p w14:paraId="37967744" w14:textId="777D4FEB" w:rsidR="003C6C4D" w:rsidRPr="00CD2ADD" w:rsidRDefault="003C6C4D" w:rsidP="00A95BDE">
      <w:pPr>
        <w:ind w:firstLine="284"/>
        <w:jc w:val="both"/>
        <w:rPr>
          <w:rStyle w:val="IntenseEmphasis"/>
          <w:b w:val="0"/>
          <w:bCs w:val="0"/>
          <w:i w:val="0"/>
          <w:iCs w:val="0"/>
          <w:color w:val="000000" w:themeColor="text1"/>
        </w:rPr>
      </w:pPr>
      <w:r w:rsidRPr="00CD2ADD">
        <w:rPr>
          <w:rStyle w:val="IntenseEmphasis"/>
          <w:b w:val="0"/>
          <w:bCs w:val="0"/>
          <w:i w:val="0"/>
          <w:iCs w:val="0"/>
          <w:color w:val="000000" w:themeColor="text1"/>
        </w:rPr>
        <w:t>Degradarea ecosistemelor</w:t>
      </w:r>
      <w:r w:rsidR="0096247B" w:rsidRPr="00CD2ADD">
        <w:rPr>
          <w:rStyle w:val="IntenseEmphasis"/>
          <w:b w:val="0"/>
          <w:bCs w:val="0"/>
          <w:i w:val="0"/>
          <w:iCs w:val="0"/>
          <w:color w:val="000000" w:themeColor="text1"/>
        </w:rPr>
        <w:t xml:space="preserve">, </w:t>
      </w:r>
      <w:r w:rsidRPr="00CD2ADD">
        <w:rPr>
          <w:rStyle w:val="IntenseEmphasis"/>
          <w:b w:val="0"/>
          <w:bCs w:val="0"/>
          <w:i w:val="0"/>
          <w:iCs w:val="0"/>
          <w:color w:val="000000" w:themeColor="text1"/>
        </w:rPr>
        <w:t>defrișarea, pierderea habitatelor, poluarea apelor</w:t>
      </w:r>
      <w:r w:rsidR="0096247B" w:rsidRPr="00CD2ADD">
        <w:rPr>
          <w:rStyle w:val="IntenseEmphasis"/>
          <w:b w:val="0"/>
          <w:bCs w:val="0"/>
          <w:i w:val="0"/>
          <w:iCs w:val="0"/>
          <w:color w:val="000000" w:themeColor="text1"/>
        </w:rPr>
        <w:t xml:space="preserve">, </w:t>
      </w:r>
      <w:r w:rsidRPr="00CD2ADD">
        <w:rPr>
          <w:rStyle w:val="IntenseEmphasis"/>
          <w:b w:val="0"/>
          <w:bCs w:val="0"/>
          <w:i w:val="0"/>
          <w:iCs w:val="0"/>
          <w:color w:val="000000" w:themeColor="text1"/>
        </w:rPr>
        <w:t>reduce capacitatea naturală de filtrare și autoreglare, crescând expunerea la boli transmise prin apă, vectori sau animale. În acest context, abordarea „One Health”</w:t>
      </w:r>
      <w:r w:rsidR="002B0D71" w:rsidRPr="00CD2ADD">
        <w:rPr>
          <w:rStyle w:val="FootnoteReference"/>
          <w:color w:val="000000" w:themeColor="text1"/>
        </w:rPr>
        <w:footnoteReference w:id="40"/>
      </w:r>
      <w:r w:rsidRPr="00CD2ADD">
        <w:rPr>
          <w:rStyle w:val="IntenseEmphasis"/>
          <w:b w:val="0"/>
          <w:bCs w:val="0"/>
          <w:i w:val="0"/>
          <w:iCs w:val="0"/>
          <w:color w:val="000000" w:themeColor="text1"/>
        </w:rPr>
        <w:t>, promovată de OMS</w:t>
      </w:r>
      <w:r w:rsidR="002B0D71" w:rsidRPr="00CD2ADD">
        <w:rPr>
          <w:rStyle w:val="FootnoteReference"/>
          <w:color w:val="000000" w:themeColor="text1"/>
        </w:rPr>
        <w:footnoteReference w:id="41"/>
      </w:r>
      <w:r w:rsidR="002B0D71" w:rsidRPr="00CD2ADD">
        <w:rPr>
          <w:rStyle w:val="FootnoteReference"/>
          <w:color w:val="000000" w:themeColor="text1"/>
        </w:rPr>
        <w:footnoteReference w:id="42"/>
      </w:r>
      <w:r w:rsidRPr="00CD2ADD">
        <w:rPr>
          <w:rStyle w:val="IntenseEmphasis"/>
          <w:b w:val="0"/>
          <w:bCs w:val="0"/>
          <w:i w:val="0"/>
          <w:iCs w:val="0"/>
          <w:color w:val="000000" w:themeColor="text1"/>
        </w:rPr>
        <w:t xml:space="preserve"> și partenerii internaționali, oferă </w:t>
      </w:r>
      <w:r w:rsidRPr="00CD2ADD">
        <w:rPr>
          <w:rStyle w:val="IntenseEmphasis"/>
          <w:b w:val="0"/>
          <w:bCs w:val="0"/>
          <w:i w:val="0"/>
          <w:iCs w:val="0"/>
          <w:color w:val="000000" w:themeColor="text1"/>
        </w:rPr>
        <w:lastRenderedPageBreak/>
        <w:t>cadrul integrat necesar pentru a gestiona interdependențele dintre sănătatea populației, sănătatea animalelor și starea ecosistemelor.</w:t>
      </w:r>
      <w:r w:rsidR="002B0D71" w:rsidRPr="00CD2ADD">
        <w:rPr>
          <w:rStyle w:val="FootnoteReference"/>
          <w:color w:val="000000" w:themeColor="text1"/>
        </w:rPr>
        <w:footnoteReference w:id="43"/>
      </w:r>
    </w:p>
    <w:p w14:paraId="2F1A45F2" w14:textId="226A45FE" w:rsidR="003C6C4D" w:rsidRPr="00CD2ADD" w:rsidRDefault="003C6C4D" w:rsidP="00B30DDA">
      <w:pPr>
        <w:ind w:firstLine="284"/>
        <w:jc w:val="both"/>
        <w:rPr>
          <w:rStyle w:val="IntenseEmphasis"/>
          <w:b w:val="0"/>
          <w:bCs w:val="0"/>
          <w:i w:val="0"/>
          <w:iCs w:val="0"/>
          <w:color w:val="000000" w:themeColor="text1"/>
        </w:rPr>
      </w:pPr>
      <w:r w:rsidRPr="00CD2ADD">
        <w:rPr>
          <w:rStyle w:val="IntenseEmphasis"/>
          <w:b w:val="0"/>
          <w:bCs w:val="0"/>
          <w:i w:val="0"/>
          <w:iCs w:val="0"/>
          <w:color w:val="000000" w:themeColor="text1"/>
        </w:rPr>
        <w:t>Între 2010–2024, în Republica Moldova au fost înregistrate 110 situații excepționale cu caracter biologico-social, soldate cu 20 decese și peste 1 500 persoane spitalizate, confirmând relevanța acestor riscuri pentru securitatea sanitară națională. Integrarea măsurilor de reducere a riscurilor naturale și biologico-sociale, consolidarea supravegherii epidemiologice, modernizarea laboratorului și întărirea cooperării interinstituționale sunt esențiale pentru construirea unui sistem de sănătate rezilient.</w:t>
      </w:r>
    </w:p>
    <w:p w14:paraId="43DCA6C4" w14:textId="77777777" w:rsidR="00E61B05" w:rsidRPr="00CD2ADD" w:rsidRDefault="00E61B05">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Conform Hotărârii Guvernului nr. 1076/16.11.2010 privind clasificarea situațiilor excepționale, categoria „situații excepționale cu caracter biologico-social” include: boli contagioase ale oamenilor (izbucniri, epidemii, pandemii), intoxicații alimentare sau de apă, boli contagioase la animale agricole sau la animale sălbatice, atacuri masive de dăunători sau boli ale plantelor.</w:t>
      </w:r>
    </w:p>
    <w:p w14:paraId="6D6ADB4D" w14:textId="39EBD862" w:rsidR="00E40A99" w:rsidRPr="00CD2ADD" w:rsidRDefault="00E40A99" w:rsidP="00A95BDE">
      <w:pPr>
        <w:pStyle w:val="Subtitle"/>
        <w:spacing w:after="0" w:line="240" w:lineRule="auto"/>
        <w:ind w:firstLine="284"/>
        <w:rPr>
          <w:rStyle w:val="IntenseEmphasis"/>
          <w:rFonts w:ascii="Times New Roman" w:hAnsi="Times New Roman" w:cs="Times New Roman"/>
          <w:color w:val="000000" w:themeColor="text1"/>
          <w:sz w:val="24"/>
        </w:rPr>
      </w:pPr>
      <w:r w:rsidRPr="00CD2ADD">
        <w:rPr>
          <w:rStyle w:val="IntenseEmphasis"/>
          <w:rFonts w:ascii="Times New Roman" w:hAnsi="Times New Roman" w:cs="Times New Roman"/>
          <w:color w:val="000000" w:themeColor="text1"/>
          <w:sz w:val="24"/>
        </w:rPr>
        <w:t>Profilul b</w:t>
      </w:r>
      <w:r w:rsidR="00867110" w:rsidRPr="00CD2ADD">
        <w:rPr>
          <w:rStyle w:val="IntenseEmphasis"/>
          <w:rFonts w:ascii="Times New Roman" w:hAnsi="Times New Roman" w:cs="Times New Roman"/>
          <w:color w:val="000000" w:themeColor="text1"/>
          <w:sz w:val="24"/>
        </w:rPr>
        <w:t>oli</w:t>
      </w:r>
      <w:r w:rsidRPr="00CD2ADD">
        <w:rPr>
          <w:rStyle w:val="IntenseEmphasis"/>
          <w:rFonts w:ascii="Times New Roman" w:hAnsi="Times New Roman" w:cs="Times New Roman"/>
          <w:color w:val="000000" w:themeColor="text1"/>
          <w:sz w:val="24"/>
        </w:rPr>
        <w:t>lor</w:t>
      </w:r>
      <w:r w:rsidR="00867110" w:rsidRPr="00CD2ADD">
        <w:rPr>
          <w:rStyle w:val="IntenseEmphasis"/>
          <w:rFonts w:ascii="Times New Roman" w:hAnsi="Times New Roman" w:cs="Times New Roman"/>
          <w:color w:val="000000" w:themeColor="text1"/>
          <w:sz w:val="24"/>
        </w:rPr>
        <w:t xml:space="preserve"> contagioase </w:t>
      </w:r>
      <w:r w:rsidRPr="00CD2ADD">
        <w:rPr>
          <w:rStyle w:val="IntenseEmphasis"/>
          <w:rFonts w:ascii="Times New Roman" w:hAnsi="Times New Roman" w:cs="Times New Roman"/>
          <w:color w:val="000000" w:themeColor="text1"/>
          <w:sz w:val="24"/>
        </w:rPr>
        <w:t>la</w:t>
      </w:r>
      <w:r w:rsidR="00867110" w:rsidRPr="00CD2ADD">
        <w:rPr>
          <w:rStyle w:val="IntenseEmphasis"/>
          <w:rFonts w:ascii="Times New Roman" w:hAnsi="Times New Roman" w:cs="Times New Roman"/>
          <w:color w:val="000000" w:themeColor="text1"/>
          <w:sz w:val="24"/>
        </w:rPr>
        <w:t xml:space="preserve"> oameni</w:t>
      </w:r>
    </w:p>
    <w:p w14:paraId="50A818B9" w14:textId="655B13D9" w:rsidR="00563945" w:rsidRPr="00CD2ADD" w:rsidRDefault="00E40A99">
      <w:pPr>
        <w:pStyle w:val="ListParagraph"/>
        <w:numPr>
          <w:ilvl w:val="0"/>
          <w:numId w:val="42"/>
        </w:numPr>
        <w:spacing w:after="12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Acestea s</w:t>
      </w:r>
      <w:r w:rsidR="00530443" w:rsidRPr="00CD2ADD">
        <w:rPr>
          <w:rFonts w:ascii="Times New Roman" w:hAnsi="Times New Roman" w:cs="Times New Roman"/>
          <w:color w:val="000000" w:themeColor="text1"/>
          <w:sz w:val="24"/>
          <w:szCs w:val="24"/>
        </w:rPr>
        <w:t>unt menite sa</w:t>
      </w:r>
      <w:r w:rsidR="00563945" w:rsidRPr="00CD2ADD">
        <w:rPr>
          <w:rFonts w:ascii="Times New Roman" w:hAnsi="Times New Roman" w:cs="Times New Roman"/>
          <w:color w:val="000000" w:themeColor="text1"/>
          <w:sz w:val="24"/>
          <w:szCs w:val="24"/>
        </w:rPr>
        <w:t xml:space="preserve"> caracterizeze riscurile epidemiologice care afectează populația, incluzând boli contagioase</w:t>
      </w:r>
      <w:r w:rsidR="00563945" w:rsidRPr="00CD2ADD">
        <w:rPr>
          <w:rFonts w:ascii="Times New Roman" w:hAnsi="Times New Roman" w:cs="Times New Roman"/>
          <w:b/>
          <w:bCs/>
          <w:color w:val="000000" w:themeColor="text1"/>
          <w:sz w:val="24"/>
          <w:szCs w:val="24"/>
        </w:rPr>
        <w:t xml:space="preserve"> </w:t>
      </w:r>
      <w:r w:rsidR="00563945" w:rsidRPr="00CD2ADD">
        <w:rPr>
          <w:rFonts w:ascii="Times New Roman" w:hAnsi="Times New Roman" w:cs="Times New Roman"/>
          <w:color w:val="000000" w:themeColor="text1"/>
          <w:sz w:val="24"/>
          <w:szCs w:val="24"/>
        </w:rPr>
        <w:t>periculoase, focare emergente și situații cu etiologie necunoscută, în vederea evaluării capacităților naționale de supraveghere, prevenire și control epidemiologic. Exemple relevante includ: COVID-19 (pandemie), rujeolă (epidemii periodice)</w:t>
      </w:r>
      <w:r w:rsidR="008A6040" w:rsidRPr="00CD2ADD">
        <w:rPr>
          <w:rFonts w:ascii="Times New Roman" w:hAnsi="Times New Roman" w:cs="Times New Roman"/>
          <w:color w:val="000000" w:themeColor="text1"/>
          <w:sz w:val="24"/>
          <w:szCs w:val="24"/>
        </w:rPr>
        <w:t xml:space="preserve"> si altele. </w:t>
      </w:r>
    </w:p>
    <w:p w14:paraId="4413E32C" w14:textId="1A06ECF9" w:rsidR="00563945" w:rsidRPr="00B30DDA" w:rsidRDefault="00563945">
      <w:pPr>
        <w:pStyle w:val="ListParagraph"/>
        <w:numPr>
          <w:ilvl w:val="0"/>
          <w:numId w:val="42"/>
        </w:numPr>
        <w:spacing w:after="120"/>
        <w:jc w:val="both"/>
        <w:rPr>
          <w:rFonts w:ascii="Times New Roman" w:hAnsi="Times New Roman" w:cs="Times New Roman"/>
          <w:color w:val="000000" w:themeColor="text1"/>
          <w:sz w:val="24"/>
          <w:szCs w:val="24"/>
        </w:rPr>
      </w:pPr>
      <w:r w:rsidRPr="00B30DDA">
        <w:rPr>
          <w:rFonts w:ascii="Times New Roman" w:hAnsi="Times New Roman" w:cs="Times New Roman"/>
          <w:color w:val="000000" w:themeColor="text1"/>
          <w:sz w:val="24"/>
          <w:szCs w:val="24"/>
        </w:rPr>
        <w:t>Tipuri de situații (conform clasificatorului</w:t>
      </w:r>
      <w:r w:rsidR="00530443" w:rsidRPr="00B30DDA">
        <w:rPr>
          <w:rFonts w:ascii="Times New Roman" w:hAnsi="Times New Roman" w:cs="Times New Roman"/>
          <w:color w:val="000000" w:themeColor="text1"/>
          <w:sz w:val="24"/>
          <w:szCs w:val="24"/>
        </w:rPr>
        <w:t xml:space="preserve"> IGSU</w:t>
      </w:r>
      <w:r w:rsidRPr="00B30DDA">
        <w:rPr>
          <w:rFonts w:ascii="Times New Roman" w:hAnsi="Times New Roman" w:cs="Times New Roman"/>
          <w:color w:val="000000" w:themeColor="text1"/>
          <w:sz w:val="24"/>
          <w:szCs w:val="24"/>
        </w:rPr>
        <w:t>)</w:t>
      </w:r>
      <w:r w:rsidR="00867110" w:rsidRPr="00B30DDA">
        <w:rPr>
          <w:rFonts w:ascii="Times New Roman" w:hAnsi="Times New Roman" w:cs="Times New Roman"/>
          <w:color w:val="000000" w:themeColor="text1"/>
          <w:sz w:val="24"/>
          <w:szCs w:val="24"/>
        </w:rPr>
        <w:t xml:space="preserve">: </w:t>
      </w:r>
    </w:p>
    <w:p w14:paraId="7F5DD2BA" w14:textId="24BCD634" w:rsidR="00563945" w:rsidRPr="000F6990" w:rsidRDefault="00563945">
      <w:pPr>
        <w:pStyle w:val="ListParagraph"/>
        <w:numPr>
          <w:ilvl w:val="0"/>
          <w:numId w:val="37"/>
        </w:numPr>
        <w:spacing w:after="120"/>
        <w:jc w:val="both"/>
        <w:rPr>
          <w:rFonts w:ascii="Times New Roman" w:hAnsi="Times New Roman" w:cs="Times New Roman"/>
          <w:color w:val="000000" w:themeColor="text1"/>
          <w:sz w:val="24"/>
          <w:szCs w:val="24"/>
        </w:rPr>
      </w:pPr>
      <w:r w:rsidRPr="000F6990">
        <w:rPr>
          <w:rFonts w:ascii="Times New Roman" w:hAnsi="Times New Roman" w:cs="Times New Roman"/>
          <w:color w:val="000000" w:themeColor="text1"/>
          <w:sz w:val="24"/>
          <w:szCs w:val="24"/>
        </w:rPr>
        <w:t xml:space="preserve">cazuri unice de îmbolnăvire cu boli exotice </w:t>
      </w:r>
      <w:r w:rsidR="00E40A99" w:rsidRPr="000F6990">
        <w:rPr>
          <w:rFonts w:ascii="Times New Roman" w:hAnsi="Times New Roman" w:cs="Times New Roman"/>
          <w:color w:val="000000" w:themeColor="text1"/>
          <w:sz w:val="24"/>
          <w:szCs w:val="24"/>
        </w:rPr>
        <w:t>și</w:t>
      </w:r>
      <w:r w:rsidRPr="000F6990">
        <w:rPr>
          <w:rFonts w:ascii="Times New Roman" w:hAnsi="Times New Roman" w:cs="Times New Roman"/>
          <w:color w:val="000000" w:themeColor="text1"/>
          <w:sz w:val="24"/>
          <w:szCs w:val="24"/>
        </w:rPr>
        <w:t xml:space="preserve"> contagioase deosebit de periculoase;</w:t>
      </w:r>
    </w:p>
    <w:p w14:paraId="781F0FA5" w14:textId="77777777" w:rsidR="00563945" w:rsidRPr="000F6990" w:rsidRDefault="00563945">
      <w:pPr>
        <w:pStyle w:val="ListParagraph"/>
        <w:numPr>
          <w:ilvl w:val="0"/>
          <w:numId w:val="37"/>
        </w:numPr>
        <w:spacing w:after="120"/>
        <w:jc w:val="both"/>
        <w:rPr>
          <w:rFonts w:ascii="Times New Roman" w:hAnsi="Times New Roman" w:cs="Times New Roman"/>
          <w:color w:val="000000" w:themeColor="text1"/>
          <w:sz w:val="24"/>
          <w:szCs w:val="24"/>
        </w:rPr>
      </w:pPr>
      <w:r w:rsidRPr="000F6990">
        <w:rPr>
          <w:rFonts w:ascii="Times New Roman" w:hAnsi="Times New Roman" w:cs="Times New Roman"/>
          <w:color w:val="000000" w:themeColor="text1"/>
          <w:sz w:val="24"/>
          <w:szCs w:val="24"/>
        </w:rPr>
        <w:t>cazuri de molipsire în grup de boli contagioase periculoase;</w:t>
      </w:r>
    </w:p>
    <w:p w14:paraId="14468883" w14:textId="77777777" w:rsidR="00563945" w:rsidRPr="000F6990" w:rsidRDefault="00563945">
      <w:pPr>
        <w:pStyle w:val="ListParagraph"/>
        <w:numPr>
          <w:ilvl w:val="0"/>
          <w:numId w:val="37"/>
        </w:numPr>
        <w:spacing w:after="120"/>
        <w:jc w:val="both"/>
        <w:rPr>
          <w:rFonts w:ascii="Times New Roman" w:hAnsi="Times New Roman" w:cs="Times New Roman"/>
          <w:color w:val="000000" w:themeColor="text1"/>
          <w:sz w:val="24"/>
          <w:szCs w:val="24"/>
        </w:rPr>
      </w:pPr>
      <w:r w:rsidRPr="000F6990">
        <w:rPr>
          <w:rFonts w:ascii="Times New Roman" w:hAnsi="Times New Roman" w:cs="Times New Roman"/>
          <w:color w:val="000000" w:themeColor="text1"/>
          <w:sz w:val="24"/>
          <w:szCs w:val="24"/>
        </w:rPr>
        <w:t>izbucnire epidemică a bolilor contagioase periculoase;</w:t>
      </w:r>
    </w:p>
    <w:p w14:paraId="52358288" w14:textId="77777777" w:rsidR="00563945" w:rsidRPr="000F6990" w:rsidRDefault="00563945">
      <w:pPr>
        <w:pStyle w:val="ListParagraph"/>
        <w:numPr>
          <w:ilvl w:val="0"/>
          <w:numId w:val="37"/>
        </w:numPr>
        <w:spacing w:after="120"/>
        <w:jc w:val="both"/>
        <w:rPr>
          <w:rFonts w:ascii="Times New Roman" w:hAnsi="Times New Roman" w:cs="Times New Roman"/>
          <w:color w:val="000000" w:themeColor="text1"/>
          <w:sz w:val="24"/>
          <w:szCs w:val="24"/>
        </w:rPr>
      </w:pPr>
      <w:r w:rsidRPr="000F6990">
        <w:rPr>
          <w:rFonts w:ascii="Times New Roman" w:hAnsi="Times New Roman" w:cs="Times New Roman"/>
          <w:color w:val="000000" w:themeColor="text1"/>
          <w:sz w:val="24"/>
          <w:szCs w:val="24"/>
        </w:rPr>
        <w:t>epidemie;</w:t>
      </w:r>
    </w:p>
    <w:p w14:paraId="088EABC2" w14:textId="57201D3E" w:rsidR="00563945" w:rsidRPr="000F6990" w:rsidRDefault="00563945">
      <w:pPr>
        <w:pStyle w:val="ListParagraph"/>
        <w:numPr>
          <w:ilvl w:val="0"/>
          <w:numId w:val="37"/>
        </w:numPr>
        <w:spacing w:after="0"/>
        <w:jc w:val="both"/>
        <w:rPr>
          <w:rFonts w:ascii="Times New Roman" w:hAnsi="Times New Roman" w:cs="Times New Roman"/>
          <w:color w:val="000000" w:themeColor="text1"/>
          <w:sz w:val="24"/>
          <w:szCs w:val="24"/>
        </w:rPr>
      </w:pPr>
      <w:r w:rsidRPr="000F6990">
        <w:rPr>
          <w:rFonts w:ascii="Times New Roman" w:hAnsi="Times New Roman" w:cs="Times New Roman"/>
          <w:color w:val="000000" w:themeColor="text1"/>
          <w:sz w:val="24"/>
          <w:szCs w:val="24"/>
        </w:rPr>
        <w:t>pandemie; boli contagioase ale oamenilor cu o etiologie nestabilită.</w:t>
      </w:r>
    </w:p>
    <w:p w14:paraId="7C7F93D9" w14:textId="71BA6467" w:rsidR="002B0D71" w:rsidRPr="00CD2ADD" w:rsidRDefault="002B0D71" w:rsidP="00441107">
      <w:pPr>
        <w:ind w:firstLine="284"/>
        <w:rPr>
          <w:b/>
          <w:bCs/>
          <w:color w:val="000000" w:themeColor="text1"/>
          <w:lang w:eastAsia="en-US"/>
        </w:rPr>
      </w:pPr>
      <w:r w:rsidRPr="00CD2ADD">
        <w:rPr>
          <w:b/>
          <w:bCs/>
          <w:color w:val="000000" w:themeColor="text1"/>
          <w:lang w:eastAsia="en-US"/>
        </w:rPr>
        <w:t>Morbiditate general</w:t>
      </w:r>
      <w:r w:rsidR="00441107" w:rsidRPr="00CD2ADD">
        <w:rPr>
          <w:b/>
          <w:bCs/>
          <w:color w:val="000000" w:themeColor="text1"/>
          <w:lang w:eastAsia="en-US"/>
        </w:rPr>
        <w:t>ă</w:t>
      </w:r>
      <w:r w:rsidRPr="00CD2ADD">
        <w:rPr>
          <w:b/>
          <w:bCs/>
          <w:color w:val="000000" w:themeColor="text1"/>
          <w:lang w:eastAsia="en-US"/>
        </w:rPr>
        <w:t xml:space="preserve"> </w:t>
      </w:r>
      <w:r w:rsidR="0096247B" w:rsidRPr="00CD2ADD">
        <w:rPr>
          <w:b/>
          <w:bCs/>
          <w:color w:val="000000" w:themeColor="text1"/>
          <w:lang w:eastAsia="en-US"/>
        </w:rPr>
        <w:t xml:space="preserve">a populației </w:t>
      </w:r>
      <w:r w:rsidRPr="00CD2ADD">
        <w:rPr>
          <w:b/>
          <w:bCs/>
          <w:color w:val="000000" w:themeColor="text1"/>
          <w:lang w:eastAsia="en-US"/>
        </w:rPr>
        <w:t>(prevalența și incidența)</w:t>
      </w:r>
    </w:p>
    <w:p w14:paraId="29BEF0EA" w14:textId="7F946F52" w:rsidR="002B0D71" w:rsidRPr="00CD2ADD" w:rsidRDefault="002B0D71">
      <w:pPr>
        <w:pStyle w:val="ListParagraph"/>
        <w:numPr>
          <w:ilvl w:val="0"/>
          <w:numId w:val="42"/>
        </w:numPr>
        <w:spacing w:after="12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Analiza prevalenței și incidenței bolilor transmisibile în perioada 2014 - 2024 arată o evoluție relativ stabilă pe termen lung, cu valori ale prevalenței în jur de 2,8 - 3 milioane cazuri anual și ale incidenței în jur de 880 mii -1,1 milioane cazuri noi. Scăderile marcate din 2020 și revenirea ulterioară reflectă perturbările cauzate de pandemia COVID-19 asupra accesului la servicii medicale și procesului de diagnosticare. Bolile infecțioase și parazitare reprezintă o proporție constantă în structura generală a morbidității, însă ponderea lor rămâne mai mică decât cea a bolilor cronice. Această stabilitate aparentă maschează variații importante determinate de focare locale, epidemii sezoniere și deficiențe în siguranța apei și alimentelor, elemente critice pentru planificarea managementului riscurilor biologico-sociale.</w:t>
      </w:r>
    </w:p>
    <w:p w14:paraId="62E61727" w14:textId="78C3D70B" w:rsidR="009E4BC3" w:rsidRPr="000F6990" w:rsidRDefault="00A95BDE" w:rsidP="00441107">
      <w:pPr>
        <w:spacing w:after="120"/>
        <w:jc w:val="center"/>
        <w:rPr>
          <w:lang w:eastAsia="en-US"/>
        </w:rPr>
      </w:pPr>
      <w:r w:rsidRPr="000F6990">
        <w:rPr>
          <w:b/>
          <w:bCs/>
          <w:lang w:eastAsia="en-US"/>
        </w:rPr>
        <w:t>Figura 35.</w:t>
      </w:r>
      <w:r w:rsidRPr="000F6990">
        <w:rPr>
          <w:lang w:eastAsia="en-US"/>
        </w:rPr>
        <w:t xml:space="preserve"> Morbiditatea populației pe </w:t>
      </w:r>
      <w:r w:rsidR="00441107" w:rsidRPr="000F6990">
        <w:rPr>
          <w:lang w:eastAsia="en-US"/>
        </w:rPr>
        <w:t>persoane cu morbidități, ani și indicatori</w:t>
      </w:r>
    </w:p>
    <w:p w14:paraId="29A20298" w14:textId="6D3D7F17" w:rsidR="001315C2" w:rsidRPr="00CD2ADD" w:rsidRDefault="00140FDF" w:rsidP="000F6990">
      <w:pPr>
        <w:jc w:val="center"/>
        <w:rPr>
          <w:sz w:val="22"/>
          <w:szCs w:val="22"/>
          <w:lang w:eastAsia="en-US"/>
        </w:rPr>
      </w:pPr>
      <w:r w:rsidRPr="00CD2ADD">
        <w:rPr>
          <w:noProof/>
        </w:rPr>
        <w:drawing>
          <wp:inline distT="0" distB="0" distL="0" distR="0" wp14:anchorId="0E34B176" wp14:editId="05976CC2">
            <wp:extent cx="5995284" cy="2043485"/>
            <wp:effectExtent l="0" t="0" r="5715" b="13970"/>
            <wp:docPr id="862654169" name="Chart 1">
              <a:extLst xmlns:a="http://schemas.openxmlformats.org/drawingml/2006/main">
                <a:ext uri="{FF2B5EF4-FFF2-40B4-BE49-F238E27FC236}">
                  <a16:creationId xmlns:a16="http://schemas.microsoft.com/office/drawing/2014/main" id="{A9B3F374-4D9C-ED45-B79B-EDF1D038E1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1FC82C3" w14:textId="30DC0DB4" w:rsidR="00B51E99" w:rsidRDefault="00530443" w:rsidP="00A95BDE">
      <w:pPr>
        <w:spacing w:after="120"/>
        <w:jc w:val="center"/>
        <w:rPr>
          <w:i/>
          <w:iCs/>
          <w:sz w:val="20"/>
          <w:szCs w:val="20"/>
          <w:lang w:eastAsia="en-US"/>
        </w:rPr>
      </w:pPr>
      <w:r w:rsidRPr="000F6990">
        <w:rPr>
          <w:i/>
          <w:iCs/>
          <w:sz w:val="20"/>
          <w:szCs w:val="20"/>
          <w:lang w:eastAsia="en-US"/>
        </w:rPr>
        <w:t xml:space="preserve">Sursa: </w:t>
      </w:r>
      <w:r w:rsidR="00140FDF" w:rsidRPr="000F6990">
        <w:rPr>
          <w:i/>
          <w:iCs/>
          <w:sz w:val="20"/>
          <w:szCs w:val="20"/>
          <w:lang w:eastAsia="en-US"/>
        </w:rPr>
        <w:t>BNS si ANSP</w:t>
      </w:r>
    </w:p>
    <w:p w14:paraId="6CBD9C05" w14:textId="77777777" w:rsidR="00AB18CF" w:rsidRPr="000F6990" w:rsidRDefault="00AB18CF" w:rsidP="00A95BDE">
      <w:pPr>
        <w:spacing w:after="120"/>
        <w:jc w:val="center"/>
        <w:rPr>
          <w:i/>
          <w:iCs/>
          <w:sz w:val="20"/>
          <w:szCs w:val="20"/>
          <w:lang w:eastAsia="en-US"/>
        </w:rPr>
      </w:pPr>
    </w:p>
    <w:p w14:paraId="42CE00A0" w14:textId="383F2C52" w:rsidR="00441107" w:rsidRPr="00CD2ADD" w:rsidRDefault="00441107" w:rsidP="00A95BDE">
      <w:pPr>
        <w:spacing w:after="120"/>
        <w:jc w:val="center"/>
        <w:rPr>
          <w:sz w:val="22"/>
          <w:szCs w:val="22"/>
          <w:lang w:eastAsia="en-US"/>
        </w:rPr>
      </w:pPr>
      <w:r w:rsidRPr="00CD2ADD">
        <w:rPr>
          <w:b/>
          <w:bCs/>
          <w:sz w:val="22"/>
          <w:szCs w:val="22"/>
          <w:lang w:eastAsia="en-US"/>
        </w:rPr>
        <w:lastRenderedPageBreak/>
        <w:t>Figura 36.</w:t>
      </w:r>
      <w:r w:rsidRPr="00CD2ADD">
        <w:rPr>
          <w:sz w:val="22"/>
          <w:szCs w:val="22"/>
          <w:lang w:eastAsia="en-US"/>
        </w:rPr>
        <w:t xml:space="preserve"> Prevalența (total bolnavi înregistrați pe parcursul anului)</w:t>
      </w:r>
    </w:p>
    <w:p w14:paraId="6D8967B0" w14:textId="4AAA706B" w:rsidR="00441107" w:rsidRPr="00CD2ADD" w:rsidRDefault="00441107" w:rsidP="00B339C7">
      <w:pPr>
        <w:pStyle w:val="Caption"/>
        <w:rPr>
          <w:rFonts w:ascii="Times New Roman" w:hAnsi="Times New Roman" w:cs="Times New Roman"/>
        </w:rPr>
      </w:pPr>
    </w:p>
    <w:p w14:paraId="58ABE2C6" w14:textId="59FC33CA" w:rsidR="001315C2" w:rsidRPr="00CD2ADD" w:rsidRDefault="00140FDF" w:rsidP="000F6990">
      <w:pPr>
        <w:jc w:val="both"/>
        <w:rPr>
          <w:sz w:val="22"/>
          <w:szCs w:val="22"/>
          <w:lang w:eastAsia="en-US"/>
        </w:rPr>
      </w:pPr>
      <w:r w:rsidRPr="00CD2ADD">
        <w:rPr>
          <w:noProof/>
        </w:rPr>
        <w:drawing>
          <wp:inline distT="0" distB="0" distL="0" distR="0" wp14:anchorId="3B5BAA88" wp14:editId="59022902">
            <wp:extent cx="6074797" cy="3880237"/>
            <wp:effectExtent l="0" t="0" r="2540" b="6350"/>
            <wp:docPr id="1289894542" name="Chart 1">
              <a:extLst xmlns:a="http://schemas.openxmlformats.org/drawingml/2006/main">
                <a:ext uri="{FF2B5EF4-FFF2-40B4-BE49-F238E27FC236}">
                  <a16:creationId xmlns:a16="http://schemas.microsoft.com/office/drawing/2014/main" id="{9EB94A02-41B3-8A99-C5B1-12023160AA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24A9C3A" w14:textId="39BBD6CD" w:rsidR="00B51E99" w:rsidRDefault="00140FDF" w:rsidP="00441107">
      <w:pPr>
        <w:spacing w:after="120"/>
        <w:jc w:val="center"/>
        <w:rPr>
          <w:i/>
          <w:iCs/>
          <w:sz w:val="20"/>
          <w:szCs w:val="20"/>
          <w:lang w:eastAsia="en-US"/>
        </w:rPr>
      </w:pPr>
      <w:r w:rsidRPr="000F6990">
        <w:rPr>
          <w:i/>
          <w:iCs/>
          <w:sz w:val="20"/>
          <w:szCs w:val="20"/>
          <w:lang w:eastAsia="en-US"/>
        </w:rPr>
        <w:t>Sursa: BNS si ANSP</w:t>
      </w:r>
    </w:p>
    <w:p w14:paraId="775C5456" w14:textId="77777777" w:rsidR="00392C6D" w:rsidRDefault="00392C6D" w:rsidP="00441107">
      <w:pPr>
        <w:spacing w:after="120"/>
        <w:jc w:val="center"/>
        <w:rPr>
          <w:i/>
          <w:iCs/>
          <w:sz w:val="20"/>
          <w:szCs w:val="20"/>
          <w:lang w:eastAsia="en-US"/>
        </w:rPr>
      </w:pPr>
    </w:p>
    <w:p w14:paraId="5735438B" w14:textId="77777777" w:rsidR="00392C6D" w:rsidRDefault="00392C6D" w:rsidP="00441107">
      <w:pPr>
        <w:spacing w:after="120"/>
        <w:jc w:val="center"/>
        <w:rPr>
          <w:i/>
          <w:iCs/>
          <w:sz w:val="20"/>
          <w:szCs w:val="20"/>
          <w:lang w:eastAsia="en-US"/>
        </w:rPr>
      </w:pPr>
    </w:p>
    <w:p w14:paraId="41440574" w14:textId="77777777" w:rsidR="00392C6D" w:rsidRDefault="00392C6D" w:rsidP="00441107">
      <w:pPr>
        <w:spacing w:after="120"/>
        <w:jc w:val="center"/>
        <w:rPr>
          <w:i/>
          <w:iCs/>
          <w:sz w:val="20"/>
          <w:szCs w:val="20"/>
          <w:lang w:eastAsia="en-US"/>
        </w:rPr>
      </w:pPr>
    </w:p>
    <w:p w14:paraId="232E292D" w14:textId="77777777" w:rsidR="00392C6D" w:rsidRDefault="00392C6D" w:rsidP="00441107">
      <w:pPr>
        <w:spacing w:after="120"/>
        <w:jc w:val="center"/>
        <w:rPr>
          <w:i/>
          <w:iCs/>
          <w:sz w:val="20"/>
          <w:szCs w:val="20"/>
          <w:lang w:eastAsia="en-US"/>
        </w:rPr>
      </w:pPr>
    </w:p>
    <w:p w14:paraId="21ECA724" w14:textId="77777777" w:rsidR="00392C6D" w:rsidRDefault="00392C6D" w:rsidP="00441107">
      <w:pPr>
        <w:spacing w:after="120"/>
        <w:jc w:val="center"/>
        <w:rPr>
          <w:i/>
          <w:iCs/>
          <w:sz w:val="20"/>
          <w:szCs w:val="20"/>
          <w:lang w:eastAsia="en-US"/>
        </w:rPr>
      </w:pPr>
    </w:p>
    <w:p w14:paraId="15E5B32A" w14:textId="77777777" w:rsidR="00392C6D" w:rsidRDefault="00392C6D" w:rsidP="00441107">
      <w:pPr>
        <w:spacing w:after="120"/>
        <w:jc w:val="center"/>
        <w:rPr>
          <w:i/>
          <w:iCs/>
          <w:sz w:val="20"/>
          <w:szCs w:val="20"/>
          <w:lang w:eastAsia="en-US"/>
        </w:rPr>
      </w:pPr>
    </w:p>
    <w:p w14:paraId="15387B00" w14:textId="77777777" w:rsidR="00392C6D" w:rsidRDefault="00392C6D" w:rsidP="00441107">
      <w:pPr>
        <w:spacing w:after="120"/>
        <w:jc w:val="center"/>
        <w:rPr>
          <w:i/>
          <w:iCs/>
          <w:sz w:val="20"/>
          <w:szCs w:val="20"/>
          <w:lang w:eastAsia="en-US"/>
        </w:rPr>
      </w:pPr>
    </w:p>
    <w:p w14:paraId="72561569" w14:textId="77777777" w:rsidR="00392C6D" w:rsidRDefault="00392C6D" w:rsidP="00441107">
      <w:pPr>
        <w:spacing w:after="120"/>
        <w:jc w:val="center"/>
        <w:rPr>
          <w:i/>
          <w:iCs/>
          <w:sz w:val="20"/>
          <w:szCs w:val="20"/>
          <w:lang w:eastAsia="en-US"/>
        </w:rPr>
      </w:pPr>
    </w:p>
    <w:p w14:paraId="378405E7" w14:textId="77777777" w:rsidR="00392C6D" w:rsidRDefault="00392C6D" w:rsidP="00441107">
      <w:pPr>
        <w:spacing w:after="120"/>
        <w:jc w:val="center"/>
        <w:rPr>
          <w:i/>
          <w:iCs/>
          <w:sz w:val="20"/>
          <w:szCs w:val="20"/>
          <w:lang w:eastAsia="en-US"/>
        </w:rPr>
      </w:pPr>
    </w:p>
    <w:p w14:paraId="50768BA1" w14:textId="77777777" w:rsidR="00392C6D" w:rsidRDefault="00392C6D" w:rsidP="00441107">
      <w:pPr>
        <w:spacing w:after="120"/>
        <w:jc w:val="center"/>
        <w:rPr>
          <w:i/>
          <w:iCs/>
          <w:sz w:val="20"/>
          <w:szCs w:val="20"/>
          <w:lang w:eastAsia="en-US"/>
        </w:rPr>
      </w:pPr>
    </w:p>
    <w:p w14:paraId="5E8C7833" w14:textId="77777777" w:rsidR="00392C6D" w:rsidRDefault="00392C6D" w:rsidP="00441107">
      <w:pPr>
        <w:spacing w:after="120"/>
        <w:jc w:val="center"/>
        <w:rPr>
          <w:i/>
          <w:iCs/>
          <w:sz w:val="20"/>
          <w:szCs w:val="20"/>
          <w:lang w:eastAsia="en-US"/>
        </w:rPr>
      </w:pPr>
    </w:p>
    <w:p w14:paraId="76A9D43B" w14:textId="77777777" w:rsidR="00392C6D" w:rsidRDefault="00392C6D" w:rsidP="00441107">
      <w:pPr>
        <w:spacing w:after="120"/>
        <w:jc w:val="center"/>
        <w:rPr>
          <w:i/>
          <w:iCs/>
          <w:sz w:val="20"/>
          <w:szCs w:val="20"/>
          <w:lang w:eastAsia="en-US"/>
        </w:rPr>
      </w:pPr>
    </w:p>
    <w:p w14:paraId="6547B716" w14:textId="77777777" w:rsidR="00392C6D" w:rsidRDefault="00392C6D" w:rsidP="00441107">
      <w:pPr>
        <w:spacing w:after="120"/>
        <w:jc w:val="center"/>
        <w:rPr>
          <w:i/>
          <w:iCs/>
          <w:sz w:val="20"/>
          <w:szCs w:val="20"/>
          <w:lang w:eastAsia="en-US"/>
        </w:rPr>
      </w:pPr>
    </w:p>
    <w:p w14:paraId="57DA8710" w14:textId="77777777" w:rsidR="00392C6D" w:rsidRDefault="00392C6D" w:rsidP="00441107">
      <w:pPr>
        <w:spacing w:after="120"/>
        <w:jc w:val="center"/>
        <w:rPr>
          <w:i/>
          <w:iCs/>
          <w:sz w:val="20"/>
          <w:szCs w:val="20"/>
          <w:lang w:eastAsia="en-US"/>
        </w:rPr>
      </w:pPr>
    </w:p>
    <w:p w14:paraId="40760A3B" w14:textId="77777777" w:rsidR="00392C6D" w:rsidRDefault="00392C6D" w:rsidP="00441107">
      <w:pPr>
        <w:spacing w:after="120"/>
        <w:jc w:val="center"/>
        <w:rPr>
          <w:i/>
          <w:iCs/>
          <w:sz w:val="20"/>
          <w:szCs w:val="20"/>
          <w:lang w:eastAsia="en-US"/>
        </w:rPr>
      </w:pPr>
    </w:p>
    <w:p w14:paraId="627C7408" w14:textId="77777777" w:rsidR="00392C6D" w:rsidRDefault="00392C6D" w:rsidP="00441107">
      <w:pPr>
        <w:spacing w:after="120"/>
        <w:jc w:val="center"/>
        <w:rPr>
          <w:i/>
          <w:iCs/>
          <w:sz w:val="20"/>
          <w:szCs w:val="20"/>
          <w:lang w:eastAsia="en-US"/>
        </w:rPr>
      </w:pPr>
    </w:p>
    <w:p w14:paraId="47F38F36" w14:textId="77777777" w:rsidR="00392C6D" w:rsidRDefault="00392C6D" w:rsidP="00441107">
      <w:pPr>
        <w:spacing w:after="120"/>
        <w:jc w:val="center"/>
        <w:rPr>
          <w:i/>
          <w:iCs/>
          <w:sz w:val="20"/>
          <w:szCs w:val="20"/>
          <w:lang w:eastAsia="en-US"/>
        </w:rPr>
      </w:pPr>
    </w:p>
    <w:p w14:paraId="0E3FA351" w14:textId="77777777" w:rsidR="00392C6D" w:rsidRDefault="00392C6D" w:rsidP="00441107">
      <w:pPr>
        <w:spacing w:after="120"/>
        <w:jc w:val="center"/>
        <w:rPr>
          <w:i/>
          <w:iCs/>
          <w:sz w:val="20"/>
          <w:szCs w:val="20"/>
          <w:lang w:eastAsia="en-US"/>
        </w:rPr>
      </w:pPr>
    </w:p>
    <w:p w14:paraId="6B136AEA" w14:textId="77777777" w:rsidR="00392C6D" w:rsidRPr="000F6990" w:rsidRDefault="00392C6D" w:rsidP="00441107">
      <w:pPr>
        <w:spacing w:after="120"/>
        <w:jc w:val="center"/>
        <w:rPr>
          <w:i/>
          <w:iCs/>
          <w:sz w:val="20"/>
          <w:szCs w:val="20"/>
          <w:lang w:eastAsia="en-US"/>
        </w:rPr>
      </w:pPr>
    </w:p>
    <w:p w14:paraId="1CB5E2E0" w14:textId="7B922A42" w:rsidR="009E4BC3" w:rsidRPr="00CD2ADD" w:rsidRDefault="00441107" w:rsidP="00441107">
      <w:pPr>
        <w:spacing w:after="120"/>
        <w:jc w:val="center"/>
        <w:rPr>
          <w:sz w:val="22"/>
          <w:szCs w:val="22"/>
          <w:lang w:eastAsia="en-US"/>
        </w:rPr>
      </w:pPr>
      <w:r w:rsidRPr="00CD2ADD">
        <w:rPr>
          <w:b/>
          <w:bCs/>
          <w:sz w:val="22"/>
          <w:szCs w:val="22"/>
          <w:lang w:eastAsia="en-US"/>
        </w:rPr>
        <w:lastRenderedPageBreak/>
        <w:t>Figura 37.</w:t>
      </w:r>
      <w:r w:rsidRPr="00CD2ADD">
        <w:rPr>
          <w:sz w:val="22"/>
          <w:szCs w:val="22"/>
          <w:lang w:eastAsia="en-US"/>
        </w:rPr>
        <w:t xml:space="preserve"> Incidența (bolnavi aflați în evidență cu diagnosticul stabilit pentru prima dată)</w:t>
      </w:r>
    </w:p>
    <w:p w14:paraId="7BA2700C" w14:textId="7478201A" w:rsidR="00635A5F" w:rsidRPr="00CD2ADD" w:rsidRDefault="00635A5F" w:rsidP="00B339C7">
      <w:r w:rsidRPr="00CD2ADD">
        <w:rPr>
          <w:noProof/>
        </w:rPr>
        <w:drawing>
          <wp:inline distT="0" distB="0" distL="0" distR="0" wp14:anchorId="3F747071" wp14:editId="2FEC087C">
            <wp:extent cx="6130456" cy="4858247"/>
            <wp:effectExtent l="0" t="0" r="7620" b="0"/>
            <wp:docPr id="1730620059" name="Chart 1">
              <a:extLst xmlns:a="http://schemas.openxmlformats.org/drawingml/2006/main">
                <a:ext uri="{FF2B5EF4-FFF2-40B4-BE49-F238E27FC236}">
                  <a16:creationId xmlns:a16="http://schemas.microsoft.com/office/drawing/2014/main" id="{8431AB52-01AE-A04D-5F57-B7EF0C946F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1F9116A" w14:textId="77777777" w:rsidR="00635A5F" w:rsidRPr="000F6990" w:rsidRDefault="00635A5F" w:rsidP="00441107">
      <w:pPr>
        <w:spacing w:after="120"/>
        <w:jc w:val="center"/>
        <w:rPr>
          <w:i/>
          <w:iCs/>
          <w:sz w:val="20"/>
          <w:szCs w:val="20"/>
          <w:lang w:eastAsia="en-US"/>
        </w:rPr>
      </w:pPr>
      <w:r w:rsidRPr="000F6990">
        <w:rPr>
          <w:i/>
          <w:iCs/>
          <w:sz w:val="20"/>
          <w:szCs w:val="20"/>
          <w:lang w:eastAsia="en-US"/>
        </w:rPr>
        <w:t>Sursa: BNS si ANSP</w:t>
      </w:r>
    </w:p>
    <w:p w14:paraId="56C19A72" w14:textId="69F6B01D" w:rsidR="0096247B" w:rsidRPr="00CD2ADD" w:rsidRDefault="0096247B" w:rsidP="00441107">
      <w:pPr>
        <w:ind w:firstLine="284"/>
        <w:rPr>
          <w:b/>
          <w:bCs/>
          <w:sz w:val="22"/>
          <w:szCs w:val="22"/>
          <w:lang w:eastAsia="en-US"/>
        </w:rPr>
      </w:pPr>
      <w:r w:rsidRPr="00CD2ADD">
        <w:rPr>
          <w:b/>
          <w:bCs/>
          <w:sz w:val="22"/>
          <w:szCs w:val="22"/>
          <w:lang w:eastAsia="en-US"/>
        </w:rPr>
        <w:t>Morbiditatea generală prin boli infecțioase</w:t>
      </w:r>
    </w:p>
    <w:p w14:paraId="770F04E6" w14:textId="2D1D9248" w:rsidR="0096247B" w:rsidRDefault="0096247B">
      <w:pPr>
        <w:pStyle w:val="ListParagraph"/>
        <w:numPr>
          <w:ilvl w:val="0"/>
          <w:numId w:val="42"/>
        </w:numPr>
        <w:spacing w:after="12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Datele privind morbiditatea populației prin boli infecțioase arată că bolile intestinale sunt în mod constant categoria dominantă, reflectând vulnerabilități persistente în domeniul igienei, siguranței alimentare și calității apei. Scarlatina și scabia se mențin la niveluri semnificative, în special în colectivități de copii, ceea ce indică transmisie comunitară activă și necesitatea consolidării măsurilor de prevenție. Fluctuațiile semnificative din 2020 - 2022 se corelează cu modificări ale comportamentului populației și cu funcționarea serviciilor medicale în context pandemic. Aceste tendințe subliniază necesitatea întăririi supravegherii epidemiologice, a capacităților de laborator și a mecanismelor rapide de răspuns la focare</w:t>
      </w:r>
      <w:r w:rsidR="000F6990">
        <w:rPr>
          <w:rFonts w:ascii="Times New Roman" w:hAnsi="Times New Roman" w:cs="Times New Roman"/>
          <w:color w:val="000000" w:themeColor="text1"/>
          <w:sz w:val="24"/>
          <w:szCs w:val="24"/>
        </w:rPr>
        <w:t xml:space="preserve"> (figura 38)</w:t>
      </w:r>
      <w:r w:rsidRPr="00CD2ADD">
        <w:rPr>
          <w:rFonts w:ascii="Times New Roman" w:hAnsi="Times New Roman" w:cs="Times New Roman"/>
          <w:color w:val="000000" w:themeColor="text1"/>
          <w:sz w:val="24"/>
          <w:szCs w:val="24"/>
        </w:rPr>
        <w:t>.</w:t>
      </w:r>
    </w:p>
    <w:p w14:paraId="1B1E558A" w14:textId="77777777" w:rsidR="00392C6D" w:rsidRDefault="00392C6D" w:rsidP="00392C6D">
      <w:pPr>
        <w:spacing w:after="120"/>
        <w:jc w:val="both"/>
        <w:rPr>
          <w:color w:val="000000" w:themeColor="text1"/>
        </w:rPr>
      </w:pPr>
    </w:p>
    <w:p w14:paraId="64011569" w14:textId="77777777" w:rsidR="00392C6D" w:rsidRDefault="00392C6D" w:rsidP="00392C6D">
      <w:pPr>
        <w:spacing w:after="120"/>
        <w:jc w:val="both"/>
        <w:rPr>
          <w:color w:val="000000" w:themeColor="text1"/>
        </w:rPr>
      </w:pPr>
    </w:p>
    <w:p w14:paraId="300D07B6" w14:textId="77777777" w:rsidR="00392C6D" w:rsidRDefault="00392C6D" w:rsidP="00392C6D">
      <w:pPr>
        <w:spacing w:after="120"/>
        <w:jc w:val="both"/>
        <w:rPr>
          <w:color w:val="000000" w:themeColor="text1"/>
        </w:rPr>
      </w:pPr>
    </w:p>
    <w:p w14:paraId="7B7A1091" w14:textId="77777777" w:rsidR="00392C6D" w:rsidRDefault="00392C6D" w:rsidP="00392C6D">
      <w:pPr>
        <w:spacing w:after="120"/>
        <w:jc w:val="both"/>
        <w:rPr>
          <w:color w:val="000000" w:themeColor="text1"/>
        </w:rPr>
      </w:pPr>
    </w:p>
    <w:p w14:paraId="1BFB0EEC" w14:textId="77777777" w:rsidR="00392C6D" w:rsidRDefault="00392C6D" w:rsidP="00392C6D">
      <w:pPr>
        <w:spacing w:after="120"/>
        <w:jc w:val="both"/>
        <w:rPr>
          <w:color w:val="000000" w:themeColor="text1"/>
        </w:rPr>
      </w:pPr>
    </w:p>
    <w:p w14:paraId="64FD4C53" w14:textId="77777777" w:rsidR="00392C6D" w:rsidRDefault="00392C6D" w:rsidP="00392C6D">
      <w:pPr>
        <w:spacing w:after="120"/>
        <w:jc w:val="both"/>
        <w:rPr>
          <w:color w:val="000000" w:themeColor="text1"/>
        </w:rPr>
      </w:pPr>
    </w:p>
    <w:p w14:paraId="1E86AC17" w14:textId="77777777" w:rsidR="00392C6D" w:rsidRPr="00392C6D" w:rsidRDefault="00392C6D" w:rsidP="00392C6D">
      <w:pPr>
        <w:spacing w:after="120"/>
        <w:jc w:val="both"/>
        <w:rPr>
          <w:color w:val="000000" w:themeColor="text1"/>
        </w:rPr>
      </w:pPr>
    </w:p>
    <w:p w14:paraId="5CFD1B19" w14:textId="744D165E" w:rsidR="00441107" w:rsidRPr="00CD2ADD" w:rsidRDefault="00441107" w:rsidP="00441107">
      <w:pPr>
        <w:pStyle w:val="ListParagraph"/>
        <w:spacing w:after="120"/>
        <w:ind w:left="284" w:firstLine="0"/>
        <w:jc w:val="center"/>
        <w:rPr>
          <w:rFonts w:ascii="Times New Roman" w:hAnsi="Times New Roman" w:cs="Times New Roman"/>
          <w:color w:val="000000" w:themeColor="text1"/>
          <w:sz w:val="24"/>
          <w:szCs w:val="24"/>
        </w:rPr>
      </w:pPr>
      <w:r w:rsidRPr="00CD2ADD">
        <w:rPr>
          <w:rFonts w:ascii="Times New Roman" w:hAnsi="Times New Roman" w:cs="Times New Roman"/>
          <w:b/>
          <w:bCs/>
          <w:color w:val="000000" w:themeColor="text1"/>
          <w:sz w:val="24"/>
          <w:szCs w:val="24"/>
        </w:rPr>
        <w:lastRenderedPageBreak/>
        <w:t>Figura 38.</w:t>
      </w:r>
      <w:r w:rsidRPr="00CD2ADD">
        <w:rPr>
          <w:rFonts w:ascii="Times New Roman" w:hAnsi="Times New Roman" w:cs="Times New Roman"/>
          <w:color w:val="000000" w:themeColor="text1"/>
          <w:sz w:val="24"/>
          <w:szCs w:val="24"/>
        </w:rPr>
        <w:t xml:space="preserve"> Morbiditatea populației prin boli infecțioase pe boli, indicatori și ani (nr. de cazuri)</w:t>
      </w:r>
    </w:p>
    <w:p w14:paraId="704BA4EC" w14:textId="52388EE4" w:rsidR="001315C2" w:rsidRPr="00CD2ADD" w:rsidRDefault="00991C9F" w:rsidP="000F6990">
      <w:pPr>
        <w:jc w:val="center"/>
        <w:rPr>
          <w:sz w:val="22"/>
          <w:szCs w:val="22"/>
          <w:lang w:eastAsia="en-US"/>
        </w:rPr>
      </w:pPr>
      <w:r w:rsidRPr="00CD2ADD">
        <w:rPr>
          <w:noProof/>
        </w:rPr>
        <w:drawing>
          <wp:inline distT="0" distB="0" distL="0" distR="0" wp14:anchorId="5ECE90DA" wp14:editId="309D0324">
            <wp:extent cx="5983111" cy="4447822"/>
            <wp:effectExtent l="0" t="0" r="11430" b="10160"/>
            <wp:docPr id="1692011584" name="Chart 1">
              <a:extLst xmlns:a="http://schemas.openxmlformats.org/drawingml/2006/main">
                <a:ext uri="{FF2B5EF4-FFF2-40B4-BE49-F238E27FC236}">
                  <a16:creationId xmlns:a16="http://schemas.microsoft.com/office/drawing/2014/main" id="{78F65BC2-DB17-C4A4-9E99-6E118757D3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0C269E2" w14:textId="4BE6FB93" w:rsidR="001315C2" w:rsidRPr="000F6990" w:rsidRDefault="00991C9F" w:rsidP="00441107">
      <w:pPr>
        <w:spacing w:after="120"/>
        <w:jc w:val="center"/>
        <w:rPr>
          <w:i/>
          <w:iCs/>
          <w:sz w:val="20"/>
          <w:szCs w:val="20"/>
          <w:lang w:eastAsia="en-US"/>
        </w:rPr>
      </w:pPr>
      <w:r w:rsidRPr="000F6990">
        <w:rPr>
          <w:i/>
          <w:iCs/>
          <w:sz w:val="20"/>
          <w:szCs w:val="20"/>
          <w:lang w:eastAsia="en-US"/>
        </w:rPr>
        <w:t>Sursa: BNS</w:t>
      </w:r>
    </w:p>
    <w:p w14:paraId="06262E8D" w14:textId="5B443CF2" w:rsidR="004E429E" w:rsidRPr="00CD2ADD" w:rsidRDefault="004E429E" w:rsidP="00441107">
      <w:pPr>
        <w:ind w:firstLine="284"/>
        <w:jc w:val="both"/>
        <w:rPr>
          <w:b/>
          <w:bCs/>
          <w:sz w:val="22"/>
          <w:szCs w:val="22"/>
          <w:lang w:eastAsia="en-US"/>
        </w:rPr>
      </w:pPr>
      <w:r w:rsidRPr="00CD2ADD">
        <w:rPr>
          <w:b/>
          <w:bCs/>
          <w:sz w:val="22"/>
          <w:szCs w:val="22"/>
          <w:lang w:eastAsia="en-US"/>
        </w:rPr>
        <w:t>Morbiditatea copiilor prin boli infecțioase</w:t>
      </w:r>
    </w:p>
    <w:p w14:paraId="20B3FE82" w14:textId="2CE6593A" w:rsidR="0096247B" w:rsidRPr="00CD2ADD" w:rsidRDefault="0096247B">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 xml:space="preserve">Analiza detaliată a morbidității copiilor </w:t>
      </w:r>
      <w:r w:rsidR="000F6990">
        <w:rPr>
          <w:rFonts w:ascii="Times New Roman" w:hAnsi="Times New Roman" w:cs="Times New Roman"/>
          <w:color w:val="000000" w:themeColor="text1"/>
          <w:sz w:val="24"/>
          <w:szCs w:val="24"/>
        </w:rPr>
        <w:t xml:space="preserve">(figura 39) </w:t>
      </w:r>
      <w:r w:rsidRPr="00CD2ADD">
        <w:rPr>
          <w:rFonts w:ascii="Times New Roman" w:hAnsi="Times New Roman" w:cs="Times New Roman"/>
          <w:color w:val="000000" w:themeColor="text1"/>
          <w:sz w:val="24"/>
          <w:szCs w:val="24"/>
        </w:rPr>
        <w:t>confirmă că bolile infecțioase intestinale și cele respiratorii reprezintă principalele categorii epidemiologice cu impact major, manifestând valori extreme în anumiți ani și evidențiind sensibilitatea sistemului pediatric la schimbările de mediu. În special, enteritele, colitele și gastroenteritele prezintă vârfuri semnificative (de exemplu peste 9.000 de cazuri în 2018 și 15.558 cazuri în 2021), ceea ce indică vulnerabilități la nivelul calității apei, igienei, siguranței alimentare și managementului riscurilor climatice (temperaturi ridicate, întreruperi în alimentarea cu apă, expunere la agenți biologici). Totodată, infecțiile intestinale acute provocate de agenți nedeterminați cresc masiv în anumiți ani (peste 28.000 cazuri în 2021), ceea ce semnalează atât lipsa de diagnosticare rapidă, cât și posibile perturbări în mediul înconjurător sau schimbări în comportamentul de consum. Aceste oscilații accentuate indică o expunere ridicată a copiilor la riscuri biologico-sociale, corelată cu factori de mediu și infrastructură deficitară.</w:t>
      </w:r>
    </w:p>
    <w:p w14:paraId="04C2D4AC" w14:textId="266EC093" w:rsidR="0096247B" w:rsidRPr="00CD2ADD" w:rsidRDefault="0096247B" w:rsidP="00441107">
      <w:pPr>
        <w:spacing w:after="120"/>
        <w:ind w:firstLine="284"/>
        <w:jc w:val="both"/>
        <w:rPr>
          <w:color w:val="000000" w:themeColor="text1"/>
          <w:lang w:eastAsia="en-US"/>
        </w:rPr>
      </w:pPr>
      <w:r w:rsidRPr="00CD2ADD">
        <w:rPr>
          <w:color w:val="000000" w:themeColor="text1"/>
          <w:lang w:eastAsia="en-US"/>
        </w:rPr>
        <w:t xml:space="preserve">Datele evidențiază o </w:t>
      </w:r>
      <w:r w:rsidRPr="00CD2ADD">
        <w:rPr>
          <w:b/>
          <w:bCs/>
          <w:i/>
          <w:iCs/>
          <w:color w:val="000000" w:themeColor="text1"/>
          <w:lang w:eastAsia="en-US"/>
        </w:rPr>
        <w:t>corelație</w:t>
      </w:r>
      <w:r w:rsidR="004E429E" w:rsidRPr="00CD2ADD">
        <w:rPr>
          <w:b/>
          <w:bCs/>
          <w:i/>
          <w:iCs/>
          <w:color w:val="000000" w:themeColor="text1"/>
          <w:lang w:eastAsia="en-US"/>
        </w:rPr>
        <w:t xml:space="preserve"> potențială</w:t>
      </w:r>
      <w:r w:rsidRPr="00CD2ADD">
        <w:rPr>
          <w:color w:val="000000" w:themeColor="text1"/>
          <w:lang w:eastAsia="en-US"/>
        </w:rPr>
        <w:t xml:space="preserve"> între anii cu șocuri sanitare sau climatice (ex.: 2020-2022, pandemie si secetă severă) și creșterea bruscă a numărului de cazuri în rândul copiilor, inclusiv pentru boli precum scarlatina, tusea convulsivă, varicela, infecțiile enterovirale și pediculoza. </w:t>
      </w:r>
      <w:r w:rsidR="00E2268B" w:rsidRPr="00CD2ADD">
        <w:rPr>
          <w:color w:val="000000" w:themeColor="text1"/>
          <w:lang w:eastAsia="en-US"/>
        </w:rPr>
        <w:t xml:space="preserve">Din păcate, datele colectate de BNS și ANSP nu permit o dezagregare suficientă pentru a stabili corelări directe între, de exemplu, numărul zilelor cu caniculă și creșterea incidenței afecțiunilor cardiovasculare sau între scăderea debitelor de apă, deficitul de apă potabilă și creșterea bolilor infecțioase. Putem formula deducții logice, dar nu demonstrații statistice directe. </w:t>
      </w:r>
      <w:r w:rsidRPr="00CD2ADD">
        <w:rPr>
          <w:color w:val="000000" w:themeColor="text1"/>
          <w:lang w:eastAsia="en-US"/>
        </w:rPr>
        <w:t xml:space="preserve">Această sensibilitate crescută demonstrează că sistemul de sănătate publică pediatrică poate fi influențat de perturbările ecosistemice (temperaturi extreme, calitatea scăzută a apei, densitate populațională în școli, acces redus la servicii medicale primare). Totodată, reapariția unor boli precum rujeola, tusea convulsivă sau hepatita A confirmă </w:t>
      </w:r>
      <w:r w:rsidRPr="00CD2ADD">
        <w:rPr>
          <w:color w:val="000000" w:themeColor="text1"/>
          <w:lang w:eastAsia="en-US"/>
        </w:rPr>
        <w:lastRenderedPageBreak/>
        <w:t xml:space="preserve">riscurile asociate cu scăderea acoperirii vaccinale. Acest tablou complex justifică integrarea în Program a unor măsuri intersectoriale: îmbunătățirea sistemelor de supraveghere epidemiologică, consolidarea capacităților de diagnostic, gestionarea riscurilor legate de siguranța alimentară și apă, precum și măsuri de reziliență climatică în școli și comunități. În mod particular, creșterile masive observate la anumite categorii (ex.: Varicela – peste 42.000 cazuri în 2021) indică necesitatea unui management preventiv robust, incluzând instruirea APL, campanii țintite și protocoale integrate de răspuns rapid. </w:t>
      </w:r>
    </w:p>
    <w:p w14:paraId="36083CF0" w14:textId="5BF31486" w:rsidR="00441107" w:rsidRPr="00CD2ADD" w:rsidRDefault="00441107" w:rsidP="00441107">
      <w:pPr>
        <w:spacing w:after="120"/>
        <w:ind w:firstLine="284"/>
        <w:jc w:val="center"/>
        <w:rPr>
          <w:color w:val="000000" w:themeColor="text1"/>
          <w:lang w:eastAsia="en-US"/>
        </w:rPr>
      </w:pPr>
      <w:r w:rsidRPr="00CD2ADD">
        <w:rPr>
          <w:b/>
          <w:bCs/>
          <w:color w:val="000000" w:themeColor="text1"/>
          <w:lang w:eastAsia="en-US"/>
        </w:rPr>
        <w:t>Figura 39.</w:t>
      </w:r>
      <w:r w:rsidRPr="00CD2ADD">
        <w:rPr>
          <w:color w:val="000000" w:themeColor="text1"/>
          <w:lang w:eastAsia="en-US"/>
        </w:rPr>
        <w:t xml:space="preserve"> Morbiditatea copiilor pe boli infecțioase, ani (cazuri)</w:t>
      </w:r>
    </w:p>
    <w:p w14:paraId="38993B1B" w14:textId="1A0D8E24" w:rsidR="001315C2" w:rsidRPr="00CD2ADD" w:rsidRDefault="00B339C7" w:rsidP="008D4243">
      <w:pPr>
        <w:spacing w:after="120"/>
        <w:jc w:val="both"/>
        <w:rPr>
          <w:sz w:val="22"/>
          <w:szCs w:val="22"/>
          <w:lang w:eastAsia="en-US"/>
        </w:rPr>
      </w:pPr>
      <w:r w:rsidRPr="00CD2ADD">
        <w:rPr>
          <w:noProof/>
        </w:rPr>
        <w:drawing>
          <wp:inline distT="0" distB="0" distL="0" distR="0" wp14:anchorId="1512B06E" wp14:editId="0FCDC8CB">
            <wp:extent cx="6284595" cy="6493398"/>
            <wp:effectExtent l="0" t="0" r="14605" b="9525"/>
            <wp:docPr id="1658090560" name="Chart 1">
              <a:extLst xmlns:a="http://schemas.openxmlformats.org/drawingml/2006/main">
                <a:ext uri="{FF2B5EF4-FFF2-40B4-BE49-F238E27FC236}">
                  <a16:creationId xmlns:a16="http://schemas.microsoft.com/office/drawing/2014/main" id="{D503005D-94EE-615D-35BD-D67F8DABBF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39D84A1" w14:textId="470CD35E" w:rsidR="001103FD" w:rsidRDefault="00B339C7" w:rsidP="003A4CCB">
      <w:pPr>
        <w:spacing w:after="120"/>
        <w:jc w:val="center"/>
        <w:rPr>
          <w:i/>
          <w:iCs/>
          <w:sz w:val="22"/>
          <w:szCs w:val="22"/>
          <w:lang w:eastAsia="en-US"/>
        </w:rPr>
      </w:pPr>
      <w:r w:rsidRPr="00CD2ADD">
        <w:rPr>
          <w:i/>
          <w:iCs/>
          <w:sz w:val="22"/>
          <w:szCs w:val="22"/>
          <w:lang w:eastAsia="en-US"/>
        </w:rPr>
        <w:t>Sursa: BNS</w:t>
      </w:r>
    </w:p>
    <w:p w14:paraId="0FD0C814" w14:textId="77777777" w:rsidR="00392C6D" w:rsidRDefault="00392C6D" w:rsidP="003A4CCB">
      <w:pPr>
        <w:spacing w:after="120"/>
        <w:jc w:val="center"/>
        <w:rPr>
          <w:i/>
          <w:iCs/>
          <w:sz w:val="22"/>
          <w:szCs w:val="22"/>
          <w:lang w:eastAsia="en-US"/>
        </w:rPr>
      </w:pPr>
    </w:p>
    <w:p w14:paraId="0B3158F3" w14:textId="77777777" w:rsidR="00392C6D" w:rsidRPr="00CD2ADD" w:rsidRDefault="00392C6D" w:rsidP="003A4CCB">
      <w:pPr>
        <w:spacing w:after="120"/>
        <w:jc w:val="center"/>
        <w:rPr>
          <w:i/>
          <w:iCs/>
          <w:sz w:val="22"/>
          <w:szCs w:val="22"/>
          <w:lang w:eastAsia="en-US"/>
        </w:rPr>
      </w:pPr>
    </w:p>
    <w:p w14:paraId="1F6C1938" w14:textId="3E61BFEE" w:rsidR="001103FD" w:rsidRPr="00CD2ADD" w:rsidRDefault="003A4CCB" w:rsidP="003A4CCB">
      <w:pPr>
        <w:spacing w:after="120"/>
        <w:jc w:val="center"/>
        <w:rPr>
          <w:sz w:val="22"/>
          <w:szCs w:val="22"/>
          <w:lang w:eastAsia="en-US"/>
        </w:rPr>
      </w:pPr>
      <w:r w:rsidRPr="00CD2ADD">
        <w:rPr>
          <w:b/>
          <w:bCs/>
          <w:sz w:val="22"/>
          <w:szCs w:val="22"/>
          <w:lang w:eastAsia="en-US"/>
        </w:rPr>
        <w:lastRenderedPageBreak/>
        <w:t>Figura 40.</w:t>
      </w:r>
      <w:r w:rsidRPr="00CD2ADD">
        <w:rPr>
          <w:sz w:val="22"/>
          <w:szCs w:val="22"/>
          <w:lang w:eastAsia="en-US"/>
        </w:rPr>
        <w:t xml:space="preserve"> Copii cuprinși cu vaccinări preventive pe boli, vârsta și ani (procente)</w:t>
      </w:r>
    </w:p>
    <w:p w14:paraId="57BCAC8C" w14:textId="67785516" w:rsidR="005A68F0" w:rsidRPr="00CD2ADD" w:rsidRDefault="005A68F0" w:rsidP="008D4243">
      <w:pPr>
        <w:spacing w:after="120"/>
        <w:jc w:val="both"/>
        <w:rPr>
          <w:sz w:val="22"/>
          <w:szCs w:val="22"/>
          <w:lang w:eastAsia="en-US"/>
        </w:rPr>
      </w:pPr>
      <w:r w:rsidRPr="00CD2ADD">
        <w:rPr>
          <w:noProof/>
        </w:rPr>
        <w:drawing>
          <wp:inline distT="0" distB="0" distL="0" distR="0" wp14:anchorId="0E6516DF" wp14:editId="5C566479">
            <wp:extent cx="5995670" cy="3854370"/>
            <wp:effectExtent l="0" t="0" r="11430" b="6985"/>
            <wp:docPr id="2287938" name="Chart 1">
              <a:extLst xmlns:a="http://schemas.openxmlformats.org/drawingml/2006/main">
                <a:ext uri="{FF2B5EF4-FFF2-40B4-BE49-F238E27FC236}">
                  <a16:creationId xmlns:a16="http://schemas.microsoft.com/office/drawing/2014/main" id="{CDE1FF87-5331-8A43-A01E-FB1947AA2C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B9024F9" w14:textId="76A86FF9" w:rsidR="005A68F0" w:rsidRPr="00CD2ADD" w:rsidRDefault="005A68F0" w:rsidP="003A4CCB">
      <w:pPr>
        <w:spacing w:after="120"/>
        <w:jc w:val="center"/>
        <w:rPr>
          <w:i/>
          <w:iCs/>
          <w:sz w:val="22"/>
          <w:szCs w:val="22"/>
          <w:lang w:eastAsia="en-US"/>
        </w:rPr>
      </w:pPr>
      <w:r w:rsidRPr="00CD2ADD">
        <w:rPr>
          <w:i/>
          <w:iCs/>
          <w:sz w:val="22"/>
          <w:szCs w:val="22"/>
          <w:lang w:eastAsia="en-US"/>
        </w:rPr>
        <w:t>Sursa: BNS</w:t>
      </w:r>
    </w:p>
    <w:p w14:paraId="377880A5" w14:textId="32C329CC" w:rsidR="004E429E" w:rsidRPr="00CD2ADD" w:rsidRDefault="004E429E" w:rsidP="003A4CCB">
      <w:pPr>
        <w:ind w:firstLine="284"/>
        <w:jc w:val="both"/>
        <w:rPr>
          <w:b/>
          <w:bCs/>
          <w:color w:val="000000" w:themeColor="text1"/>
          <w:lang w:eastAsia="en-US"/>
        </w:rPr>
      </w:pPr>
      <w:r w:rsidRPr="00CD2ADD">
        <w:rPr>
          <w:b/>
          <w:bCs/>
          <w:color w:val="000000" w:themeColor="text1"/>
          <w:lang w:eastAsia="en-US"/>
        </w:rPr>
        <w:t>Vaccinarea ca măsură de prevenire a propagării bolilor infecțioase</w:t>
      </w:r>
    </w:p>
    <w:p w14:paraId="5CAF8533" w14:textId="17373295" w:rsidR="00EF7336" w:rsidRPr="00CD2ADD" w:rsidRDefault="00EF7336">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Graficul privind acoperirea vaccinală</w:t>
      </w:r>
      <w:r w:rsidR="000F6990">
        <w:rPr>
          <w:rFonts w:ascii="Times New Roman" w:hAnsi="Times New Roman" w:cs="Times New Roman"/>
          <w:color w:val="000000" w:themeColor="text1"/>
          <w:sz w:val="24"/>
          <w:szCs w:val="24"/>
        </w:rPr>
        <w:t xml:space="preserve"> (figura 40)</w:t>
      </w:r>
      <w:r w:rsidRPr="00CD2ADD">
        <w:rPr>
          <w:rFonts w:ascii="Times New Roman" w:hAnsi="Times New Roman" w:cs="Times New Roman"/>
          <w:color w:val="000000" w:themeColor="text1"/>
          <w:sz w:val="24"/>
          <w:szCs w:val="24"/>
        </w:rPr>
        <w:t xml:space="preserve"> arată că, deși Republica Moldova a menținut timp îndelungat rate foarte înalte de vaccinare (peste 95% pentru majoritatea antigenelor), începând cu anii 2009 - 2010  dar si 2018 - 2020 se observă o scădere graduală și constantă a nivelurilor de imunizare pentru mai multe boli transmisibile, inclusiv rujeolă, rubeolă, tuse convulsivă și hepatita B. Această scădere coincide cu perioadele în care morbiditatea prin anumite boli infecțioase a înregistrat creșteri, de exemplu, în cazul  rujeolei în 2019 și apoi în 2024, creșterea cazurilor de scarlatină și varicelă, precum și dinamica foarte accentuată a infecțiilor respiratorii la copii.</w:t>
      </w:r>
    </w:p>
    <w:p w14:paraId="1194A295" w14:textId="0C5FFBC7" w:rsidR="00EF7336" w:rsidRPr="00CD2ADD" w:rsidRDefault="00EF7336" w:rsidP="003A4CCB">
      <w:pPr>
        <w:ind w:firstLine="284"/>
        <w:jc w:val="both"/>
        <w:rPr>
          <w:color w:val="000000" w:themeColor="text1"/>
          <w:lang w:eastAsia="en-US"/>
        </w:rPr>
      </w:pPr>
      <w:r w:rsidRPr="00CD2ADD">
        <w:rPr>
          <w:color w:val="000000" w:themeColor="text1"/>
          <w:lang w:eastAsia="en-US"/>
        </w:rPr>
        <w:t>Tendința este relevanta pentru analiza riscurilor natural-biologice deoarece slaba acoperire vaccinală reduce semnificativ imunitatea colectivă, crescând vulnerabilitatea populației la izbucniri epidemice în contexte caracterizate de: mobilitate sporită, schimbări climatice, presiuni asupra sistemelor de sănătate și deficiențe în supravegherea epidemiologică. Scăderea vaccinării este inclusiv un indicator al fragilității sistemului de prevenție și reflectă probleme de comunicare publică, acces la servicii, fluctuații în lanțul logistic sau deficit de personal vaccinator,  aspecte care în Program, necesită măsuri dedicate de consolidare.</w:t>
      </w:r>
    </w:p>
    <w:p w14:paraId="4D046E01" w14:textId="3B7C4748" w:rsidR="00B73157" w:rsidRDefault="00EF7336" w:rsidP="00741830">
      <w:pPr>
        <w:ind w:firstLine="284"/>
        <w:jc w:val="both"/>
        <w:rPr>
          <w:color w:val="000000" w:themeColor="text1"/>
          <w:lang w:eastAsia="en-US"/>
        </w:rPr>
      </w:pPr>
      <w:r w:rsidRPr="00CD2ADD">
        <w:rPr>
          <w:color w:val="000000" w:themeColor="text1"/>
          <w:lang w:eastAsia="en-US"/>
        </w:rPr>
        <w:t>Corelarea celor două seturi de date evidențiază astfel un risc structural: dacă nivelurile de imunizare continuă să scadă, Republica Moldova poate înregistra creșteri și mai pronunțate ale bolilor transmisibile în următorii ani, inclusiv a celor cu potențial epidemic (rujeolă, tuse convulsiva) sau cu impact sever asupra copiilor (varicelă, infecții enterovirale). Programul vizează, prin urmare, să integreze măsuri de consolidare a prevenirii: supraveghere, informare, digitalizare și cooperare interinstituțională pentru a reduce vulnerabilitatea biologico-socială a populației.</w:t>
      </w:r>
    </w:p>
    <w:p w14:paraId="1892A4BA" w14:textId="77777777" w:rsidR="00ED0131" w:rsidRPr="00CD2ADD" w:rsidRDefault="00ED0131" w:rsidP="00741830">
      <w:pPr>
        <w:ind w:firstLine="284"/>
        <w:jc w:val="both"/>
        <w:rPr>
          <w:color w:val="000000" w:themeColor="text1"/>
          <w:lang w:eastAsia="en-US"/>
        </w:rPr>
      </w:pPr>
    </w:p>
    <w:p w14:paraId="656565B7" w14:textId="47B01D2D" w:rsidR="00B73157" w:rsidRPr="000F6990" w:rsidRDefault="00B73157" w:rsidP="003A4CCB">
      <w:pPr>
        <w:pStyle w:val="Subtitle"/>
        <w:spacing w:after="0" w:line="240" w:lineRule="auto"/>
        <w:ind w:firstLine="284"/>
        <w:rPr>
          <w:rStyle w:val="IntenseEmphasis"/>
          <w:rFonts w:ascii="Times New Roman" w:hAnsi="Times New Roman" w:cs="Times New Roman"/>
          <w:color w:val="000000" w:themeColor="text1"/>
          <w:sz w:val="24"/>
        </w:rPr>
      </w:pPr>
      <w:r w:rsidRPr="000F6990">
        <w:rPr>
          <w:rStyle w:val="IntenseEmphasis"/>
          <w:rFonts w:ascii="Times New Roman" w:hAnsi="Times New Roman" w:cs="Times New Roman"/>
          <w:color w:val="000000" w:themeColor="text1"/>
          <w:sz w:val="24"/>
        </w:rPr>
        <w:t>Calitatea apei, epurarea apelor uzate și riscurile biologico-sociale</w:t>
      </w:r>
    </w:p>
    <w:p w14:paraId="3141CAAF" w14:textId="42EDE273" w:rsidR="007B2C78" w:rsidRPr="000F6990" w:rsidRDefault="00B73157">
      <w:pPr>
        <w:pStyle w:val="ListParagraph"/>
        <w:numPr>
          <w:ilvl w:val="0"/>
          <w:numId w:val="42"/>
        </w:numPr>
        <w:spacing w:after="120"/>
        <w:ind w:left="0" w:firstLine="284"/>
        <w:jc w:val="both"/>
        <w:rPr>
          <w:rFonts w:ascii="Times New Roman" w:hAnsi="Times New Roman" w:cs="Times New Roman"/>
          <w:color w:val="000000" w:themeColor="text1"/>
          <w:sz w:val="24"/>
          <w:szCs w:val="24"/>
        </w:rPr>
      </w:pPr>
      <w:r w:rsidRPr="000F6990">
        <w:rPr>
          <w:rFonts w:ascii="Times New Roman" w:hAnsi="Times New Roman" w:cs="Times New Roman"/>
          <w:color w:val="000000" w:themeColor="text1"/>
          <w:sz w:val="24"/>
          <w:szCs w:val="24"/>
        </w:rPr>
        <w:t xml:space="preserve">Calitatea apei și gestionarea apelor uzate reprezintă un factor determinant pentru riscurile biologico-sociale din Republica Moldova, influențând direct dinamica bolilor infecțioase, </w:t>
      </w:r>
      <w:r w:rsidRPr="000F6990">
        <w:rPr>
          <w:rFonts w:ascii="Times New Roman" w:hAnsi="Times New Roman" w:cs="Times New Roman"/>
          <w:color w:val="000000" w:themeColor="text1"/>
          <w:sz w:val="24"/>
          <w:szCs w:val="24"/>
        </w:rPr>
        <w:lastRenderedPageBreak/>
        <w:t>toxiinfecțiilor alimentare, hepatitelor virale și a bolilor intestinale acute. Datele analizate pentru perioada 2005 - 2024 arată un tablou mixt: anumite îmbunătățiri structurale (extinderea stațiilor de epurare, creșterea volumului de apă epurată) coexistă cu probleme persistente, cu potențial sporit de agravare în contextul schimbărilor climatice.</w:t>
      </w:r>
    </w:p>
    <w:p w14:paraId="1E6FABA0" w14:textId="0C7D94EF" w:rsidR="00B73157" w:rsidRPr="000F6990" w:rsidRDefault="00B73157" w:rsidP="00741830">
      <w:pPr>
        <w:ind w:firstLine="284"/>
        <w:jc w:val="both"/>
        <w:rPr>
          <w:b/>
          <w:bCs/>
          <w:lang w:eastAsia="en-US"/>
        </w:rPr>
      </w:pPr>
      <w:r w:rsidRPr="000F6990">
        <w:rPr>
          <w:b/>
          <w:bCs/>
          <w:lang w:eastAsia="en-US"/>
        </w:rPr>
        <w:t>Epurarea apelor uzate</w:t>
      </w:r>
      <w:r w:rsidR="002572FE" w:rsidRPr="000F6990">
        <w:rPr>
          <w:b/>
          <w:bCs/>
          <w:lang w:eastAsia="en-US"/>
        </w:rPr>
        <w:t xml:space="preserve">: </w:t>
      </w:r>
      <w:r w:rsidRPr="000F6990">
        <w:rPr>
          <w:b/>
          <w:bCs/>
          <w:lang w:eastAsia="en-US"/>
        </w:rPr>
        <w:t>progres lent, dar decalaje semnificative față de necesar</w:t>
      </w:r>
    </w:p>
    <w:p w14:paraId="24D3430E" w14:textId="3817BA88" w:rsidR="006A6304" w:rsidRPr="000F6990" w:rsidRDefault="006A6304">
      <w:pPr>
        <w:pStyle w:val="Caption"/>
        <w:numPr>
          <w:ilvl w:val="0"/>
          <w:numId w:val="42"/>
        </w:numPr>
        <w:spacing w:after="0"/>
        <w:ind w:left="0" w:firstLine="284"/>
        <w:jc w:val="both"/>
        <w:rPr>
          <w:rFonts w:ascii="Times New Roman" w:eastAsia="Times New Roman" w:hAnsi="Times New Roman" w:cs="Times New Roman"/>
          <w:bCs w:val="0"/>
          <w:smallCaps w:val="0"/>
          <w:color w:val="auto"/>
          <w:spacing w:val="0"/>
          <w:sz w:val="24"/>
          <w:szCs w:val="24"/>
        </w:rPr>
      </w:pPr>
      <w:r w:rsidRPr="000F6990">
        <w:rPr>
          <w:rFonts w:ascii="Times New Roman" w:eastAsia="Times New Roman" w:hAnsi="Times New Roman" w:cs="Times New Roman"/>
          <w:bCs w:val="0"/>
          <w:smallCaps w:val="0"/>
          <w:color w:val="auto"/>
          <w:spacing w:val="0"/>
          <w:sz w:val="24"/>
          <w:szCs w:val="24"/>
        </w:rPr>
        <w:t>Datele arată că volumul total al apelor uzate evacuate în sistemul public de canalizare s-a menținut relativ stabil între 650.000 și 710.000 mii m³ anual în perioada 2016</w:t>
      </w:r>
      <w:r w:rsidR="00B51E99" w:rsidRPr="000F6990">
        <w:rPr>
          <w:rFonts w:ascii="Times New Roman" w:eastAsia="Times New Roman" w:hAnsi="Times New Roman" w:cs="Times New Roman"/>
          <w:bCs w:val="0"/>
          <w:smallCaps w:val="0"/>
          <w:color w:val="auto"/>
          <w:spacing w:val="0"/>
          <w:sz w:val="24"/>
          <w:szCs w:val="24"/>
        </w:rPr>
        <w:t xml:space="preserve"> - </w:t>
      </w:r>
      <w:r w:rsidRPr="000F6990">
        <w:rPr>
          <w:rFonts w:ascii="Times New Roman" w:eastAsia="Times New Roman" w:hAnsi="Times New Roman" w:cs="Times New Roman"/>
          <w:bCs w:val="0"/>
          <w:smallCaps w:val="0"/>
          <w:color w:val="auto"/>
          <w:spacing w:val="0"/>
          <w:sz w:val="24"/>
          <w:szCs w:val="24"/>
        </w:rPr>
        <w:t>2022. În general, în jur de 85% din aceste ape sunt convențional pure (nesupuse unui proces de epurare activ), însă numai 18–20% ajung să fie epurate conform normelor, în timp ce 1</w:t>
      </w:r>
      <w:r w:rsidR="00B51E99" w:rsidRPr="000F6990">
        <w:rPr>
          <w:rFonts w:ascii="Times New Roman" w:eastAsia="Times New Roman" w:hAnsi="Times New Roman" w:cs="Times New Roman"/>
          <w:bCs w:val="0"/>
          <w:smallCaps w:val="0"/>
          <w:color w:val="auto"/>
          <w:spacing w:val="0"/>
          <w:sz w:val="24"/>
          <w:szCs w:val="24"/>
        </w:rPr>
        <w:t xml:space="preserve"> - </w:t>
      </w:r>
      <w:r w:rsidRPr="000F6990">
        <w:rPr>
          <w:rFonts w:ascii="Times New Roman" w:eastAsia="Times New Roman" w:hAnsi="Times New Roman" w:cs="Times New Roman"/>
          <w:bCs w:val="0"/>
          <w:smallCaps w:val="0"/>
          <w:color w:val="auto"/>
          <w:spacing w:val="0"/>
          <w:sz w:val="24"/>
          <w:szCs w:val="24"/>
        </w:rPr>
        <w:t>7% rămân poluate sau insuficient tratate. Diferența dintre volumele evacuate și cele epurate indică în mod constant că o parte semnificativă a apelor uzate ajung în mediul natural fără tratare adecvată.</w:t>
      </w:r>
    </w:p>
    <w:p w14:paraId="18F410FC" w14:textId="37B3DB51" w:rsidR="006A6304" w:rsidRPr="000F6990" w:rsidRDefault="006A6304" w:rsidP="00741830">
      <w:pPr>
        <w:pStyle w:val="Caption"/>
        <w:ind w:firstLine="284"/>
        <w:jc w:val="both"/>
        <w:rPr>
          <w:rFonts w:ascii="Times New Roman" w:eastAsia="Times New Roman" w:hAnsi="Times New Roman" w:cs="Times New Roman"/>
          <w:bCs w:val="0"/>
          <w:smallCaps w:val="0"/>
          <w:color w:val="auto"/>
          <w:spacing w:val="0"/>
          <w:sz w:val="24"/>
          <w:szCs w:val="24"/>
        </w:rPr>
      </w:pPr>
      <w:r w:rsidRPr="000F6990">
        <w:rPr>
          <w:rFonts w:ascii="Times New Roman" w:eastAsia="Times New Roman" w:hAnsi="Times New Roman" w:cs="Times New Roman"/>
          <w:bCs w:val="0"/>
          <w:smallCaps w:val="0"/>
          <w:color w:val="auto"/>
          <w:spacing w:val="0"/>
          <w:sz w:val="24"/>
          <w:szCs w:val="24"/>
        </w:rPr>
        <w:t>Valorile foarte scăzute din 2023</w:t>
      </w:r>
      <w:r w:rsidR="00B51E99" w:rsidRPr="000F6990">
        <w:rPr>
          <w:rFonts w:ascii="Times New Roman" w:eastAsia="Times New Roman" w:hAnsi="Times New Roman" w:cs="Times New Roman"/>
          <w:bCs w:val="0"/>
          <w:smallCaps w:val="0"/>
          <w:color w:val="auto"/>
          <w:spacing w:val="0"/>
          <w:sz w:val="24"/>
          <w:szCs w:val="24"/>
        </w:rPr>
        <w:t xml:space="preserve"> - </w:t>
      </w:r>
      <w:r w:rsidRPr="000F6990">
        <w:rPr>
          <w:rFonts w:ascii="Times New Roman" w:eastAsia="Times New Roman" w:hAnsi="Times New Roman" w:cs="Times New Roman"/>
          <w:bCs w:val="0"/>
          <w:smallCaps w:val="0"/>
          <w:color w:val="auto"/>
          <w:spacing w:val="0"/>
          <w:sz w:val="24"/>
          <w:szCs w:val="24"/>
        </w:rPr>
        <w:t>2024 (sub 100.000 mii m³) sunt cel mai probabil asociate cu o schimbare de metodologie sau raportare, deoarece nu corespund tendinței istorice și capacităților instalate</w:t>
      </w:r>
      <w:r w:rsidR="000F6990" w:rsidRPr="000F6990">
        <w:rPr>
          <w:rFonts w:ascii="Times New Roman" w:eastAsia="Times New Roman" w:hAnsi="Times New Roman" w:cs="Times New Roman"/>
          <w:bCs w:val="0"/>
          <w:smallCaps w:val="0"/>
          <w:color w:val="auto"/>
          <w:spacing w:val="0"/>
          <w:sz w:val="24"/>
          <w:szCs w:val="24"/>
        </w:rPr>
        <w:t xml:space="preserve"> (figura 41)</w:t>
      </w:r>
      <w:r w:rsidRPr="000F6990">
        <w:rPr>
          <w:rFonts w:ascii="Times New Roman" w:eastAsia="Times New Roman" w:hAnsi="Times New Roman" w:cs="Times New Roman"/>
          <w:bCs w:val="0"/>
          <w:smallCaps w:val="0"/>
          <w:color w:val="auto"/>
          <w:spacing w:val="0"/>
          <w:sz w:val="24"/>
          <w:szCs w:val="24"/>
        </w:rPr>
        <w:t>.</w:t>
      </w:r>
    </w:p>
    <w:p w14:paraId="0459976F" w14:textId="7CBDED51" w:rsidR="00741830" w:rsidRPr="000F6990" w:rsidRDefault="00741830" w:rsidP="00741830">
      <w:pPr>
        <w:jc w:val="center"/>
        <w:rPr>
          <w:lang w:eastAsia="en-US"/>
        </w:rPr>
      </w:pPr>
      <w:r w:rsidRPr="000F6990">
        <w:rPr>
          <w:b/>
          <w:bCs/>
          <w:lang w:eastAsia="en-US"/>
        </w:rPr>
        <w:t>Figura 41.</w:t>
      </w:r>
      <w:r w:rsidRPr="000F6990">
        <w:rPr>
          <w:lang w:eastAsia="en-US"/>
        </w:rPr>
        <w:t xml:space="preserve"> Evacuarea apelor reziduale, de mină și freatice drenate în obiectivele acvatice de suprafață pe categorii de ape reziduale și ani (milioane metri cubi)</w:t>
      </w:r>
    </w:p>
    <w:p w14:paraId="3504A6C3" w14:textId="222E6873" w:rsidR="00B73157" w:rsidRPr="00CD2ADD" w:rsidRDefault="00B73157" w:rsidP="000F6990">
      <w:pPr>
        <w:jc w:val="center"/>
        <w:rPr>
          <w:sz w:val="22"/>
          <w:szCs w:val="22"/>
          <w:lang w:eastAsia="en-US"/>
        </w:rPr>
      </w:pPr>
      <w:r w:rsidRPr="00CD2ADD">
        <w:rPr>
          <w:noProof/>
        </w:rPr>
        <w:drawing>
          <wp:inline distT="0" distB="0" distL="0" distR="0" wp14:anchorId="6969C08B" wp14:editId="3995AB95">
            <wp:extent cx="6188710" cy="3703955"/>
            <wp:effectExtent l="0" t="0" r="8890" b="17145"/>
            <wp:docPr id="1172827828" name="Chart 1">
              <a:extLst xmlns:a="http://schemas.openxmlformats.org/drawingml/2006/main">
                <a:ext uri="{FF2B5EF4-FFF2-40B4-BE49-F238E27FC236}">
                  <a16:creationId xmlns:a16="http://schemas.microsoft.com/office/drawing/2014/main" id="{E34F421D-765D-69E5-D171-5729296077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5B32B47" w14:textId="17DC02A3" w:rsidR="00B73157" w:rsidRPr="00CD2ADD" w:rsidRDefault="00B73157" w:rsidP="000F6990">
      <w:pPr>
        <w:jc w:val="center"/>
        <w:rPr>
          <w:i/>
          <w:iCs/>
          <w:sz w:val="22"/>
          <w:szCs w:val="22"/>
          <w:lang w:eastAsia="en-US"/>
        </w:rPr>
      </w:pPr>
      <w:r w:rsidRPr="00CD2ADD">
        <w:rPr>
          <w:i/>
          <w:iCs/>
          <w:sz w:val="22"/>
          <w:szCs w:val="22"/>
          <w:lang w:eastAsia="en-US"/>
        </w:rPr>
        <w:t xml:space="preserve">Sursa: BNS, </w:t>
      </w:r>
      <w:r w:rsidR="00F663AC" w:rsidRPr="00CD2ADD">
        <w:rPr>
          <w:i/>
          <w:iCs/>
          <w:sz w:val="22"/>
          <w:szCs w:val="22"/>
          <w:lang w:eastAsia="en-US"/>
        </w:rPr>
        <w:t xml:space="preserve">IP AN </w:t>
      </w:r>
      <w:r w:rsidR="00E70FEF" w:rsidRPr="00CD2ADD">
        <w:rPr>
          <w:i/>
          <w:iCs/>
          <w:sz w:val="22"/>
          <w:szCs w:val="22"/>
          <w:lang w:eastAsia="en-US"/>
        </w:rPr>
        <w:t>Apele Moldovei</w:t>
      </w:r>
    </w:p>
    <w:p w14:paraId="6135BC27" w14:textId="0DEC8BF3" w:rsidR="003A5000" w:rsidRPr="000F6990" w:rsidRDefault="003A5000" w:rsidP="00741830">
      <w:pPr>
        <w:ind w:firstLine="284"/>
        <w:jc w:val="both"/>
        <w:rPr>
          <w:lang w:eastAsia="en-US"/>
        </w:rPr>
      </w:pPr>
      <w:r w:rsidRPr="000F6990">
        <w:rPr>
          <w:lang w:eastAsia="en-US"/>
        </w:rPr>
        <w:t>În ceea ce privește infrastructura, numărul stațiilor de epurare a crescut de la aprox. 85 în 2016 la 125 în 2024, iar stațiile efectiv funcționale au avansat de la 72 la peste 115 unități în aceeași perioadă. Deși extinderea rețelei este notabilă, capacitatea tehnică, gradul de modernizare și mentenanța rămân limitate, ceea ce ar putea explica persistența volumelor mari de ape netratate sau insuficient tratate</w:t>
      </w:r>
      <w:r w:rsidR="00741830" w:rsidRPr="000F6990">
        <w:rPr>
          <w:lang w:eastAsia="en-US"/>
        </w:rPr>
        <w:t>.</w:t>
      </w:r>
    </w:p>
    <w:p w14:paraId="23D823F1" w14:textId="50C5849D" w:rsidR="009175BB" w:rsidRDefault="003A5000" w:rsidP="00741830">
      <w:pPr>
        <w:spacing w:after="120"/>
        <w:ind w:firstLine="284"/>
        <w:jc w:val="both"/>
        <w:rPr>
          <w:lang w:eastAsia="en-US"/>
        </w:rPr>
      </w:pPr>
      <w:r w:rsidRPr="000F6990">
        <w:rPr>
          <w:lang w:eastAsia="en-US"/>
        </w:rPr>
        <w:t xml:space="preserve">Persistența acestor fluxuri poluate reprezintă o vulnerabilitate </w:t>
      </w:r>
      <w:r w:rsidR="002572FE" w:rsidRPr="000F6990">
        <w:rPr>
          <w:lang w:eastAsia="en-US"/>
        </w:rPr>
        <w:t>importantă</w:t>
      </w:r>
      <w:r w:rsidRPr="000F6990">
        <w:rPr>
          <w:lang w:eastAsia="en-US"/>
        </w:rPr>
        <w:t>: în situații de inundații, secetă severă sau avarii ale stațiilor de epurare, riscul contaminării surselor de apă potabilă crește semnificativ, ceea ce poate genera focare de boli intestinale și riscuri epidemiologice. Această situație confirmă o problemă structurală sectorială, infrastructura există, însă conectarea, eficiența tehnică și capacitatea operațională rămân insuficiente.</w:t>
      </w:r>
      <w:bookmarkEnd w:id="80"/>
      <w:bookmarkEnd w:id="81"/>
    </w:p>
    <w:p w14:paraId="254A8731" w14:textId="77777777" w:rsidR="00392C6D" w:rsidRPr="000F6990" w:rsidRDefault="00392C6D" w:rsidP="00741830">
      <w:pPr>
        <w:spacing w:after="120"/>
        <w:ind w:firstLine="284"/>
        <w:jc w:val="both"/>
        <w:rPr>
          <w:lang w:eastAsia="en-US"/>
        </w:rPr>
      </w:pPr>
    </w:p>
    <w:p w14:paraId="7FF100BD" w14:textId="0955E587" w:rsidR="00741830" w:rsidRPr="000F6990" w:rsidRDefault="00741830" w:rsidP="00741830">
      <w:pPr>
        <w:spacing w:after="120"/>
        <w:ind w:firstLine="284"/>
        <w:jc w:val="center"/>
        <w:rPr>
          <w:lang w:eastAsia="en-US"/>
        </w:rPr>
      </w:pPr>
      <w:r w:rsidRPr="000F6990">
        <w:rPr>
          <w:b/>
          <w:bCs/>
          <w:lang w:eastAsia="en-US"/>
        </w:rPr>
        <w:lastRenderedPageBreak/>
        <w:t>Figura 42.</w:t>
      </w:r>
      <w:r w:rsidRPr="000F6990">
        <w:rPr>
          <w:lang w:eastAsia="en-US"/>
        </w:rPr>
        <w:t xml:space="preserve"> Volumul total al apelor uzate evacuate în sistemul public de canalizare și volumul total al apelor uzate epurate, mii metri cubi</w:t>
      </w:r>
    </w:p>
    <w:p w14:paraId="2BE8E85F" w14:textId="46524975" w:rsidR="007833DA" w:rsidRPr="00CD2ADD" w:rsidRDefault="00E70FEF" w:rsidP="000F6990">
      <w:pPr>
        <w:jc w:val="center"/>
        <w:rPr>
          <w:sz w:val="22"/>
          <w:szCs w:val="22"/>
          <w:lang w:eastAsia="en-US"/>
        </w:rPr>
      </w:pPr>
      <w:r w:rsidRPr="00CD2ADD">
        <w:rPr>
          <w:noProof/>
        </w:rPr>
        <w:drawing>
          <wp:inline distT="0" distB="0" distL="0" distR="0" wp14:anchorId="5DD8E8D7" wp14:editId="779FC790">
            <wp:extent cx="5648446" cy="2893671"/>
            <wp:effectExtent l="0" t="0" r="15875" b="15240"/>
            <wp:docPr id="1851457494" name="Chart 1">
              <a:extLst xmlns:a="http://schemas.openxmlformats.org/drawingml/2006/main">
                <a:ext uri="{FF2B5EF4-FFF2-40B4-BE49-F238E27FC236}">
                  <a16:creationId xmlns:a16="http://schemas.microsoft.com/office/drawing/2014/main" id="{4042D2E9-55F1-D4E7-1F43-BCBE0EA4CA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ABDC39F" w14:textId="44C4CC34" w:rsidR="00E70FEF" w:rsidRPr="00CD2ADD" w:rsidRDefault="00E70FEF" w:rsidP="00741830">
      <w:pPr>
        <w:spacing w:after="120"/>
        <w:jc w:val="center"/>
        <w:rPr>
          <w:i/>
          <w:iCs/>
          <w:sz w:val="22"/>
          <w:szCs w:val="22"/>
          <w:lang w:eastAsia="en-US"/>
        </w:rPr>
      </w:pPr>
      <w:r w:rsidRPr="00CD2ADD">
        <w:rPr>
          <w:i/>
          <w:iCs/>
          <w:sz w:val="22"/>
          <w:szCs w:val="22"/>
          <w:lang w:eastAsia="en-US"/>
        </w:rPr>
        <w:t>Sursa: BNS, Raportul statistic Nr 1 apeduct-canalizare</w:t>
      </w:r>
    </w:p>
    <w:p w14:paraId="543ED490" w14:textId="537CD9A0" w:rsidR="00741830" w:rsidRPr="000F6990" w:rsidRDefault="00741830" w:rsidP="00741830">
      <w:pPr>
        <w:spacing w:after="120"/>
        <w:jc w:val="center"/>
        <w:rPr>
          <w:lang w:eastAsia="en-US"/>
        </w:rPr>
      </w:pPr>
      <w:r w:rsidRPr="000F6990">
        <w:rPr>
          <w:b/>
          <w:bCs/>
          <w:lang w:eastAsia="en-US"/>
        </w:rPr>
        <w:t>Figura 43.</w:t>
      </w:r>
      <w:r w:rsidRPr="000F6990">
        <w:rPr>
          <w:lang w:eastAsia="en-US"/>
        </w:rPr>
        <w:t xml:space="preserve"> Numărul total al stațiilor de epurare a apelor uzate și a stațiilor de epurare în funcțiune, unități</w:t>
      </w:r>
    </w:p>
    <w:p w14:paraId="7E8BDF97" w14:textId="0EB475FD" w:rsidR="00E10234" w:rsidRPr="00CD2ADD" w:rsidRDefault="00E10234" w:rsidP="000F6990">
      <w:pPr>
        <w:jc w:val="center"/>
        <w:rPr>
          <w:sz w:val="22"/>
          <w:szCs w:val="22"/>
          <w:lang w:eastAsia="en-US"/>
        </w:rPr>
      </w:pPr>
      <w:r w:rsidRPr="00CD2ADD">
        <w:rPr>
          <w:noProof/>
        </w:rPr>
        <w:drawing>
          <wp:inline distT="0" distB="0" distL="0" distR="0" wp14:anchorId="3C1F1FCF" wp14:editId="78C45FEA">
            <wp:extent cx="5648325" cy="3298785"/>
            <wp:effectExtent l="0" t="0" r="15875" b="16510"/>
            <wp:docPr id="1963032523" name="Chart 1">
              <a:extLst xmlns:a="http://schemas.openxmlformats.org/drawingml/2006/main">
                <a:ext uri="{FF2B5EF4-FFF2-40B4-BE49-F238E27FC236}">
                  <a16:creationId xmlns:a16="http://schemas.microsoft.com/office/drawing/2014/main" id="{B375F152-CD7D-BAF2-A51F-A2505BA3F7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40DF6F0" w14:textId="21F96875" w:rsidR="00E10234" w:rsidRPr="00CD2ADD" w:rsidRDefault="00E10234" w:rsidP="00741830">
      <w:pPr>
        <w:spacing w:after="120"/>
        <w:jc w:val="center"/>
        <w:rPr>
          <w:i/>
          <w:iCs/>
          <w:sz w:val="22"/>
          <w:szCs w:val="22"/>
          <w:lang w:eastAsia="en-US"/>
        </w:rPr>
      </w:pPr>
      <w:r w:rsidRPr="00CD2ADD">
        <w:rPr>
          <w:i/>
          <w:iCs/>
          <w:sz w:val="22"/>
          <w:szCs w:val="22"/>
          <w:lang w:eastAsia="en-US"/>
        </w:rPr>
        <w:t>Sursa: BNS, Raportul statistic Nr 1 apeduct-canalizare</w:t>
      </w:r>
    </w:p>
    <w:p w14:paraId="35DD3F62" w14:textId="21DB5926" w:rsidR="00FB7CCD" w:rsidRPr="000F6990" w:rsidRDefault="00FB7CCD" w:rsidP="00741830">
      <w:pPr>
        <w:ind w:firstLine="284"/>
        <w:jc w:val="both"/>
        <w:rPr>
          <w:b/>
          <w:bCs/>
          <w:lang w:eastAsia="en-US"/>
        </w:rPr>
      </w:pPr>
      <w:r w:rsidRPr="000F6990">
        <w:rPr>
          <w:b/>
          <w:bCs/>
          <w:lang w:eastAsia="en-US"/>
        </w:rPr>
        <w:t>Poluanți evacuați în corpurile de apă</w:t>
      </w:r>
      <w:r w:rsidR="002572FE" w:rsidRPr="000F6990">
        <w:rPr>
          <w:b/>
          <w:bCs/>
          <w:lang w:eastAsia="en-US"/>
        </w:rPr>
        <w:t xml:space="preserve">: </w:t>
      </w:r>
      <w:r w:rsidRPr="000F6990">
        <w:rPr>
          <w:b/>
          <w:bCs/>
          <w:lang w:eastAsia="en-US"/>
        </w:rPr>
        <w:t xml:space="preserve">încărcare </w:t>
      </w:r>
      <w:r w:rsidR="00A47E34" w:rsidRPr="000F6990">
        <w:rPr>
          <w:b/>
          <w:bCs/>
          <w:lang w:eastAsia="en-US"/>
        </w:rPr>
        <w:t>semnificativ</w:t>
      </w:r>
      <w:r w:rsidRPr="000F6990">
        <w:rPr>
          <w:b/>
          <w:bCs/>
          <w:lang w:eastAsia="en-US"/>
        </w:rPr>
        <w:t>ă cu nutrienți și substanțe chimice</w:t>
      </w:r>
    </w:p>
    <w:p w14:paraId="2C522C5F" w14:textId="5DF75245" w:rsidR="00FB7CCD" w:rsidRPr="000F6990" w:rsidRDefault="00FB7CCD">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0F6990">
        <w:rPr>
          <w:rFonts w:ascii="Times New Roman" w:hAnsi="Times New Roman" w:cs="Times New Roman"/>
          <w:color w:val="000000" w:themeColor="text1"/>
          <w:sz w:val="24"/>
          <w:szCs w:val="24"/>
        </w:rPr>
        <w:t>Graficul privind evacuarea poluanților indică valori ridicate, persistente, de nitrați, azotat de amoniu și fosfor, substanțe asociate atât cu deversări cât și cu scurgeri agricole. Prezența constantă a produselor petroliere sugerează și poluări industriale de nivel scăzut, dar recurente.</w:t>
      </w:r>
    </w:p>
    <w:p w14:paraId="49F87DA9" w14:textId="677D11D3" w:rsidR="003A5000" w:rsidRPr="000F6990" w:rsidRDefault="00FB7CCD" w:rsidP="00741830">
      <w:pPr>
        <w:spacing w:after="120"/>
        <w:ind w:firstLine="284"/>
        <w:jc w:val="both"/>
        <w:rPr>
          <w:color w:val="000000" w:themeColor="text1"/>
          <w:lang w:eastAsia="en-US"/>
        </w:rPr>
      </w:pPr>
      <w:r w:rsidRPr="000F6990">
        <w:rPr>
          <w:color w:val="000000" w:themeColor="text1"/>
          <w:lang w:eastAsia="en-US"/>
        </w:rPr>
        <w:lastRenderedPageBreak/>
        <w:t>Aceste tipuri de poluanți favorizează eutrofizarea și reduc calitatea apei brute utilizate pentru alimentarea populației, sporind riscul apariției bolilor enterice, mai ales în perioadele de temperaturi ridicate, când încărcarea bacteriologică a apei crește în mod natural.</w:t>
      </w:r>
    </w:p>
    <w:p w14:paraId="3F8146A8" w14:textId="5E6D22FA" w:rsidR="00741830" w:rsidRPr="000F6990" w:rsidRDefault="00741830" w:rsidP="006A235B">
      <w:pPr>
        <w:spacing w:after="120"/>
        <w:ind w:firstLine="284"/>
        <w:jc w:val="center"/>
        <w:rPr>
          <w:color w:val="000000" w:themeColor="text1"/>
          <w:lang w:eastAsia="en-US"/>
        </w:rPr>
      </w:pPr>
      <w:r w:rsidRPr="000F6990">
        <w:rPr>
          <w:b/>
          <w:bCs/>
          <w:color w:val="000000" w:themeColor="text1"/>
          <w:lang w:eastAsia="en-US"/>
        </w:rPr>
        <w:t>Figura 44.</w:t>
      </w:r>
      <w:r w:rsidRPr="000F6990">
        <w:rPr>
          <w:color w:val="000000" w:themeColor="text1"/>
          <w:lang w:eastAsia="en-US"/>
        </w:rPr>
        <w:t xml:space="preserve"> Evacuarea unor substanțe poluante cu apele reziduale în obiectivele acvatice de </w:t>
      </w:r>
      <w:r w:rsidR="006A235B" w:rsidRPr="000F6990">
        <w:rPr>
          <w:color w:val="000000" w:themeColor="text1"/>
          <w:lang w:eastAsia="en-US"/>
        </w:rPr>
        <w:t>suprafață pe substanțe și ani</w:t>
      </w:r>
    </w:p>
    <w:p w14:paraId="2DBB0C15" w14:textId="4099913A" w:rsidR="00E10234" w:rsidRPr="00CD2ADD" w:rsidRDefault="00FB7CCD" w:rsidP="000F6990">
      <w:pPr>
        <w:jc w:val="both"/>
        <w:rPr>
          <w:sz w:val="22"/>
          <w:szCs w:val="22"/>
          <w:lang w:eastAsia="en-US"/>
        </w:rPr>
      </w:pPr>
      <w:r w:rsidRPr="00CD2ADD">
        <w:rPr>
          <w:noProof/>
        </w:rPr>
        <w:drawing>
          <wp:inline distT="0" distB="0" distL="0" distR="0" wp14:anchorId="5E652FBE" wp14:editId="03EB2BE3">
            <wp:extent cx="6188710" cy="4573270"/>
            <wp:effectExtent l="0" t="0" r="8890" b="11430"/>
            <wp:docPr id="1980630377" name="Chart 1">
              <a:extLst xmlns:a="http://schemas.openxmlformats.org/drawingml/2006/main">
                <a:ext uri="{FF2B5EF4-FFF2-40B4-BE49-F238E27FC236}">
                  <a16:creationId xmlns:a16="http://schemas.microsoft.com/office/drawing/2014/main" id="{916D5A71-32C9-E344-AA84-B78AC0CECF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5099A22" w14:textId="4DB12381" w:rsidR="00E10234" w:rsidRPr="00CD2ADD" w:rsidRDefault="00FB7CCD" w:rsidP="006A235B">
      <w:pPr>
        <w:spacing w:after="120"/>
        <w:jc w:val="center"/>
        <w:rPr>
          <w:i/>
          <w:iCs/>
          <w:sz w:val="22"/>
          <w:szCs w:val="22"/>
          <w:lang w:eastAsia="en-US"/>
        </w:rPr>
      </w:pPr>
      <w:r w:rsidRPr="00CD2ADD">
        <w:rPr>
          <w:i/>
          <w:iCs/>
          <w:sz w:val="22"/>
          <w:szCs w:val="22"/>
          <w:lang w:eastAsia="en-US"/>
        </w:rPr>
        <w:t xml:space="preserve">Sursa: BNS, IP Agenția </w:t>
      </w:r>
      <w:r w:rsidR="006977A9" w:rsidRPr="00CD2ADD">
        <w:rPr>
          <w:i/>
          <w:iCs/>
          <w:sz w:val="22"/>
          <w:szCs w:val="22"/>
          <w:lang w:eastAsia="en-US"/>
        </w:rPr>
        <w:t xml:space="preserve">IP AN </w:t>
      </w:r>
      <w:r w:rsidRPr="00CD2ADD">
        <w:rPr>
          <w:i/>
          <w:iCs/>
          <w:sz w:val="22"/>
          <w:szCs w:val="22"/>
          <w:lang w:eastAsia="en-US"/>
        </w:rPr>
        <w:t>Apele Moldovei</w:t>
      </w:r>
    </w:p>
    <w:p w14:paraId="09A5C56E" w14:textId="300CB786" w:rsidR="002572FE" w:rsidRPr="000F6990" w:rsidRDefault="002572FE" w:rsidP="006A235B">
      <w:pPr>
        <w:ind w:firstLine="720"/>
        <w:jc w:val="both"/>
        <w:rPr>
          <w:b/>
          <w:bCs/>
          <w:lang w:eastAsia="en-US"/>
        </w:rPr>
      </w:pPr>
      <w:r w:rsidRPr="000F6990">
        <w:rPr>
          <w:b/>
          <w:bCs/>
          <w:lang w:eastAsia="en-US"/>
        </w:rPr>
        <w:t>Sursele de apă potabilă: cea mai mare vulnerabilitate biologico-sanitară</w:t>
      </w:r>
    </w:p>
    <w:p w14:paraId="5FB6E8B3" w14:textId="49F341ED" w:rsidR="002572FE" w:rsidRDefault="002572FE">
      <w:pPr>
        <w:pStyle w:val="ListParagraph"/>
        <w:numPr>
          <w:ilvl w:val="0"/>
          <w:numId w:val="42"/>
        </w:numPr>
        <w:spacing w:after="120"/>
        <w:ind w:left="0" w:firstLine="284"/>
        <w:jc w:val="both"/>
        <w:rPr>
          <w:rFonts w:ascii="Times New Roman" w:hAnsi="Times New Roman" w:cs="Times New Roman"/>
          <w:color w:val="000000" w:themeColor="text1"/>
          <w:sz w:val="24"/>
          <w:szCs w:val="24"/>
        </w:rPr>
      </w:pPr>
      <w:r w:rsidRPr="000F6990">
        <w:rPr>
          <w:rFonts w:ascii="Times New Roman" w:hAnsi="Times New Roman" w:cs="Times New Roman"/>
          <w:color w:val="000000" w:themeColor="text1"/>
          <w:sz w:val="24"/>
          <w:szCs w:val="24"/>
        </w:rPr>
        <w:t>Analiza probelor examinate relevă două probleme distincte:</w:t>
      </w:r>
      <w:r w:rsidR="00D97C9D" w:rsidRPr="000F6990">
        <w:rPr>
          <w:rFonts w:ascii="Times New Roman" w:hAnsi="Times New Roman" w:cs="Times New Roman"/>
          <w:color w:val="000000" w:themeColor="text1"/>
          <w:sz w:val="24"/>
          <w:szCs w:val="24"/>
        </w:rPr>
        <w:t xml:space="preserve"> s</w:t>
      </w:r>
      <w:r w:rsidRPr="000F6990">
        <w:rPr>
          <w:rFonts w:ascii="Times New Roman" w:hAnsi="Times New Roman" w:cs="Times New Roman"/>
          <w:color w:val="000000" w:themeColor="text1"/>
          <w:sz w:val="24"/>
          <w:szCs w:val="24"/>
        </w:rPr>
        <w:t>ursele centralizate (apă de la rețea): între 30</w:t>
      </w:r>
      <w:r w:rsidR="00D97C9D" w:rsidRPr="000F6990">
        <w:rPr>
          <w:rFonts w:ascii="Times New Roman" w:hAnsi="Times New Roman" w:cs="Times New Roman"/>
          <w:color w:val="000000" w:themeColor="text1"/>
          <w:sz w:val="24"/>
          <w:szCs w:val="24"/>
        </w:rPr>
        <w:t xml:space="preserve"> - </w:t>
      </w:r>
      <w:r w:rsidRPr="000F6990">
        <w:rPr>
          <w:rFonts w:ascii="Times New Roman" w:hAnsi="Times New Roman" w:cs="Times New Roman"/>
          <w:color w:val="000000" w:themeColor="text1"/>
          <w:sz w:val="24"/>
          <w:szCs w:val="24"/>
        </w:rPr>
        <w:t>60% dintre probe prezintă abateri de la normele sanitare în majoritatea anilor, ceea ce indică probleme de calitate la captare, tratare sau distribuție.</w:t>
      </w:r>
    </w:p>
    <w:p w14:paraId="76C7F30F" w14:textId="77777777" w:rsidR="00392C6D" w:rsidRDefault="00392C6D" w:rsidP="00392C6D">
      <w:pPr>
        <w:spacing w:after="120"/>
        <w:jc w:val="both"/>
        <w:rPr>
          <w:color w:val="000000" w:themeColor="text1"/>
        </w:rPr>
      </w:pPr>
    </w:p>
    <w:p w14:paraId="4F507149" w14:textId="77777777" w:rsidR="00392C6D" w:rsidRDefault="00392C6D" w:rsidP="00392C6D">
      <w:pPr>
        <w:spacing w:after="120"/>
        <w:jc w:val="both"/>
        <w:rPr>
          <w:color w:val="000000" w:themeColor="text1"/>
        </w:rPr>
      </w:pPr>
    </w:p>
    <w:p w14:paraId="724B21DC" w14:textId="77777777" w:rsidR="00392C6D" w:rsidRDefault="00392C6D" w:rsidP="00392C6D">
      <w:pPr>
        <w:spacing w:after="120"/>
        <w:jc w:val="both"/>
        <w:rPr>
          <w:color w:val="000000" w:themeColor="text1"/>
        </w:rPr>
      </w:pPr>
    </w:p>
    <w:p w14:paraId="1F92CE19" w14:textId="77777777" w:rsidR="00392C6D" w:rsidRDefault="00392C6D" w:rsidP="00392C6D">
      <w:pPr>
        <w:spacing w:after="120"/>
        <w:jc w:val="both"/>
        <w:rPr>
          <w:color w:val="000000" w:themeColor="text1"/>
        </w:rPr>
      </w:pPr>
    </w:p>
    <w:p w14:paraId="4163F079" w14:textId="77777777" w:rsidR="00392C6D" w:rsidRDefault="00392C6D" w:rsidP="00392C6D">
      <w:pPr>
        <w:spacing w:after="120"/>
        <w:jc w:val="both"/>
        <w:rPr>
          <w:color w:val="000000" w:themeColor="text1"/>
        </w:rPr>
      </w:pPr>
    </w:p>
    <w:p w14:paraId="3CF472B0" w14:textId="77777777" w:rsidR="00392C6D" w:rsidRDefault="00392C6D" w:rsidP="00392C6D">
      <w:pPr>
        <w:spacing w:after="120"/>
        <w:jc w:val="both"/>
        <w:rPr>
          <w:color w:val="000000" w:themeColor="text1"/>
        </w:rPr>
      </w:pPr>
    </w:p>
    <w:p w14:paraId="2E1FEDA5" w14:textId="77777777" w:rsidR="00392C6D" w:rsidRDefault="00392C6D" w:rsidP="00392C6D">
      <w:pPr>
        <w:spacing w:after="120"/>
        <w:jc w:val="both"/>
        <w:rPr>
          <w:color w:val="000000" w:themeColor="text1"/>
        </w:rPr>
      </w:pPr>
    </w:p>
    <w:p w14:paraId="273D2B60" w14:textId="77777777" w:rsidR="00392C6D" w:rsidRPr="00392C6D" w:rsidRDefault="00392C6D" w:rsidP="00392C6D">
      <w:pPr>
        <w:spacing w:after="120"/>
        <w:jc w:val="both"/>
        <w:rPr>
          <w:color w:val="000000" w:themeColor="text1"/>
        </w:rPr>
      </w:pPr>
    </w:p>
    <w:p w14:paraId="6881EE17" w14:textId="052F6DDD" w:rsidR="00D97C9D" w:rsidRPr="000F6990" w:rsidRDefault="006A235B" w:rsidP="006A235B">
      <w:pPr>
        <w:spacing w:after="120"/>
        <w:jc w:val="center"/>
        <w:rPr>
          <w:lang w:eastAsia="en-US"/>
        </w:rPr>
      </w:pPr>
      <w:r w:rsidRPr="000F6990">
        <w:rPr>
          <w:b/>
          <w:bCs/>
          <w:lang w:eastAsia="en-US"/>
        </w:rPr>
        <w:lastRenderedPageBreak/>
        <w:t>Figura 45.</w:t>
      </w:r>
      <w:r w:rsidRPr="000F6990">
        <w:rPr>
          <w:lang w:eastAsia="en-US"/>
        </w:rPr>
        <w:t xml:space="preserve"> Probe din componentele mediului examinate la parametrii sanitaro-chimici – surse centralizate de alimentare cu apă</w:t>
      </w:r>
    </w:p>
    <w:p w14:paraId="099D29E0" w14:textId="2229F01F" w:rsidR="00D97C9D" w:rsidRPr="00CD2ADD" w:rsidRDefault="00D97C9D" w:rsidP="000F6990">
      <w:pPr>
        <w:jc w:val="both"/>
        <w:rPr>
          <w:sz w:val="22"/>
          <w:szCs w:val="22"/>
          <w:lang w:eastAsia="en-US"/>
        </w:rPr>
      </w:pPr>
      <w:r w:rsidRPr="00CD2ADD">
        <w:rPr>
          <w:noProof/>
        </w:rPr>
        <w:drawing>
          <wp:inline distT="0" distB="0" distL="0" distR="0" wp14:anchorId="3DEDA223" wp14:editId="0A396F23">
            <wp:extent cx="6111433" cy="3206187"/>
            <wp:effectExtent l="0" t="0" r="10160" b="6985"/>
            <wp:docPr id="1292012643" name="Chart 1">
              <a:extLst xmlns:a="http://schemas.openxmlformats.org/drawingml/2006/main">
                <a:ext uri="{FF2B5EF4-FFF2-40B4-BE49-F238E27FC236}">
                  <a16:creationId xmlns:a16="http://schemas.microsoft.com/office/drawing/2014/main" id="{633FCA5A-4E71-3D51-4AE5-C8F4174FED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997DA7C" w14:textId="68AAC22B" w:rsidR="00D97C9D" w:rsidRPr="00CD2ADD" w:rsidRDefault="00D97C9D" w:rsidP="006A235B">
      <w:pPr>
        <w:spacing w:after="120"/>
        <w:jc w:val="center"/>
        <w:rPr>
          <w:i/>
          <w:iCs/>
          <w:sz w:val="22"/>
          <w:szCs w:val="22"/>
          <w:lang w:eastAsia="en-US"/>
        </w:rPr>
      </w:pPr>
      <w:r w:rsidRPr="00CD2ADD">
        <w:rPr>
          <w:i/>
          <w:iCs/>
          <w:sz w:val="22"/>
          <w:szCs w:val="22"/>
          <w:lang w:eastAsia="en-US"/>
        </w:rPr>
        <w:t>Sursa: BNS, Agenția Națională pentru Sănătate Publica</w:t>
      </w:r>
    </w:p>
    <w:p w14:paraId="250C2E6D" w14:textId="167D277D" w:rsidR="002572FE" w:rsidRPr="000F6990" w:rsidRDefault="002572FE" w:rsidP="006A235B">
      <w:pPr>
        <w:spacing w:after="120"/>
        <w:ind w:firstLine="720"/>
        <w:jc w:val="both"/>
        <w:rPr>
          <w:lang w:eastAsia="en-US"/>
        </w:rPr>
      </w:pPr>
      <w:r w:rsidRPr="000F6990">
        <w:rPr>
          <w:lang w:eastAsia="en-US"/>
        </w:rPr>
        <w:t>Sursele descentralizate (fântâni, puțuri): proporția probelor neconforme este foarte mare (adesea &gt;70%), însă numărul probelor analizate scade drastic după 2016</w:t>
      </w:r>
      <w:r w:rsidR="00D97C9D" w:rsidRPr="000F6990">
        <w:rPr>
          <w:lang w:eastAsia="en-US"/>
        </w:rPr>
        <w:t xml:space="preserve">, </w:t>
      </w:r>
      <w:r w:rsidRPr="000F6990">
        <w:rPr>
          <w:lang w:eastAsia="en-US"/>
        </w:rPr>
        <w:t>ceea ce sugerează o monitorizare insuficientă, nu o îmbunătățire a calității apei.</w:t>
      </w:r>
    </w:p>
    <w:p w14:paraId="50843FF8" w14:textId="5C34AB92" w:rsidR="006A235B" w:rsidRPr="000F6990" w:rsidRDefault="006A235B" w:rsidP="006A235B">
      <w:pPr>
        <w:spacing w:after="120"/>
        <w:ind w:firstLine="720"/>
        <w:jc w:val="center"/>
        <w:rPr>
          <w:lang w:eastAsia="en-US"/>
        </w:rPr>
      </w:pPr>
      <w:r w:rsidRPr="000F6990">
        <w:rPr>
          <w:b/>
          <w:bCs/>
          <w:lang w:eastAsia="en-US"/>
        </w:rPr>
        <w:t>Figura 46.</w:t>
      </w:r>
      <w:r w:rsidRPr="000F6990">
        <w:rPr>
          <w:lang w:eastAsia="en-US"/>
        </w:rPr>
        <w:t xml:space="preserve"> Probe din componentele mediului examinate la parametrii sanitaro-chimici – surse decentralizate de alimentare cu apă.</w:t>
      </w:r>
    </w:p>
    <w:p w14:paraId="44E67117" w14:textId="77777777" w:rsidR="00D97C9D" w:rsidRPr="00CD2ADD" w:rsidRDefault="00D97C9D" w:rsidP="000F6990">
      <w:pPr>
        <w:jc w:val="both"/>
        <w:rPr>
          <w:sz w:val="22"/>
          <w:szCs w:val="22"/>
          <w:lang w:eastAsia="en-US"/>
        </w:rPr>
      </w:pPr>
      <w:r w:rsidRPr="00CD2ADD">
        <w:rPr>
          <w:noProof/>
        </w:rPr>
        <w:drawing>
          <wp:inline distT="0" distB="0" distL="0" distR="0" wp14:anchorId="659519F8" wp14:editId="15A56930">
            <wp:extent cx="6111240" cy="3321685"/>
            <wp:effectExtent l="0" t="0" r="10160" b="18415"/>
            <wp:docPr id="1909968883" name="Chart 2">
              <a:extLst xmlns:a="http://schemas.openxmlformats.org/drawingml/2006/main">
                <a:ext uri="{FF2B5EF4-FFF2-40B4-BE49-F238E27FC236}">
                  <a16:creationId xmlns:a16="http://schemas.microsoft.com/office/drawing/2014/main" id="{DF209262-AD09-E8D8-6921-4D9B0F96BD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EA12F1B" w14:textId="7D1CBB21" w:rsidR="00D97C9D" w:rsidRPr="00CD2ADD" w:rsidRDefault="00D97C9D" w:rsidP="000F6990">
      <w:pPr>
        <w:jc w:val="center"/>
        <w:rPr>
          <w:i/>
          <w:iCs/>
          <w:sz w:val="22"/>
          <w:szCs w:val="22"/>
          <w:lang w:eastAsia="en-US"/>
        </w:rPr>
      </w:pPr>
      <w:r w:rsidRPr="00CD2ADD">
        <w:rPr>
          <w:i/>
          <w:iCs/>
          <w:sz w:val="22"/>
          <w:szCs w:val="22"/>
          <w:lang w:eastAsia="en-US"/>
        </w:rPr>
        <w:t>Sursa: BNS, Agenția Națională pentru Sănătate Publica</w:t>
      </w:r>
    </w:p>
    <w:p w14:paraId="2CF243C8" w14:textId="6BD80888" w:rsidR="00FB7CCD" w:rsidRPr="000F6990" w:rsidRDefault="002572FE" w:rsidP="006A235B">
      <w:pPr>
        <w:spacing w:after="120"/>
        <w:ind w:firstLine="284"/>
        <w:jc w:val="both"/>
        <w:rPr>
          <w:lang w:eastAsia="en-US"/>
        </w:rPr>
      </w:pPr>
      <w:r w:rsidRPr="00CD2ADD">
        <w:rPr>
          <w:sz w:val="22"/>
          <w:szCs w:val="22"/>
          <w:lang w:eastAsia="en-US"/>
        </w:rPr>
        <w:t xml:space="preserve">Această situație afectează în mod disproporționat populația rurală, unde consumul de apă contaminată </w:t>
      </w:r>
      <w:r w:rsidRPr="000F6990">
        <w:rPr>
          <w:lang w:eastAsia="en-US"/>
        </w:rPr>
        <w:t xml:space="preserve">favorizează izbucniri de hepatită virală A, toxiinfecții alimentare, boli </w:t>
      </w:r>
      <w:r w:rsidR="00D97C9D" w:rsidRPr="000F6990">
        <w:rPr>
          <w:lang w:eastAsia="en-US"/>
        </w:rPr>
        <w:t>intestinale</w:t>
      </w:r>
      <w:r w:rsidRPr="000F6990">
        <w:rPr>
          <w:lang w:eastAsia="en-US"/>
        </w:rPr>
        <w:t xml:space="preserve"> și parazitoze. În </w:t>
      </w:r>
      <w:r w:rsidRPr="000F6990">
        <w:rPr>
          <w:lang w:eastAsia="en-US"/>
        </w:rPr>
        <w:lastRenderedPageBreak/>
        <w:t>combinație cu secetele repetate, care reduc debitele și măresc concentrația de contaminanți, riscurile biologico-sociale devin pronunțate și recurente.</w:t>
      </w:r>
    </w:p>
    <w:p w14:paraId="17B89640" w14:textId="011E3CBF" w:rsidR="008268C8" w:rsidRPr="000F6990" w:rsidRDefault="008268C8" w:rsidP="006A235B">
      <w:pPr>
        <w:ind w:firstLine="284"/>
        <w:jc w:val="both"/>
        <w:rPr>
          <w:b/>
          <w:bCs/>
          <w:lang w:eastAsia="en-US"/>
        </w:rPr>
      </w:pPr>
      <w:r w:rsidRPr="000F6990">
        <w:rPr>
          <w:b/>
          <w:bCs/>
          <w:lang w:eastAsia="en-US"/>
        </w:rPr>
        <w:t>Solul și aerul: riscuri secundare, dar cu impact asupra sănătății</w:t>
      </w:r>
    </w:p>
    <w:p w14:paraId="132B4AC3" w14:textId="000D1DD1" w:rsidR="008268C8" w:rsidRDefault="008268C8" w:rsidP="008268C8">
      <w:pPr>
        <w:spacing w:after="120"/>
        <w:jc w:val="both"/>
        <w:rPr>
          <w:lang w:eastAsia="en-US"/>
        </w:rPr>
      </w:pPr>
      <w:r w:rsidRPr="000F6990">
        <w:rPr>
          <w:lang w:eastAsia="en-US"/>
        </w:rPr>
        <w:t>Graficele privind solul și aerul arată episoade periodice de depășire a normelor sanitare, inclusiv creșteri bruște în anumiți ani (ex. poluarea solului în 2020, aer în 2018 și 2021). Aceste valori reflectă atât incidențe locale (depozite de deșeuri, trafic urban, emisii industriale), cât și deficiențe de monitorizare.</w:t>
      </w:r>
    </w:p>
    <w:p w14:paraId="0700A39A" w14:textId="0F27D24E" w:rsidR="00392C6D" w:rsidRPr="000F6990" w:rsidRDefault="00392C6D" w:rsidP="00392C6D">
      <w:pPr>
        <w:spacing w:after="120"/>
        <w:jc w:val="center"/>
        <w:rPr>
          <w:lang w:eastAsia="en-US"/>
        </w:rPr>
      </w:pPr>
      <w:r w:rsidRPr="00392C6D">
        <w:rPr>
          <w:b/>
          <w:bCs/>
          <w:lang w:eastAsia="en-US"/>
        </w:rPr>
        <w:t>Figura 47</w:t>
      </w:r>
      <w:r>
        <w:rPr>
          <w:lang w:eastAsia="en-US"/>
        </w:rPr>
        <w:t>. Probe din componentele mediului examinate la parametrii sanitaro-chimici-solul</w:t>
      </w:r>
    </w:p>
    <w:p w14:paraId="2A47A9C9" w14:textId="123C6B2A" w:rsidR="00D97C9D" w:rsidRPr="00CD2ADD" w:rsidRDefault="002F5083" w:rsidP="00392C6D">
      <w:pPr>
        <w:pStyle w:val="Caption"/>
        <w:spacing w:after="0"/>
        <w:rPr>
          <w:rFonts w:ascii="Times New Roman" w:hAnsi="Times New Roman" w:cs="Times New Roman"/>
        </w:rPr>
      </w:pPr>
      <w:r w:rsidRPr="00CD2ADD">
        <w:rPr>
          <w:rFonts w:ascii="Times New Roman" w:hAnsi="Times New Roman" w:cs="Times New Roman"/>
        </w:rPr>
        <w:t>F</w:t>
      </w:r>
      <w:r w:rsidRPr="00CD2ADD">
        <w:rPr>
          <w:rFonts w:ascii="Times New Roman" w:hAnsi="Times New Roman" w:cs="Times New Roman"/>
          <w:noProof/>
        </w:rPr>
        <w:drawing>
          <wp:inline distT="0" distB="0" distL="0" distR="0" wp14:anchorId="50514B4E" wp14:editId="5D05385E">
            <wp:extent cx="6029960" cy="2827606"/>
            <wp:effectExtent l="0" t="0" r="15240" b="17780"/>
            <wp:docPr id="519421664" name="Chart 1">
              <a:extLst xmlns:a="http://schemas.openxmlformats.org/drawingml/2006/main">
                <a:ext uri="{FF2B5EF4-FFF2-40B4-BE49-F238E27FC236}">
                  <a16:creationId xmlns:a16="http://schemas.microsoft.com/office/drawing/2014/main" id="{B8E748BA-5475-3ADB-C090-579D10334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8096BAE" w14:textId="77777777" w:rsidR="00ED014C" w:rsidRPr="00392C6D" w:rsidRDefault="00ED014C" w:rsidP="006A235B">
      <w:pPr>
        <w:spacing w:after="120"/>
        <w:jc w:val="center"/>
        <w:rPr>
          <w:i/>
          <w:iCs/>
          <w:sz w:val="20"/>
          <w:szCs w:val="20"/>
          <w:lang w:eastAsia="en-US"/>
        </w:rPr>
      </w:pPr>
      <w:r w:rsidRPr="00392C6D">
        <w:rPr>
          <w:i/>
          <w:iCs/>
          <w:sz w:val="20"/>
          <w:szCs w:val="20"/>
          <w:lang w:eastAsia="en-US"/>
        </w:rPr>
        <w:t>Sursa: BNS, Agenția Națională pentru Sănătate Publica</w:t>
      </w:r>
    </w:p>
    <w:p w14:paraId="0F45D4FC" w14:textId="3EF28924" w:rsidR="00ED014C" w:rsidRPr="00CD2ADD" w:rsidRDefault="006A235B" w:rsidP="006A235B">
      <w:pPr>
        <w:jc w:val="center"/>
        <w:rPr>
          <w:lang w:eastAsia="en-US"/>
        </w:rPr>
      </w:pPr>
      <w:r w:rsidRPr="00CD2ADD">
        <w:rPr>
          <w:b/>
          <w:bCs/>
          <w:lang w:eastAsia="en-US"/>
        </w:rPr>
        <w:t>Figura 48.</w:t>
      </w:r>
      <w:r w:rsidRPr="00CD2ADD">
        <w:rPr>
          <w:lang w:eastAsia="en-US"/>
        </w:rPr>
        <w:t xml:space="preserve"> Probe din componentele mediului examinate la parametrii sanitaro-chimici – aerul atmosferic</w:t>
      </w:r>
    </w:p>
    <w:p w14:paraId="14676AD1" w14:textId="7983F2FB" w:rsidR="00FB7CCD" w:rsidRPr="00CD2ADD" w:rsidRDefault="002F5083" w:rsidP="002F5083">
      <w:pPr>
        <w:rPr>
          <w:sz w:val="22"/>
          <w:szCs w:val="22"/>
          <w:lang w:eastAsia="en-US"/>
        </w:rPr>
      </w:pPr>
      <w:r w:rsidRPr="00CD2ADD">
        <w:rPr>
          <w:noProof/>
        </w:rPr>
        <w:drawing>
          <wp:inline distT="0" distB="0" distL="0" distR="0" wp14:anchorId="223F68DC" wp14:editId="64563864">
            <wp:extent cx="6029960" cy="3094892"/>
            <wp:effectExtent l="0" t="0" r="15240" b="17145"/>
            <wp:docPr id="74740051" name="Chart 1">
              <a:extLst xmlns:a="http://schemas.openxmlformats.org/drawingml/2006/main">
                <a:ext uri="{FF2B5EF4-FFF2-40B4-BE49-F238E27FC236}">
                  <a16:creationId xmlns:a16="http://schemas.microsoft.com/office/drawing/2014/main" id="{D6F680CF-2CCF-E47B-9C33-3306F92297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92E987C" w14:textId="77777777" w:rsidR="002F5083" w:rsidRPr="00392C6D" w:rsidRDefault="002F5083" w:rsidP="006A235B">
      <w:pPr>
        <w:spacing w:after="120"/>
        <w:jc w:val="center"/>
        <w:rPr>
          <w:i/>
          <w:iCs/>
          <w:sz w:val="20"/>
          <w:szCs w:val="20"/>
          <w:lang w:eastAsia="en-US"/>
        </w:rPr>
      </w:pPr>
      <w:r w:rsidRPr="00392C6D">
        <w:rPr>
          <w:i/>
          <w:iCs/>
          <w:sz w:val="20"/>
          <w:szCs w:val="20"/>
          <w:lang w:eastAsia="en-US"/>
        </w:rPr>
        <w:t>Sursa: BNS, Agenția Națională pentru Sănătate Publica</w:t>
      </w:r>
    </w:p>
    <w:p w14:paraId="590A27E6" w14:textId="382BD9CD" w:rsidR="00F01E4C" w:rsidRPr="00CD2ADD" w:rsidRDefault="002F5083" w:rsidP="006A235B">
      <w:pPr>
        <w:ind w:firstLine="284"/>
        <w:jc w:val="both"/>
        <w:rPr>
          <w:color w:val="000000" w:themeColor="text1"/>
          <w:lang w:eastAsia="en-US"/>
        </w:rPr>
      </w:pPr>
      <w:r w:rsidRPr="00CD2ADD">
        <w:rPr>
          <w:color w:val="000000" w:themeColor="text1"/>
          <w:lang w:eastAsia="en-US"/>
        </w:rPr>
        <w:lastRenderedPageBreak/>
        <w:t>Pentru sănătate publică, aceste episoade pot amplifica incidența bolilor respiratorii, alergiilor, astmului și pot înrăutăți efectele valurilor de căldură asupra copiilor și persoanelor vulnerabile. Deși riscurile sunt moderate comparativ cu apa potabilă, ele reprezintă un factor cumulativ important.</w:t>
      </w:r>
    </w:p>
    <w:p w14:paraId="45D7F8D7" w14:textId="0F1A5411" w:rsidR="005468F5" w:rsidRPr="00CD2ADD" w:rsidRDefault="005468F5" w:rsidP="00392C6D">
      <w:pPr>
        <w:pStyle w:val="Subtitle"/>
        <w:spacing w:after="0" w:line="240" w:lineRule="auto"/>
        <w:ind w:firstLine="284"/>
        <w:rPr>
          <w:rFonts w:ascii="Times New Roman" w:hAnsi="Times New Roman" w:cs="Times New Roman"/>
          <w:b/>
          <w:bCs/>
          <w:i/>
          <w:iCs w:val="0"/>
          <w:color w:val="000000" w:themeColor="text1"/>
          <w:sz w:val="24"/>
        </w:rPr>
      </w:pPr>
      <w:r w:rsidRPr="00CD2ADD">
        <w:rPr>
          <w:rStyle w:val="IntenseEmphasis"/>
          <w:rFonts w:ascii="Times New Roman" w:hAnsi="Times New Roman" w:cs="Times New Roman"/>
          <w:color w:val="000000" w:themeColor="text1"/>
          <w:sz w:val="24"/>
        </w:rPr>
        <w:t>Boli zoonotice cu potențial de transmitere la om: tendințe fluctuante și presiune crescută în anii recenți</w:t>
      </w:r>
    </w:p>
    <w:p w14:paraId="7D246A8C" w14:textId="79177848" w:rsidR="005468F5" w:rsidRPr="00CD2ADD" w:rsidRDefault="005468F5">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Datele privind bolile zoonotice în perioada 2012–2024 arată un profil epidemiologic caracterizat prin evoluții ciclice și reemergente periodice. Rabia rămâne principala zoonoză monitorizată, cu valori foarte ridicate în anii 2013–2015 (până la 167 cazuri), urmate de o scădere accentuată în 2016–2017 și noi creșteri după 2018. În 2024, cazurile revin la un nivel îngrijorător, de 132 cazuri, ceea ce confirmă persistența focarelor în fauna sălbatică.</w:t>
      </w:r>
    </w:p>
    <w:p w14:paraId="3999F68C" w14:textId="146E545A" w:rsidR="005468F5" w:rsidRPr="00CD2ADD" w:rsidRDefault="005468F5" w:rsidP="006A235B">
      <w:pPr>
        <w:ind w:firstLine="284"/>
        <w:jc w:val="both"/>
        <w:rPr>
          <w:color w:val="000000" w:themeColor="text1"/>
          <w:lang w:eastAsia="en-US"/>
        </w:rPr>
      </w:pPr>
      <w:r w:rsidRPr="00CD2ADD">
        <w:rPr>
          <w:color w:val="000000" w:themeColor="text1"/>
          <w:lang w:eastAsia="en-US"/>
        </w:rPr>
        <w:t xml:space="preserve">Pesta </w:t>
      </w:r>
      <w:r w:rsidRPr="00CD2ADD">
        <w:rPr>
          <w:b/>
          <w:bCs/>
          <w:color w:val="000000" w:themeColor="text1"/>
          <w:lang w:eastAsia="en-US"/>
        </w:rPr>
        <w:t>porcină africană</w:t>
      </w:r>
      <w:r w:rsidRPr="00CD2ADD">
        <w:rPr>
          <w:color w:val="000000" w:themeColor="text1"/>
          <w:lang w:eastAsia="en-US"/>
        </w:rPr>
        <w:t xml:space="preserve"> se manifestă în valuri scurte, cu un vârf important în 2018–2019 (35–36 cazuri), apoi o scădere, dar menținerea unor episoade izolate în 2023–2024, semnalând o circulație reziduală în populația de mistreți. Antraxul rămâne rar, cu 0–3 cazuri anual, însă prezența chiar sporadică justifică menținerea supravegherii.</w:t>
      </w:r>
    </w:p>
    <w:p w14:paraId="62941CF8" w14:textId="77777777" w:rsidR="005468F5" w:rsidRPr="00CD2ADD" w:rsidRDefault="005468F5" w:rsidP="006A235B">
      <w:pPr>
        <w:spacing w:after="120"/>
        <w:ind w:firstLine="284"/>
        <w:jc w:val="both"/>
        <w:rPr>
          <w:color w:val="000000" w:themeColor="text1"/>
          <w:lang w:eastAsia="en-US"/>
        </w:rPr>
      </w:pPr>
      <w:r w:rsidRPr="00CD2ADD">
        <w:rPr>
          <w:color w:val="000000" w:themeColor="text1"/>
          <w:lang w:eastAsia="en-US"/>
        </w:rPr>
        <w:t>Pentru influența aviară se observă o schimbare notabilă: după o perioadă cu valori reduse (2017–2021), anul 2024 înregistrează un salt la 133 cazuri, ceea ce sugerează un risc crescut asociat migrației aviare și schimbărilor climatice. Aceste dinamici confirmă necesitatea unei supravegheri integrate faună–zoonoză–sănătate publică și a unei capacități consolidate de intervenție rapidă.</w:t>
      </w:r>
    </w:p>
    <w:p w14:paraId="25621523" w14:textId="7B06E7D3" w:rsidR="006A235B" w:rsidRPr="00CD2ADD" w:rsidRDefault="006A235B" w:rsidP="006A235B">
      <w:pPr>
        <w:spacing w:after="120"/>
        <w:ind w:firstLine="284"/>
        <w:jc w:val="center"/>
        <w:rPr>
          <w:color w:val="000000" w:themeColor="text1"/>
          <w:lang w:eastAsia="en-US"/>
        </w:rPr>
      </w:pPr>
      <w:r w:rsidRPr="00CD2ADD">
        <w:rPr>
          <w:b/>
          <w:bCs/>
          <w:color w:val="000000" w:themeColor="text1"/>
          <w:lang w:eastAsia="en-US"/>
        </w:rPr>
        <w:t>Figura 49.</w:t>
      </w:r>
      <w:r w:rsidRPr="00CD2ADD">
        <w:rPr>
          <w:color w:val="000000" w:themeColor="text1"/>
          <w:lang w:eastAsia="en-US"/>
        </w:rPr>
        <w:t xml:space="preserve"> Boli zoonotice cu potențial de transmitere la om, 2013-2024</w:t>
      </w:r>
    </w:p>
    <w:p w14:paraId="6539A6DE" w14:textId="52F88E59" w:rsidR="005468F5" w:rsidRPr="00CD2ADD" w:rsidRDefault="005468F5" w:rsidP="00F2181E">
      <w:pPr>
        <w:jc w:val="center"/>
        <w:rPr>
          <w:sz w:val="22"/>
          <w:szCs w:val="22"/>
          <w:lang w:eastAsia="en-US"/>
        </w:rPr>
      </w:pPr>
      <w:r w:rsidRPr="00CD2ADD">
        <w:rPr>
          <w:noProof/>
        </w:rPr>
        <w:drawing>
          <wp:inline distT="0" distB="0" distL="0" distR="0" wp14:anchorId="3B89B684" wp14:editId="3ECB856B">
            <wp:extent cx="6025019" cy="3144033"/>
            <wp:effectExtent l="0" t="0" r="7620" b="18415"/>
            <wp:docPr id="223556167" name="Chart 1">
              <a:extLst xmlns:a="http://schemas.openxmlformats.org/drawingml/2006/main">
                <a:ext uri="{FF2B5EF4-FFF2-40B4-BE49-F238E27FC236}">
                  <a16:creationId xmlns:a16="http://schemas.microsoft.com/office/drawing/2014/main" id="{8CBFEFB3-E9AE-8E77-E9E9-87C2153AD7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B042157" w14:textId="2479E08C" w:rsidR="005468F5" w:rsidRPr="00F2181E" w:rsidRDefault="005468F5" w:rsidP="006A235B">
      <w:pPr>
        <w:spacing w:after="120"/>
        <w:jc w:val="center"/>
        <w:rPr>
          <w:i/>
          <w:iCs/>
          <w:color w:val="000000" w:themeColor="text1"/>
          <w:sz w:val="20"/>
          <w:szCs w:val="20"/>
          <w:lang w:eastAsia="en-US"/>
        </w:rPr>
      </w:pPr>
      <w:r w:rsidRPr="00F2181E">
        <w:rPr>
          <w:i/>
          <w:iCs/>
          <w:color w:val="000000" w:themeColor="text1"/>
          <w:sz w:val="20"/>
          <w:szCs w:val="20"/>
          <w:lang w:eastAsia="en-US"/>
        </w:rPr>
        <w:t>Sursa: ANSA</w:t>
      </w:r>
    </w:p>
    <w:p w14:paraId="487FE803" w14:textId="441756F9" w:rsidR="005468F5" w:rsidRPr="00CD2ADD" w:rsidRDefault="005468F5" w:rsidP="00CC5C93">
      <w:pPr>
        <w:ind w:firstLine="284"/>
        <w:jc w:val="both"/>
        <w:rPr>
          <w:b/>
          <w:bCs/>
          <w:color w:val="000000" w:themeColor="text1"/>
          <w:lang w:eastAsia="en-US"/>
        </w:rPr>
      </w:pPr>
      <w:r w:rsidRPr="00CD2ADD">
        <w:rPr>
          <w:b/>
          <w:bCs/>
          <w:color w:val="000000" w:themeColor="text1"/>
          <w:lang w:eastAsia="en-US"/>
        </w:rPr>
        <w:t xml:space="preserve">Impactul economic al epizootiilor: peste </w:t>
      </w:r>
      <w:r w:rsidR="00F2658F" w:rsidRPr="00CD2ADD">
        <w:rPr>
          <w:b/>
          <w:bCs/>
          <w:color w:val="000000" w:themeColor="text1"/>
          <w:lang w:eastAsia="en-US"/>
        </w:rPr>
        <w:t xml:space="preserve">583.080 </w:t>
      </w:r>
      <w:r w:rsidRPr="00CD2ADD">
        <w:rPr>
          <w:b/>
          <w:bCs/>
          <w:color w:val="000000" w:themeColor="text1"/>
          <w:lang w:eastAsia="en-US"/>
        </w:rPr>
        <w:t>animale sacrificate</w:t>
      </w:r>
    </w:p>
    <w:p w14:paraId="47946FA9" w14:textId="4D4B9577" w:rsidR="00F2658F" w:rsidRPr="00CD2ADD" w:rsidRDefault="00F2658F">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 xml:space="preserve">În perioada 2013–2025, Republica Moldova a înregistrat un impact epizootic semnificativ, cu un total de 583.080 animale sacrificate din motive sanitare și de biosecuritate. Datele agregate arată că specia porcină este în mod covârșitor cea mai afectată, cumulând peste 95% din sacrificialul raportat, ceea ce reflectă presiunea epidemiologică persistentă generată de Pesta Porcină Africană (PPA). Celelalte specii, bovine, ovine, caprine, cabaline, înregistrează doar pierderi punctuale, izolate, fără epizootii majore în perioada analizată. </w:t>
      </w:r>
    </w:p>
    <w:p w14:paraId="5BC5B756" w14:textId="3AEAA58B" w:rsidR="005468F5" w:rsidRPr="00CD2ADD" w:rsidRDefault="00F2658F" w:rsidP="00CC5C93">
      <w:pPr>
        <w:spacing w:after="120"/>
        <w:ind w:firstLine="284"/>
        <w:jc w:val="both"/>
        <w:rPr>
          <w:color w:val="000000" w:themeColor="text1"/>
          <w:lang w:eastAsia="en-US"/>
        </w:rPr>
      </w:pPr>
      <w:r w:rsidRPr="00CD2ADD">
        <w:rPr>
          <w:color w:val="000000" w:themeColor="text1"/>
          <w:lang w:eastAsia="en-US"/>
        </w:rPr>
        <w:t xml:space="preserve">Pe aceeași perioadă de timp, </w:t>
      </w:r>
      <w:r w:rsidRPr="00CD2ADD">
        <w:rPr>
          <w:b/>
          <w:bCs/>
          <w:color w:val="000000" w:themeColor="text1"/>
          <w:lang w:eastAsia="en-US"/>
        </w:rPr>
        <w:t>d</w:t>
      </w:r>
      <w:r w:rsidR="005468F5" w:rsidRPr="00CD2ADD">
        <w:rPr>
          <w:b/>
          <w:bCs/>
          <w:color w:val="000000" w:themeColor="text1"/>
          <w:lang w:eastAsia="en-US"/>
        </w:rPr>
        <w:t xml:space="preserve">atele privind animalele sacrificate </w:t>
      </w:r>
      <w:r w:rsidRPr="00CD2ADD">
        <w:rPr>
          <w:b/>
          <w:bCs/>
          <w:color w:val="000000" w:themeColor="text1"/>
          <w:lang w:eastAsia="en-US"/>
        </w:rPr>
        <w:t xml:space="preserve">(bovine si porcine) </w:t>
      </w:r>
      <w:r w:rsidR="005468F5" w:rsidRPr="00CD2ADD">
        <w:rPr>
          <w:b/>
          <w:bCs/>
          <w:color w:val="000000" w:themeColor="text1"/>
          <w:lang w:eastAsia="en-US"/>
        </w:rPr>
        <w:t xml:space="preserve">din cauza </w:t>
      </w:r>
      <w:r w:rsidRPr="00CD2ADD">
        <w:rPr>
          <w:b/>
          <w:bCs/>
          <w:color w:val="000000" w:themeColor="text1"/>
          <w:lang w:eastAsia="en-US"/>
        </w:rPr>
        <w:t xml:space="preserve">unor </w:t>
      </w:r>
      <w:r w:rsidR="005468F5" w:rsidRPr="00CD2ADD">
        <w:rPr>
          <w:b/>
          <w:bCs/>
          <w:color w:val="000000" w:themeColor="text1"/>
          <w:lang w:eastAsia="en-US"/>
        </w:rPr>
        <w:t>boli</w:t>
      </w:r>
      <w:r w:rsidRPr="00CD2ADD">
        <w:rPr>
          <w:b/>
          <w:bCs/>
          <w:color w:val="000000" w:themeColor="text1"/>
          <w:lang w:eastAsia="en-US"/>
        </w:rPr>
        <w:t xml:space="preserve"> specifice e.g. PPA</w:t>
      </w:r>
      <w:r w:rsidR="005468F5" w:rsidRPr="00CD2ADD">
        <w:rPr>
          <w:color w:val="000000" w:themeColor="text1"/>
          <w:lang w:eastAsia="en-US"/>
        </w:rPr>
        <w:t xml:space="preserve"> evidențiază un impact epidemiologic și economic semnificativ în anumite raioane. Cele mai mari pierderi s-au înregistrat în r-nul Anenii Noi (70.337 animale), urmat de Criuleni (42.732) și Hâncești (18 animale), cu cazuri izolate în Basarabeasca, Cahul și Dondușeni. Aceste valori </w:t>
      </w:r>
      <w:r w:rsidR="005468F5" w:rsidRPr="00CD2ADD">
        <w:rPr>
          <w:color w:val="000000" w:themeColor="text1"/>
          <w:lang w:eastAsia="en-US"/>
        </w:rPr>
        <w:lastRenderedPageBreak/>
        <w:t>confirmă că focarele epizootice, în special PPA, au un impact disproporționat asupra fermelor mici și mijlocii, crescând vulnerabilitatea economică a comunităților rurale.</w:t>
      </w:r>
      <w:r w:rsidRPr="00CD2ADD">
        <w:rPr>
          <w:color w:val="000000" w:themeColor="text1"/>
          <w:lang w:eastAsia="en-US"/>
        </w:rPr>
        <w:t xml:space="preserve"> Acest volum foarte ridicat de sacrificări reflectă necesitatea consolidării biosecurității, a sistemelor de supraveghere și a capacității operaționale a ANSA pentru prevenirea și controlul epizootiilor cu impact socio-economic major.</w:t>
      </w:r>
    </w:p>
    <w:p w14:paraId="07BD92A2" w14:textId="63ECBC3D" w:rsidR="00CC5C93" w:rsidRPr="00CD2ADD" w:rsidRDefault="00CC5C93" w:rsidP="00CC5C93">
      <w:pPr>
        <w:spacing w:after="120"/>
        <w:ind w:firstLine="284"/>
        <w:jc w:val="center"/>
        <w:rPr>
          <w:b/>
          <w:bCs/>
          <w:color w:val="000000" w:themeColor="text1"/>
          <w:lang w:eastAsia="en-US"/>
        </w:rPr>
      </w:pPr>
      <w:r w:rsidRPr="00CD2ADD">
        <w:rPr>
          <w:b/>
          <w:bCs/>
          <w:color w:val="000000" w:themeColor="text1"/>
          <w:lang w:eastAsia="en-US"/>
        </w:rPr>
        <w:t>Figura 50.</w:t>
      </w:r>
      <w:r w:rsidRPr="00CD2ADD">
        <w:rPr>
          <w:color w:val="000000" w:themeColor="text1"/>
          <w:lang w:eastAsia="en-US"/>
        </w:rPr>
        <w:t xml:space="preserve"> Numărul de animale sacrificate în urma depistărilor unor boli: evenimente înregistrate în perioada 2013-2025</w:t>
      </w:r>
    </w:p>
    <w:p w14:paraId="1CC13794" w14:textId="77777777" w:rsidR="005468F5" w:rsidRPr="00CD2ADD" w:rsidRDefault="005468F5" w:rsidP="00F2181E">
      <w:pPr>
        <w:jc w:val="both"/>
        <w:rPr>
          <w:sz w:val="22"/>
          <w:szCs w:val="22"/>
          <w:lang w:eastAsia="en-US"/>
        </w:rPr>
      </w:pPr>
      <w:r w:rsidRPr="00CD2ADD">
        <w:rPr>
          <w:noProof/>
        </w:rPr>
        <w:drawing>
          <wp:inline distT="0" distB="0" distL="0" distR="0" wp14:anchorId="0E38132D" wp14:editId="07B5C652">
            <wp:extent cx="5950585" cy="2686929"/>
            <wp:effectExtent l="0" t="0" r="18415" b="18415"/>
            <wp:docPr id="1491084063" name="Chart 1">
              <a:extLst xmlns:a="http://schemas.openxmlformats.org/drawingml/2006/main">
                <a:ext uri="{FF2B5EF4-FFF2-40B4-BE49-F238E27FC236}">
                  <a16:creationId xmlns:a16="http://schemas.microsoft.com/office/drawing/2014/main" id="{9E5DF334-5C33-7548-7861-4ED202063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1517B94" w14:textId="0BFE577D" w:rsidR="00731C36" w:rsidRPr="00392C6D" w:rsidRDefault="005468F5" w:rsidP="00CC5C93">
      <w:pPr>
        <w:spacing w:after="120"/>
        <w:jc w:val="center"/>
        <w:rPr>
          <w:i/>
          <w:iCs/>
          <w:sz w:val="20"/>
          <w:szCs w:val="20"/>
          <w:lang w:eastAsia="en-US"/>
        </w:rPr>
      </w:pPr>
      <w:r w:rsidRPr="00392C6D">
        <w:rPr>
          <w:i/>
          <w:iCs/>
          <w:sz w:val="20"/>
          <w:szCs w:val="20"/>
          <w:lang w:eastAsia="en-US"/>
        </w:rPr>
        <w:t>Sursa: ANSA</w:t>
      </w:r>
    </w:p>
    <w:p w14:paraId="780E951A" w14:textId="77777777" w:rsidR="005468F5" w:rsidRPr="00F2181E" w:rsidRDefault="005468F5" w:rsidP="00CC5C93">
      <w:pPr>
        <w:ind w:firstLine="284"/>
        <w:jc w:val="both"/>
        <w:rPr>
          <w:b/>
          <w:bCs/>
          <w:lang w:eastAsia="en-US"/>
        </w:rPr>
      </w:pPr>
      <w:r w:rsidRPr="00F2181E">
        <w:rPr>
          <w:b/>
          <w:bCs/>
          <w:lang w:eastAsia="en-US"/>
        </w:rPr>
        <w:t>Vaccinările veterinare: scădere rapidă în perioada 2022–2025</w:t>
      </w:r>
    </w:p>
    <w:p w14:paraId="4A22EAFB" w14:textId="6072B600" w:rsidR="005468F5" w:rsidRPr="00F2181E" w:rsidRDefault="005468F5">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F2181E">
        <w:rPr>
          <w:rFonts w:ascii="Times New Roman" w:hAnsi="Times New Roman" w:cs="Times New Roman"/>
          <w:color w:val="000000" w:themeColor="text1"/>
          <w:sz w:val="24"/>
          <w:szCs w:val="24"/>
        </w:rPr>
        <w:t>Graficul privind vaccinările efectuate indică o scădere semnificativă a volumului de imunizări veterinare:</w:t>
      </w:r>
      <w:r w:rsidR="00FC6145" w:rsidRPr="00F2181E">
        <w:rPr>
          <w:rFonts w:ascii="Times New Roman" w:hAnsi="Times New Roman" w:cs="Times New Roman"/>
          <w:color w:val="000000" w:themeColor="text1"/>
          <w:sz w:val="24"/>
          <w:szCs w:val="24"/>
        </w:rPr>
        <w:t xml:space="preserve"> </w:t>
      </w:r>
      <w:r w:rsidRPr="00F2181E">
        <w:rPr>
          <w:rFonts w:ascii="Times New Roman" w:hAnsi="Times New Roman" w:cs="Times New Roman"/>
          <w:color w:val="000000" w:themeColor="text1"/>
          <w:sz w:val="24"/>
          <w:szCs w:val="24"/>
        </w:rPr>
        <w:t>2022 aproximativ 660.000 vaccinări, 2023 - 430.000, 2024 - 230.000, 2025 -180.000 vaccinări.</w:t>
      </w:r>
    </w:p>
    <w:p w14:paraId="695F86B3" w14:textId="1AE44B15" w:rsidR="005468F5" w:rsidRPr="00F2181E" w:rsidRDefault="005468F5" w:rsidP="00CC5C93">
      <w:pPr>
        <w:ind w:firstLine="284"/>
        <w:jc w:val="both"/>
        <w:rPr>
          <w:lang w:eastAsia="en-US"/>
        </w:rPr>
      </w:pPr>
      <w:r w:rsidRPr="00F2181E">
        <w:rPr>
          <w:lang w:eastAsia="en-US"/>
        </w:rPr>
        <w:t>Această reducere progresivă poate reflecta mai mulți factori: restructurarea priorităților, resurse operaționale limitate, diminuarea finanțării, dar și posibile dificultăți logistice sezoniere. Deși datele nu indică o criză imediată, tendința descendentă semnalează o vulnerabilitate structurală în sistemul de prevenție, cu potențial de amplificare a riscurilor zoonotice dacă nu este abordată prin planificare strategică și modernizare operațională.</w:t>
      </w:r>
    </w:p>
    <w:p w14:paraId="0939D542" w14:textId="4767F346" w:rsidR="00CC5C93" w:rsidRPr="00F2181E" w:rsidRDefault="00CC5C93" w:rsidP="00CC5C93">
      <w:pPr>
        <w:ind w:firstLine="284"/>
        <w:jc w:val="center"/>
        <w:rPr>
          <w:lang w:eastAsia="en-US"/>
        </w:rPr>
      </w:pPr>
      <w:r w:rsidRPr="00F2181E">
        <w:rPr>
          <w:b/>
          <w:bCs/>
          <w:lang w:eastAsia="en-US"/>
        </w:rPr>
        <w:t>Figura 51.</w:t>
      </w:r>
      <w:r w:rsidRPr="00F2181E">
        <w:rPr>
          <w:lang w:eastAsia="en-US"/>
        </w:rPr>
        <w:t xml:space="preserve"> Vaccinări efectuate</w:t>
      </w:r>
    </w:p>
    <w:p w14:paraId="19021D55" w14:textId="77777777" w:rsidR="005468F5" w:rsidRPr="00CD2ADD" w:rsidRDefault="005468F5" w:rsidP="00392C6D">
      <w:pPr>
        <w:jc w:val="center"/>
        <w:rPr>
          <w:sz w:val="22"/>
          <w:szCs w:val="22"/>
          <w:lang w:eastAsia="en-US"/>
        </w:rPr>
      </w:pPr>
      <w:r w:rsidRPr="00CD2ADD">
        <w:rPr>
          <w:noProof/>
        </w:rPr>
        <w:drawing>
          <wp:inline distT="0" distB="0" distL="0" distR="0" wp14:anchorId="10165F15" wp14:editId="32E6E806">
            <wp:extent cx="5950634" cy="2138289"/>
            <wp:effectExtent l="0" t="0" r="18415" b="8255"/>
            <wp:docPr id="1243915185" name="Chart 1">
              <a:extLst xmlns:a="http://schemas.openxmlformats.org/drawingml/2006/main">
                <a:ext uri="{FF2B5EF4-FFF2-40B4-BE49-F238E27FC236}">
                  <a16:creationId xmlns:a16="http://schemas.microsoft.com/office/drawing/2014/main" id="{BB3A5230-E62B-6B04-F4CC-393C855BC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EA00DE1" w14:textId="3D41584A" w:rsidR="00915396" w:rsidRPr="00392C6D" w:rsidRDefault="005468F5" w:rsidP="00CC5C93">
      <w:pPr>
        <w:spacing w:after="120"/>
        <w:jc w:val="center"/>
        <w:rPr>
          <w:i/>
          <w:iCs/>
          <w:sz w:val="20"/>
          <w:szCs w:val="20"/>
          <w:lang w:eastAsia="en-US"/>
        </w:rPr>
      </w:pPr>
      <w:r w:rsidRPr="00392C6D">
        <w:rPr>
          <w:i/>
          <w:iCs/>
          <w:sz w:val="20"/>
          <w:szCs w:val="20"/>
          <w:lang w:eastAsia="en-US"/>
        </w:rPr>
        <w:t>Sursa: ANSA</w:t>
      </w:r>
    </w:p>
    <w:p w14:paraId="558D17C6" w14:textId="77777777" w:rsidR="005468F5" w:rsidRPr="00F2181E" w:rsidRDefault="005468F5" w:rsidP="00CC5C93">
      <w:pPr>
        <w:ind w:firstLine="284"/>
        <w:jc w:val="both"/>
        <w:rPr>
          <w:b/>
          <w:bCs/>
          <w:color w:val="000000" w:themeColor="text1"/>
          <w:lang w:eastAsia="en-US"/>
        </w:rPr>
      </w:pPr>
      <w:r w:rsidRPr="00F2181E">
        <w:rPr>
          <w:b/>
          <w:bCs/>
          <w:color w:val="000000" w:themeColor="text1"/>
          <w:lang w:eastAsia="en-US"/>
        </w:rPr>
        <w:t>Intoxicații alimentare: declin abrupt în pandemie și revenire moderată ulterior</w:t>
      </w:r>
    </w:p>
    <w:p w14:paraId="20D5EE42" w14:textId="27569583" w:rsidR="005468F5" w:rsidRPr="00F2181E" w:rsidRDefault="005468F5">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F2181E">
        <w:rPr>
          <w:rFonts w:ascii="Times New Roman" w:hAnsi="Times New Roman" w:cs="Times New Roman"/>
          <w:color w:val="000000" w:themeColor="text1"/>
          <w:sz w:val="24"/>
          <w:szCs w:val="24"/>
        </w:rPr>
        <w:t xml:space="preserve">Numărul intoxicațiilor alimentare (TIA), al persoanelor îmbolnăvite și al celor spitalizate arată o evoluție specifică perioadei post COVID. În 2018–2019, Republica Moldova înregistră valori înalte: </w:t>
      </w:r>
      <w:r w:rsidRPr="00F2181E">
        <w:rPr>
          <w:rFonts w:ascii="Times New Roman" w:hAnsi="Times New Roman" w:cs="Times New Roman"/>
          <w:color w:val="000000" w:themeColor="text1"/>
          <w:sz w:val="24"/>
          <w:szCs w:val="24"/>
        </w:rPr>
        <w:lastRenderedPageBreak/>
        <w:t>peste 240 cazuri TIA confirmate, acompaniate de 200–220 pacienți îmbolnăviți și un număr similar de spitalizări.</w:t>
      </w:r>
    </w:p>
    <w:p w14:paraId="21B54A9F" w14:textId="19AA8EFB" w:rsidR="005468F5" w:rsidRPr="00F2181E" w:rsidRDefault="005468F5" w:rsidP="00CC5C93">
      <w:pPr>
        <w:spacing w:after="120"/>
        <w:ind w:firstLine="284"/>
        <w:jc w:val="both"/>
        <w:rPr>
          <w:color w:val="000000" w:themeColor="text1"/>
          <w:lang w:eastAsia="en-US"/>
        </w:rPr>
      </w:pPr>
      <w:r w:rsidRPr="00F2181E">
        <w:rPr>
          <w:color w:val="000000" w:themeColor="text1"/>
          <w:lang w:eastAsia="en-US"/>
        </w:rPr>
        <w:t>În 2020 se observă un declin brusc, până la aprox. 50 cazuri TIA, datorat cel mai probabil restricțiilor de mobilitate, închiderii unităților alimentare și reducerii contactelor. După reluarea activităților economice, dinamica revine într-o tendință ascendentă: 10 cazuri în 2021, apoi 6–7 cazuri în 2023–2024, cu 30–45 pacienți afectați anual. Datele sugerează îmbunătățirea parțială a sistemului de control, dar și necesitatea de a consolida inspecțiile, trasabilitatea și comunicarea riscurilor alimentare.</w:t>
      </w:r>
    </w:p>
    <w:p w14:paraId="68521125" w14:textId="5DA78A9F" w:rsidR="00CC5C93" w:rsidRPr="00F2181E" w:rsidRDefault="00CC5C93" w:rsidP="00CC5C93">
      <w:pPr>
        <w:spacing w:after="120"/>
        <w:ind w:firstLine="284"/>
        <w:jc w:val="center"/>
        <w:rPr>
          <w:color w:val="000000" w:themeColor="text1"/>
          <w:lang w:eastAsia="en-US"/>
        </w:rPr>
      </w:pPr>
      <w:r w:rsidRPr="00F2181E">
        <w:rPr>
          <w:b/>
          <w:bCs/>
          <w:color w:val="000000" w:themeColor="text1"/>
          <w:lang w:eastAsia="en-US"/>
        </w:rPr>
        <w:t>Figura 52.</w:t>
      </w:r>
      <w:r w:rsidRPr="00F2181E">
        <w:rPr>
          <w:color w:val="000000" w:themeColor="text1"/>
          <w:lang w:eastAsia="en-US"/>
        </w:rPr>
        <w:t xml:space="preserve"> Numărul intoxicațiilor alimentare confirmate, bolnavi și spitalizați</w:t>
      </w:r>
    </w:p>
    <w:p w14:paraId="686C7A2F" w14:textId="77777777" w:rsidR="005468F5" w:rsidRPr="00CD2ADD" w:rsidRDefault="005468F5" w:rsidP="00392C6D">
      <w:pPr>
        <w:jc w:val="center"/>
        <w:rPr>
          <w:sz w:val="22"/>
          <w:szCs w:val="22"/>
          <w:lang w:eastAsia="en-US"/>
        </w:rPr>
      </w:pPr>
      <w:r w:rsidRPr="00CD2ADD">
        <w:rPr>
          <w:noProof/>
        </w:rPr>
        <w:drawing>
          <wp:inline distT="0" distB="0" distL="0" distR="0" wp14:anchorId="011782CF" wp14:editId="467B3986">
            <wp:extent cx="5999967" cy="3117215"/>
            <wp:effectExtent l="0" t="0" r="7620" b="6985"/>
            <wp:docPr id="520103945" name="Chart 1">
              <a:extLst xmlns:a="http://schemas.openxmlformats.org/drawingml/2006/main">
                <a:ext uri="{FF2B5EF4-FFF2-40B4-BE49-F238E27FC236}">
                  <a16:creationId xmlns:a16="http://schemas.microsoft.com/office/drawing/2014/main" id="{6E22EADE-4A72-0139-72B6-3FE495A575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54C8440" w14:textId="695266F2" w:rsidR="005468F5" w:rsidRPr="00392C6D" w:rsidRDefault="005468F5" w:rsidP="00CC5C93">
      <w:pPr>
        <w:spacing w:after="120"/>
        <w:jc w:val="center"/>
        <w:rPr>
          <w:i/>
          <w:iCs/>
          <w:sz w:val="20"/>
          <w:szCs w:val="20"/>
          <w:lang w:eastAsia="en-US"/>
        </w:rPr>
      </w:pPr>
      <w:r w:rsidRPr="00392C6D">
        <w:rPr>
          <w:i/>
          <w:iCs/>
          <w:sz w:val="20"/>
          <w:szCs w:val="20"/>
          <w:lang w:eastAsia="en-US"/>
        </w:rPr>
        <w:t>Sursa: ANSA</w:t>
      </w:r>
    </w:p>
    <w:p w14:paraId="5A42AA9F" w14:textId="7F2F882F" w:rsidR="00915396" w:rsidRPr="000C0721" w:rsidRDefault="00915396" w:rsidP="00CC5C93">
      <w:pPr>
        <w:ind w:firstLine="284"/>
        <w:jc w:val="both"/>
        <w:rPr>
          <w:b/>
          <w:bCs/>
          <w:lang w:eastAsia="en-US"/>
        </w:rPr>
      </w:pPr>
      <w:r w:rsidRPr="000C0721">
        <w:rPr>
          <w:b/>
          <w:bCs/>
          <w:lang w:eastAsia="en-US"/>
        </w:rPr>
        <w:t>Controale fitosanitare și reziduuri de pesticide: creștere a monitorizării, dar și un nivel relevant de neconformitate</w:t>
      </w:r>
    </w:p>
    <w:p w14:paraId="155C5CEE" w14:textId="77777777" w:rsidR="000C0721" w:rsidRPr="000C0721" w:rsidRDefault="00915396" w:rsidP="000C0721">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0C0721">
        <w:rPr>
          <w:rFonts w:ascii="Times New Roman" w:hAnsi="Times New Roman" w:cs="Times New Roman"/>
          <w:color w:val="000000" w:themeColor="text1"/>
          <w:sz w:val="24"/>
          <w:szCs w:val="24"/>
        </w:rPr>
        <w:t>În anul 2024, sistemul de control fitosanitar a înregistrat o intensificare semnificativă a activităților de monitorizare, fiind analizate în total 1.146 probe de produse alimentare de origine vegetală</w:t>
      </w:r>
      <w:r w:rsidR="004207E3" w:rsidRPr="000C0721">
        <w:rPr>
          <w:rFonts w:ascii="Times New Roman" w:hAnsi="Times New Roman" w:cs="Times New Roman"/>
          <w:color w:val="000000" w:themeColor="text1"/>
          <w:sz w:val="24"/>
          <w:szCs w:val="24"/>
        </w:rPr>
        <w:t xml:space="preserve">, </w:t>
      </w:r>
      <w:r w:rsidRPr="000C0721">
        <w:rPr>
          <w:rFonts w:ascii="Times New Roman" w:hAnsi="Times New Roman" w:cs="Times New Roman"/>
          <w:color w:val="000000" w:themeColor="text1"/>
          <w:sz w:val="24"/>
          <w:szCs w:val="24"/>
        </w:rPr>
        <w:t xml:space="preserve"> 570 în cadrul programului național de monitorizare a reziduurilor de pesticide și 576 în cadrul controalelor consolidate la posturile de frontieră. Comparativ cu anul 2023, numărul probelor analizate în programul de monitorizare a crescut cu 196 probe, ceea ce reflectă o extindere a capacității operaționale și a acoperirii geografice a controalelor.</w:t>
      </w:r>
    </w:p>
    <w:p w14:paraId="65E9A4CC" w14:textId="77777777" w:rsidR="000C0721" w:rsidRPr="000C0721" w:rsidRDefault="000C0721" w:rsidP="000C0721">
      <w:pPr>
        <w:ind w:firstLine="284"/>
        <w:jc w:val="both"/>
        <w:rPr>
          <w:color w:val="000000" w:themeColor="text1"/>
        </w:rPr>
      </w:pPr>
      <w:r w:rsidRPr="000C0721">
        <w:rPr>
          <w:color w:val="000000" w:themeColor="text1"/>
        </w:rPr>
        <w:t>Totuși, rezultatele indică un nivel de risc care necesită atenție continuă: 30 de probe interne și 57 de probe la frontieră au fost declarate neconforme, înregistrând depășiri ale limitelor maxime admise (LMR) pentru reziduuri de pesticide. Aceste date sugerează atât vulnerabilități în lanțurile interne de producție și distribuție, cât și riscuri asociate importurilor de produse vegetale. Consolidarea laboratorului fitosanitar, digitalizarea trasabilității și mecanismele rapide de blocare a loturilor neconforme sunt esențiale pentru prevenirea riscurilor biologico-sociale, protejarea sănătății populației și menținerea siguranței alimentare.În concluzie, datele furnizate de ANSA conturează un tablou epidemiologic complex, caracterizat prin:</w:t>
      </w:r>
    </w:p>
    <w:p w14:paraId="4F6418C0" w14:textId="77777777" w:rsidR="000C0721" w:rsidRPr="000C0721" w:rsidRDefault="000C0721" w:rsidP="000C0721">
      <w:pPr>
        <w:pStyle w:val="ListParagraph"/>
        <w:numPr>
          <w:ilvl w:val="0"/>
          <w:numId w:val="39"/>
        </w:numPr>
        <w:spacing w:after="120"/>
        <w:jc w:val="both"/>
        <w:rPr>
          <w:rFonts w:ascii="Times New Roman" w:hAnsi="Times New Roman" w:cs="Times New Roman"/>
          <w:color w:val="000000" w:themeColor="text1"/>
          <w:sz w:val="24"/>
          <w:szCs w:val="24"/>
        </w:rPr>
      </w:pPr>
      <w:r w:rsidRPr="000C0721">
        <w:rPr>
          <w:rFonts w:ascii="Times New Roman" w:hAnsi="Times New Roman" w:cs="Times New Roman"/>
          <w:color w:val="000000" w:themeColor="text1"/>
          <w:sz w:val="24"/>
          <w:szCs w:val="24"/>
        </w:rPr>
        <w:t>reapariția periodică a zoonozelor majore,</w:t>
      </w:r>
    </w:p>
    <w:p w14:paraId="4E165F9B" w14:textId="77777777" w:rsidR="000C0721" w:rsidRPr="000C0721" w:rsidRDefault="000C0721" w:rsidP="000C0721">
      <w:pPr>
        <w:pStyle w:val="ListParagraph"/>
        <w:numPr>
          <w:ilvl w:val="0"/>
          <w:numId w:val="39"/>
        </w:numPr>
        <w:spacing w:after="120"/>
        <w:jc w:val="both"/>
        <w:rPr>
          <w:rFonts w:ascii="Times New Roman" w:hAnsi="Times New Roman" w:cs="Times New Roman"/>
          <w:color w:val="000000" w:themeColor="text1"/>
          <w:sz w:val="24"/>
          <w:szCs w:val="24"/>
        </w:rPr>
      </w:pPr>
      <w:r w:rsidRPr="000C0721">
        <w:rPr>
          <w:rFonts w:ascii="Times New Roman" w:hAnsi="Times New Roman" w:cs="Times New Roman"/>
          <w:color w:val="000000" w:themeColor="text1"/>
          <w:sz w:val="24"/>
          <w:szCs w:val="24"/>
        </w:rPr>
        <w:t>volatilitatea intoxicațiilor alimentare,</w:t>
      </w:r>
    </w:p>
    <w:p w14:paraId="4B5E9FB0" w14:textId="77777777" w:rsidR="000C0721" w:rsidRPr="000C0721" w:rsidRDefault="000C0721" w:rsidP="000C0721">
      <w:pPr>
        <w:pStyle w:val="ListParagraph"/>
        <w:numPr>
          <w:ilvl w:val="0"/>
          <w:numId w:val="39"/>
        </w:numPr>
        <w:spacing w:after="120"/>
        <w:jc w:val="both"/>
        <w:rPr>
          <w:rFonts w:ascii="Times New Roman" w:hAnsi="Times New Roman" w:cs="Times New Roman"/>
          <w:color w:val="000000" w:themeColor="text1"/>
          <w:sz w:val="24"/>
          <w:szCs w:val="24"/>
        </w:rPr>
      </w:pPr>
      <w:r w:rsidRPr="000C0721">
        <w:rPr>
          <w:rFonts w:ascii="Times New Roman" w:hAnsi="Times New Roman" w:cs="Times New Roman"/>
          <w:color w:val="000000" w:themeColor="text1"/>
          <w:sz w:val="24"/>
          <w:szCs w:val="24"/>
        </w:rPr>
        <w:t>pierderi economice semnificative generate de epizootii,</w:t>
      </w:r>
    </w:p>
    <w:p w14:paraId="08210FBD" w14:textId="77777777" w:rsidR="000C0721" w:rsidRPr="000C0721" w:rsidRDefault="000C0721" w:rsidP="000C0721">
      <w:pPr>
        <w:pStyle w:val="ListParagraph"/>
        <w:numPr>
          <w:ilvl w:val="0"/>
          <w:numId w:val="39"/>
        </w:numPr>
        <w:spacing w:after="0"/>
        <w:jc w:val="both"/>
        <w:rPr>
          <w:rFonts w:ascii="Times New Roman" w:hAnsi="Times New Roman" w:cs="Times New Roman"/>
          <w:color w:val="000000" w:themeColor="text1"/>
          <w:sz w:val="24"/>
          <w:szCs w:val="24"/>
        </w:rPr>
      </w:pPr>
      <w:r w:rsidRPr="000C0721">
        <w:rPr>
          <w:rFonts w:ascii="Times New Roman" w:hAnsi="Times New Roman" w:cs="Times New Roman"/>
          <w:color w:val="000000" w:themeColor="text1"/>
          <w:sz w:val="24"/>
          <w:szCs w:val="24"/>
        </w:rPr>
        <w:t>și un declin al acoperirii vaccinale veterinare.</w:t>
      </w:r>
    </w:p>
    <w:p w14:paraId="77656F3E" w14:textId="77777777" w:rsidR="000C0721" w:rsidRPr="000C0721" w:rsidRDefault="000C0721" w:rsidP="000C0721">
      <w:pPr>
        <w:ind w:firstLine="360"/>
        <w:jc w:val="both"/>
        <w:rPr>
          <w:color w:val="000000" w:themeColor="text1"/>
          <w:lang w:eastAsia="en-US"/>
        </w:rPr>
      </w:pPr>
      <w:r w:rsidRPr="000C0721">
        <w:rPr>
          <w:color w:val="000000" w:themeColor="text1"/>
          <w:lang w:eastAsia="en-US"/>
        </w:rPr>
        <w:lastRenderedPageBreak/>
        <w:t>Aceste tendințe justifică integrarea în PNRRDN a unor măsuri dedicate de supraveghere, prevenire și răspuns rapid, precum modernizarea laboratoarelor veterinare, digitalizarea trasabilității alimentare, protocoale One Health și consolidarea capacităților teritoriale ale ANSA.</w:t>
      </w:r>
    </w:p>
    <w:p w14:paraId="16890931" w14:textId="5E13334C" w:rsidR="000C0721" w:rsidRPr="000C0721" w:rsidRDefault="000C0721" w:rsidP="000C0721">
      <w:pPr>
        <w:ind w:firstLine="360"/>
        <w:jc w:val="both"/>
        <w:rPr>
          <w:b/>
          <w:bCs/>
          <w:lang w:eastAsia="en-US"/>
        </w:rPr>
      </w:pPr>
      <w:r w:rsidRPr="000C0721">
        <w:rPr>
          <w:b/>
          <w:bCs/>
          <w:lang w:eastAsia="en-US"/>
        </w:rPr>
        <w:t>Capacități tehnice si operaționale ANSA</w:t>
      </w:r>
    </w:p>
    <w:p w14:paraId="4E90863B" w14:textId="580D6FDB" w:rsidR="005468F5" w:rsidRPr="000C0721" w:rsidRDefault="00915396" w:rsidP="000C0721">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0C0721">
        <w:rPr>
          <w:rFonts w:ascii="Times New Roman" w:hAnsi="Times New Roman" w:cs="Times New Roman"/>
          <w:color w:val="000000" w:themeColor="text1"/>
          <w:sz w:val="24"/>
          <w:szCs w:val="24"/>
        </w:rPr>
        <w:t>Totuși, rezultatele indică un nivel de risc care necesită atenție continuă: 30 de probe interne și 57 de probe la frontieră au fost declarate neconforme, înregistrând depășiri ale limitelor maxime admise (LMR) pentru reziduuri de pesticide. Aceste date sugerează atât vulnerabilități în lanțurile interne de producție și distribuție, cât și riscuri asociate importurilor de produse vegetale. Consolidarea laboratorului fitosanitar, digitalizarea trasabilității și mecanismele rapide de blocare a loturilor neconforme sunt esențiale pentru prevenirea riscurilor biologico-sociale, protejarea sănătății populației și menținerea siguranței alimentare.În concluzie, d</w:t>
      </w:r>
      <w:r w:rsidR="005468F5" w:rsidRPr="000C0721">
        <w:rPr>
          <w:rFonts w:ascii="Times New Roman" w:hAnsi="Times New Roman" w:cs="Times New Roman"/>
          <w:color w:val="000000" w:themeColor="text1"/>
          <w:sz w:val="24"/>
          <w:szCs w:val="24"/>
        </w:rPr>
        <w:t>atele furnizate de ANSA conturează un tablou epidemiologic complex, caracterizat prin:</w:t>
      </w:r>
    </w:p>
    <w:p w14:paraId="25099EC1" w14:textId="77777777" w:rsidR="000C0721" w:rsidRPr="000C0721" w:rsidRDefault="000C0721" w:rsidP="000C0721">
      <w:pPr>
        <w:pStyle w:val="ListParagraph"/>
        <w:numPr>
          <w:ilvl w:val="2"/>
          <w:numId w:val="48"/>
        </w:numPr>
        <w:spacing w:after="120"/>
        <w:jc w:val="both"/>
        <w:rPr>
          <w:rFonts w:ascii="Times New Roman" w:hAnsi="Times New Roman" w:cs="Times New Roman"/>
          <w:color w:val="000000" w:themeColor="text1"/>
          <w:sz w:val="24"/>
          <w:szCs w:val="24"/>
        </w:rPr>
      </w:pPr>
      <w:r w:rsidRPr="000C0721">
        <w:rPr>
          <w:rFonts w:ascii="Times New Roman" w:hAnsi="Times New Roman" w:cs="Times New Roman"/>
          <w:color w:val="000000" w:themeColor="text1"/>
          <w:sz w:val="24"/>
          <w:szCs w:val="24"/>
        </w:rPr>
        <w:t>reapariția periodică a zoonozelor majore,</w:t>
      </w:r>
    </w:p>
    <w:p w14:paraId="7D1C17CB" w14:textId="77777777" w:rsidR="000C0721" w:rsidRPr="000C0721" w:rsidRDefault="000C0721" w:rsidP="000C0721">
      <w:pPr>
        <w:pStyle w:val="ListParagraph"/>
        <w:numPr>
          <w:ilvl w:val="2"/>
          <w:numId w:val="48"/>
        </w:numPr>
        <w:spacing w:after="120"/>
        <w:jc w:val="both"/>
        <w:rPr>
          <w:rFonts w:ascii="Times New Roman" w:hAnsi="Times New Roman" w:cs="Times New Roman"/>
          <w:color w:val="000000" w:themeColor="text1"/>
          <w:sz w:val="24"/>
          <w:szCs w:val="24"/>
        </w:rPr>
      </w:pPr>
      <w:r w:rsidRPr="000C0721">
        <w:rPr>
          <w:rFonts w:ascii="Times New Roman" w:hAnsi="Times New Roman" w:cs="Times New Roman"/>
          <w:color w:val="000000" w:themeColor="text1"/>
          <w:sz w:val="24"/>
          <w:szCs w:val="24"/>
        </w:rPr>
        <w:t>volatilitatea intoxicațiilor alimentare,</w:t>
      </w:r>
    </w:p>
    <w:p w14:paraId="39C9C41A" w14:textId="77777777" w:rsidR="000C0721" w:rsidRPr="000C0721" w:rsidRDefault="000C0721" w:rsidP="000C0721">
      <w:pPr>
        <w:pStyle w:val="ListParagraph"/>
        <w:numPr>
          <w:ilvl w:val="2"/>
          <w:numId w:val="48"/>
        </w:numPr>
        <w:spacing w:after="120"/>
        <w:jc w:val="both"/>
        <w:rPr>
          <w:rFonts w:ascii="Times New Roman" w:hAnsi="Times New Roman" w:cs="Times New Roman"/>
          <w:color w:val="000000" w:themeColor="text1"/>
          <w:sz w:val="24"/>
          <w:szCs w:val="24"/>
        </w:rPr>
      </w:pPr>
      <w:r w:rsidRPr="000C0721">
        <w:rPr>
          <w:rFonts w:ascii="Times New Roman" w:hAnsi="Times New Roman" w:cs="Times New Roman"/>
          <w:color w:val="000000" w:themeColor="text1"/>
          <w:sz w:val="24"/>
          <w:szCs w:val="24"/>
        </w:rPr>
        <w:t>pierderi economice semnificative generate de epizootii,</w:t>
      </w:r>
    </w:p>
    <w:p w14:paraId="0C74EEF1" w14:textId="77777777" w:rsidR="000C0721" w:rsidRPr="000C0721" w:rsidRDefault="000C0721" w:rsidP="000C0721">
      <w:pPr>
        <w:pStyle w:val="ListParagraph"/>
        <w:numPr>
          <w:ilvl w:val="2"/>
          <w:numId w:val="48"/>
        </w:numPr>
        <w:spacing w:after="0"/>
        <w:jc w:val="both"/>
        <w:rPr>
          <w:rFonts w:ascii="Times New Roman" w:hAnsi="Times New Roman" w:cs="Times New Roman"/>
          <w:color w:val="000000" w:themeColor="text1"/>
          <w:sz w:val="24"/>
          <w:szCs w:val="24"/>
        </w:rPr>
      </w:pPr>
      <w:r w:rsidRPr="000C0721">
        <w:rPr>
          <w:rFonts w:ascii="Times New Roman" w:hAnsi="Times New Roman" w:cs="Times New Roman"/>
          <w:color w:val="000000" w:themeColor="text1"/>
          <w:sz w:val="24"/>
          <w:szCs w:val="24"/>
        </w:rPr>
        <w:t>și un declin al acoperirii vaccinale veterinare.</w:t>
      </w:r>
    </w:p>
    <w:p w14:paraId="7CFF50B0" w14:textId="77777777" w:rsidR="000C0721" w:rsidRPr="000C0721" w:rsidRDefault="000C0721" w:rsidP="000C0721">
      <w:pPr>
        <w:ind w:firstLine="360"/>
        <w:jc w:val="both"/>
        <w:rPr>
          <w:color w:val="000000" w:themeColor="text1"/>
          <w:lang w:eastAsia="en-US"/>
        </w:rPr>
      </w:pPr>
      <w:r w:rsidRPr="000C0721">
        <w:rPr>
          <w:color w:val="000000" w:themeColor="text1"/>
          <w:lang w:eastAsia="en-US"/>
        </w:rPr>
        <w:t>Aceste tendințe justifică integrarea în PNRRDN a unor măsuri dedicate de supraveghere, prevenire și răspuns rapid, precum modernizarea laboratoarelor veterinare, digitalizarea trasabilității alimentare, protocoale One Health și consolidarea capacităților teritoriale ale ANSA.</w:t>
      </w:r>
    </w:p>
    <w:p w14:paraId="22FD0CB1" w14:textId="3E34B98B" w:rsidR="000C0721" w:rsidRPr="000C0721" w:rsidRDefault="000C0721" w:rsidP="000C0721">
      <w:pPr>
        <w:ind w:firstLine="360"/>
        <w:jc w:val="both"/>
        <w:rPr>
          <w:b/>
          <w:bCs/>
          <w:lang w:eastAsia="en-US"/>
        </w:rPr>
      </w:pPr>
      <w:r w:rsidRPr="000C0721">
        <w:rPr>
          <w:b/>
          <w:bCs/>
          <w:lang w:eastAsia="en-US"/>
        </w:rPr>
        <w:t>Capacități tehnice și operaționale ANSA</w:t>
      </w:r>
    </w:p>
    <w:bookmarkEnd w:id="78"/>
    <w:p w14:paraId="7B6262C7" w14:textId="722E3850" w:rsidR="00BA6F9B" w:rsidRPr="000C0721" w:rsidRDefault="00BA6F9B" w:rsidP="000C0721">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0C0721">
        <w:rPr>
          <w:rFonts w:ascii="Times New Roman" w:hAnsi="Times New Roman" w:cs="Times New Roman"/>
          <w:color w:val="000000" w:themeColor="text1"/>
          <w:sz w:val="24"/>
          <w:szCs w:val="24"/>
        </w:rPr>
        <w:t xml:space="preserve">Raportul anual ANSA pentru 2024 confirmă că instituția rămâne un pilon critic pentru prevenirea, supravegherea și controlul riscurilor biologico-sociale la nivel național. Cu un volum total de peste </w:t>
      </w:r>
      <w:r w:rsidRPr="000C0721">
        <w:rPr>
          <w:rFonts w:ascii="Times New Roman" w:hAnsi="Times New Roman" w:cs="Times New Roman"/>
          <w:b/>
          <w:bCs/>
          <w:color w:val="000000" w:themeColor="text1"/>
          <w:sz w:val="24"/>
          <w:szCs w:val="24"/>
        </w:rPr>
        <w:t>20.650 controale oficiale desfășurate</w:t>
      </w:r>
      <w:r w:rsidRPr="000C0721">
        <w:rPr>
          <w:rFonts w:ascii="Times New Roman" w:hAnsi="Times New Roman" w:cs="Times New Roman"/>
          <w:color w:val="000000" w:themeColor="text1"/>
          <w:sz w:val="24"/>
          <w:szCs w:val="24"/>
        </w:rPr>
        <w:t xml:space="preserve"> pe lanțul alimentar, capacitatea operațională a ANSA este una ridicată, în pofida constrângerilor instituționale. Sistemul de inspecții funcționează cu un nivel foarte înalt de realizare a planului de controale – 99,15% în 2024, o creștere constantă față de anii precedenți, ceea ce indică un aparat de control bine organizat, dar puternic încărcat.</w:t>
      </w:r>
    </w:p>
    <w:p w14:paraId="769848B0" w14:textId="7947AE10" w:rsidR="00BA6F9B" w:rsidRPr="000C0721" w:rsidRDefault="00BA6F9B" w:rsidP="00CC5C93">
      <w:pPr>
        <w:ind w:firstLine="360"/>
        <w:jc w:val="both"/>
        <w:rPr>
          <w:lang w:eastAsia="en-US"/>
        </w:rPr>
      </w:pPr>
      <w:r w:rsidRPr="000C0721">
        <w:rPr>
          <w:b/>
          <w:bCs/>
          <w:lang w:eastAsia="en-US"/>
        </w:rPr>
        <w:t>Din perspectiva capacității instituționale,</w:t>
      </w:r>
      <w:r w:rsidRPr="000C0721">
        <w:rPr>
          <w:lang w:eastAsia="en-US"/>
        </w:rPr>
        <w:t xml:space="preserve"> raportul evidențiază un deficit semnificativ de personal, ANSA funcționând cu 992 angajați dintr-un necesar de 1.194. Subdiviziunile teritoriale și posturile de inspecție la frontieră înregistrează cele mai mari lacune de personal, aspect care afectează direct rapiditatea răspunsului în situații de risc epizootic sau alimentar. </w:t>
      </w:r>
    </w:p>
    <w:p w14:paraId="1491F0A8" w14:textId="79DF812B" w:rsidR="00BA6F9B" w:rsidRPr="000C0721" w:rsidRDefault="00BA6F9B" w:rsidP="00CC5C93">
      <w:pPr>
        <w:ind w:firstLine="360"/>
        <w:jc w:val="both"/>
        <w:rPr>
          <w:lang w:eastAsia="en-US"/>
        </w:rPr>
      </w:pPr>
      <w:r w:rsidRPr="000C0721">
        <w:rPr>
          <w:lang w:eastAsia="en-US"/>
        </w:rPr>
        <w:t>Raportul subliniază și necesitatea continuării modernizării infrastructurii de laborator. În 2024 au fost acreditate doar șase metode noi, cu accent pe reziduuri, contaminanți și parametri fizico-chimici, ceea ce rămâne sub necesarul real pentru supravegherea riscurilor emergente. Laboratoarele au derulat peste 10.995 probe investigate în cadrul Programului Național de Monitorizare – reprezentând 95% din plan, însă multe investigații sunt încă realizate cu echipamente depășite sau în instituții cu infrastructură tehnică insuficient adaptată volumului de probe.</w:t>
      </w:r>
    </w:p>
    <w:p w14:paraId="0D832A69" w14:textId="50C40317" w:rsidR="00BA6F9B" w:rsidRPr="000C0721" w:rsidRDefault="00BA6F9B" w:rsidP="00CC5C93">
      <w:pPr>
        <w:ind w:firstLine="360"/>
        <w:jc w:val="both"/>
        <w:rPr>
          <w:lang w:eastAsia="en-US"/>
        </w:rPr>
      </w:pPr>
      <w:r w:rsidRPr="000C0721">
        <w:rPr>
          <w:lang w:eastAsia="en-US"/>
        </w:rPr>
        <w:t xml:space="preserve">În </w:t>
      </w:r>
      <w:r w:rsidRPr="000C0721">
        <w:rPr>
          <w:b/>
          <w:bCs/>
          <w:lang w:eastAsia="en-US"/>
        </w:rPr>
        <w:t>domeniul frontierelor,</w:t>
      </w:r>
      <w:r w:rsidRPr="000C0721">
        <w:rPr>
          <w:lang w:eastAsia="en-US"/>
        </w:rPr>
        <w:t xml:space="preserve"> capacitatea de control rămâne esențială pentru prevenirea introducerii riscurilor biologice: 576 probe prelevate în punctele vamale, dintre care 57 neconforme la pesticide</w:t>
      </w:r>
      <w:r w:rsidR="00800DBB" w:rsidRPr="000C0721">
        <w:rPr>
          <w:lang w:eastAsia="en-US"/>
        </w:rPr>
        <w:t xml:space="preserve">, </w:t>
      </w:r>
      <w:r w:rsidRPr="000C0721">
        <w:rPr>
          <w:lang w:eastAsia="en-US"/>
        </w:rPr>
        <w:t xml:space="preserve">arată presiunea constantă asupra controlului importurilor. ANSA a efectuat peste 8.644 controale inopinate la solicitarea operatorilor economici pentru </w:t>
      </w:r>
      <w:r w:rsidRPr="000C0721">
        <w:rPr>
          <w:b/>
          <w:bCs/>
          <w:lang w:eastAsia="en-US"/>
        </w:rPr>
        <w:t>eliberarea actelor permisive</w:t>
      </w:r>
      <w:r w:rsidRPr="000C0721">
        <w:rPr>
          <w:lang w:eastAsia="en-US"/>
        </w:rPr>
        <w:t>, ceea ce sugerează că supravegherea de rutină este puternic direcționată spre activități obligatorii și reactive, mai degrabă decât preventive.</w:t>
      </w:r>
    </w:p>
    <w:p w14:paraId="22BE2564" w14:textId="77777777" w:rsidR="00BA6F9B" w:rsidRPr="000C0721" w:rsidRDefault="00BA6F9B" w:rsidP="000C0721">
      <w:pPr>
        <w:pStyle w:val="ListParagraph"/>
        <w:numPr>
          <w:ilvl w:val="0"/>
          <w:numId w:val="42"/>
        </w:numPr>
        <w:ind w:left="0" w:firstLine="284"/>
        <w:jc w:val="both"/>
        <w:rPr>
          <w:rFonts w:ascii="Times New Roman" w:hAnsi="Times New Roman" w:cs="Times New Roman"/>
          <w:color w:val="000000" w:themeColor="text1"/>
          <w:sz w:val="24"/>
          <w:szCs w:val="24"/>
        </w:rPr>
      </w:pPr>
      <w:r w:rsidRPr="000C0721">
        <w:rPr>
          <w:rFonts w:ascii="Times New Roman" w:hAnsi="Times New Roman" w:cs="Times New Roman"/>
          <w:color w:val="000000" w:themeColor="text1"/>
          <w:sz w:val="24"/>
          <w:szCs w:val="24"/>
        </w:rPr>
        <w:t xml:space="preserve">În ansamblu, datele ANSA arată un sistem funcțional și robust la nivel procedural, dar fragil din punct de vedere al capacităților, cu trei vulnerabilități majore ce trebuie abordate prin PNRRDN 2026–2030: </w:t>
      </w:r>
    </w:p>
    <w:p w14:paraId="470ED2D9" w14:textId="77777777" w:rsidR="00BA6F9B" w:rsidRPr="000C0721" w:rsidRDefault="00BA6F9B">
      <w:pPr>
        <w:pStyle w:val="ListParagraph"/>
        <w:numPr>
          <w:ilvl w:val="0"/>
          <w:numId w:val="40"/>
        </w:numPr>
        <w:spacing w:after="120"/>
        <w:jc w:val="both"/>
        <w:rPr>
          <w:rFonts w:ascii="Times New Roman" w:hAnsi="Times New Roman" w:cs="Times New Roman"/>
          <w:color w:val="000000" w:themeColor="text1"/>
          <w:sz w:val="24"/>
          <w:szCs w:val="24"/>
        </w:rPr>
      </w:pPr>
      <w:r w:rsidRPr="000C0721">
        <w:rPr>
          <w:rFonts w:ascii="Times New Roman" w:hAnsi="Times New Roman" w:cs="Times New Roman"/>
          <w:color w:val="000000" w:themeColor="text1"/>
          <w:sz w:val="24"/>
          <w:szCs w:val="24"/>
        </w:rPr>
        <w:t xml:space="preserve">lipsa de personal, în special în teritoriu și la frontieră; </w:t>
      </w:r>
    </w:p>
    <w:p w14:paraId="56346EDA" w14:textId="77777777" w:rsidR="00BA6F9B" w:rsidRPr="000C0721" w:rsidRDefault="00BA6F9B">
      <w:pPr>
        <w:pStyle w:val="ListParagraph"/>
        <w:numPr>
          <w:ilvl w:val="0"/>
          <w:numId w:val="40"/>
        </w:numPr>
        <w:spacing w:after="120"/>
        <w:jc w:val="both"/>
        <w:rPr>
          <w:rFonts w:ascii="Times New Roman" w:hAnsi="Times New Roman" w:cs="Times New Roman"/>
          <w:color w:val="000000" w:themeColor="text1"/>
          <w:sz w:val="24"/>
          <w:szCs w:val="24"/>
        </w:rPr>
      </w:pPr>
      <w:r w:rsidRPr="000C0721">
        <w:rPr>
          <w:rFonts w:ascii="Times New Roman" w:hAnsi="Times New Roman" w:cs="Times New Roman"/>
          <w:color w:val="000000" w:themeColor="text1"/>
          <w:sz w:val="24"/>
          <w:szCs w:val="24"/>
        </w:rPr>
        <w:t xml:space="preserve">infrastructură de laborator ce necesită modernizare tehnologică pentru a putea detecta rapid contaminanți, agenți zoonotici și riscuri emergente; </w:t>
      </w:r>
    </w:p>
    <w:p w14:paraId="72CBEB22" w14:textId="6F47AE50" w:rsidR="00BA6F9B" w:rsidRPr="000C0721" w:rsidRDefault="00BA6F9B">
      <w:pPr>
        <w:pStyle w:val="ListParagraph"/>
        <w:numPr>
          <w:ilvl w:val="0"/>
          <w:numId w:val="40"/>
        </w:numPr>
        <w:spacing w:after="0"/>
        <w:jc w:val="both"/>
        <w:rPr>
          <w:rFonts w:ascii="Times New Roman" w:hAnsi="Times New Roman" w:cs="Times New Roman"/>
          <w:color w:val="000000" w:themeColor="text1"/>
          <w:sz w:val="24"/>
          <w:szCs w:val="24"/>
        </w:rPr>
      </w:pPr>
      <w:r w:rsidRPr="000C0721">
        <w:rPr>
          <w:rFonts w:ascii="Times New Roman" w:hAnsi="Times New Roman" w:cs="Times New Roman"/>
          <w:color w:val="000000" w:themeColor="text1"/>
          <w:sz w:val="24"/>
          <w:szCs w:val="24"/>
        </w:rPr>
        <w:t>lipsa sistemelor informatice integrate, fapt ce limitează coordonarea cu alte instituții din sistemul național de avertizare timpurie.</w:t>
      </w:r>
    </w:p>
    <w:p w14:paraId="7374C18C" w14:textId="3286304D" w:rsidR="00F44CAA" w:rsidRPr="000C0721" w:rsidRDefault="00BA6F9B" w:rsidP="00AA2440">
      <w:pPr>
        <w:ind w:firstLine="360"/>
        <w:jc w:val="both"/>
        <w:rPr>
          <w:rStyle w:val="IntenseEmphasis"/>
          <w:b w:val="0"/>
          <w:bCs w:val="0"/>
          <w:i w:val="0"/>
          <w:iCs w:val="0"/>
          <w:color w:val="auto"/>
          <w:lang w:eastAsia="en-US"/>
        </w:rPr>
      </w:pPr>
      <w:r w:rsidRPr="000C0721">
        <w:rPr>
          <w:lang w:eastAsia="en-US"/>
        </w:rPr>
        <w:lastRenderedPageBreak/>
        <w:t>Aceste constatări justifică includerea unor măsuri dedicate în OS 4.1 și OS 4.2 privind fortificarea capacităților ANSA, atât tehnologice, cât și operaționale, pentru a consolida supravegherea riscurilor biologico-sociale, controlul importurilor, capacitatea de laborator și sistemele digitale de date.</w:t>
      </w:r>
    </w:p>
    <w:p w14:paraId="47FBB331" w14:textId="0F2A0C04" w:rsidR="0030712B" w:rsidRPr="000C0721" w:rsidRDefault="00F44CAA" w:rsidP="00AA2440">
      <w:pPr>
        <w:pStyle w:val="Subtitle"/>
        <w:spacing w:after="0" w:line="240" w:lineRule="auto"/>
        <w:ind w:firstLine="360"/>
        <w:rPr>
          <w:rFonts w:ascii="Times New Roman" w:hAnsi="Times New Roman" w:cs="Times New Roman"/>
          <w:b/>
          <w:bCs/>
          <w:i/>
          <w:iCs w:val="0"/>
          <w:color w:val="000000" w:themeColor="text1"/>
          <w:sz w:val="24"/>
        </w:rPr>
      </w:pPr>
      <w:r w:rsidRPr="000C0721">
        <w:rPr>
          <w:rStyle w:val="IntenseEmphasis"/>
          <w:rFonts w:ascii="Times New Roman" w:hAnsi="Times New Roman" w:cs="Times New Roman"/>
          <w:color w:val="000000" w:themeColor="text1"/>
          <w:sz w:val="24"/>
        </w:rPr>
        <w:t xml:space="preserve">Prognoza evoluției riscurilor </w:t>
      </w:r>
      <w:r w:rsidR="008E4D0B" w:rsidRPr="000C0721">
        <w:rPr>
          <w:rStyle w:val="IntenseEmphasis"/>
          <w:rFonts w:ascii="Times New Roman" w:hAnsi="Times New Roman" w:cs="Times New Roman"/>
          <w:color w:val="000000" w:themeColor="text1"/>
          <w:sz w:val="24"/>
        </w:rPr>
        <w:t xml:space="preserve">naturale si biologico-sociale </w:t>
      </w:r>
      <w:r w:rsidRPr="000C0721">
        <w:rPr>
          <w:rStyle w:val="IntenseEmphasis"/>
          <w:rFonts w:ascii="Times New Roman" w:hAnsi="Times New Roman" w:cs="Times New Roman"/>
          <w:color w:val="000000" w:themeColor="text1"/>
          <w:sz w:val="24"/>
        </w:rPr>
        <w:t>în lipsa intervenției</w:t>
      </w:r>
    </w:p>
    <w:p w14:paraId="0749959E" w14:textId="77777777" w:rsidR="000C0721" w:rsidRPr="000C0721" w:rsidRDefault="0030712B" w:rsidP="000C0721">
      <w:pPr>
        <w:pStyle w:val="Subtitle"/>
        <w:numPr>
          <w:ilvl w:val="0"/>
          <w:numId w:val="42"/>
        </w:numPr>
        <w:spacing w:after="0"/>
        <w:ind w:left="0" w:firstLine="284"/>
        <w:jc w:val="both"/>
        <w:rPr>
          <w:rFonts w:ascii="Times New Roman" w:eastAsia="Times New Roman" w:hAnsi="Times New Roman" w:cs="Times New Roman"/>
          <w:iCs w:val="0"/>
          <w:color w:val="auto"/>
          <w:sz w:val="24"/>
        </w:rPr>
      </w:pPr>
      <w:r w:rsidRPr="000C0721">
        <w:rPr>
          <w:rFonts w:ascii="Times New Roman" w:eastAsia="Times New Roman" w:hAnsi="Times New Roman" w:cs="Times New Roman"/>
          <w:iCs w:val="0"/>
          <w:color w:val="auto"/>
          <w:sz w:val="24"/>
        </w:rPr>
        <w:t>În absența unor intervenții coordonate și sistemice, riscurile naturale și biologico-sociale din Republica Moldova sunt susceptibile să evolueze într-o direcție marcată de intensificare, extindere teritorială și impact socio-economic crescut. Analiza tendințelor recente, coroborată cu previziunile climatice și epidemiologice, indică un scenariu în care vulnerabilitățile existente se vor amplifica, iar capacitatea instituțională curentă nu va putea absorbi presiunile cumulativ crescânde.</w:t>
      </w:r>
    </w:p>
    <w:p w14:paraId="7B69C1AB" w14:textId="77777777" w:rsidR="000C0721" w:rsidRPr="000C0721" w:rsidRDefault="0030712B" w:rsidP="000C0721">
      <w:pPr>
        <w:pStyle w:val="Subtitle"/>
        <w:numPr>
          <w:ilvl w:val="0"/>
          <w:numId w:val="42"/>
        </w:numPr>
        <w:spacing w:after="0"/>
        <w:ind w:left="0" w:firstLine="284"/>
        <w:jc w:val="both"/>
        <w:rPr>
          <w:rFonts w:ascii="Times New Roman" w:eastAsia="Times New Roman" w:hAnsi="Times New Roman" w:cs="Times New Roman"/>
          <w:b/>
          <w:bCs/>
          <w:iCs w:val="0"/>
          <w:color w:val="auto"/>
          <w:sz w:val="24"/>
        </w:rPr>
      </w:pPr>
      <w:r w:rsidRPr="000C0721">
        <w:rPr>
          <w:rFonts w:ascii="Times New Roman" w:eastAsia="Times New Roman" w:hAnsi="Times New Roman" w:cs="Times New Roman"/>
          <w:b/>
          <w:bCs/>
          <w:iCs w:val="0"/>
          <w:color w:val="auto"/>
          <w:sz w:val="24"/>
        </w:rPr>
        <w:t>Riscuri climatice și hidrometeorologice</w:t>
      </w:r>
    </w:p>
    <w:p w14:paraId="199ED605" w14:textId="77777777" w:rsidR="000C0721" w:rsidRPr="000C0721" w:rsidRDefault="0030712B" w:rsidP="000C0721">
      <w:pPr>
        <w:pStyle w:val="Subtitle"/>
        <w:numPr>
          <w:ilvl w:val="0"/>
          <w:numId w:val="0"/>
        </w:numPr>
        <w:spacing w:after="0"/>
        <w:ind w:firstLine="284"/>
        <w:jc w:val="both"/>
        <w:rPr>
          <w:rFonts w:ascii="Times New Roman" w:eastAsia="Times New Roman" w:hAnsi="Times New Roman" w:cs="Times New Roman"/>
          <w:b/>
          <w:bCs/>
          <w:iCs w:val="0"/>
          <w:color w:val="auto"/>
          <w:sz w:val="24"/>
        </w:rPr>
      </w:pPr>
      <w:r w:rsidRPr="000C0721">
        <w:rPr>
          <w:rFonts w:ascii="Times New Roman" w:eastAsia="Times New Roman" w:hAnsi="Times New Roman" w:cs="Times New Roman"/>
          <w:iCs w:val="0"/>
          <w:color w:val="auto"/>
          <w:sz w:val="24"/>
        </w:rPr>
        <w:t>Fără investiții în prevenire și adaptare, evoluțiile climatice vor genera cicluri tot mai scurte și mai severe de secetă, cu probabilitatea ca episoadele hidrologice și pedologice extreme să se repete la intervale de 2–3 ani. Această intensificare a deficitului hidric va afecta nu doar producția agricolă, ci și resursele de apă potabilă și echilibrul ecosistemelor. În paralel, valurile de căldură vor deveni mai persistente și mai frecvente, accentuând mortalitatea în rândul populațiilor vulnerabile și sporind incidența afecțiunilor cardiovasculare, respiratorii și enterice. Totodată, fenomenele meteorologice extreme – furtuni, ploi torențiale sau grindină – vor crește probabilitatea de inundații rapide și vor accelera procesele de eroziune a solului, afectând infrastructura publică și agricolă. În lipsa intervențiilor, degradarea terenurilor, în special în sudul și centrul țării, riscă să devină ireversibilă în unele areale, compromițând productivitatea agricolă și generând presiuni migratorii suplimentare.</w:t>
      </w:r>
    </w:p>
    <w:p w14:paraId="00113442" w14:textId="77777777" w:rsidR="000C0721" w:rsidRPr="000C0721" w:rsidRDefault="0030712B" w:rsidP="000C0721">
      <w:pPr>
        <w:pStyle w:val="Subtitle"/>
        <w:numPr>
          <w:ilvl w:val="0"/>
          <w:numId w:val="42"/>
        </w:numPr>
        <w:spacing w:after="0"/>
        <w:ind w:left="0" w:firstLine="284"/>
        <w:jc w:val="both"/>
        <w:rPr>
          <w:rFonts w:ascii="Times New Roman" w:eastAsia="Times New Roman" w:hAnsi="Times New Roman" w:cs="Times New Roman"/>
          <w:b/>
          <w:bCs/>
          <w:iCs w:val="0"/>
          <w:color w:val="auto"/>
          <w:sz w:val="24"/>
        </w:rPr>
      </w:pPr>
      <w:r w:rsidRPr="000C0721">
        <w:rPr>
          <w:rFonts w:ascii="Times New Roman" w:eastAsia="Times New Roman" w:hAnsi="Times New Roman" w:cs="Times New Roman"/>
          <w:b/>
          <w:bCs/>
          <w:iCs w:val="0"/>
          <w:color w:val="auto"/>
          <w:sz w:val="24"/>
        </w:rPr>
        <w:t>Riscuri asociate calității apei și managementului apelor uzate</w:t>
      </w:r>
    </w:p>
    <w:p w14:paraId="16C1CD15" w14:textId="77777777" w:rsidR="000C0721" w:rsidRPr="000C0721" w:rsidRDefault="0030712B" w:rsidP="000C0721">
      <w:pPr>
        <w:pStyle w:val="Subtitle"/>
        <w:numPr>
          <w:ilvl w:val="0"/>
          <w:numId w:val="0"/>
        </w:numPr>
        <w:spacing w:after="0"/>
        <w:ind w:firstLine="284"/>
        <w:jc w:val="both"/>
        <w:rPr>
          <w:rFonts w:ascii="Times New Roman" w:eastAsia="Times New Roman" w:hAnsi="Times New Roman" w:cs="Times New Roman"/>
          <w:b/>
          <w:bCs/>
          <w:iCs w:val="0"/>
          <w:color w:val="auto"/>
          <w:sz w:val="24"/>
        </w:rPr>
      </w:pPr>
      <w:r w:rsidRPr="000C0721">
        <w:rPr>
          <w:rFonts w:ascii="Times New Roman" w:eastAsia="Times New Roman" w:hAnsi="Times New Roman" w:cs="Times New Roman"/>
          <w:iCs w:val="0"/>
          <w:color w:val="auto"/>
          <w:sz w:val="24"/>
        </w:rPr>
        <w:t xml:space="preserve">Menținerea stării actuale a infrastructurii de captare, tratare și epurare a apei va </w:t>
      </w:r>
      <w:r w:rsidR="005C3AAE" w:rsidRPr="000C0721">
        <w:rPr>
          <w:rFonts w:ascii="Times New Roman" w:eastAsia="Times New Roman" w:hAnsi="Times New Roman" w:cs="Times New Roman"/>
          <w:iCs w:val="0"/>
          <w:color w:val="auto"/>
          <w:sz w:val="24"/>
        </w:rPr>
        <w:t>constitui</w:t>
      </w:r>
      <w:r w:rsidRPr="000C0721">
        <w:rPr>
          <w:rFonts w:ascii="Times New Roman" w:eastAsia="Times New Roman" w:hAnsi="Times New Roman" w:cs="Times New Roman"/>
          <w:iCs w:val="0"/>
          <w:color w:val="auto"/>
          <w:sz w:val="24"/>
        </w:rPr>
        <w:t xml:space="preserve"> un risc major pentru sănătatea publică. În absența modernizării stațiilor de epurare, ponderea apelor uzate tratate conform normelor poate scădea sub 15%, crescând contaminarea surselor de apă de suprafață și freatice. Sursele descentralizate </w:t>
      </w:r>
      <w:r w:rsidR="005C3AAE" w:rsidRPr="000C0721">
        <w:rPr>
          <w:rFonts w:ascii="Times New Roman" w:eastAsia="Times New Roman" w:hAnsi="Times New Roman" w:cs="Times New Roman"/>
          <w:iCs w:val="0"/>
          <w:color w:val="auto"/>
          <w:sz w:val="24"/>
        </w:rPr>
        <w:t>(</w:t>
      </w:r>
      <w:r w:rsidRPr="000C0721">
        <w:rPr>
          <w:rFonts w:ascii="Times New Roman" w:eastAsia="Times New Roman" w:hAnsi="Times New Roman" w:cs="Times New Roman"/>
          <w:iCs w:val="0"/>
          <w:color w:val="auto"/>
          <w:sz w:val="24"/>
        </w:rPr>
        <w:t xml:space="preserve"> utilizate preponderent în mediul rural</w:t>
      </w:r>
      <w:r w:rsidR="005C3AAE" w:rsidRPr="000C0721">
        <w:rPr>
          <w:rFonts w:ascii="Times New Roman" w:eastAsia="Times New Roman" w:hAnsi="Times New Roman" w:cs="Times New Roman"/>
          <w:iCs w:val="0"/>
          <w:color w:val="auto"/>
          <w:sz w:val="24"/>
        </w:rPr>
        <w:t xml:space="preserve">) </w:t>
      </w:r>
      <w:r w:rsidRPr="000C0721">
        <w:rPr>
          <w:rFonts w:ascii="Times New Roman" w:eastAsia="Times New Roman" w:hAnsi="Times New Roman" w:cs="Times New Roman"/>
          <w:iCs w:val="0"/>
          <w:color w:val="auto"/>
          <w:sz w:val="24"/>
        </w:rPr>
        <w:t>vor continua să prezinte un risc sanitar ridicat, cu potențialul ca peste 70</w:t>
      </w:r>
      <w:r w:rsidR="00387A20" w:rsidRPr="000C0721">
        <w:rPr>
          <w:rFonts w:ascii="Times New Roman" w:eastAsia="Times New Roman" w:hAnsi="Times New Roman" w:cs="Times New Roman"/>
          <w:iCs w:val="0"/>
          <w:color w:val="auto"/>
          <w:sz w:val="24"/>
        </w:rPr>
        <w:t>-</w:t>
      </w:r>
      <w:r w:rsidRPr="000C0721">
        <w:rPr>
          <w:rFonts w:ascii="Times New Roman" w:eastAsia="Times New Roman" w:hAnsi="Times New Roman" w:cs="Times New Roman"/>
          <w:iCs w:val="0"/>
          <w:color w:val="auto"/>
          <w:sz w:val="24"/>
        </w:rPr>
        <w:t>80% dintre probele monitorizate să fie neconforme. Evenimentele hidrometeorologice extreme, inclusiv ploi excesive și viituri, pot amplifica poluarea bacteriologică și chimică, favorizând izbucnirea unor focare de hepatită A, boli diareice acute sau infecții enterice, în special în comunitățile fără infrastructură sanitară adecvată.</w:t>
      </w:r>
    </w:p>
    <w:p w14:paraId="790787F6" w14:textId="77777777" w:rsidR="000C0721" w:rsidRPr="000C0721" w:rsidRDefault="0030712B" w:rsidP="000C0721">
      <w:pPr>
        <w:pStyle w:val="Subtitle"/>
        <w:numPr>
          <w:ilvl w:val="0"/>
          <w:numId w:val="42"/>
        </w:numPr>
        <w:spacing w:after="0"/>
        <w:ind w:left="0" w:firstLine="284"/>
        <w:jc w:val="both"/>
        <w:rPr>
          <w:rFonts w:ascii="Times New Roman" w:eastAsia="Times New Roman" w:hAnsi="Times New Roman" w:cs="Times New Roman"/>
          <w:b/>
          <w:bCs/>
          <w:iCs w:val="0"/>
          <w:color w:val="auto"/>
          <w:sz w:val="24"/>
        </w:rPr>
      </w:pPr>
      <w:r w:rsidRPr="000C0721">
        <w:rPr>
          <w:rFonts w:ascii="Times New Roman" w:eastAsia="Times New Roman" w:hAnsi="Times New Roman" w:cs="Times New Roman"/>
          <w:b/>
          <w:bCs/>
          <w:iCs w:val="0"/>
          <w:color w:val="auto"/>
          <w:sz w:val="24"/>
        </w:rPr>
        <w:t>Riscuri biologico-sociale și epidemiologice</w:t>
      </w:r>
    </w:p>
    <w:p w14:paraId="2582911C" w14:textId="77777777" w:rsidR="000C0721" w:rsidRPr="000C0721" w:rsidRDefault="0030712B" w:rsidP="000C0721">
      <w:pPr>
        <w:pStyle w:val="Subtitle"/>
        <w:numPr>
          <w:ilvl w:val="0"/>
          <w:numId w:val="0"/>
        </w:numPr>
        <w:spacing w:after="0"/>
        <w:ind w:firstLine="284"/>
        <w:jc w:val="both"/>
        <w:rPr>
          <w:rFonts w:ascii="Times New Roman" w:eastAsia="Times New Roman" w:hAnsi="Times New Roman" w:cs="Times New Roman"/>
          <w:b/>
          <w:bCs/>
          <w:iCs w:val="0"/>
          <w:color w:val="auto"/>
          <w:sz w:val="24"/>
        </w:rPr>
      </w:pPr>
      <w:r w:rsidRPr="000C0721">
        <w:rPr>
          <w:rFonts w:ascii="Times New Roman" w:eastAsia="Times New Roman" w:hAnsi="Times New Roman" w:cs="Times New Roman"/>
          <w:iCs w:val="0"/>
          <w:color w:val="auto"/>
          <w:sz w:val="24"/>
        </w:rPr>
        <w:t>În lipsa intervențiilor în supravegherea epidemiologică, digitalizare, prevenție și abordarea One Health, Republica Moldova riscă să se confrunte cu reemergente unor boli transmisibile controlabile. Scăderea continuă a acoperirii vaccinale constituie un factor major de risc, susceptibil să conducă la izbucniri de rujeolă, rubeolă sau tuse convulsivă. Schimbările climatice, degradarea ecosistemelor și mobilitatea populației vor continua să favorizeze transmiterea bolilor intestinale, mai ales în rândul copiilor, unde vulnerabilitățile sunt deja documentate. Circulația persistentă a unor agenți zoonotici – precum virusul Pestei Porcine Africane sau virusurile de influență aviară – poate genera epizootii recurente, cu consecințe economice severe pentru gospodării și pentru sectoarele producătoare. În același timp, riscul extinderii geografice a bolilor transmise prin vectori și al reapariției unor agenți patogeni (ex. rabia) va crește în absența unui sistem integrat de supraveghere și intervenție rapidă.</w:t>
      </w:r>
    </w:p>
    <w:p w14:paraId="061A2FF3" w14:textId="77777777" w:rsidR="000C0721" w:rsidRPr="000C0721" w:rsidRDefault="0030712B" w:rsidP="000C0721">
      <w:pPr>
        <w:pStyle w:val="Subtitle"/>
        <w:numPr>
          <w:ilvl w:val="0"/>
          <w:numId w:val="42"/>
        </w:numPr>
        <w:spacing w:after="0"/>
        <w:ind w:left="0" w:firstLine="284"/>
        <w:jc w:val="both"/>
        <w:rPr>
          <w:rFonts w:ascii="Times New Roman" w:eastAsia="Times New Roman" w:hAnsi="Times New Roman" w:cs="Times New Roman"/>
          <w:b/>
          <w:bCs/>
          <w:iCs w:val="0"/>
          <w:color w:val="auto"/>
          <w:sz w:val="24"/>
        </w:rPr>
      </w:pPr>
      <w:r w:rsidRPr="000C0721">
        <w:rPr>
          <w:rFonts w:ascii="Times New Roman" w:eastAsia="Times New Roman" w:hAnsi="Times New Roman" w:cs="Times New Roman"/>
          <w:b/>
          <w:bCs/>
          <w:iCs w:val="0"/>
          <w:color w:val="auto"/>
          <w:sz w:val="24"/>
        </w:rPr>
        <w:t>Riscuri socio-economice și teritoriale</w:t>
      </w:r>
    </w:p>
    <w:p w14:paraId="18190390" w14:textId="77777777" w:rsidR="000C0721" w:rsidRPr="000C0721" w:rsidRDefault="0030712B" w:rsidP="000C0721">
      <w:pPr>
        <w:pStyle w:val="Subtitle"/>
        <w:numPr>
          <w:ilvl w:val="0"/>
          <w:numId w:val="0"/>
        </w:numPr>
        <w:spacing w:after="0"/>
        <w:ind w:firstLine="284"/>
        <w:jc w:val="both"/>
        <w:rPr>
          <w:rFonts w:ascii="Times New Roman" w:eastAsia="Times New Roman" w:hAnsi="Times New Roman" w:cs="Times New Roman"/>
          <w:b/>
          <w:bCs/>
          <w:iCs w:val="0"/>
          <w:color w:val="auto"/>
          <w:sz w:val="24"/>
        </w:rPr>
      </w:pPr>
      <w:r w:rsidRPr="000C0721">
        <w:rPr>
          <w:rFonts w:ascii="Times New Roman" w:eastAsia="Times New Roman" w:hAnsi="Times New Roman" w:cs="Times New Roman"/>
          <w:iCs w:val="0"/>
          <w:color w:val="auto"/>
          <w:sz w:val="24"/>
        </w:rPr>
        <w:t xml:space="preserve">Fără intervenții la nivel local și fără consolidarea capacităților APL, vulnerabilitatea comunităților rurale, deja afectate de sărăcie, acces limitat la apă sigură și dependență de agricultură, se va accentua. Expunerea infrastructurii critice (școli, spitale, drumuri, rețele de apă) la fenomene climatice extreme </w:t>
      </w:r>
      <w:r w:rsidRPr="000C0721">
        <w:rPr>
          <w:rFonts w:ascii="Times New Roman" w:eastAsia="Times New Roman" w:hAnsi="Times New Roman" w:cs="Times New Roman"/>
          <w:iCs w:val="0"/>
          <w:color w:val="auto"/>
          <w:sz w:val="24"/>
        </w:rPr>
        <w:lastRenderedPageBreak/>
        <w:t>va genera daune repetate, costuri sporite de reparație și întreruperi ale serviciilor esențiale. Această presiune cumulată poate accelera migrația internă și externă, alimentând pierderea capitalului uman și sporind dezechilibrele demografice regionale.</w:t>
      </w:r>
    </w:p>
    <w:p w14:paraId="4FD1E0B9" w14:textId="77777777" w:rsidR="000C0721" w:rsidRPr="000C0721" w:rsidRDefault="0030712B" w:rsidP="000C0721">
      <w:pPr>
        <w:pStyle w:val="Subtitle"/>
        <w:numPr>
          <w:ilvl w:val="0"/>
          <w:numId w:val="42"/>
        </w:numPr>
        <w:spacing w:after="0"/>
        <w:ind w:left="0" w:firstLine="284"/>
        <w:jc w:val="both"/>
        <w:rPr>
          <w:rFonts w:ascii="Times New Roman" w:eastAsia="Times New Roman" w:hAnsi="Times New Roman" w:cs="Times New Roman"/>
          <w:b/>
          <w:bCs/>
          <w:iCs w:val="0"/>
          <w:color w:val="auto"/>
          <w:sz w:val="24"/>
        </w:rPr>
      </w:pPr>
      <w:r w:rsidRPr="000C0721">
        <w:rPr>
          <w:rFonts w:ascii="Times New Roman" w:eastAsia="Times New Roman" w:hAnsi="Times New Roman" w:cs="Times New Roman"/>
          <w:b/>
          <w:bCs/>
          <w:iCs w:val="0"/>
          <w:color w:val="auto"/>
          <w:sz w:val="24"/>
        </w:rPr>
        <w:t>Riscuri instituționale și de guvernanță</w:t>
      </w:r>
    </w:p>
    <w:p w14:paraId="50B877D9" w14:textId="2684CDA4" w:rsidR="0030712B" w:rsidRPr="000C0721" w:rsidRDefault="0030712B" w:rsidP="000C0721">
      <w:pPr>
        <w:pStyle w:val="Subtitle"/>
        <w:numPr>
          <w:ilvl w:val="0"/>
          <w:numId w:val="0"/>
        </w:numPr>
        <w:spacing w:after="0"/>
        <w:ind w:firstLine="284"/>
        <w:jc w:val="both"/>
        <w:rPr>
          <w:rFonts w:ascii="Times New Roman" w:eastAsia="Times New Roman" w:hAnsi="Times New Roman" w:cs="Times New Roman"/>
          <w:b/>
          <w:bCs/>
          <w:iCs w:val="0"/>
          <w:color w:val="auto"/>
          <w:sz w:val="24"/>
        </w:rPr>
      </w:pPr>
      <w:r w:rsidRPr="000C0721">
        <w:rPr>
          <w:rFonts w:ascii="Times New Roman" w:eastAsia="Times New Roman" w:hAnsi="Times New Roman" w:cs="Times New Roman"/>
          <w:iCs w:val="0"/>
          <w:color w:val="auto"/>
          <w:sz w:val="24"/>
        </w:rPr>
        <w:t xml:space="preserve">Fără investiții în capacitatea instituțională și infrastructura critică de supraveghere, sistemul de management al riscurilor va rămâne fragmentat și reacționar. Lipsa interoperabilității dintre bazele de date ale ANSP, ANSA, Agenției de Mediu, </w:t>
      </w:r>
      <w:r w:rsidR="00B14B11" w:rsidRPr="000C0721">
        <w:rPr>
          <w:rFonts w:ascii="Times New Roman" w:eastAsia="Times New Roman" w:hAnsi="Times New Roman" w:cs="Times New Roman"/>
          <w:iCs w:val="0"/>
          <w:color w:val="auto"/>
          <w:sz w:val="24"/>
        </w:rPr>
        <w:t xml:space="preserve">IP AN </w:t>
      </w:r>
      <w:r w:rsidRPr="000C0721">
        <w:rPr>
          <w:rFonts w:ascii="Times New Roman" w:eastAsia="Times New Roman" w:hAnsi="Times New Roman" w:cs="Times New Roman"/>
          <w:iCs w:val="0"/>
          <w:color w:val="auto"/>
          <w:sz w:val="24"/>
        </w:rPr>
        <w:t>Apele Moldovei și SHS va continua să întârzie detectarea timpurie a riscurilor, afectând calitatea deciziilor. Capacitatea insuficientă a laboratoarelor poate amplifica întârzierile în identificarea agenților patogeni și a contaminanților. Totodată, absența unei abordări One Health, recomandată la nivel internațional ca standard pentru gestionarea riscurilor complexe, limitează capacitatea țării de a preveni crize care apar la interfața dintre sănătatea umană, animală și ecosisteme.</w:t>
      </w:r>
    </w:p>
    <w:p w14:paraId="4290B20C" w14:textId="73DF8664" w:rsidR="00F44CAA" w:rsidRPr="000C0721" w:rsidRDefault="0030712B" w:rsidP="00F63492">
      <w:pPr>
        <w:pStyle w:val="Subtitle"/>
        <w:spacing w:after="120" w:line="240" w:lineRule="auto"/>
        <w:ind w:firstLine="284"/>
        <w:jc w:val="both"/>
        <w:rPr>
          <w:rFonts w:ascii="Times New Roman" w:eastAsia="Times New Roman" w:hAnsi="Times New Roman" w:cs="Times New Roman"/>
          <w:iCs w:val="0"/>
          <w:color w:val="auto"/>
          <w:sz w:val="24"/>
        </w:rPr>
      </w:pPr>
      <w:r w:rsidRPr="000C0721">
        <w:rPr>
          <w:rFonts w:ascii="Times New Roman" w:eastAsia="Times New Roman" w:hAnsi="Times New Roman" w:cs="Times New Roman"/>
          <w:b/>
          <w:bCs/>
          <w:iCs w:val="0"/>
          <w:color w:val="auto"/>
          <w:sz w:val="24"/>
        </w:rPr>
        <w:t>În</w:t>
      </w:r>
      <w:r w:rsidR="00B0460F" w:rsidRPr="000C0721">
        <w:rPr>
          <w:rFonts w:ascii="Times New Roman" w:eastAsia="Times New Roman" w:hAnsi="Times New Roman" w:cs="Times New Roman"/>
          <w:b/>
          <w:bCs/>
          <w:iCs w:val="0"/>
          <w:color w:val="auto"/>
          <w:sz w:val="24"/>
        </w:rPr>
        <w:t xml:space="preserve"> concluzie,</w:t>
      </w:r>
      <w:r w:rsidR="00B0460F" w:rsidRPr="000C0721">
        <w:rPr>
          <w:rFonts w:ascii="Times New Roman" w:eastAsia="Times New Roman" w:hAnsi="Times New Roman" w:cs="Times New Roman"/>
          <w:iCs w:val="0"/>
          <w:color w:val="auto"/>
          <w:sz w:val="24"/>
        </w:rPr>
        <w:t xml:space="preserve"> în</w:t>
      </w:r>
      <w:r w:rsidRPr="000C0721">
        <w:rPr>
          <w:rFonts w:ascii="Times New Roman" w:eastAsia="Times New Roman" w:hAnsi="Times New Roman" w:cs="Times New Roman"/>
          <w:iCs w:val="0"/>
          <w:color w:val="auto"/>
          <w:sz w:val="24"/>
        </w:rPr>
        <w:t xml:space="preserve"> lipsa intervenției, riscurile naturale și biologico-sociale vor evolua într-o manieră cumulativă și accelerată, cu efecte directe asupra sănătății populației, economiei rurale, calității mediului și rezilienței infrastructurii. Amplificarea acestor riscuri justifică adoptarea urgentă a măsurilor incluse în PNRRDN 2026–2030, precum și necesitatea consolidării durabile a capacităților de coordonare și răspuns interinstituțional.</w:t>
      </w:r>
    </w:p>
    <w:p w14:paraId="2A406E91" w14:textId="0D55CB6A" w:rsidR="00E133D8" w:rsidRPr="00CD2ADD" w:rsidRDefault="00376C41" w:rsidP="00590E37">
      <w:pPr>
        <w:pStyle w:val="Heading2"/>
        <w:spacing w:before="0"/>
        <w:jc w:val="center"/>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Secțiunea a 8-a</w:t>
      </w:r>
    </w:p>
    <w:p w14:paraId="77725344" w14:textId="2EA31FFE" w:rsidR="00376C41" w:rsidRPr="00CD2ADD" w:rsidRDefault="00376C41" w:rsidP="00590E37">
      <w:pPr>
        <w:pStyle w:val="Heading2"/>
        <w:spacing w:before="0"/>
        <w:jc w:val="center"/>
        <w:rPr>
          <w:rFonts w:ascii="Times New Roman" w:hAnsi="Times New Roman" w:cs="Times New Roman"/>
          <w:color w:val="000000" w:themeColor="text1"/>
          <w:sz w:val="24"/>
          <w:szCs w:val="24"/>
        </w:rPr>
      </w:pPr>
      <w:r w:rsidRPr="00CD2ADD">
        <w:rPr>
          <w:rFonts w:ascii="Times New Roman" w:hAnsi="Times New Roman" w:cs="Times New Roman"/>
          <w:color w:val="000000" w:themeColor="text1"/>
          <w:sz w:val="24"/>
          <w:szCs w:val="24"/>
        </w:rPr>
        <w:t>Concluzii ale analizei de situație</w:t>
      </w:r>
    </w:p>
    <w:p w14:paraId="7D6C5149" w14:textId="77777777" w:rsidR="00A411CF" w:rsidRPr="00CD2ADD" w:rsidRDefault="00A411CF" w:rsidP="00376C41">
      <w:pPr>
        <w:jc w:val="center"/>
        <w:rPr>
          <w:b/>
          <w:bCs/>
          <w:lang w:eastAsia="en-US"/>
        </w:rPr>
      </w:pPr>
    </w:p>
    <w:p w14:paraId="64EC0594" w14:textId="3418748B" w:rsidR="00A411CF" w:rsidRPr="00CD2ADD" w:rsidRDefault="00A411CF" w:rsidP="00E5345D">
      <w:pPr>
        <w:pStyle w:val="Heading3"/>
        <w:spacing w:before="0"/>
        <w:jc w:val="center"/>
        <w:rPr>
          <w:rFonts w:ascii="Times New Roman" w:hAnsi="Times New Roman" w:cs="Times New Roman"/>
          <w:b/>
          <w:bCs w:val="0"/>
          <w:color w:val="000000" w:themeColor="text1"/>
        </w:rPr>
      </w:pPr>
      <w:r w:rsidRPr="00CD2ADD">
        <w:rPr>
          <w:rFonts w:ascii="Times New Roman" w:hAnsi="Times New Roman" w:cs="Times New Roman"/>
          <w:b/>
          <w:bCs w:val="0"/>
          <w:color w:val="000000" w:themeColor="text1"/>
        </w:rPr>
        <w:t>Subsecțiunea 1</w:t>
      </w:r>
    </w:p>
    <w:p w14:paraId="7807A32F" w14:textId="4D6DC7FE" w:rsidR="00422972" w:rsidRPr="00CD2ADD" w:rsidRDefault="00422972" w:rsidP="00E5345D">
      <w:pPr>
        <w:pStyle w:val="Heading3"/>
        <w:spacing w:before="0"/>
        <w:jc w:val="center"/>
        <w:rPr>
          <w:rStyle w:val="IntenseEmphasis"/>
          <w:rFonts w:ascii="Times New Roman" w:hAnsi="Times New Roman" w:cs="Times New Roman"/>
          <w:i w:val="0"/>
          <w:iCs w:val="0"/>
          <w:color w:val="000000" w:themeColor="text1"/>
        </w:rPr>
      </w:pPr>
      <w:r w:rsidRPr="00CD2ADD">
        <w:rPr>
          <w:rStyle w:val="IntenseEmphasis"/>
          <w:rFonts w:ascii="Times New Roman" w:hAnsi="Times New Roman" w:cs="Times New Roman"/>
          <w:i w:val="0"/>
          <w:iCs w:val="0"/>
          <w:color w:val="000000" w:themeColor="text1"/>
          <w:szCs w:val="24"/>
        </w:rPr>
        <w:t>Problemele rezultate din analiza situației</w:t>
      </w:r>
    </w:p>
    <w:p w14:paraId="49517A9F" w14:textId="12D7B356" w:rsidR="00422972" w:rsidRPr="00CD2ADD" w:rsidRDefault="00422972" w:rsidP="00E5345D">
      <w:pPr>
        <w:pStyle w:val="Heading3"/>
        <w:spacing w:before="0"/>
        <w:jc w:val="center"/>
        <w:rPr>
          <w:rFonts w:ascii="Times New Roman" w:hAnsi="Times New Roman" w:cs="Times New Roman"/>
          <w:b/>
          <w:bCs w:val="0"/>
          <w:color w:val="000000" w:themeColor="text1"/>
        </w:rPr>
      </w:pPr>
      <w:r w:rsidRPr="00CD2ADD">
        <w:rPr>
          <w:rStyle w:val="IntenseEmphasis"/>
          <w:rFonts w:ascii="Times New Roman" w:hAnsi="Times New Roman" w:cs="Times New Roman"/>
          <w:i w:val="0"/>
          <w:iCs w:val="0"/>
          <w:color w:val="000000" w:themeColor="text1"/>
          <w:szCs w:val="24"/>
        </w:rPr>
        <w:t>riscurilor naturale și biologico-sociale</w:t>
      </w:r>
    </w:p>
    <w:bookmarkEnd w:id="79"/>
    <w:p w14:paraId="548ADE2D" w14:textId="4698E7C5" w:rsidR="00787459" w:rsidRDefault="00787459">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877A13">
        <w:rPr>
          <w:rFonts w:ascii="Times New Roman" w:hAnsi="Times New Roman" w:cs="Times New Roman"/>
          <w:color w:val="000000" w:themeColor="text1"/>
          <w:sz w:val="24"/>
          <w:szCs w:val="24"/>
        </w:rPr>
        <w:t>Analiza de situație evidențiază un set de vulnerabilități structurale, sistemice și instituționale care limitează capacitatea Republicii Moldova de a preveni, anticipa și gestiona eficient riscurile naturale și biologico-sociale. Deși s-au înregistrat progrese în consolidarea cadrului instituțional și în anumite domenii sectoriale, evoluțiile climatice recente, degradarea ecosistemelor și presiunile socio-economice continuă să amplifice riscurile, în special seceta, inundațiile locale, ploile torențiale, grindina, alunecările de teren și incendiile de vegetație și forestiere.</w:t>
      </w:r>
    </w:p>
    <w:p w14:paraId="11A1F5E1" w14:textId="77777777" w:rsidR="00877A13" w:rsidRPr="00877A13" w:rsidRDefault="00877A13" w:rsidP="00877A13">
      <w:pPr>
        <w:pStyle w:val="ListParagraph"/>
        <w:spacing w:after="0"/>
        <w:ind w:left="284" w:firstLine="0"/>
        <w:jc w:val="both"/>
        <w:rPr>
          <w:rFonts w:ascii="Times New Roman" w:hAnsi="Times New Roman" w:cs="Times New Roman"/>
          <w:color w:val="000000" w:themeColor="text1"/>
          <w:sz w:val="24"/>
          <w:szCs w:val="24"/>
        </w:rPr>
      </w:pPr>
    </w:p>
    <w:p w14:paraId="245B2080" w14:textId="21609607" w:rsidR="00124F64" w:rsidRPr="00877A13" w:rsidRDefault="00124F64" w:rsidP="00877A13">
      <w:pPr>
        <w:pStyle w:val="ListParagraph"/>
        <w:spacing w:after="0"/>
        <w:ind w:left="284" w:firstLine="0"/>
        <w:jc w:val="center"/>
        <w:rPr>
          <w:rStyle w:val="IntenseEmphasis"/>
          <w:rFonts w:ascii="Times New Roman" w:hAnsi="Times New Roman" w:cs="Times New Roman"/>
          <w:i w:val="0"/>
          <w:iCs w:val="0"/>
          <w:color w:val="000000" w:themeColor="text1"/>
          <w:sz w:val="24"/>
          <w:szCs w:val="24"/>
        </w:rPr>
      </w:pPr>
      <w:r w:rsidRPr="00877A13">
        <w:rPr>
          <w:rStyle w:val="IntenseEmphasis"/>
          <w:rFonts w:ascii="Times New Roman" w:hAnsi="Times New Roman" w:cs="Times New Roman"/>
          <w:i w:val="0"/>
          <w:color w:val="000000" w:themeColor="text1"/>
          <w:sz w:val="24"/>
          <w:szCs w:val="24"/>
        </w:rPr>
        <w:t xml:space="preserve">Problemele rezultate din analiza situației riscurilor </w:t>
      </w:r>
      <w:r w:rsidR="00713FB4" w:rsidRPr="00877A13">
        <w:rPr>
          <w:rStyle w:val="IntenseEmphasis"/>
          <w:rFonts w:ascii="Times New Roman" w:hAnsi="Times New Roman" w:cs="Times New Roman"/>
          <w:i w:val="0"/>
          <w:color w:val="000000" w:themeColor="text1"/>
          <w:sz w:val="24"/>
          <w:szCs w:val="24"/>
        </w:rPr>
        <w:t>naturale și biologico-sociale</w:t>
      </w:r>
    </w:p>
    <w:p w14:paraId="7B69900A" w14:textId="77777777" w:rsidR="00877A13" w:rsidRPr="00877A13" w:rsidRDefault="00877A13" w:rsidP="00877A13">
      <w:pPr>
        <w:pStyle w:val="ListParagraph"/>
        <w:spacing w:after="0"/>
        <w:ind w:left="284" w:firstLine="0"/>
        <w:jc w:val="both"/>
        <w:rPr>
          <w:rStyle w:val="IntenseEmphasis"/>
          <w:rFonts w:ascii="Times New Roman" w:hAnsi="Times New Roman" w:cs="Times New Roman"/>
          <w:b w:val="0"/>
          <w:bCs w:val="0"/>
          <w:i w:val="0"/>
          <w:iCs w:val="0"/>
          <w:color w:val="000000" w:themeColor="text1"/>
          <w:sz w:val="24"/>
          <w:szCs w:val="24"/>
        </w:rPr>
      </w:pPr>
    </w:p>
    <w:bookmarkEnd w:id="82"/>
    <w:p w14:paraId="26275A40" w14:textId="77777777" w:rsidR="00877A13" w:rsidRPr="00877A13" w:rsidRDefault="00CD76ED" w:rsidP="00877A13">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877A13">
        <w:rPr>
          <w:rFonts w:ascii="Times New Roman" w:hAnsi="Times New Roman" w:cs="Times New Roman"/>
          <w:b/>
          <w:bCs/>
          <w:color w:val="000000" w:themeColor="text1"/>
          <w:sz w:val="24"/>
          <w:szCs w:val="24"/>
        </w:rPr>
        <w:t>Intensificarea secetelor hidrologice și pedologice</w:t>
      </w:r>
      <w:r w:rsidR="00124F64" w:rsidRPr="00877A13">
        <w:rPr>
          <w:rFonts w:ascii="Times New Roman" w:hAnsi="Times New Roman" w:cs="Times New Roman"/>
          <w:b/>
          <w:bCs/>
          <w:color w:val="000000" w:themeColor="text1"/>
          <w:sz w:val="24"/>
          <w:szCs w:val="24"/>
        </w:rPr>
        <w:t xml:space="preserve">, </w:t>
      </w:r>
      <w:r w:rsidRPr="00877A13">
        <w:rPr>
          <w:rFonts w:ascii="Times New Roman" w:hAnsi="Times New Roman" w:cs="Times New Roman"/>
          <w:b/>
          <w:bCs/>
          <w:color w:val="000000" w:themeColor="text1"/>
          <w:sz w:val="24"/>
          <w:szCs w:val="24"/>
        </w:rPr>
        <w:t>un risc structural pentru securitatea alimentară și resursele de apă</w:t>
      </w:r>
    </w:p>
    <w:p w14:paraId="605585EC" w14:textId="77777777" w:rsidR="00B56A85" w:rsidRDefault="00CD76ED" w:rsidP="00877A13">
      <w:pPr>
        <w:ind w:firstLine="284"/>
        <w:jc w:val="both"/>
      </w:pPr>
      <w:r w:rsidRPr="00877A13">
        <w:t>Seceta rămâne cel mai costisitor risc natural, generând peste 70% din valoarea totală a pagubelor înregistrate în ultimul deceniu și jumătate. Analiza evoluției climatice arată o creștere semnificativă a frecvenței și severității secetelor, cu perioade de deficit hidrologic la fiecare 2–3 ani în sudul și centrul țării. Nivelurile scăzute ale râurilor mici, degradarea solurilor, evaporarea accelerată și lipsa infrastructurii de retenție determină pierderi anuale importante în agricultură și afectează alimentarea cu apă potabilă în comunități rurale. În lipsa unor intervenții sistemice, presiunea asupra ecosistemelor, disponibilității apei și economiei locale va continua să crească, afectând în mod disproporționat grupurile vulnerabile.</w:t>
      </w:r>
      <w:r w:rsidR="008F2208" w:rsidRPr="00877A13">
        <w:t xml:space="preserve"> </w:t>
      </w:r>
    </w:p>
    <w:p w14:paraId="5CA1B166" w14:textId="2ECBED26" w:rsidR="00877A13" w:rsidRPr="00877A13" w:rsidRDefault="00CD76ED" w:rsidP="00877A13">
      <w:pPr>
        <w:ind w:firstLine="284"/>
        <w:jc w:val="both"/>
        <w:rPr>
          <w:color w:val="000000" w:themeColor="text1"/>
        </w:rPr>
      </w:pPr>
      <w:r w:rsidRPr="00FD1D3B">
        <w:rPr>
          <w:i/>
          <w:iCs/>
        </w:rPr>
        <w:t>Direcții de acțiune în Program</w:t>
      </w:r>
      <w:r w:rsidR="008F2208" w:rsidRPr="00FD1D3B">
        <w:rPr>
          <w:i/>
          <w:iCs/>
        </w:rPr>
        <w:t xml:space="preserve"> includ</w:t>
      </w:r>
      <w:r w:rsidR="008F2208" w:rsidRPr="00877A13">
        <w:t xml:space="preserve"> </w:t>
      </w:r>
      <w:r w:rsidRPr="00877A13">
        <w:t>modernizarea sistemelor de monitorizare meteorologica si hidrologică, dezvoltarea infrastructurii de retenție a apei, adaptarea practicilor agricole, planuri locale pentru gestionarea secetei, digitalizarea datelor despre resursele de apă.</w:t>
      </w:r>
    </w:p>
    <w:p w14:paraId="02940ACF" w14:textId="77777777" w:rsidR="00877A13" w:rsidRPr="00877A13" w:rsidRDefault="00CD76ED" w:rsidP="00877A13">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877A13">
        <w:rPr>
          <w:rFonts w:ascii="Times New Roman" w:hAnsi="Times New Roman" w:cs="Times New Roman"/>
          <w:b/>
          <w:bCs/>
          <w:color w:val="000000" w:themeColor="text1"/>
          <w:sz w:val="24"/>
          <w:szCs w:val="24"/>
        </w:rPr>
        <w:t>Inundații mai frecvente și cu impact local sever, amplificate de schimbările climatice și infrastructura insuficientă</w:t>
      </w:r>
    </w:p>
    <w:p w14:paraId="2CCB07C9" w14:textId="77777777" w:rsidR="00877A13" w:rsidRPr="00877A13" w:rsidRDefault="00CD76ED" w:rsidP="00877A13">
      <w:pPr>
        <w:ind w:firstLine="284"/>
        <w:jc w:val="both"/>
      </w:pPr>
      <w:r w:rsidRPr="00877A13">
        <w:lastRenderedPageBreak/>
        <w:t>Chiar dacă marile râuri nu manifestă creșteri dramatice ale riscului de inundații, inundațiile locale cauzate de ploi torențiale, viituri rapide și drenaj insuficient se intensifică. Localități urbane și rurale se confruntă periodic cu inundarea străzilor, gospodăriilor, terenurilor agricole și obiectivelor publice.</w:t>
      </w:r>
    </w:p>
    <w:p w14:paraId="26F60C41" w14:textId="77777777" w:rsidR="00B56A85" w:rsidRDefault="00CD76ED" w:rsidP="00877A13">
      <w:pPr>
        <w:ind w:firstLine="284"/>
        <w:jc w:val="both"/>
        <w:rPr>
          <w:lang w:eastAsia="en-US"/>
        </w:rPr>
      </w:pPr>
      <w:r w:rsidRPr="00877A13">
        <w:rPr>
          <w:lang w:eastAsia="en-US"/>
        </w:rPr>
        <w:t>Problema este agravată de: lipsa hărților de hazard și risc actualizate, infrastructura de scurgere subdimensionată, extinderea construcțiilor în zone expuse, degradarea pădurilor în bazine hidrografice.</w:t>
      </w:r>
      <w:r w:rsidR="008F2208" w:rsidRPr="00877A13">
        <w:rPr>
          <w:lang w:eastAsia="en-US"/>
        </w:rPr>
        <w:t xml:space="preserve"> </w:t>
      </w:r>
    </w:p>
    <w:p w14:paraId="3DF69C08" w14:textId="4BFF94A3" w:rsidR="00877A13" w:rsidRPr="00877A13" w:rsidRDefault="00CD76ED" w:rsidP="00877A13">
      <w:pPr>
        <w:ind w:firstLine="284"/>
        <w:jc w:val="both"/>
        <w:rPr>
          <w:color w:val="000000" w:themeColor="text1"/>
        </w:rPr>
      </w:pPr>
      <w:r w:rsidRPr="00FD1D3B">
        <w:rPr>
          <w:i/>
          <w:iCs/>
          <w:lang w:eastAsia="en-US"/>
        </w:rPr>
        <w:t>Direcții de acțiune în Program</w:t>
      </w:r>
      <w:r w:rsidR="008F2208" w:rsidRPr="00FD1D3B">
        <w:rPr>
          <w:i/>
          <w:iCs/>
          <w:lang w:eastAsia="en-US"/>
        </w:rPr>
        <w:t xml:space="preserve"> includ</w:t>
      </w:r>
      <w:r w:rsidRPr="00877A13">
        <w:rPr>
          <w:lang w:eastAsia="en-US"/>
        </w:rPr>
        <w:t xml:space="preserve"> hărți multi-hazard, lucrări de protecție, restaurarea ecosistemelor de luncă, zone umede, sisteme de avertizare timpurie pentru ploi extreme. </w:t>
      </w:r>
    </w:p>
    <w:p w14:paraId="0CA9BCA4" w14:textId="77777777" w:rsidR="006B6F57" w:rsidRPr="00877A13" w:rsidRDefault="006B6F57" w:rsidP="00877A13">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877A13">
        <w:rPr>
          <w:rFonts w:ascii="Times New Roman" w:hAnsi="Times New Roman" w:cs="Times New Roman"/>
          <w:b/>
          <w:bCs/>
          <w:color w:val="000000" w:themeColor="text1"/>
          <w:sz w:val="24"/>
          <w:szCs w:val="24"/>
        </w:rPr>
        <w:t>Intensificarea riscurilor forestiere: incendii, uscări și dăunători în creștere, pe fondul schimbărilor climatice</w:t>
      </w:r>
    </w:p>
    <w:p w14:paraId="492D9A04" w14:textId="77777777" w:rsidR="00C876BB" w:rsidRPr="00877A13" w:rsidRDefault="00C876BB" w:rsidP="00376C41">
      <w:pPr>
        <w:ind w:firstLine="360"/>
        <w:jc w:val="both"/>
        <w:rPr>
          <w:lang w:eastAsia="en-US"/>
        </w:rPr>
      </w:pPr>
      <w:r w:rsidRPr="00877A13">
        <w:rPr>
          <w:lang w:eastAsia="en-US"/>
        </w:rPr>
        <w:t>Pădurile Republicii Moldova, care acoperă doar cca. 13% din teritoriu, se confruntă cu vulnerabilități crescute generate de schimbările climatice, presiunea antropogenică și starea fitosanitară fragilă. În ultimul deceniu, episoadele de secetă, temperaturile ridicate, fenomenele extreme și fragmentarea fondului forestier au favorizat creșterea riscului de incendii de vegetație și forestiere, uscarea prematură a arboretelor, apariția dăunătorilor invazivi și o regenerare naturală tot mai dificilă.</w:t>
      </w:r>
    </w:p>
    <w:p w14:paraId="7185E74C" w14:textId="77777777" w:rsidR="00C876BB" w:rsidRPr="00877A13" w:rsidRDefault="00C876BB" w:rsidP="00376C41">
      <w:pPr>
        <w:ind w:firstLine="360"/>
        <w:jc w:val="both"/>
        <w:rPr>
          <w:lang w:eastAsia="en-US"/>
        </w:rPr>
      </w:pPr>
      <w:r w:rsidRPr="00877A13">
        <w:rPr>
          <w:lang w:eastAsia="en-US"/>
        </w:rPr>
        <w:t>Aceste fenomene afectează capacitatea pădurilor de a stabiliza solurile, de a regla ciclurile de apă și de a reduce efectele dezastrelor naturale (inundații rapide, eroziune, alunecări). În comunitățile rurale, riscurile forestiere se suprapun cu presiuni economice și defrișări ilegale, amplificând pierderile de habitat, scurgerile de suprafață și degradarea terenurilor.</w:t>
      </w:r>
    </w:p>
    <w:p w14:paraId="11176FF9" w14:textId="34F84E91" w:rsidR="00C876BB" w:rsidRPr="00877A13" w:rsidRDefault="00C876BB" w:rsidP="00376C41">
      <w:pPr>
        <w:ind w:firstLine="360"/>
        <w:jc w:val="both"/>
        <w:rPr>
          <w:lang w:eastAsia="en-US"/>
        </w:rPr>
      </w:pPr>
      <w:r w:rsidRPr="00FD1D3B">
        <w:rPr>
          <w:i/>
          <w:iCs/>
          <w:lang w:eastAsia="en-US"/>
        </w:rPr>
        <w:t>Direcțiile de acțiune în Program includ</w:t>
      </w:r>
      <w:r w:rsidRPr="00877A13">
        <w:rPr>
          <w:lang w:eastAsia="en-US"/>
        </w:rPr>
        <w:t xml:space="preserve">: </w:t>
      </w:r>
      <w:r w:rsidR="00C11915" w:rsidRPr="00877A13">
        <w:rPr>
          <w:lang w:eastAsia="en-US"/>
        </w:rPr>
        <w:t xml:space="preserve">promovarea </w:t>
      </w:r>
      <w:r w:rsidRPr="00877A13">
        <w:rPr>
          <w:lang w:eastAsia="en-US"/>
        </w:rPr>
        <w:t>gestiona</w:t>
      </w:r>
      <w:r w:rsidR="00C11915" w:rsidRPr="00877A13">
        <w:rPr>
          <w:lang w:eastAsia="en-US"/>
        </w:rPr>
        <w:t>rii</w:t>
      </w:r>
      <w:r w:rsidRPr="00877A13">
        <w:rPr>
          <w:lang w:eastAsia="en-US"/>
        </w:rPr>
        <w:t xml:space="preserve"> integrat</w:t>
      </w:r>
      <w:r w:rsidR="00C11915" w:rsidRPr="00877A13">
        <w:rPr>
          <w:lang w:eastAsia="en-US"/>
        </w:rPr>
        <w:t>e</w:t>
      </w:r>
      <w:r w:rsidRPr="00877A13">
        <w:rPr>
          <w:lang w:eastAsia="en-US"/>
        </w:rPr>
        <w:t xml:space="preserve"> a riscurilor forestiere, extinderea suprafețelor împădurite, lucrări de prevenire a incendiilor, monitorizarea stării fitosanitare, implementarea sistemelor de avertizare, refacerea ecosistemelor degradate și consolidarea capacității organelor silvice.</w:t>
      </w:r>
    </w:p>
    <w:p w14:paraId="487BECED" w14:textId="77777777" w:rsidR="00B56A85" w:rsidRDefault="00787459" w:rsidP="00B56A85">
      <w:pPr>
        <w:pStyle w:val="ListParagraph"/>
        <w:numPr>
          <w:ilvl w:val="0"/>
          <w:numId w:val="42"/>
        </w:numPr>
        <w:spacing w:after="0"/>
        <w:ind w:left="142" w:firstLine="142"/>
        <w:jc w:val="both"/>
        <w:rPr>
          <w:rFonts w:ascii="Times New Roman" w:hAnsi="Times New Roman" w:cs="Times New Roman"/>
          <w:b/>
          <w:bCs/>
          <w:color w:val="000000" w:themeColor="text1"/>
          <w:sz w:val="24"/>
          <w:szCs w:val="24"/>
        </w:rPr>
      </w:pPr>
      <w:r w:rsidRPr="00877A13">
        <w:rPr>
          <w:rFonts w:ascii="Times New Roman" w:hAnsi="Times New Roman" w:cs="Times New Roman"/>
          <w:b/>
          <w:bCs/>
          <w:color w:val="000000" w:themeColor="text1"/>
          <w:sz w:val="24"/>
          <w:szCs w:val="24"/>
        </w:rPr>
        <w:t>Degradarea solurilor și eroziunea – risc cumulativ pentru agricultură și ecosisteme</w:t>
      </w:r>
    </w:p>
    <w:p w14:paraId="7D052F1D" w14:textId="77777777" w:rsidR="00B56A85" w:rsidRDefault="00CD76ED" w:rsidP="00B56A85">
      <w:pPr>
        <w:ind w:firstLine="360"/>
        <w:jc w:val="both"/>
      </w:pPr>
      <w:r w:rsidRPr="00877A13">
        <w:t>Reprezintă un risc cumulativ pentru agricultură, ecosisteme și infrastructură. Peste 60% din solurile Republicii Moldova sunt afectate de diferite forme de degradare: eroziune hidrică, eoliană, alunecări incipiente, compactare și pierdere a humusului.</w:t>
      </w:r>
      <w:r w:rsidR="00124F64" w:rsidRPr="00877A13">
        <w:t xml:space="preserve"> </w:t>
      </w:r>
      <w:r w:rsidRPr="00877A13">
        <w:t>Eroziunea avansată din bazinele hidrografice sensibile (în special în centru și sud) determină pierderea fertilității, creșterea scurgerii de nutrienți, colmatarea lacurilor, râurilor și a infrastructurii de irigare, intensificarea riscurilor geomorfologice (</w:t>
      </w:r>
      <w:r w:rsidR="00124F64" w:rsidRPr="00877A13">
        <w:t xml:space="preserve">declanșare </w:t>
      </w:r>
      <w:r w:rsidRPr="00877A13">
        <w:t>alunecări de teren), creșterea vulnerabilității gospodăriilor agricole mici</w:t>
      </w:r>
      <w:r w:rsidR="008F2208" w:rsidRPr="00877A13">
        <w:t xml:space="preserve">. </w:t>
      </w:r>
    </w:p>
    <w:p w14:paraId="260A3E7E" w14:textId="4840E7B0" w:rsidR="00B56A85" w:rsidRPr="00B56A85" w:rsidRDefault="00CD76ED" w:rsidP="00B56A85">
      <w:pPr>
        <w:ind w:firstLine="360"/>
        <w:jc w:val="both"/>
      </w:pPr>
      <w:r w:rsidRPr="00FD1D3B">
        <w:rPr>
          <w:i/>
          <w:iCs/>
        </w:rPr>
        <w:t>Direcții de acțiune în Program</w:t>
      </w:r>
      <w:r w:rsidRPr="00877A13">
        <w:t xml:space="preserve">: </w:t>
      </w:r>
      <w:r w:rsidR="002E614B" w:rsidRPr="00877A13">
        <w:t xml:space="preserve">promovarea </w:t>
      </w:r>
      <w:r w:rsidR="004F313F" w:rsidRPr="00877A13">
        <w:t>restaurării</w:t>
      </w:r>
      <w:r w:rsidRPr="00877A13">
        <w:t xml:space="preserve"> terenurilor degradate, </w:t>
      </w:r>
      <w:r w:rsidR="004F313F" w:rsidRPr="00877A13">
        <w:t xml:space="preserve">a </w:t>
      </w:r>
      <w:r w:rsidRPr="00877A13">
        <w:t>perdele</w:t>
      </w:r>
      <w:r w:rsidR="004F313F" w:rsidRPr="00877A13">
        <w:t>lor</w:t>
      </w:r>
      <w:r w:rsidRPr="00877A13">
        <w:t xml:space="preserve"> forestiere, </w:t>
      </w:r>
      <w:r w:rsidR="004F313F" w:rsidRPr="00877A13">
        <w:t xml:space="preserve">a </w:t>
      </w:r>
      <w:r w:rsidRPr="00877A13">
        <w:t>agro-ecologie,</w:t>
      </w:r>
      <w:r w:rsidR="004F313F" w:rsidRPr="00877A13">
        <w:t xml:space="preserve"> a</w:t>
      </w:r>
      <w:r w:rsidRPr="00877A13">
        <w:t xml:space="preserve"> împăduriri, </w:t>
      </w:r>
      <w:r w:rsidR="004F313F" w:rsidRPr="00877A13">
        <w:t xml:space="preserve">a </w:t>
      </w:r>
      <w:r w:rsidRPr="00877A13">
        <w:t>măsuri</w:t>
      </w:r>
      <w:r w:rsidR="004F313F" w:rsidRPr="00877A13">
        <w:t xml:space="preserve">lor </w:t>
      </w:r>
      <w:r w:rsidRPr="00877A13">
        <w:t xml:space="preserve"> bazate pe ecosisteme.</w:t>
      </w:r>
    </w:p>
    <w:p w14:paraId="12EF0D12" w14:textId="199A3AB0" w:rsidR="00CD76ED" w:rsidRPr="00B56A85" w:rsidRDefault="00CD76ED" w:rsidP="00B56A85">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B56A85">
        <w:rPr>
          <w:rFonts w:ascii="Times New Roman" w:hAnsi="Times New Roman" w:cs="Times New Roman"/>
          <w:b/>
          <w:bCs/>
          <w:color w:val="000000" w:themeColor="text1"/>
          <w:sz w:val="24"/>
          <w:szCs w:val="24"/>
        </w:rPr>
        <w:t>Alunecările de teren, un risc persistent, subestimat, care afectează infrastructura și locuințele</w:t>
      </w:r>
    </w:p>
    <w:p w14:paraId="10736D09" w14:textId="77777777" w:rsidR="00B56A85" w:rsidRDefault="00CD76ED" w:rsidP="00376C41">
      <w:pPr>
        <w:ind w:firstLine="360"/>
        <w:jc w:val="both"/>
        <w:rPr>
          <w:lang w:eastAsia="en-US"/>
        </w:rPr>
      </w:pPr>
      <w:r w:rsidRPr="00B56A85">
        <w:rPr>
          <w:lang w:eastAsia="en-US"/>
        </w:rPr>
        <w:t>Multe localități rurale sunt amplasate pe versanți instabili, cu soluri argiloase sensibile la variațiile de umiditate. Creșterea precipitațiilor extreme, lipsa lucrărilor de stabilizare și gestionarea necontrolată a apelor pluviale favorizează declanșarea alunecărilor de teren.</w:t>
      </w:r>
      <w:r w:rsidR="00124F64" w:rsidRPr="00B56A85">
        <w:rPr>
          <w:lang w:eastAsia="en-US"/>
        </w:rPr>
        <w:t xml:space="preserve"> </w:t>
      </w:r>
      <w:r w:rsidRPr="00B56A85">
        <w:rPr>
          <w:lang w:eastAsia="en-US"/>
        </w:rPr>
        <w:t>Acestea generează:</w:t>
      </w:r>
      <w:r w:rsidR="00124F64" w:rsidRPr="00B56A85">
        <w:rPr>
          <w:lang w:eastAsia="en-US"/>
        </w:rPr>
        <w:t xml:space="preserve"> </w:t>
      </w:r>
      <w:r w:rsidRPr="00B56A85">
        <w:rPr>
          <w:lang w:eastAsia="en-US"/>
        </w:rPr>
        <w:t>deteriorarea locuințelor, drumurilor și rețelelor de utilități,</w:t>
      </w:r>
      <w:r w:rsidR="00124F64" w:rsidRPr="00B56A85">
        <w:rPr>
          <w:lang w:eastAsia="en-US"/>
        </w:rPr>
        <w:t xml:space="preserve"> </w:t>
      </w:r>
      <w:r w:rsidRPr="00B56A85">
        <w:rPr>
          <w:lang w:eastAsia="en-US"/>
        </w:rPr>
        <w:t>costuri ridicate de reparație,</w:t>
      </w:r>
      <w:r w:rsidR="00124F64" w:rsidRPr="00B56A85">
        <w:rPr>
          <w:lang w:eastAsia="en-US"/>
        </w:rPr>
        <w:t xml:space="preserve"> </w:t>
      </w:r>
      <w:r w:rsidRPr="00B56A85">
        <w:rPr>
          <w:lang w:eastAsia="en-US"/>
        </w:rPr>
        <w:t>relocări temporare sau permanente ale gospodăriilor,</w:t>
      </w:r>
      <w:r w:rsidR="00124F64" w:rsidRPr="00B56A85">
        <w:rPr>
          <w:lang w:eastAsia="en-US"/>
        </w:rPr>
        <w:t xml:space="preserve"> </w:t>
      </w:r>
      <w:r w:rsidRPr="00B56A85">
        <w:rPr>
          <w:lang w:eastAsia="en-US"/>
        </w:rPr>
        <w:t>presiuni sociale asupra comunităților afectate.</w:t>
      </w:r>
      <w:r w:rsidR="008F2208" w:rsidRPr="00B56A85">
        <w:rPr>
          <w:lang w:eastAsia="en-US"/>
        </w:rPr>
        <w:t xml:space="preserve"> </w:t>
      </w:r>
    </w:p>
    <w:p w14:paraId="2B8F273B" w14:textId="4AED661E" w:rsidR="00CD76ED" w:rsidRPr="00B56A85" w:rsidRDefault="00CD76ED" w:rsidP="00376C41">
      <w:pPr>
        <w:ind w:firstLine="360"/>
        <w:jc w:val="both"/>
        <w:rPr>
          <w:lang w:eastAsia="en-US"/>
        </w:rPr>
      </w:pPr>
      <w:r w:rsidRPr="00B56A85">
        <w:rPr>
          <w:i/>
          <w:iCs/>
          <w:lang w:eastAsia="en-US"/>
        </w:rPr>
        <w:t>Direcții de acțiune în Program</w:t>
      </w:r>
      <w:r w:rsidRPr="00B56A85">
        <w:rPr>
          <w:lang w:eastAsia="en-US"/>
        </w:rPr>
        <w:t>:</w:t>
      </w:r>
      <w:r w:rsidR="00124F64" w:rsidRPr="00B56A85">
        <w:rPr>
          <w:lang w:eastAsia="en-US"/>
        </w:rPr>
        <w:t xml:space="preserve"> </w:t>
      </w:r>
      <w:r w:rsidRPr="00B56A85">
        <w:rPr>
          <w:lang w:eastAsia="en-US"/>
        </w:rPr>
        <w:t>cartografiere detaliată, lucrări de stabilizare, drenaje, replantare vegetație, interzicerea construcțiilor în zone cu risc.</w:t>
      </w:r>
    </w:p>
    <w:p w14:paraId="2DE0D60E" w14:textId="6B401691" w:rsidR="00CD76ED" w:rsidRPr="00B56A85" w:rsidRDefault="00CD76ED" w:rsidP="00B56A85">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B56A85">
        <w:rPr>
          <w:rFonts w:ascii="Times New Roman" w:hAnsi="Times New Roman" w:cs="Times New Roman"/>
          <w:b/>
          <w:bCs/>
          <w:color w:val="000000" w:themeColor="text1"/>
          <w:sz w:val="24"/>
          <w:szCs w:val="24"/>
        </w:rPr>
        <w:t>Capacitatea instituțională insuficientă pentru anticipare,</w:t>
      </w:r>
      <w:r w:rsidRPr="00B56A85">
        <w:rPr>
          <w:rFonts w:ascii="Times New Roman" w:hAnsi="Times New Roman" w:cs="Times New Roman"/>
          <w:color w:val="000000" w:themeColor="text1"/>
          <w:sz w:val="24"/>
          <w:szCs w:val="24"/>
        </w:rPr>
        <w:t xml:space="preserve"> </w:t>
      </w:r>
      <w:r w:rsidRPr="00B56A85">
        <w:rPr>
          <w:rFonts w:ascii="Times New Roman" w:hAnsi="Times New Roman" w:cs="Times New Roman"/>
          <w:b/>
          <w:bCs/>
          <w:color w:val="000000" w:themeColor="text1"/>
          <w:sz w:val="24"/>
          <w:szCs w:val="24"/>
        </w:rPr>
        <w:t>monitorizare și răspuns la riscurile naturale</w:t>
      </w:r>
    </w:p>
    <w:p w14:paraId="7A677F15" w14:textId="77777777" w:rsidR="00B56A85" w:rsidRDefault="00CD76ED" w:rsidP="00376C41">
      <w:pPr>
        <w:ind w:firstLine="360"/>
        <w:jc w:val="both"/>
        <w:rPr>
          <w:lang w:eastAsia="en-US"/>
        </w:rPr>
      </w:pPr>
      <w:r w:rsidRPr="00B56A85">
        <w:rPr>
          <w:lang w:eastAsia="en-US"/>
        </w:rPr>
        <w:t>Instituțiile responsabile (MM, SHS, Agenția de Mediu, APL) se confruntă cu:</w:t>
      </w:r>
      <w:r w:rsidR="00124F64" w:rsidRPr="00B56A85">
        <w:rPr>
          <w:lang w:eastAsia="en-US"/>
        </w:rPr>
        <w:t xml:space="preserve"> </w:t>
      </w:r>
      <w:r w:rsidRPr="00B56A85">
        <w:rPr>
          <w:lang w:eastAsia="en-US"/>
        </w:rPr>
        <w:t>echipamente tehnice învechite</w:t>
      </w:r>
      <w:r w:rsidR="00124F64" w:rsidRPr="00B56A85">
        <w:rPr>
          <w:lang w:eastAsia="en-US"/>
        </w:rPr>
        <w:t xml:space="preserve">, </w:t>
      </w:r>
      <w:r w:rsidRPr="00B56A85">
        <w:rPr>
          <w:lang w:eastAsia="en-US"/>
        </w:rPr>
        <w:t>lipsa sistemelor integrate de date,</w:t>
      </w:r>
      <w:r w:rsidR="00124F64" w:rsidRPr="00B56A85">
        <w:rPr>
          <w:lang w:eastAsia="en-US"/>
        </w:rPr>
        <w:t xml:space="preserve"> </w:t>
      </w:r>
      <w:r w:rsidRPr="00B56A85">
        <w:rPr>
          <w:lang w:eastAsia="en-US"/>
        </w:rPr>
        <w:t>resurse umane insuficiente,</w:t>
      </w:r>
      <w:r w:rsidR="00124F64" w:rsidRPr="00B56A85">
        <w:rPr>
          <w:lang w:eastAsia="en-US"/>
        </w:rPr>
        <w:t xml:space="preserve"> </w:t>
      </w:r>
      <w:r w:rsidRPr="00B56A85">
        <w:rPr>
          <w:lang w:eastAsia="en-US"/>
        </w:rPr>
        <w:t>absența analizelor multi-risc,</w:t>
      </w:r>
      <w:r w:rsidR="00124F64" w:rsidRPr="00B56A85">
        <w:rPr>
          <w:lang w:eastAsia="en-US"/>
        </w:rPr>
        <w:t xml:space="preserve"> </w:t>
      </w:r>
      <w:r w:rsidRPr="00B56A85">
        <w:rPr>
          <w:lang w:eastAsia="en-US"/>
        </w:rPr>
        <w:t>instrumente de avertizare timpurie incomplete.</w:t>
      </w:r>
      <w:r w:rsidR="00124F64" w:rsidRPr="00B56A85">
        <w:rPr>
          <w:lang w:eastAsia="en-US"/>
        </w:rPr>
        <w:t xml:space="preserve"> </w:t>
      </w:r>
      <w:r w:rsidRPr="00B56A85">
        <w:rPr>
          <w:lang w:eastAsia="en-US"/>
        </w:rPr>
        <w:t>Aceste limite duc la reacții întârziate, lipsa evaluărilor de impact și dificultăți în planificarea intervențiilor.</w:t>
      </w:r>
      <w:r w:rsidR="008F2208" w:rsidRPr="00B56A85">
        <w:rPr>
          <w:lang w:eastAsia="en-US"/>
        </w:rPr>
        <w:t xml:space="preserve"> </w:t>
      </w:r>
    </w:p>
    <w:p w14:paraId="40A5AF76" w14:textId="372AA778" w:rsidR="00CD76ED" w:rsidRPr="00B56A85" w:rsidRDefault="00CD76ED" w:rsidP="00376C41">
      <w:pPr>
        <w:ind w:firstLine="360"/>
        <w:jc w:val="both"/>
        <w:rPr>
          <w:lang w:eastAsia="en-US"/>
        </w:rPr>
      </w:pPr>
      <w:r w:rsidRPr="00B56A85">
        <w:rPr>
          <w:i/>
          <w:iCs/>
          <w:lang w:eastAsia="en-US"/>
        </w:rPr>
        <w:t>Direcții de acțiune în Program</w:t>
      </w:r>
      <w:r w:rsidR="00BD3555" w:rsidRPr="00B56A85">
        <w:rPr>
          <w:lang w:eastAsia="en-US"/>
        </w:rPr>
        <w:t xml:space="preserve"> includ </w:t>
      </w:r>
      <w:r w:rsidRPr="00B56A85">
        <w:rPr>
          <w:lang w:eastAsia="en-US"/>
        </w:rPr>
        <w:t>INDS (sistem geo-spațial integrat), digitalizare, formare profesională, sisteme automate de monitorizare.</w:t>
      </w:r>
    </w:p>
    <w:p w14:paraId="4DE2C766" w14:textId="3FBD6883" w:rsidR="00CD76ED" w:rsidRPr="00B56A85" w:rsidRDefault="00CD76ED" w:rsidP="00B56A85">
      <w:pPr>
        <w:pStyle w:val="ListParagraph"/>
        <w:numPr>
          <w:ilvl w:val="0"/>
          <w:numId w:val="42"/>
        </w:numPr>
        <w:spacing w:after="0"/>
        <w:ind w:left="709" w:hanging="425"/>
        <w:jc w:val="both"/>
        <w:rPr>
          <w:rFonts w:ascii="Times New Roman" w:hAnsi="Times New Roman" w:cs="Times New Roman"/>
          <w:b/>
          <w:bCs/>
          <w:color w:val="000000" w:themeColor="text1"/>
          <w:sz w:val="24"/>
          <w:szCs w:val="24"/>
        </w:rPr>
      </w:pPr>
      <w:r w:rsidRPr="00B56A85">
        <w:rPr>
          <w:rFonts w:ascii="Times New Roman" w:hAnsi="Times New Roman" w:cs="Times New Roman"/>
          <w:b/>
          <w:bCs/>
          <w:color w:val="000000" w:themeColor="text1"/>
          <w:sz w:val="24"/>
          <w:szCs w:val="24"/>
        </w:rPr>
        <w:lastRenderedPageBreak/>
        <w:t>Vulnerabilități socio-economice acumulate în comunități rurale expuse riscurilor naturale</w:t>
      </w:r>
    </w:p>
    <w:p w14:paraId="17C7E4FF" w14:textId="77777777" w:rsidR="00B56A85" w:rsidRDefault="00CD76ED" w:rsidP="00376C41">
      <w:pPr>
        <w:ind w:firstLine="360"/>
        <w:jc w:val="both"/>
        <w:rPr>
          <w:lang w:eastAsia="en-US"/>
        </w:rPr>
      </w:pPr>
      <w:r w:rsidRPr="00B56A85">
        <w:rPr>
          <w:lang w:eastAsia="en-US"/>
        </w:rPr>
        <w:t>Populația rurală suportă în mod disproporționat consecințele riscurilor naturale: secetă, eroziune, lipsa apei potabile, alunecări, inundații locale.</w:t>
      </w:r>
      <w:r w:rsidR="00124F64" w:rsidRPr="00B56A85">
        <w:rPr>
          <w:lang w:eastAsia="en-US"/>
        </w:rPr>
        <w:t xml:space="preserve"> </w:t>
      </w:r>
      <w:r w:rsidRPr="00B56A85">
        <w:rPr>
          <w:lang w:eastAsia="en-US"/>
        </w:rPr>
        <w:t>Factorii determinanți includ:</w:t>
      </w:r>
      <w:r w:rsidR="00124F64" w:rsidRPr="00B56A85">
        <w:rPr>
          <w:lang w:eastAsia="en-US"/>
        </w:rPr>
        <w:t xml:space="preserve"> </w:t>
      </w:r>
      <w:r w:rsidRPr="00B56A85">
        <w:rPr>
          <w:lang w:eastAsia="en-US"/>
        </w:rPr>
        <w:t>infrastructură deficitară,</w:t>
      </w:r>
      <w:r w:rsidR="00124F64" w:rsidRPr="00B56A85">
        <w:rPr>
          <w:lang w:eastAsia="en-US"/>
        </w:rPr>
        <w:t xml:space="preserve"> </w:t>
      </w:r>
      <w:r w:rsidRPr="00B56A85">
        <w:rPr>
          <w:lang w:eastAsia="en-US"/>
        </w:rPr>
        <w:t>resurse financiare limitate,</w:t>
      </w:r>
      <w:r w:rsidR="00124F64" w:rsidRPr="00B56A85">
        <w:rPr>
          <w:lang w:eastAsia="en-US"/>
        </w:rPr>
        <w:t xml:space="preserve"> </w:t>
      </w:r>
      <w:r w:rsidRPr="00B56A85">
        <w:rPr>
          <w:lang w:eastAsia="en-US"/>
        </w:rPr>
        <w:t>acces redus la informații și mecanisme de prevenire,</w:t>
      </w:r>
      <w:r w:rsidR="00124F64" w:rsidRPr="00B56A85">
        <w:rPr>
          <w:lang w:eastAsia="en-US"/>
        </w:rPr>
        <w:t xml:space="preserve"> </w:t>
      </w:r>
      <w:r w:rsidRPr="00B56A85">
        <w:rPr>
          <w:lang w:eastAsia="en-US"/>
        </w:rPr>
        <w:t>dependența de agricultură.</w:t>
      </w:r>
      <w:r w:rsidR="00124F64" w:rsidRPr="00B56A85">
        <w:rPr>
          <w:lang w:eastAsia="en-US"/>
        </w:rPr>
        <w:t xml:space="preserve"> </w:t>
      </w:r>
      <w:r w:rsidR="00787459" w:rsidRPr="00B56A85">
        <w:rPr>
          <w:lang w:eastAsia="en-US"/>
        </w:rPr>
        <w:t xml:space="preserve">Migrația externă și internă, corelată cu îmbătrânirea populației rurale, reduce capacitatea comunităților de a preveni și gestiona riscurile naturale. </w:t>
      </w:r>
    </w:p>
    <w:p w14:paraId="031B3CDA" w14:textId="6F833652" w:rsidR="00C70426" w:rsidRPr="00B56A85" w:rsidRDefault="00CD76ED" w:rsidP="00376C41">
      <w:pPr>
        <w:ind w:firstLine="360"/>
        <w:jc w:val="both"/>
        <w:rPr>
          <w:lang w:eastAsia="en-US"/>
        </w:rPr>
      </w:pPr>
      <w:r w:rsidRPr="00B56A85">
        <w:rPr>
          <w:i/>
          <w:iCs/>
          <w:lang w:eastAsia="en-US"/>
        </w:rPr>
        <w:t>Direcții de acțiune în Program</w:t>
      </w:r>
      <w:r w:rsidR="00BD3555" w:rsidRPr="00B56A85">
        <w:rPr>
          <w:lang w:eastAsia="en-US"/>
        </w:rPr>
        <w:t xml:space="preserve"> includ </w:t>
      </w:r>
      <w:r w:rsidRPr="00B56A85">
        <w:rPr>
          <w:lang w:eastAsia="en-US"/>
        </w:rPr>
        <w:t>planuri locale RRD, consolidarea capacității APL, măsuri pentru reziliența comunităților.</w:t>
      </w:r>
    </w:p>
    <w:p w14:paraId="6AEABF87" w14:textId="77777777" w:rsidR="00124F64" w:rsidRPr="00B56A85" w:rsidRDefault="00124F64" w:rsidP="00B56A85">
      <w:pPr>
        <w:pStyle w:val="ListParagraph"/>
        <w:numPr>
          <w:ilvl w:val="0"/>
          <w:numId w:val="42"/>
        </w:numPr>
        <w:spacing w:after="0"/>
        <w:ind w:left="709" w:hanging="425"/>
        <w:jc w:val="both"/>
        <w:rPr>
          <w:rFonts w:ascii="Times New Roman" w:hAnsi="Times New Roman" w:cs="Times New Roman"/>
          <w:b/>
          <w:bCs/>
          <w:color w:val="000000" w:themeColor="text1"/>
          <w:sz w:val="24"/>
          <w:szCs w:val="24"/>
        </w:rPr>
      </w:pPr>
      <w:r w:rsidRPr="00B56A85">
        <w:rPr>
          <w:rFonts w:ascii="Times New Roman" w:hAnsi="Times New Roman" w:cs="Times New Roman"/>
          <w:b/>
          <w:bCs/>
          <w:color w:val="000000" w:themeColor="text1"/>
          <w:sz w:val="24"/>
          <w:szCs w:val="24"/>
        </w:rPr>
        <w:t>Calitatea apei și a apelor uzate, un factor determinant pentru riscurile epidemiologice</w:t>
      </w:r>
    </w:p>
    <w:p w14:paraId="4AC29AF3" w14:textId="77777777" w:rsidR="00124F64" w:rsidRPr="00B56A85" w:rsidRDefault="00124F64" w:rsidP="00376C41">
      <w:pPr>
        <w:ind w:firstLine="360"/>
        <w:jc w:val="both"/>
        <w:rPr>
          <w:lang w:eastAsia="en-US"/>
        </w:rPr>
      </w:pPr>
      <w:r w:rsidRPr="00B56A85">
        <w:rPr>
          <w:lang w:eastAsia="en-US"/>
        </w:rPr>
        <w:t>Calitatea apei rămâne una dintre cele mai critice vulnerabilități biologico-sociale din Republica Moldova. Deși volumele de ape uzate epurate au crescut treptat, decalajul dintre cantitățile evacuate și cele tratate normativ rămâne major. În medie, doar 18–20% din apele uzate sunt epurate conform standardelor, în timp ce peste 80% sunt „convențional pure” sau insuficient tratate. În paralel, apa din sursele descentralizate (în special fântâni rurale) depășește frecvent limitele sanitare pentru compuși precum nitrați, amoniu sau azot, cu o proporție semnificativă de probe neconforme și cu o monitorizare aflată în scădere după 2017.</w:t>
      </w:r>
    </w:p>
    <w:p w14:paraId="26BF2E53" w14:textId="77777777" w:rsidR="00124F64" w:rsidRPr="00B56A85" w:rsidRDefault="00124F64" w:rsidP="00376C41">
      <w:pPr>
        <w:ind w:firstLine="360"/>
        <w:jc w:val="both"/>
        <w:rPr>
          <w:lang w:eastAsia="en-US"/>
        </w:rPr>
      </w:pPr>
      <w:r w:rsidRPr="00B56A85">
        <w:rPr>
          <w:lang w:eastAsia="en-US"/>
        </w:rPr>
        <w:t>În condiții de secetă severă, ploi torențiale, avarii ale stațiilor de epurare sau debite reduse, aceste vulnerabilități cresc riscul contaminării rapide a surselor de apă potabilă și determină vârfuri de îmbolnăviri intestinale, în special la copii. Situațiile analizate relevă o legătură sistemică între infrastructura de apă-canalizare, calitatea mediului și sănătatea publică.</w:t>
      </w:r>
    </w:p>
    <w:p w14:paraId="0F60FC06" w14:textId="77777777" w:rsidR="00124F64" w:rsidRPr="00B56A85" w:rsidRDefault="00124F64" w:rsidP="00376C41">
      <w:pPr>
        <w:ind w:firstLine="360"/>
        <w:jc w:val="both"/>
        <w:rPr>
          <w:lang w:eastAsia="en-US"/>
        </w:rPr>
      </w:pPr>
      <w:r w:rsidRPr="00B56A85">
        <w:rPr>
          <w:i/>
          <w:iCs/>
          <w:lang w:eastAsia="en-US"/>
        </w:rPr>
        <w:t>Direcții de acțiune în Program</w:t>
      </w:r>
      <w:r w:rsidRPr="00B56A85">
        <w:rPr>
          <w:lang w:eastAsia="en-US"/>
        </w:rPr>
        <w:t xml:space="preserve"> includ modernizarea stațiilor de epurare, control integrat mediu - sănătate – ANSP/ANSA, monitorizare automată, planuri de siguranță a apei la nivel local, intervenții prioritare în comunitățile rurale.</w:t>
      </w:r>
    </w:p>
    <w:p w14:paraId="16B12BCD" w14:textId="77777777" w:rsidR="00124F64" w:rsidRPr="00B56A85" w:rsidRDefault="00124F64" w:rsidP="00B56A85">
      <w:pPr>
        <w:pStyle w:val="ListParagraph"/>
        <w:numPr>
          <w:ilvl w:val="0"/>
          <w:numId w:val="42"/>
        </w:numPr>
        <w:spacing w:after="0"/>
        <w:ind w:left="709" w:hanging="425"/>
        <w:jc w:val="both"/>
        <w:rPr>
          <w:rFonts w:ascii="Times New Roman" w:hAnsi="Times New Roman" w:cs="Times New Roman"/>
          <w:b/>
          <w:bCs/>
          <w:color w:val="000000" w:themeColor="text1"/>
          <w:sz w:val="24"/>
          <w:szCs w:val="24"/>
        </w:rPr>
      </w:pPr>
      <w:r w:rsidRPr="00B56A85">
        <w:rPr>
          <w:rFonts w:ascii="Times New Roman" w:hAnsi="Times New Roman" w:cs="Times New Roman"/>
          <w:b/>
          <w:bCs/>
          <w:color w:val="000000" w:themeColor="text1"/>
          <w:sz w:val="24"/>
          <w:szCs w:val="24"/>
        </w:rPr>
        <w:t>Reapariția bolilor prevenibile prin vaccinare, simptom al unui sistem de prevenție fragil</w:t>
      </w:r>
    </w:p>
    <w:p w14:paraId="25EA251A" w14:textId="77777777" w:rsidR="00124F64" w:rsidRPr="00B56A85" w:rsidRDefault="00124F64" w:rsidP="00376C41">
      <w:pPr>
        <w:ind w:firstLine="360"/>
        <w:jc w:val="both"/>
        <w:rPr>
          <w:lang w:eastAsia="en-US"/>
        </w:rPr>
      </w:pPr>
      <w:r w:rsidRPr="00B56A85">
        <w:rPr>
          <w:lang w:eastAsia="en-US"/>
        </w:rPr>
        <w:t>Datele analizate arată o scădere graduală și constantă a acoperirii vaccinale pentru mai multe tipuri de boli, începând cu 2009 și apoi între 2018 - 2020. Această diminuare a imunității colective se reflectă direct în reapariția bolilor prevenibile prin vaccinare: rujeolă (2019 și 2024), tuse convulsivă, hepatita A, scarlatină și varicelă, cu vârfuri de peste 42.000 cazuri în 2021 pentru varicelă.</w:t>
      </w:r>
    </w:p>
    <w:p w14:paraId="229E10D1" w14:textId="77777777" w:rsidR="00124F64" w:rsidRPr="00B56A85" w:rsidRDefault="00124F64" w:rsidP="00376C41">
      <w:pPr>
        <w:ind w:firstLine="360"/>
        <w:jc w:val="both"/>
        <w:rPr>
          <w:lang w:eastAsia="en-US"/>
        </w:rPr>
      </w:pPr>
      <w:r w:rsidRPr="00B56A85">
        <w:rPr>
          <w:lang w:eastAsia="en-US"/>
        </w:rPr>
        <w:t>Aceste tendințe sunt amplificate în perioade de stres climatic sau de presiune asupra sistemului sanitar, când mobilitatea populației crește, iar infrastructura este deja suprasolicitată. Fenomenul relevă vulnerabilități în comunicarea riscurilor, accesul la servicii medicale și funcționarea lanțului logistic pentru vaccinuri.</w:t>
      </w:r>
    </w:p>
    <w:p w14:paraId="24F7E883" w14:textId="77777777" w:rsidR="00124F64" w:rsidRPr="00B56A85" w:rsidRDefault="00124F64" w:rsidP="00376C41">
      <w:pPr>
        <w:ind w:firstLine="360"/>
        <w:jc w:val="both"/>
        <w:rPr>
          <w:lang w:eastAsia="en-US"/>
        </w:rPr>
      </w:pPr>
      <w:r w:rsidRPr="00B56A85">
        <w:rPr>
          <w:i/>
          <w:iCs/>
          <w:lang w:eastAsia="en-US"/>
        </w:rPr>
        <w:t>Direcții de acțiune în Program</w:t>
      </w:r>
      <w:r w:rsidRPr="00B56A85">
        <w:rPr>
          <w:lang w:eastAsia="en-US"/>
        </w:rPr>
        <w:t xml:space="preserve">: digitalizarea datelor naționale cu privire la vaccinări, campanii de educație pentru sănătate, consolidarea capacității de comunicare publică și instruirea personalului medical.  </w:t>
      </w:r>
    </w:p>
    <w:p w14:paraId="559FA11C" w14:textId="77777777" w:rsidR="00124F64" w:rsidRPr="00B56A85" w:rsidRDefault="00124F64" w:rsidP="00B56A85">
      <w:pPr>
        <w:pStyle w:val="ListParagraph"/>
        <w:numPr>
          <w:ilvl w:val="0"/>
          <w:numId w:val="42"/>
        </w:numPr>
        <w:spacing w:after="0"/>
        <w:ind w:left="709" w:hanging="425"/>
        <w:jc w:val="both"/>
        <w:rPr>
          <w:rFonts w:ascii="Times New Roman" w:hAnsi="Times New Roman" w:cs="Times New Roman"/>
          <w:b/>
          <w:bCs/>
          <w:color w:val="000000" w:themeColor="text1"/>
          <w:sz w:val="24"/>
          <w:szCs w:val="24"/>
        </w:rPr>
      </w:pPr>
      <w:r w:rsidRPr="00B56A85">
        <w:rPr>
          <w:rFonts w:ascii="Times New Roman" w:hAnsi="Times New Roman" w:cs="Times New Roman"/>
          <w:b/>
          <w:bCs/>
          <w:color w:val="000000" w:themeColor="text1"/>
          <w:sz w:val="24"/>
          <w:szCs w:val="24"/>
        </w:rPr>
        <w:t>Schimbările climatice ca factor multiplicator al riscurilor sanitare</w:t>
      </w:r>
    </w:p>
    <w:p w14:paraId="67F49FDD" w14:textId="77777777" w:rsidR="00124F64" w:rsidRPr="00B56A85" w:rsidRDefault="00124F64" w:rsidP="00376C41">
      <w:pPr>
        <w:ind w:firstLine="360"/>
        <w:jc w:val="both"/>
        <w:rPr>
          <w:lang w:eastAsia="en-US"/>
        </w:rPr>
      </w:pPr>
      <w:r w:rsidRPr="00B56A85">
        <w:rPr>
          <w:lang w:eastAsia="en-US"/>
        </w:rPr>
        <w:t>Anii 2020 - 2022 (pandemie si secetă severă) evidențiază faptul că schimbările climatice acționează ca multiplicator al riscurilor biologico-sociale. Chiar dacă datele BNS și ANSP nu sunt suficient de dezagregate pentru a demonstra corelații directe (de exemplu zile de caniculă duc la creșterea cazurilor de afecțiuni cardiovasculare), este clar că, în acești ani, morbiditatea copiilor prin boli infecțioase,  intestinale și respiratorii, a înregistrat creșteri semnificative.</w:t>
      </w:r>
    </w:p>
    <w:p w14:paraId="2EA5C252" w14:textId="77777777" w:rsidR="00124F64" w:rsidRPr="00B56A85" w:rsidRDefault="00124F64" w:rsidP="00376C41">
      <w:pPr>
        <w:ind w:firstLine="360"/>
        <w:jc w:val="both"/>
        <w:rPr>
          <w:lang w:eastAsia="en-US"/>
        </w:rPr>
      </w:pPr>
      <w:r w:rsidRPr="00B56A85">
        <w:rPr>
          <w:lang w:eastAsia="en-US"/>
        </w:rPr>
        <w:t>Vârful de peste 15.000 de cazuri de gastroenterite în 2021, creșterea masivă a infecțiilor intestinale acute cu agenți nedeterminați (peste 28.000 cazuri) și intensificarea scarlatinei, varicelei și tusei convulsive confirmă vulnerabilitatea populației pediatrice la perturbările climato-hidrologice. Într-un context de infrastructură deficitară și densitate ridicată în colectivități (grădinițe, școli), sistemul sanitar pediatric devine rapid suprasolicitat.</w:t>
      </w:r>
    </w:p>
    <w:p w14:paraId="281C7FE2" w14:textId="77777777" w:rsidR="00124F64" w:rsidRPr="00B56A85" w:rsidRDefault="00124F64" w:rsidP="00376C41">
      <w:pPr>
        <w:ind w:firstLine="360"/>
        <w:jc w:val="both"/>
        <w:rPr>
          <w:lang w:eastAsia="en-US"/>
        </w:rPr>
      </w:pPr>
      <w:r w:rsidRPr="00B56A85">
        <w:rPr>
          <w:i/>
          <w:iCs/>
          <w:lang w:eastAsia="en-US"/>
        </w:rPr>
        <w:t>Direcții de acțiune în Program</w:t>
      </w:r>
      <w:r w:rsidRPr="00B56A85">
        <w:rPr>
          <w:lang w:eastAsia="en-US"/>
        </w:rPr>
        <w:t>: sisteme de avertizare timpurie pentru valuri de căldură și contaminare a apei, ghiduri pentru riscuri sanitare climatice, reziliență climatică în școli (ventilație, apă potabilă, protocoale sanitare), monitorizare integrată mediu–sănătate.</w:t>
      </w:r>
    </w:p>
    <w:p w14:paraId="6862CE80" w14:textId="77777777" w:rsidR="00124F64" w:rsidRPr="00B56A85" w:rsidRDefault="00124F64" w:rsidP="00B56A85">
      <w:pPr>
        <w:pStyle w:val="ListParagraph"/>
        <w:numPr>
          <w:ilvl w:val="0"/>
          <w:numId w:val="42"/>
        </w:numPr>
        <w:spacing w:after="0"/>
        <w:ind w:left="284" w:hanging="568"/>
        <w:jc w:val="center"/>
        <w:rPr>
          <w:rFonts w:ascii="Times New Roman" w:hAnsi="Times New Roman" w:cs="Times New Roman"/>
          <w:b/>
          <w:bCs/>
          <w:color w:val="000000" w:themeColor="text1"/>
          <w:sz w:val="24"/>
          <w:szCs w:val="24"/>
        </w:rPr>
      </w:pPr>
      <w:r w:rsidRPr="00B56A85">
        <w:rPr>
          <w:rFonts w:ascii="Times New Roman" w:hAnsi="Times New Roman" w:cs="Times New Roman"/>
          <w:b/>
          <w:bCs/>
          <w:color w:val="000000" w:themeColor="text1"/>
          <w:sz w:val="24"/>
          <w:szCs w:val="24"/>
        </w:rPr>
        <w:lastRenderedPageBreak/>
        <w:t>Capacitatea de supraveghere și laborator este insuficientă pentru riscurile actuale</w:t>
      </w:r>
    </w:p>
    <w:p w14:paraId="3198F6B1" w14:textId="77777777" w:rsidR="00124F64" w:rsidRPr="00B56A85" w:rsidRDefault="00124F64" w:rsidP="00376C41">
      <w:pPr>
        <w:ind w:firstLine="360"/>
        <w:jc w:val="both"/>
        <w:rPr>
          <w:lang w:eastAsia="en-US"/>
        </w:rPr>
      </w:pPr>
      <w:r w:rsidRPr="00B56A85">
        <w:rPr>
          <w:lang w:eastAsia="en-US"/>
        </w:rPr>
        <w:t>Laboratoarele ANSP/ANSA și ale Agenției de Mediu lucrează cu echipamente vechi, acoperire incompletă, personal insuficient și fluxuri reduse de probe în ultimii ani. Lipsa unor sisteme digitale integrate și a automatizării determină întârzieri în detectarea focarelor și dificultăți în corelarea datelor sanitare cu cele de mediu.</w:t>
      </w:r>
    </w:p>
    <w:p w14:paraId="543CB73F" w14:textId="77777777" w:rsidR="00124F64" w:rsidRPr="00B56A85" w:rsidRDefault="00124F64" w:rsidP="00376C41">
      <w:pPr>
        <w:ind w:firstLine="360"/>
        <w:jc w:val="both"/>
        <w:rPr>
          <w:lang w:eastAsia="en-US"/>
        </w:rPr>
      </w:pPr>
      <w:r w:rsidRPr="00B56A85">
        <w:rPr>
          <w:lang w:eastAsia="en-US"/>
        </w:rPr>
        <w:t>Această limitare structurală face ca evaluarea riscurilor să se bazeze deseori pe deducții logice, nu pe analize integrate, cu dovezi si date solide, o barieră majoră în aplicarea abordării „One Health”.</w:t>
      </w:r>
    </w:p>
    <w:p w14:paraId="384EC8A6" w14:textId="77777777" w:rsidR="00124F64" w:rsidRPr="00B56A85" w:rsidRDefault="00124F64" w:rsidP="00376C41">
      <w:pPr>
        <w:ind w:firstLine="360"/>
        <w:jc w:val="both"/>
        <w:rPr>
          <w:lang w:eastAsia="en-US"/>
        </w:rPr>
      </w:pPr>
      <w:r w:rsidRPr="00B56A85">
        <w:rPr>
          <w:i/>
          <w:iCs/>
          <w:lang w:eastAsia="en-US"/>
        </w:rPr>
        <w:t>Direcții de acțiune în Program</w:t>
      </w:r>
      <w:r w:rsidRPr="00B56A85">
        <w:rPr>
          <w:lang w:eastAsia="en-US"/>
        </w:rPr>
        <w:t>: modernizarea laboratoarelor, digitalizarea proceselor, integrarea datelor interinstituționale, formarea personalului, continuarea dezvoltării sistemelor automate de monitorizare a calității apei și aerului.</w:t>
      </w:r>
    </w:p>
    <w:p w14:paraId="41745D33" w14:textId="77777777" w:rsidR="00124F64" w:rsidRPr="00B56A85" w:rsidRDefault="00124F64" w:rsidP="00B56A85">
      <w:pPr>
        <w:pStyle w:val="ListParagraph"/>
        <w:numPr>
          <w:ilvl w:val="0"/>
          <w:numId w:val="42"/>
        </w:numPr>
        <w:spacing w:after="0"/>
        <w:ind w:left="709" w:hanging="425"/>
        <w:jc w:val="both"/>
        <w:rPr>
          <w:rFonts w:ascii="Times New Roman" w:hAnsi="Times New Roman" w:cs="Times New Roman"/>
          <w:b/>
          <w:bCs/>
          <w:color w:val="000000" w:themeColor="text1"/>
          <w:sz w:val="24"/>
          <w:szCs w:val="24"/>
        </w:rPr>
      </w:pPr>
      <w:r w:rsidRPr="00B56A85">
        <w:rPr>
          <w:rFonts w:ascii="Times New Roman" w:hAnsi="Times New Roman" w:cs="Times New Roman"/>
          <w:b/>
          <w:bCs/>
          <w:color w:val="000000" w:themeColor="text1"/>
          <w:sz w:val="24"/>
          <w:szCs w:val="24"/>
        </w:rPr>
        <w:t>Guvernanța și inter-operabilitatea datelor sunt fragmentate</w:t>
      </w:r>
    </w:p>
    <w:p w14:paraId="28283FA7" w14:textId="5F022ED7" w:rsidR="00124F64" w:rsidRPr="00B56A85" w:rsidRDefault="00124F64" w:rsidP="00376C41">
      <w:pPr>
        <w:ind w:firstLine="360"/>
        <w:jc w:val="both"/>
        <w:rPr>
          <w:lang w:eastAsia="en-US"/>
        </w:rPr>
      </w:pPr>
      <w:r w:rsidRPr="00B56A85">
        <w:rPr>
          <w:lang w:eastAsia="en-US"/>
        </w:rPr>
        <w:t xml:space="preserve">Datele privind riscurile </w:t>
      </w:r>
      <w:r w:rsidR="00AA5A86" w:rsidRPr="00B56A85">
        <w:rPr>
          <w:lang w:eastAsia="en-US"/>
        </w:rPr>
        <w:t xml:space="preserve">naturale si </w:t>
      </w:r>
      <w:r w:rsidRPr="00B56A85">
        <w:rPr>
          <w:lang w:eastAsia="en-US"/>
        </w:rPr>
        <w:t>biologico-sociale sunt dispersate între BNS, ANSP, Agenția de Mediu, ANSA</w:t>
      </w:r>
      <w:r w:rsidR="00787459" w:rsidRPr="00B56A85">
        <w:rPr>
          <w:lang w:eastAsia="en-US"/>
        </w:rPr>
        <w:t>, IP AN Apele Moldovei</w:t>
      </w:r>
      <w:r w:rsidRPr="00B56A85">
        <w:rPr>
          <w:lang w:eastAsia="en-US"/>
        </w:rPr>
        <w:t xml:space="preserve"> și Serviciul Hidrometeorologic de Stat, fără interoperabilitate și fără indicatori specializați pentru riscuri biologico-sociale. APL-urile nu dispun de planuri locale de sănătate publică pentru caniculă, frig, apă contaminată, poluare sau epidemii, iar coordonarea intersectorială este limitată.</w:t>
      </w:r>
    </w:p>
    <w:p w14:paraId="2B1EA024" w14:textId="77777777" w:rsidR="00124F64" w:rsidRPr="00B56A85" w:rsidRDefault="00124F64" w:rsidP="00376C41">
      <w:pPr>
        <w:ind w:firstLine="360"/>
        <w:jc w:val="both"/>
        <w:rPr>
          <w:lang w:eastAsia="en-US"/>
        </w:rPr>
      </w:pPr>
      <w:r w:rsidRPr="00B56A85">
        <w:rPr>
          <w:lang w:eastAsia="en-US"/>
        </w:rPr>
        <w:t>Această fragmentare reduce capacitatea de reacție la nivel local și împiedică anticiparea unor focare provocate de stres climatic, poluare sau contaminare a apei.</w:t>
      </w:r>
    </w:p>
    <w:p w14:paraId="57376A5A" w14:textId="2562A6C5" w:rsidR="00280304" w:rsidRPr="00B56A85" w:rsidRDefault="00124F64" w:rsidP="00376C41">
      <w:pPr>
        <w:spacing w:after="120"/>
        <w:ind w:firstLine="360"/>
        <w:jc w:val="both"/>
        <w:rPr>
          <w:lang w:eastAsia="en-US"/>
        </w:rPr>
      </w:pPr>
      <w:r w:rsidRPr="00B56A85">
        <w:rPr>
          <w:i/>
          <w:iCs/>
          <w:lang w:eastAsia="en-US"/>
        </w:rPr>
        <w:t>Direcții de acțiune în Program</w:t>
      </w:r>
      <w:r w:rsidRPr="00B56A85">
        <w:rPr>
          <w:lang w:eastAsia="en-US"/>
        </w:rPr>
        <w:t xml:space="preserve">: introducerea unui modul RRD în BNS, introducerea datelor ANSA </w:t>
      </w:r>
      <w:r w:rsidR="00311372" w:rsidRPr="00B56A85">
        <w:rPr>
          <w:lang w:eastAsia="en-US"/>
        </w:rPr>
        <w:t>î</w:t>
      </w:r>
      <w:r w:rsidRPr="00B56A85">
        <w:rPr>
          <w:lang w:eastAsia="en-US"/>
        </w:rPr>
        <w:t>n BNS, crearea unui sistem național integrat de date sănătate-mediu-apă, elaborarea de planuri locale de sănătate publică, operaționalizarea mecanismelor One Health, protocoale clare pentru schimbul de date și alertare timpurie.</w:t>
      </w:r>
      <w:bookmarkEnd w:id="83"/>
    </w:p>
    <w:p w14:paraId="7105243D" w14:textId="6D96AE2D" w:rsidR="00A411CF" w:rsidRPr="00877A13" w:rsidRDefault="00A411CF" w:rsidP="00E5345D">
      <w:pPr>
        <w:pStyle w:val="Heading3"/>
        <w:spacing w:before="0"/>
        <w:jc w:val="center"/>
        <w:rPr>
          <w:rFonts w:ascii="Times New Roman" w:hAnsi="Times New Roman" w:cs="Times New Roman"/>
          <w:b/>
          <w:bCs w:val="0"/>
          <w:color w:val="000000" w:themeColor="text1"/>
          <w:szCs w:val="24"/>
        </w:rPr>
      </w:pPr>
      <w:r w:rsidRPr="00877A13">
        <w:rPr>
          <w:rFonts w:ascii="Times New Roman" w:hAnsi="Times New Roman" w:cs="Times New Roman"/>
          <w:b/>
          <w:bCs w:val="0"/>
          <w:color w:val="000000" w:themeColor="text1"/>
          <w:szCs w:val="24"/>
        </w:rPr>
        <w:t>Subsecțiunea a 2-a</w:t>
      </w:r>
    </w:p>
    <w:p w14:paraId="5B404F5F" w14:textId="4171DC44" w:rsidR="00280304" w:rsidRPr="00877A13" w:rsidRDefault="00A411CF" w:rsidP="00E5345D">
      <w:pPr>
        <w:pStyle w:val="Heading3"/>
        <w:spacing w:before="0"/>
        <w:jc w:val="center"/>
        <w:rPr>
          <w:rFonts w:ascii="Times New Roman" w:hAnsi="Times New Roman" w:cs="Times New Roman"/>
          <w:b/>
          <w:bCs w:val="0"/>
          <w:color w:val="000000" w:themeColor="text1"/>
          <w:szCs w:val="24"/>
        </w:rPr>
      </w:pPr>
      <w:r w:rsidRPr="00877A13">
        <w:rPr>
          <w:rFonts w:ascii="Times New Roman" w:hAnsi="Times New Roman" w:cs="Times New Roman"/>
          <w:b/>
          <w:bCs w:val="0"/>
          <w:color w:val="000000" w:themeColor="text1"/>
          <w:szCs w:val="24"/>
        </w:rPr>
        <w:t>Cadrul normativ și instituțional RRD în Republica Moldova</w:t>
      </w:r>
    </w:p>
    <w:p w14:paraId="05EE9310" w14:textId="2240D75D" w:rsidR="00CD76ED" w:rsidRPr="00877A13" w:rsidRDefault="00CD76ED" w:rsidP="00FD1D3B">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877A13">
        <w:rPr>
          <w:rFonts w:ascii="Times New Roman" w:hAnsi="Times New Roman" w:cs="Times New Roman"/>
          <w:color w:val="000000" w:themeColor="text1"/>
          <w:sz w:val="24"/>
          <w:szCs w:val="24"/>
        </w:rPr>
        <w:t>Cadrul normativ național aferent reducerii riscurilor naturale si biologico-sociale este</w:t>
      </w:r>
      <w:r w:rsidR="00FD1D3B">
        <w:rPr>
          <w:rFonts w:ascii="Times New Roman" w:hAnsi="Times New Roman" w:cs="Times New Roman"/>
          <w:color w:val="000000" w:themeColor="text1"/>
          <w:sz w:val="24"/>
          <w:szCs w:val="24"/>
        </w:rPr>
        <w:t xml:space="preserve"> </w:t>
      </w:r>
      <w:r w:rsidRPr="00877A13">
        <w:rPr>
          <w:rFonts w:ascii="Times New Roman" w:hAnsi="Times New Roman" w:cs="Times New Roman"/>
          <w:color w:val="000000" w:themeColor="text1"/>
          <w:sz w:val="24"/>
          <w:szCs w:val="24"/>
        </w:rPr>
        <w:t>complex și constă dintr-un set de legi, hotărâri de Guvern</w:t>
      </w:r>
      <w:r w:rsidR="00443FAC" w:rsidRPr="00877A13">
        <w:rPr>
          <w:rFonts w:ascii="Times New Roman" w:hAnsi="Times New Roman" w:cs="Times New Roman"/>
          <w:color w:val="000000" w:themeColor="text1"/>
          <w:sz w:val="24"/>
          <w:szCs w:val="24"/>
        </w:rPr>
        <w:t xml:space="preserve"> și Regulamente.</w:t>
      </w:r>
    </w:p>
    <w:p w14:paraId="3021B5FA" w14:textId="25A4B63D" w:rsidR="00CD76ED" w:rsidRPr="00877A13" w:rsidRDefault="00CD76ED" w:rsidP="00422972">
      <w:pPr>
        <w:ind w:firstLine="360"/>
        <w:jc w:val="both"/>
        <w:rPr>
          <w:color w:val="000000" w:themeColor="text1"/>
        </w:rPr>
      </w:pPr>
      <w:r w:rsidRPr="00877A13">
        <w:rPr>
          <w:color w:val="000000" w:themeColor="text1"/>
        </w:rPr>
        <w:t xml:space="preserve">În sectorul </w:t>
      </w:r>
      <w:r w:rsidR="00AA675B" w:rsidRPr="00877A13">
        <w:rPr>
          <w:color w:val="000000" w:themeColor="text1"/>
        </w:rPr>
        <w:t xml:space="preserve">de </w:t>
      </w:r>
      <w:r w:rsidRPr="00877A13">
        <w:rPr>
          <w:color w:val="000000" w:themeColor="text1"/>
        </w:rPr>
        <w:t>mediu, legislația acoperă prevederile sectoriale privind schimbările climatice, resursele de apă, păduri, soluri, biodiversitate, substanțe periculoase, calitatea aerului și guvernanța de mediu.</w:t>
      </w:r>
    </w:p>
    <w:p w14:paraId="05A41304" w14:textId="5E6CDB30" w:rsidR="00CD76ED" w:rsidRPr="00877A13" w:rsidRDefault="00CD76ED" w:rsidP="00422972">
      <w:pPr>
        <w:spacing w:after="120"/>
        <w:ind w:firstLine="360"/>
        <w:jc w:val="both"/>
        <w:rPr>
          <w:color w:val="000000" w:themeColor="text1"/>
        </w:rPr>
      </w:pPr>
      <w:r w:rsidRPr="00877A13">
        <w:rPr>
          <w:color w:val="000000" w:themeColor="text1"/>
        </w:rPr>
        <w:t xml:space="preserve">Cele mai importante legi și hotărâri de Guvern sunt </w:t>
      </w:r>
      <w:r w:rsidR="00C1386C" w:rsidRPr="00877A13">
        <w:rPr>
          <w:color w:val="000000" w:themeColor="text1"/>
        </w:rPr>
        <w:t xml:space="preserve">analizate mai jos din perspectiva relevantei pentru PNRRDN, acestea sunt </w:t>
      </w:r>
      <w:r w:rsidRPr="00877A13">
        <w:rPr>
          <w:color w:val="000000" w:themeColor="text1"/>
        </w:rPr>
        <w:t>următoarele:</w:t>
      </w:r>
    </w:p>
    <w:p w14:paraId="34F3D281" w14:textId="70D55FB7" w:rsidR="00713FB4" w:rsidRPr="00877A13" w:rsidRDefault="00914C4C">
      <w:pPr>
        <w:pStyle w:val="ListParagraph"/>
        <w:numPr>
          <w:ilvl w:val="0"/>
          <w:numId w:val="44"/>
        </w:numPr>
        <w:spacing w:after="120"/>
        <w:jc w:val="both"/>
        <w:rPr>
          <w:rFonts w:ascii="Times New Roman" w:hAnsi="Times New Roman" w:cs="Times New Roman"/>
          <w:b/>
          <w:bCs/>
          <w:sz w:val="24"/>
          <w:szCs w:val="24"/>
        </w:rPr>
      </w:pPr>
      <w:r w:rsidRPr="00877A13">
        <w:rPr>
          <w:rFonts w:ascii="Times New Roman" w:hAnsi="Times New Roman" w:cs="Times New Roman"/>
          <w:b/>
          <w:bCs/>
          <w:color w:val="000000" w:themeColor="text1"/>
          <w:sz w:val="24"/>
          <w:szCs w:val="24"/>
        </w:rPr>
        <w:t>Legislația națională – politici de management integrat al resurselor de apă</w:t>
      </w:r>
    </w:p>
    <w:p w14:paraId="1CC4B3C2" w14:textId="10C3ADEB" w:rsidR="00DF4A75" w:rsidRPr="00877A13" w:rsidRDefault="00DF4A75" w:rsidP="008A4FDC">
      <w:pPr>
        <w:jc w:val="both"/>
        <w:rPr>
          <w:b/>
          <w:bCs/>
        </w:rPr>
      </w:pPr>
      <w:r w:rsidRPr="00877A13">
        <w:rPr>
          <w:b/>
          <w:bCs/>
        </w:rPr>
        <w:t xml:space="preserve">Legea apelor nr. 272/2011 </w:t>
      </w:r>
    </w:p>
    <w:p w14:paraId="5AE2653A" w14:textId="1303080B" w:rsidR="00DF4A75" w:rsidRPr="00877A13" w:rsidRDefault="00DF4A75" w:rsidP="008A4FDC">
      <w:pPr>
        <w:ind w:firstLine="426"/>
        <w:jc w:val="both"/>
      </w:pPr>
      <w:r w:rsidRPr="00877A13">
        <w:t>Legea reglementează monitorizarea, protecția și gestionarea durabilă a apelor de suprafață și subterane, pe baza principiilor europene și a managementului integrat la nivel de bazin hidrografic. Prevederile privind controlul calității apei, evaluarea poluării, laboratoarele acreditate și transparența datelor contribuie la prevenirea degradării resurselor și la protecția ecosistemelor acvatice și a zonelor umede. Totodată, legea susține investițiile în infrastructura de apă și stabilește regimul folosinței apei, elemente importante pentru reducerea riscurilor hidrologice (inundații, secetă, poluări accidentale), pentru asigurarea sănătății publice și pentru menținerea continuității serviciilor esențiale. Prevederile privind cooperarea internațională întăresc capacitatea de gestionare coordonată a riscurilor transfrontaliere.</w:t>
      </w:r>
    </w:p>
    <w:p w14:paraId="0F4DFF40" w14:textId="77777777" w:rsidR="0048435E" w:rsidRPr="00877A13" w:rsidRDefault="0048435E" w:rsidP="00280304">
      <w:pPr>
        <w:jc w:val="both"/>
      </w:pPr>
    </w:p>
    <w:p w14:paraId="4160688A" w14:textId="77C0E6EC" w:rsidR="00436B79" w:rsidRPr="00877A13" w:rsidRDefault="00436B79" w:rsidP="008A4FDC">
      <w:pPr>
        <w:jc w:val="both"/>
        <w:rPr>
          <w:b/>
          <w:bCs/>
        </w:rPr>
      </w:pPr>
      <w:r w:rsidRPr="00877A13">
        <w:rPr>
          <w:b/>
          <w:bCs/>
        </w:rPr>
        <w:t xml:space="preserve">Legea nr. 303/2013 </w:t>
      </w:r>
      <w:r w:rsidR="00932BD7" w:rsidRPr="00877A13">
        <w:rPr>
          <w:b/>
          <w:bCs/>
        </w:rPr>
        <w:t>privind serviciul public de alimentare cu apă și de canalizare</w:t>
      </w:r>
    </w:p>
    <w:p w14:paraId="02C1696D" w14:textId="2A973C6B" w:rsidR="00436B79" w:rsidRPr="00877A13" w:rsidRDefault="00436B79" w:rsidP="008A4FDC">
      <w:pPr>
        <w:spacing w:after="240"/>
        <w:ind w:firstLine="284"/>
        <w:jc w:val="both"/>
      </w:pPr>
      <w:r w:rsidRPr="00877A13">
        <w:t xml:space="preserve">Legea stabilește cadrul legal pentru organizarea, gestionarea și reglementarea serviciilor publice de alimentare cu apă și canalizare, asigurând accesul populației la servicii sigure, fiabile și conforme standardelor de calitate și protecție a mediului. Ea definește responsabilitățile autorităților centrale și locale, drepturile consumatorilor și obligațiile operatorilor, inclusiv regimul tarifar, funcționarea infrastructurii și condițiile de acces nediscriminatoriu. Prin cerințele legate de securitatea alimentării </w:t>
      </w:r>
      <w:r w:rsidRPr="00877A13">
        <w:lastRenderedPageBreak/>
        <w:t>cu apă, funcționarea stațiilor de epurare și gestionarea apelor uzate, legea este esențială pentru prevenirea bolilor asociate apei, reducerea poluării, gestionarea riscurilor hidrologice și creșterea rezilienței comunităților, contribuind direct la obiectivele PNRRDN.</w:t>
      </w:r>
    </w:p>
    <w:p w14:paraId="43B7778E" w14:textId="70B67A18" w:rsidR="0048224F" w:rsidRPr="00877A13" w:rsidRDefault="0048224F" w:rsidP="008A4FDC">
      <w:pPr>
        <w:jc w:val="both"/>
        <w:rPr>
          <w:b/>
          <w:bCs/>
        </w:rPr>
      </w:pPr>
      <w:r w:rsidRPr="00877A13">
        <w:rPr>
          <w:b/>
          <w:bCs/>
        </w:rPr>
        <w:t>HG nr. 562/2020 cu privire la Planurile de gestionare a riscului de inundații pentru districtele bazinelor Nistru și Dunărea–Prut și Marea Neagră</w:t>
      </w:r>
    </w:p>
    <w:p w14:paraId="5F83CF9D" w14:textId="3BDFEA5D" w:rsidR="00253441" w:rsidRPr="00877A13" w:rsidRDefault="0048224F" w:rsidP="008A4FDC">
      <w:pPr>
        <w:spacing w:after="120"/>
        <w:ind w:firstLine="284"/>
        <w:jc w:val="both"/>
      </w:pPr>
      <w:r w:rsidRPr="00877A13">
        <w:t xml:space="preserve">Hotărârea aprobă Planurile de gestionare a riscului de inundații pentru districtele bazinelor Nistru și Dunărea–Prut și Marea Neagră, stabilind cadrul strategic pentru prevenirea, protecția și reducerea consecințelor inundațiilor. Prin atribuțiile conferite Ministerului Agriculturii, Dezvoltării Regionale și Mediului și </w:t>
      </w:r>
      <w:r w:rsidR="000F26B8" w:rsidRPr="00877A13">
        <w:t xml:space="preserve">IP AN </w:t>
      </w:r>
      <w:r w:rsidRPr="00877A13">
        <w:t>Apele Moldovei în monitorizarea și raportarea implementării măsurilor, actul operaționalizează managementul riscului de inundații în conformitate cu Legea apelor și cu principiile europene. Documentul susține planificarea teritorială, investițiile în infrastructura de protecție și consolidarea capacităților instituționale și comunitare, contribuind direct la obiectivele PNRRDN privind reducerea riscurilor hidrologice și creșterea rezilienței la inundații.</w:t>
      </w:r>
    </w:p>
    <w:p w14:paraId="0F1F2B56" w14:textId="02E652F2" w:rsidR="00875964" w:rsidRPr="00877A13" w:rsidRDefault="00875964" w:rsidP="008A4FDC">
      <w:pPr>
        <w:jc w:val="both"/>
        <w:rPr>
          <w:b/>
          <w:bCs/>
        </w:rPr>
      </w:pPr>
      <w:r w:rsidRPr="00877A13">
        <w:rPr>
          <w:b/>
          <w:bCs/>
        </w:rPr>
        <w:t>HG nr. 590/2018 cu privire la Concepția reformei sistemului național de gestionare, prevenire și reducere a consecințelor inundațiilor</w:t>
      </w:r>
    </w:p>
    <w:p w14:paraId="4F72DC38" w14:textId="39CE3FE9" w:rsidR="00364C04" w:rsidRPr="00877A13" w:rsidRDefault="00875964" w:rsidP="008A4FDC">
      <w:pPr>
        <w:spacing w:after="120"/>
        <w:ind w:firstLine="284"/>
        <w:jc w:val="both"/>
      </w:pPr>
      <w:r w:rsidRPr="00877A13">
        <w:t>Hotărârea aprobă Concepția reformei sistemului național de gestionare, prevenire și reducere a consecințelor inundațiilor, care aliniază Republica Moldova la Directivele UE privind apele și riscul de inundații și trece de la o abordare reactivă la una bazată pe managementul riscului. Concepția descrie expunerea ridicată a țării la inundații, starea precară a digurilor și infrastructurii de protecție și stabilește principii și obiective pentru întărirea cadrului juridic, instituțional și informațional, elaborarea hărților de hazard și risc, planurilor de gestionare, sistemelor de monitorizare și avertizare timpurie. Documentul promovează măsuri structurale și non-structurale (inclusiv zone inundabile controlate și împăduriri), întărirea capacităților locale și cooperarea transfrontalieră, contribuind direct la obiectivele PNRRDN privind reducerea riscului de inundații și creșterea rezilienței comunităților.</w:t>
      </w:r>
    </w:p>
    <w:p w14:paraId="6C9C6A2F" w14:textId="5E98D463" w:rsidR="00C1386C" w:rsidRPr="00877A13" w:rsidRDefault="007734A0" w:rsidP="008A4FDC">
      <w:pPr>
        <w:jc w:val="both"/>
        <w:rPr>
          <w:b/>
          <w:bCs/>
        </w:rPr>
      </w:pPr>
      <w:r w:rsidRPr="00877A13">
        <w:rPr>
          <w:b/>
          <w:bCs/>
        </w:rPr>
        <w:t>H</w:t>
      </w:r>
      <w:r w:rsidR="00EA5C6F" w:rsidRPr="00877A13">
        <w:rPr>
          <w:b/>
          <w:bCs/>
        </w:rPr>
        <w:t>G</w:t>
      </w:r>
      <w:r w:rsidRPr="00877A13">
        <w:rPr>
          <w:b/>
          <w:bCs/>
        </w:rPr>
        <w:t xml:space="preserve"> Nr. 1063/202 cu privire la aprobarea Programului Național  pentru implementarea Protocolului privind Apa și Sănătatea în Republica Moldova pentru anii 2016-2025</w:t>
      </w:r>
    </w:p>
    <w:p w14:paraId="17EA3683" w14:textId="636408F2" w:rsidR="007734A0" w:rsidRPr="00877A13" w:rsidRDefault="007734A0" w:rsidP="008A4FDC">
      <w:pPr>
        <w:spacing w:after="120"/>
        <w:ind w:firstLine="284"/>
        <w:jc w:val="both"/>
      </w:pPr>
      <w:r w:rsidRPr="00877A13">
        <w:t xml:space="preserve">Hotărârea aprobă Programul Național pentru implementarea Protocolului privind Apa și Sănătatea, stabilind un cadru intersectorial pentru prevenirea bolilor asociate apei și pentru îmbunătățirea calității și gestionării resurselor de apă. Documentul consolidează rolul Ministerului Mediului și al Ministerului Sănătății în monitorizare, raportare și coordonarea măsurilor, evidențiind vulnerabilitățile legate de calitatea apei, infrastructura deficitară și riscurile hidrologice. Programul susține investițiile, modernizarea infrastructurii și armonizarea cu standardele UE, contribuind direct la reducerea riscurilor naturale și biologico-sociale. </w:t>
      </w:r>
    </w:p>
    <w:p w14:paraId="514CEB61" w14:textId="4B641DC9" w:rsidR="00502474" w:rsidRPr="00877A13" w:rsidRDefault="00502474" w:rsidP="008A4FDC">
      <w:pPr>
        <w:jc w:val="both"/>
        <w:rPr>
          <w:b/>
          <w:bCs/>
        </w:rPr>
      </w:pPr>
      <w:r w:rsidRPr="00877A13">
        <w:rPr>
          <w:b/>
          <w:bCs/>
        </w:rPr>
        <w:t>HG nr. 728/2014 Lista corpurilor de apă de suprafață, a zonelor și fâșiilor lor de protecție, precum și Lista construcțiilor hidrotehnice gestionate de autoritatea administrativă de gestionare a apelor</w:t>
      </w:r>
    </w:p>
    <w:p w14:paraId="1876498D" w14:textId="3E45F658" w:rsidR="003448BA" w:rsidRPr="00877A13" w:rsidRDefault="00502474" w:rsidP="008A4FDC">
      <w:pPr>
        <w:spacing w:after="120"/>
        <w:ind w:firstLine="284"/>
        <w:jc w:val="both"/>
      </w:pPr>
      <w:r w:rsidRPr="00877A13">
        <w:t>Hotărârea aprobă Lista corpurilor de apă de suprafață, a zonelor și fâșiilor lor de protecție, precum și Lista construcțiilor hidrotehnice gestionate de autoritatea administrativă de gestionare a apelor (</w:t>
      </w:r>
      <w:r w:rsidR="00DD0666" w:rsidRPr="00877A13">
        <w:t xml:space="preserve">IP AN </w:t>
      </w:r>
      <w:r w:rsidRPr="00877A13">
        <w:t>Apele Moldovei). Actul operaționalizează abordarea pe bazin hidrografic prevăzută de Legea apelor, clarifică care corpuri de apă și infrastructuri intră în responsabilitatea statului și unde se aplică regimuri speciale de protecție. Prin delimitarea zonelor de protecție și evidența construcțiilor hidrotehnice, HG 728/2014 sprijină planificarea măsurilor de prevenire a inundațiilor, eroziunii și poluării, precum și integrarea riscurilor de apă în amenajarea teritoriului, fiind direct relevantă pentru obiectivele și măsurile PNRRDN în domeniul riscurilor hidrologice și de mediu.</w:t>
      </w:r>
    </w:p>
    <w:p w14:paraId="2D60B0F1" w14:textId="45DFA6EC" w:rsidR="0098211B" w:rsidRPr="00877A13" w:rsidRDefault="0098211B">
      <w:pPr>
        <w:pStyle w:val="ListParagraph"/>
        <w:numPr>
          <w:ilvl w:val="0"/>
          <w:numId w:val="44"/>
        </w:numPr>
        <w:spacing w:after="120"/>
        <w:jc w:val="both"/>
        <w:rPr>
          <w:rFonts w:ascii="Times New Roman" w:hAnsi="Times New Roman" w:cs="Times New Roman"/>
          <w:b/>
          <w:bCs/>
          <w:color w:val="000000" w:themeColor="text1"/>
          <w:sz w:val="24"/>
          <w:szCs w:val="24"/>
        </w:rPr>
      </w:pPr>
      <w:r w:rsidRPr="00877A13">
        <w:rPr>
          <w:rFonts w:ascii="Times New Roman" w:hAnsi="Times New Roman" w:cs="Times New Roman"/>
          <w:b/>
          <w:bCs/>
          <w:color w:val="000000" w:themeColor="text1"/>
          <w:sz w:val="24"/>
          <w:szCs w:val="24"/>
        </w:rPr>
        <w:t>Legislația națională – politici în domeniul forestier</w:t>
      </w:r>
    </w:p>
    <w:p w14:paraId="715B1A55" w14:textId="4508F39A" w:rsidR="0098211B" w:rsidRPr="00877A13" w:rsidRDefault="0098211B" w:rsidP="008A4FDC">
      <w:pPr>
        <w:jc w:val="both"/>
        <w:rPr>
          <w:b/>
          <w:bCs/>
        </w:rPr>
      </w:pPr>
      <w:r w:rsidRPr="00877A13">
        <w:rPr>
          <w:b/>
          <w:bCs/>
        </w:rPr>
        <w:t xml:space="preserve">Codul Silvic nr. 69/2024 </w:t>
      </w:r>
    </w:p>
    <w:p w14:paraId="6A2BF8AC" w14:textId="037633F7" w:rsidR="0098211B" w:rsidRPr="00877A13" w:rsidRDefault="0098211B" w:rsidP="008A4FDC">
      <w:pPr>
        <w:spacing w:after="120"/>
        <w:ind w:firstLine="284"/>
        <w:jc w:val="both"/>
      </w:pPr>
      <w:r w:rsidRPr="00877A13">
        <w:lastRenderedPageBreak/>
        <w:t>Codul Silvic modernizat stabilește cadrul juridic pentru gestionarea durabilă a pădurilor, funcțiile lor de protecție a solului, apelor și infrastructurii, precum și normele privind prevenirea și combaterea incendiilor, tăierile ilegale și degradarea terenurilor. Prin regimul de protecție, reconstrucție ecologică, monitoring și planuri de gospodărire, Codul oferă instrumentele de bază pentru reducerea vulnerabilității comunităților la riscuri climatice (secetă, alunecări de teren, eroziune, incendii) și este fundamental pentru implementarea măsurilor structurale prevăzute în PNRRDN.</w:t>
      </w:r>
    </w:p>
    <w:p w14:paraId="1219D050" w14:textId="648CD6E4" w:rsidR="0098211B" w:rsidRPr="00877A13" w:rsidRDefault="0098211B" w:rsidP="008A4FDC">
      <w:pPr>
        <w:jc w:val="both"/>
        <w:rPr>
          <w:b/>
          <w:bCs/>
        </w:rPr>
      </w:pPr>
      <w:r w:rsidRPr="00877A13">
        <w:rPr>
          <w:b/>
          <w:bCs/>
        </w:rPr>
        <w:t xml:space="preserve">Legea pentru ameliorarea prin împădurire a terenurilor degradate nr. 1041/2000 </w:t>
      </w:r>
    </w:p>
    <w:p w14:paraId="14F63E50" w14:textId="0FC904BD" w:rsidR="0098211B" w:rsidRPr="00877A13" w:rsidRDefault="0098211B" w:rsidP="008A4FDC">
      <w:pPr>
        <w:spacing w:after="120"/>
        <w:ind w:firstLine="284"/>
        <w:jc w:val="both"/>
      </w:pPr>
      <w:r w:rsidRPr="00877A13">
        <w:t>Legea reglementează împădurirea terenurilor degradate, erodate, alunecate sau neproductive, contribuind direct la stabilizarea solurilor, reducerea eroziunii și creșterea capacității de retenție a apei. Prin crearea de perdele forestiere, suprafețe împădurite și lucrări de reabilitare ecologică, această lege oferă suport structural pentru prevenirea alunecărilor, torențialității și scurgerilor rapide, fiind un pilon important al măsurilor de adaptare și reziliență din PNRRDN.</w:t>
      </w:r>
    </w:p>
    <w:p w14:paraId="7DD2A756" w14:textId="7CCEAF0E" w:rsidR="0098211B" w:rsidRPr="00877A13" w:rsidRDefault="0098211B" w:rsidP="008A4FDC">
      <w:pPr>
        <w:jc w:val="both"/>
        <w:rPr>
          <w:b/>
          <w:bCs/>
        </w:rPr>
      </w:pPr>
      <w:r w:rsidRPr="00877A13">
        <w:rPr>
          <w:b/>
          <w:bCs/>
        </w:rPr>
        <w:t xml:space="preserve">Strategia dezvoltării durabile a sectorului forestier nr. 350/2001 </w:t>
      </w:r>
    </w:p>
    <w:p w14:paraId="33CD9E67" w14:textId="201EA998" w:rsidR="0098211B" w:rsidRPr="00877A13" w:rsidRDefault="0098211B" w:rsidP="008A4FDC">
      <w:pPr>
        <w:spacing w:after="120"/>
        <w:ind w:firstLine="284"/>
        <w:jc w:val="both"/>
      </w:pPr>
      <w:r w:rsidRPr="00877A13">
        <w:t>Strategia oferă direcțiile de politică pentru protecția, extinderea și gospodărirea durabilă a pădurilor, promovând utilizarea funcțională a acestora pentru protecția solurilor, apelor și infrastructurii. Abordează explicit necesitatea consolidării funcțiilor de protecție în contextul schimbărilor climatice, fiind relevantă pentru măsurile pe termen lung ale PNRRDN privind creșterea rezilienței peisajelor forestiere.</w:t>
      </w:r>
    </w:p>
    <w:p w14:paraId="3CD510B9" w14:textId="5CD33C40" w:rsidR="0098211B" w:rsidRPr="00877A13" w:rsidRDefault="0098211B" w:rsidP="008A4FDC">
      <w:pPr>
        <w:jc w:val="both"/>
        <w:rPr>
          <w:b/>
          <w:bCs/>
        </w:rPr>
      </w:pPr>
      <w:r w:rsidRPr="00877A13">
        <w:rPr>
          <w:b/>
          <w:bCs/>
        </w:rPr>
        <w:t xml:space="preserve">HG 55/2023 – Programul național de extindere și reabilitare a pădurilor 2023–2032 </w:t>
      </w:r>
    </w:p>
    <w:p w14:paraId="7E729822" w14:textId="3986897E" w:rsidR="0098211B" w:rsidRPr="00877A13" w:rsidRDefault="0098211B" w:rsidP="008A4FDC">
      <w:pPr>
        <w:spacing w:after="120"/>
        <w:ind w:firstLine="284"/>
        <w:jc w:val="both"/>
      </w:pPr>
      <w:r w:rsidRPr="00877A13">
        <w:t>Programul stabilește cadrul național pentru extinderea acoperirii forestiere, reabilitarea pădurilor degradate și crearea perdelelor forestiere, cu ținte clare până în 2032. Este direct corelat cu obiectivele PNRRDN privind reducerea vulnerabilității la secetă, eroziune, degradarea solurilor și creșterea capacității de absorbție a carbonului, fiind principalul instrument investițional în domeniul forestier.</w:t>
      </w:r>
    </w:p>
    <w:p w14:paraId="67F8060A" w14:textId="79557B70" w:rsidR="0098211B" w:rsidRPr="00877A13" w:rsidRDefault="0098211B" w:rsidP="008A4FDC">
      <w:pPr>
        <w:jc w:val="both"/>
        <w:rPr>
          <w:b/>
          <w:bCs/>
        </w:rPr>
      </w:pPr>
      <w:r w:rsidRPr="00877A13">
        <w:rPr>
          <w:b/>
          <w:bCs/>
        </w:rPr>
        <w:t xml:space="preserve">HG 106/1996 – Ocrotirea pădurilor și perdelelor forestiere de protecție </w:t>
      </w:r>
    </w:p>
    <w:p w14:paraId="4E8F9B40" w14:textId="5F6D81A1" w:rsidR="0098211B" w:rsidRPr="00877A13" w:rsidRDefault="0098211B" w:rsidP="008A4FDC">
      <w:pPr>
        <w:spacing w:after="120"/>
        <w:ind w:firstLine="284"/>
        <w:jc w:val="both"/>
      </w:pPr>
      <w:r w:rsidRPr="00877A13">
        <w:t>Hotărârea stabilește măsuri pentru protejarea pădurilor și perdelelor forestiere împotriva degradării, incendiilor și utilizării necorespunzătoare. Prin rolul lor de protecție a solului și microclimatului, perdelele forestiere sunt esențiale în adaptarea la schimbările climatice și reducerea impactului secetei și vânturilor puternice, fiind un instrument util pentru măsurile locale din PNRRDN.</w:t>
      </w:r>
    </w:p>
    <w:p w14:paraId="204CA29B" w14:textId="7B2BA88B" w:rsidR="0098211B" w:rsidRPr="00877A13" w:rsidRDefault="0098211B" w:rsidP="008A4FDC">
      <w:pPr>
        <w:jc w:val="both"/>
        <w:rPr>
          <w:b/>
          <w:bCs/>
        </w:rPr>
      </w:pPr>
      <w:r w:rsidRPr="00877A13">
        <w:rPr>
          <w:b/>
          <w:bCs/>
        </w:rPr>
        <w:t xml:space="preserve">HG 1007/1997 – Evidența de stat a fondului forestier </w:t>
      </w:r>
    </w:p>
    <w:p w14:paraId="1ED14627" w14:textId="54EDD74D" w:rsidR="0098211B" w:rsidRPr="00877A13" w:rsidRDefault="0098211B" w:rsidP="008A4FDC">
      <w:pPr>
        <w:spacing w:after="120"/>
        <w:ind w:firstLine="284"/>
        <w:jc w:val="both"/>
      </w:pPr>
      <w:r w:rsidRPr="00877A13">
        <w:t>Hotărârea instituie sistemul de evidență și monitorizare a fondului forestier, necesar pentru evaluarea riscurilor, planificarea măsurilor de protecție, actualizarea hărților forestiere și informarea deciziilor locale. Monitorizarea este vitală în contextul creșterii riscurilor climatice și necesității unor date actualizate pentru PNRRDN.</w:t>
      </w:r>
    </w:p>
    <w:p w14:paraId="2178DE79" w14:textId="1D298654" w:rsidR="0098211B" w:rsidRPr="00877A13" w:rsidRDefault="0098211B" w:rsidP="008A4FDC">
      <w:pPr>
        <w:jc w:val="both"/>
        <w:rPr>
          <w:b/>
          <w:bCs/>
        </w:rPr>
      </w:pPr>
      <w:r w:rsidRPr="00877A13">
        <w:rPr>
          <w:b/>
          <w:bCs/>
        </w:rPr>
        <w:t xml:space="preserve">HG 1008/1997 </w:t>
      </w:r>
      <w:r w:rsidR="00EA5C6F" w:rsidRPr="00877A13">
        <w:rPr>
          <w:b/>
          <w:bCs/>
        </w:rPr>
        <w:t xml:space="preserve">privind </w:t>
      </w:r>
      <w:r w:rsidRPr="00877A13">
        <w:rPr>
          <w:b/>
          <w:bCs/>
        </w:rPr>
        <w:t xml:space="preserve">Clasificarea pădurilor pe grupe funcționale </w:t>
      </w:r>
    </w:p>
    <w:p w14:paraId="1891F8FD" w14:textId="6B2AFC16" w:rsidR="0048435E" w:rsidRPr="00877A13" w:rsidRDefault="0098211B" w:rsidP="008A4FDC">
      <w:pPr>
        <w:spacing w:after="120"/>
        <w:ind w:firstLine="284"/>
        <w:jc w:val="both"/>
      </w:pPr>
      <w:r w:rsidRPr="00877A13">
        <w:t>Actul stabilește grupe funcționale ale pădurilor, inclusiv păduri cu funcție specială de protecție împotriva eroziunii, alunecărilor de teren și protecția apelor. Clasificarea este fundamentală pentru prioritizarea investițiilor, delimitarea zonelor vulnerabile și planificarea măsurilor de prevenire în PNRRDN.</w:t>
      </w:r>
    </w:p>
    <w:p w14:paraId="6DFF3E0E" w14:textId="5AE3AA0B" w:rsidR="0098211B" w:rsidRPr="00877A13" w:rsidRDefault="0098211B" w:rsidP="008A4FDC">
      <w:pPr>
        <w:jc w:val="both"/>
        <w:rPr>
          <w:b/>
          <w:bCs/>
        </w:rPr>
      </w:pPr>
      <w:r w:rsidRPr="00877A13">
        <w:rPr>
          <w:b/>
          <w:bCs/>
        </w:rPr>
        <w:t xml:space="preserve">HG 847/2022 </w:t>
      </w:r>
      <w:r w:rsidR="00EA5C6F" w:rsidRPr="00877A13">
        <w:rPr>
          <w:b/>
          <w:bCs/>
        </w:rPr>
        <w:t xml:space="preserve">privind </w:t>
      </w:r>
      <w:r w:rsidRPr="00877A13">
        <w:rPr>
          <w:b/>
          <w:bCs/>
        </w:rPr>
        <w:t xml:space="preserve">Regulile generale de apărare împotriva incendiilor </w:t>
      </w:r>
    </w:p>
    <w:p w14:paraId="7C3E0C43" w14:textId="73FCA222" w:rsidR="007734A0" w:rsidRPr="00877A13" w:rsidRDefault="0098211B" w:rsidP="008A4FDC">
      <w:pPr>
        <w:spacing w:after="120"/>
        <w:ind w:firstLine="284"/>
        <w:jc w:val="both"/>
      </w:pPr>
      <w:r w:rsidRPr="00877A13">
        <w:t>Hotărârea stabilește cerințe minime de prevenire și combatere a incendiilor, inclusiv în fondul forestier, fiind un instrument critic în contextul creșterii frecvenței incendiilor de vegetație și pădure pe fondul schimbărilor climatice. Documentul sprijină măsurile PNRRDN privind pregătirea, reducerea riscurilor și consolidarea capacităților locale.</w:t>
      </w:r>
    </w:p>
    <w:p w14:paraId="0EEDE647" w14:textId="224EE006" w:rsidR="000242BA" w:rsidRPr="00877A13" w:rsidRDefault="000242BA">
      <w:pPr>
        <w:pStyle w:val="ListParagraph"/>
        <w:numPr>
          <w:ilvl w:val="0"/>
          <w:numId w:val="44"/>
        </w:numPr>
        <w:spacing w:after="120"/>
        <w:jc w:val="both"/>
        <w:rPr>
          <w:rFonts w:ascii="Times New Roman" w:hAnsi="Times New Roman" w:cs="Times New Roman"/>
          <w:b/>
          <w:bCs/>
          <w:color w:val="000000" w:themeColor="text1"/>
          <w:sz w:val="24"/>
          <w:szCs w:val="24"/>
        </w:rPr>
      </w:pPr>
      <w:r w:rsidRPr="00877A13">
        <w:rPr>
          <w:rFonts w:ascii="Times New Roman" w:hAnsi="Times New Roman" w:cs="Times New Roman"/>
          <w:b/>
          <w:bCs/>
          <w:color w:val="000000" w:themeColor="text1"/>
          <w:sz w:val="24"/>
          <w:szCs w:val="24"/>
        </w:rPr>
        <w:t>Legislația națională - protecția solului și subsolului</w:t>
      </w:r>
    </w:p>
    <w:p w14:paraId="4CDE87E2" w14:textId="46AF394E" w:rsidR="0022310E" w:rsidRPr="00877A13" w:rsidRDefault="0022310E" w:rsidP="008A4FDC">
      <w:pPr>
        <w:jc w:val="both"/>
        <w:rPr>
          <w:b/>
          <w:bCs/>
        </w:rPr>
      </w:pPr>
      <w:r w:rsidRPr="00877A13">
        <w:rPr>
          <w:b/>
          <w:bCs/>
        </w:rPr>
        <w:t xml:space="preserve">Codul subsolului nr. 3/2009 </w:t>
      </w:r>
    </w:p>
    <w:p w14:paraId="4AD86524" w14:textId="4B365188" w:rsidR="0022310E" w:rsidRPr="00877A13" w:rsidRDefault="0022310E" w:rsidP="008A4FDC">
      <w:pPr>
        <w:spacing w:after="120"/>
        <w:ind w:firstLine="284"/>
        <w:jc w:val="both"/>
      </w:pPr>
      <w:r w:rsidRPr="00877A13">
        <w:lastRenderedPageBreak/>
        <w:t>Codul subsolului stabilește principiile utilizării raționale și sigure a subsolului, protecția mediului și prevenirea degradării geologice. Prevederile privind folosirea prudentă a resurselor, securitatea lucrărilor subterane și transparența în atribuirea sectoarelor de subsol sunt directe pentru PNRRDN, deoarece contribuie la prevenirea riscurilor geologice (alunecări, instabilitate, subsidență) și la reducerea impactului activităților extractive asupra terenurilor expuse la hazard.</w:t>
      </w:r>
    </w:p>
    <w:p w14:paraId="0796BAE2" w14:textId="3AAACF9E" w:rsidR="0022310E" w:rsidRPr="00877A13" w:rsidRDefault="00EA5C6F" w:rsidP="008A4FDC">
      <w:pPr>
        <w:jc w:val="both"/>
        <w:rPr>
          <w:b/>
          <w:bCs/>
        </w:rPr>
      </w:pPr>
      <w:r w:rsidRPr="00877A13">
        <w:rPr>
          <w:b/>
          <w:bCs/>
        </w:rPr>
        <w:t>HG</w:t>
      </w:r>
      <w:r w:rsidR="0022310E" w:rsidRPr="00877A13">
        <w:rPr>
          <w:b/>
          <w:bCs/>
        </w:rPr>
        <w:t xml:space="preserve"> nr. 570/2009 cu privire la aprobarea unor acte normative în vederea implementării prevederilor Codului subsolului.</w:t>
      </w:r>
    </w:p>
    <w:p w14:paraId="34368BFF" w14:textId="58FD3965" w:rsidR="0022310E" w:rsidRPr="00877A13" w:rsidRDefault="0022310E" w:rsidP="008A4FDC">
      <w:pPr>
        <w:spacing w:after="120"/>
        <w:ind w:firstLine="284"/>
        <w:jc w:val="both"/>
      </w:pPr>
      <w:r w:rsidRPr="00877A13">
        <w:t>Hotărârea operaționalizează Codul subsolului prin reglementarea modului în care sunt atribuite sectoarele pentru cercetare geologică, extragerea substanțelor minerale și utilizarea apelor subterane. Relevanța pentru PNRRDN derivă din cerințele privind procedurile de concurs, delimitarea sectoarelor, prevenirea utilizării necontrolate și introducerea criteriilor tehnice de siguranță, care reduc riscul de degradare a terenurilor și de destabilizare a structurilor naturale.</w:t>
      </w:r>
    </w:p>
    <w:p w14:paraId="06872F23" w14:textId="1E1B8487" w:rsidR="0022310E" w:rsidRPr="004D0F13" w:rsidRDefault="0022310E" w:rsidP="008A4FDC">
      <w:pPr>
        <w:jc w:val="both"/>
        <w:rPr>
          <w:b/>
          <w:bCs/>
        </w:rPr>
      </w:pPr>
      <w:r w:rsidRPr="004D0F13">
        <w:rPr>
          <w:b/>
          <w:bCs/>
        </w:rPr>
        <w:t>Legea nr. 1515/1993 privind protecției mediului</w:t>
      </w:r>
    </w:p>
    <w:p w14:paraId="676AD990" w14:textId="79369E12" w:rsidR="00EA5C6F" w:rsidRPr="004D0F13" w:rsidRDefault="0022310E" w:rsidP="008A4FDC">
      <w:pPr>
        <w:spacing w:after="120"/>
        <w:ind w:firstLine="284"/>
        <w:jc w:val="both"/>
      </w:pPr>
      <w:r w:rsidRPr="004D0F13">
        <w:t>Legea definește principiile generale de protecție a solului și subsolului, precum prevenirea eroziunii, degradării și contaminării terenurilor. Este un cadru de bază pentru PNRRDN, întrucât formulează obligațiile de conservare, restaurare și control asupra activităților care pot genera riscuri naturale sau antropice asupra terenurilor.</w:t>
      </w:r>
    </w:p>
    <w:p w14:paraId="7D96FBE0" w14:textId="31CED915" w:rsidR="00EA5C6F" w:rsidRPr="004D0F13" w:rsidRDefault="00EA5C6F">
      <w:pPr>
        <w:pStyle w:val="ListParagraph"/>
        <w:numPr>
          <w:ilvl w:val="0"/>
          <w:numId w:val="44"/>
        </w:numPr>
        <w:spacing w:after="120"/>
        <w:jc w:val="both"/>
        <w:rPr>
          <w:rFonts w:ascii="Times New Roman" w:hAnsi="Times New Roman" w:cs="Times New Roman"/>
          <w:b/>
          <w:bCs/>
          <w:color w:val="000000" w:themeColor="text1"/>
          <w:sz w:val="24"/>
          <w:szCs w:val="24"/>
        </w:rPr>
      </w:pPr>
      <w:r w:rsidRPr="004D0F13">
        <w:rPr>
          <w:rFonts w:ascii="Times New Roman" w:hAnsi="Times New Roman" w:cs="Times New Roman"/>
          <w:b/>
          <w:bCs/>
          <w:color w:val="000000" w:themeColor="text1"/>
          <w:sz w:val="24"/>
          <w:szCs w:val="24"/>
        </w:rPr>
        <w:t>Legislația națională – politici în domeniul biodiversității</w:t>
      </w:r>
    </w:p>
    <w:p w14:paraId="00E7D53A" w14:textId="092953FA" w:rsidR="00EA5C6F" w:rsidRPr="004D0F13" w:rsidRDefault="00EA5C6F" w:rsidP="004D0F13">
      <w:pPr>
        <w:jc w:val="both"/>
        <w:rPr>
          <w:b/>
          <w:bCs/>
        </w:rPr>
      </w:pPr>
      <w:r w:rsidRPr="004D0F13">
        <w:rPr>
          <w:b/>
          <w:bCs/>
        </w:rPr>
        <w:t>Legea nr. 239/2007 privind regnului vegetal</w:t>
      </w:r>
    </w:p>
    <w:p w14:paraId="58EBD4D5" w14:textId="77777777" w:rsidR="00EA5C6F" w:rsidRPr="004D0F13" w:rsidRDefault="00EA5C6F" w:rsidP="008A4FDC">
      <w:pPr>
        <w:spacing w:after="120"/>
        <w:ind w:firstLine="284"/>
        <w:jc w:val="both"/>
      </w:pPr>
      <w:r w:rsidRPr="004D0F13">
        <w:t>Asigură protecția și utilizarea durabilă a vegetației naturale, prevenind degradarea ecosistemelor, defrișările nejustificate și distrugerea habitatelor. Este esențială pentru PNRRDN deoarece vegetația stabilizează solurile, reduce eroziunea, limitează riscul de alunecări și susține reziliența ecosistemelor în fața hazardelor climatice.</w:t>
      </w:r>
    </w:p>
    <w:p w14:paraId="4A092CE9" w14:textId="764423C6" w:rsidR="00EA5C6F" w:rsidRPr="004D0F13" w:rsidRDefault="00EA5C6F" w:rsidP="008A4FDC">
      <w:pPr>
        <w:jc w:val="both"/>
        <w:rPr>
          <w:b/>
          <w:bCs/>
        </w:rPr>
      </w:pPr>
      <w:r w:rsidRPr="004D0F13">
        <w:rPr>
          <w:b/>
          <w:bCs/>
        </w:rPr>
        <w:t>Legea nr. 439/1995 privind regnului animal</w:t>
      </w:r>
    </w:p>
    <w:p w14:paraId="4FF5E78D" w14:textId="2F1D6D19" w:rsidR="00EA5C6F" w:rsidRPr="004D0F13" w:rsidRDefault="00EA5C6F" w:rsidP="008A4FDC">
      <w:pPr>
        <w:spacing w:after="120"/>
        <w:ind w:firstLine="284"/>
        <w:jc w:val="both"/>
      </w:pPr>
      <w:r w:rsidRPr="004D0F13">
        <w:t>Stabilește regimul de conservare și protecție a faunei sălbatice, interzicând capturarea ilegală, distrugerea habitatelor și alte practici care pun în pericol speciile. Relevanța pentru PNRRDN constă în protecția faunei vulnerabile la incendii forestiere, secetă, inundații și perturbări climatice.</w:t>
      </w:r>
    </w:p>
    <w:p w14:paraId="2ED95EE4" w14:textId="0104CF9C" w:rsidR="00EA5C6F" w:rsidRPr="004D0F13" w:rsidRDefault="00EA5C6F" w:rsidP="008A4FDC">
      <w:pPr>
        <w:jc w:val="both"/>
        <w:rPr>
          <w:b/>
          <w:bCs/>
        </w:rPr>
      </w:pPr>
      <w:r w:rsidRPr="004D0F13">
        <w:rPr>
          <w:b/>
          <w:bCs/>
        </w:rPr>
        <w:t>Legea nr. 1538/1998 privind fondul ariilor naturale protejate de stat</w:t>
      </w:r>
    </w:p>
    <w:p w14:paraId="58123441" w14:textId="309D55E9" w:rsidR="00EA5C6F" w:rsidRPr="004D0F13" w:rsidRDefault="00EA5C6F" w:rsidP="008A4FDC">
      <w:pPr>
        <w:spacing w:after="120"/>
        <w:ind w:firstLine="284"/>
        <w:jc w:val="both"/>
      </w:pPr>
      <w:r w:rsidRPr="004D0F13">
        <w:t>Reglementează instituirea, administrarea și protecția ariilor naturale protejate, inclusiv parcuri, rezervații și monumente ale naturii. Este fundamentală pentru PNRRDN deoarece ariile protejate funcționează ca zone-tampon ecologice, reduc riscul de inundații și eroziune, mențin biodiversitatea și protejează ecosisteme critice.</w:t>
      </w:r>
    </w:p>
    <w:p w14:paraId="2F24060C" w14:textId="5919E8AB" w:rsidR="00EA5C6F" w:rsidRPr="004D0F13" w:rsidRDefault="00EA5C6F" w:rsidP="008A4FDC">
      <w:pPr>
        <w:jc w:val="both"/>
        <w:rPr>
          <w:b/>
          <w:bCs/>
        </w:rPr>
      </w:pPr>
      <w:r w:rsidRPr="004D0F13">
        <w:rPr>
          <w:b/>
          <w:bCs/>
        </w:rPr>
        <w:t>Legea nr. 325/2005 privind Cartea Roșie a Republicii Moldova</w:t>
      </w:r>
    </w:p>
    <w:p w14:paraId="2FE16FCC" w14:textId="51FFBED0" w:rsidR="00EA5C6F" w:rsidRPr="004D0F13" w:rsidRDefault="00EA5C6F" w:rsidP="008A4FDC">
      <w:pPr>
        <w:spacing w:after="120"/>
        <w:ind w:firstLine="284"/>
        <w:jc w:val="both"/>
      </w:pPr>
      <w:r w:rsidRPr="004D0F13">
        <w:t>Protejează speciile rare, vulnerabile și pe cale de dispariție, afectate direct de schimbările climatice și de dezastre naturale. Pentru PNRRDN, legea oferă cadrul pentru prevenirea pierderii biodiversității și integrarea speciilor sensibile în planurile de management al riscurilor.</w:t>
      </w:r>
    </w:p>
    <w:p w14:paraId="4361E6BC" w14:textId="2C884D30" w:rsidR="00EA5C6F" w:rsidRPr="004D0F13" w:rsidRDefault="00EA5C6F" w:rsidP="008A4FDC">
      <w:pPr>
        <w:jc w:val="both"/>
        <w:rPr>
          <w:b/>
          <w:bCs/>
        </w:rPr>
      </w:pPr>
      <w:r w:rsidRPr="004D0F13">
        <w:rPr>
          <w:b/>
          <w:bCs/>
        </w:rPr>
        <w:t>Legea nr. 94/2007 privind rețeaua ecologică</w:t>
      </w:r>
    </w:p>
    <w:p w14:paraId="1DDD92CA" w14:textId="60D43E66" w:rsidR="00EA5C6F" w:rsidRPr="004D0F13" w:rsidRDefault="00EA5C6F" w:rsidP="008A4FDC">
      <w:pPr>
        <w:spacing w:after="120"/>
        <w:ind w:firstLine="284"/>
        <w:jc w:val="both"/>
      </w:pPr>
      <w:r w:rsidRPr="004D0F13">
        <w:t>Stabilește crearea rețelei ecologice naționale, coridoare, zone de conectivitate și teritorii naturale interconectate, care permit migrația speciilor și mențin funcționalitatea ecosistemelor. Extrem de relevantă pentru PNRRDN deoarece reduce fragmentarea habitatelor, facilitează adaptarea ecosistemelor la schimbările climatice și crește reziliența teritorială la riscuri.</w:t>
      </w:r>
    </w:p>
    <w:p w14:paraId="795B470F" w14:textId="125B2C13" w:rsidR="00BE1B46" w:rsidRPr="004D0F13" w:rsidRDefault="00BE1B46" w:rsidP="008A4FDC">
      <w:pPr>
        <w:jc w:val="both"/>
        <w:rPr>
          <w:b/>
          <w:bCs/>
        </w:rPr>
      </w:pPr>
      <w:r w:rsidRPr="004D0F13">
        <w:rPr>
          <w:b/>
          <w:bCs/>
        </w:rPr>
        <w:t xml:space="preserve">HG nr. 274/2015 privind Strategia națională și Planul de acțiune biodiversitate </w:t>
      </w:r>
    </w:p>
    <w:p w14:paraId="0E2D4275" w14:textId="4EB67DD0" w:rsidR="00BE1B46" w:rsidRPr="004D0F13" w:rsidRDefault="00BE1B46" w:rsidP="008A4FDC">
      <w:pPr>
        <w:spacing w:after="120"/>
        <w:ind w:firstLine="284"/>
        <w:jc w:val="both"/>
      </w:pPr>
      <w:r w:rsidRPr="004D0F13">
        <w:t>Deși va fi tratată în altă secțiune, strategia include obiective de conservare a ecosistemelor forestiere, menținerea conectivității ecologice și reducerea presiunilor asupra speciilor și habitatelor, contribuind indirect la prevenirea degradării terenurilor și menținerea serviciilor ecosistemice relevante pentru reducerea riscurilor de dezastre.</w:t>
      </w:r>
    </w:p>
    <w:p w14:paraId="16CEB4CB" w14:textId="2185FC79" w:rsidR="00D017CC" w:rsidRPr="004D0F13" w:rsidRDefault="00BE1B46">
      <w:pPr>
        <w:pStyle w:val="ListParagraph"/>
        <w:numPr>
          <w:ilvl w:val="0"/>
          <w:numId w:val="44"/>
        </w:numPr>
        <w:spacing w:after="120"/>
        <w:jc w:val="both"/>
        <w:rPr>
          <w:rFonts w:ascii="Times New Roman" w:hAnsi="Times New Roman" w:cs="Times New Roman"/>
          <w:b/>
          <w:bCs/>
          <w:color w:val="000000" w:themeColor="text1"/>
          <w:sz w:val="24"/>
          <w:szCs w:val="24"/>
        </w:rPr>
      </w:pPr>
      <w:r w:rsidRPr="004D0F13">
        <w:rPr>
          <w:rFonts w:ascii="Times New Roman" w:hAnsi="Times New Roman" w:cs="Times New Roman"/>
          <w:b/>
          <w:bCs/>
          <w:color w:val="000000" w:themeColor="text1"/>
          <w:sz w:val="24"/>
          <w:szCs w:val="24"/>
        </w:rPr>
        <w:lastRenderedPageBreak/>
        <w:t>Legislația națională - politici de prevenire a poluării și evaluării de mediu</w:t>
      </w:r>
    </w:p>
    <w:p w14:paraId="5B4F5DBF" w14:textId="37D1AA1B" w:rsidR="00BE1B46" w:rsidRPr="004D0F13" w:rsidRDefault="00BE1B46" w:rsidP="00E32893">
      <w:pPr>
        <w:jc w:val="both"/>
        <w:rPr>
          <w:b/>
          <w:bCs/>
        </w:rPr>
      </w:pPr>
      <w:r w:rsidRPr="004D0F13">
        <w:rPr>
          <w:b/>
          <w:bCs/>
        </w:rPr>
        <w:t>HG nr. 409/2024 - Strategia de mediu pentru anii 2024–2030</w:t>
      </w:r>
    </w:p>
    <w:p w14:paraId="4BEE1CD2" w14:textId="0177AA93" w:rsidR="00BE1B46" w:rsidRPr="004D0F13" w:rsidRDefault="00BE1B46" w:rsidP="00E32893">
      <w:pPr>
        <w:spacing w:after="120"/>
        <w:ind w:firstLine="284"/>
        <w:jc w:val="both"/>
      </w:pPr>
      <w:r w:rsidRPr="004D0F13">
        <w:t>Strategia de mediu 2024–2030, reprezintă documentul-cadru național pentru protecția mediului și utilizarea durabilă a resurselor naturale. Strategia urmărește asigurarea unui mediu curat și sănătos pentru populație, integrarea dezvoltării durabile și a adaptării la schimbările climatice în toate sectoarele economiei și implementarea standardelor europene de mediu în spiritul Pactului Verde European. Aceasta cuprinde domenii esențiale precum guvernanța de mediu, calitatea și gestionarea resurselor de apă, protecția aerului, solului și subsolului, conservarea biodiversității și a ecosistemelor naturale, gestionarea deșeurilor și a substanțelor chimice, atenuarea și adaptarea la schimbările climatice, precum și promovarea economiei verzi și a consumului responsabil. Strategia este relevantă pentru PNRRDN prin faptul că stabilește direcțiile strategice pentru reducerea vulnerabilităților, creșterea rezilienței ecosistemelor și alinierea măsurilor de prevenire și adaptare la riscurile naturale și biologico-sociale.</w:t>
      </w:r>
    </w:p>
    <w:p w14:paraId="17002FD7" w14:textId="5DD82E4A" w:rsidR="008416C9" w:rsidRPr="004D0F13" w:rsidRDefault="008416C9" w:rsidP="00E32893">
      <w:pPr>
        <w:jc w:val="both"/>
        <w:rPr>
          <w:b/>
          <w:bCs/>
        </w:rPr>
      </w:pPr>
      <w:r w:rsidRPr="004D0F13">
        <w:rPr>
          <w:b/>
          <w:bCs/>
        </w:rPr>
        <w:t>HG nr. 495/2024 - Programul de promovare a economiei verzi și circulare 2024–2028</w:t>
      </w:r>
    </w:p>
    <w:p w14:paraId="08B45013" w14:textId="7D3819C7" w:rsidR="008416C9" w:rsidRPr="004D0F13" w:rsidRDefault="008416C9" w:rsidP="00E32893">
      <w:pPr>
        <w:spacing w:after="120"/>
        <w:ind w:firstLine="284"/>
        <w:jc w:val="both"/>
      </w:pPr>
      <w:r w:rsidRPr="004D0F13">
        <w:t>Programul promovează tranziția către o economie verde și circulară, stimulând investițiile și inovația în practici ecologice, reducerea deșeurilor și reutilizarea resurselor. Prin introducerea competențelor verzi, optimizarea consumului de resurse și reducerea amprentei de carbon, Programul contribuie la transpunerea principiilor Pactului Verde European și la creșterea rezilienței economice și de mediu. Relevanța pentru PNRRDN derivă din rolul său în diminuarea presiunilor asupra mediului și susținerea unui model durabil, adaptat schimbărilor climatice.</w:t>
      </w:r>
    </w:p>
    <w:p w14:paraId="3F801156" w14:textId="2C336D20" w:rsidR="00BE1B46" w:rsidRPr="004D0F13" w:rsidRDefault="00BE1B46" w:rsidP="00E32893">
      <w:pPr>
        <w:jc w:val="both"/>
        <w:rPr>
          <w:b/>
          <w:bCs/>
        </w:rPr>
      </w:pPr>
      <w:r w:rsidRPr="004D0F13">
        <w:rPr>
          <w:b/>
          <w:bCs/>
        </w:rPr>
        <w:t>Legea nr. 86/2014 privind evaluarea impactului asupra mediului</w:t>
      </w:r>
    </w:p>
    <w:p w14:paraId="2F25F360" w14:textId="77777777" w:rsidR="00BE1B46" w:rsidRPr="004D0F13" w:rsidRDefault="00BE1B46" w:rsidP="00E32893">
      <w:pPr>
        <w:spacing w:after="120"/>
        <w:ind w:firstLine="284"/>
        <w:jc w:val="both"/>
      </w:pPr>
      <w:r w:rsidRPr="004D0F13">
        <w:t>Procedura EIM este esențială pentru evaluarea riscurilor asupra solului și subsolului înaintea implementării proiectelor de infrastructură, exploatări sau schimbări majore de folosință a terenurilor. Legea permite identificarea din timp a riscurilor precum instabilitate, poluare sau degradare, contribuind la decizii informate în PNRRDN.</w:t>
      </w:r>
    </w:p>
    <w:p w14:paraId="5DF66943" w14:textId="77777777" w:rsidR="00BE1B46" w:rsidRPr="004D0F13" w:rsidRDefault="00BE1B46" w:rsidP="00E32893">
      <w:pPr>
        <w:jc w:val="both"/>
        <w:rPr>
          <w:b/>
          <w:bCs/>
        </w:rPr>
      </w:pPr>
      <w:r w:rsidRPr="004D0F13">
        <w:rPr>
          <w:b/>
          <w:bCs/>
        </w:rPr>
        <w:t>Legea nr. 11/2017 privind evaluarea strategica de mediu</w:t>
      </w:r>
    </w:p>
    <w:p w14:paraId="226C7C5C" w14:textId="1FA7AF43" w:rsidR="00080784" w:rsidRPr="004D0F13" w:rsidRDefault="00BE1B46" w:rsidP="00E32893">
      <w:pPr>
        <w:spacing w:after="120"/>
        <w:ind w:firstLine="284"/>
        <w:jc w:val="both"/>
      </w:pPr>
      <w:r w:rsidRPr="004D0F13">
        <w:t>SEA obligă autoritățile să evalueze impactul planurilor și programelor asupra solului, subsolului și ecosistemelor înainte de adoptare. Relevanța pentru PNRRDN este majoră, deoarece asigură integrarea riscurilor geomorfologice în planificarea teritorială, infrastructurală și agricolă.</w:t>
      </w:r>
    </w:p>
    <w:p w14:paraId="4146411D" w14:textId="438F17B1" w:rsidR="00280304" w:rsidRPr="004D0F13" w:rsidRDefault="00AA5A86" w:rsidP="00280304">
      <w:pPr>
        <w:spacing w:after="120"/>
        <w:jc w:val="both"/>
        <w:rPr>
          <w:b/>
          <w:bCs/>
        </w:rPr>
      </w:pPr>
      <w:r w:rsidRPr="004D0F13">
        <w:rPr>
          <w:b/>
          <w:bCs/>
        </w:rPr>
        <w:t xml:space="preserve">Legea nr. 93/2007 privind Serviciul Protecției Civile și Situațiilor Excepționale </w:t>
      </w:r>
      <w:r w:rsidRPr="004D0F13">
        <w:t>stabilește cadrul juridic, principiile de activitate, atribuțiile și drepturile structurilor responsabile de protecția civilă, definind noțiuni esențiale precum situația excepțională, protecția civilă și starea de urgență. Actul reglementează organizarea și funcționarea serviciului însărcinat cu protejarea populației și a proprietății în condițiile calamităților naturale, biologico-sociale, ecologice, avariilor, catastrofelor, epizootiilor și incendiilor, constituind fundamentul sistemului național de prevenire și gestionare a situațiilor excepționale.</w:t>
      </w:r>
    </w:p>
    <w:p w14:paraId="15B2A2C5" w14:textId="0FDA3595" w:rsidR="00B96EA6" w:rsidRPr="004D0F13" w:rsidRDefault="00B96EA6">
      <w:pPr>
        <w:pStyle w:val="ListParagraph"/>
        <w:numPr>
          <w:ilvl w:val="0"/>
          <w:numId w:val="44"/>
        </w:numPr>
        <w:spacing w:after="120"/>
        <w:jc w:val="both"/>
        <w:rPr>
          <w:rFonts w:ascii="Times New Roman" w:hAnsi="Times New Roman" w:cs="Times New Roman"/>
          <w:b/>
          <w:bCs/>
          <w:color w:val="000000" w:themeColor="text1"/>
          <w:sz w:val="24"/>
          <w:szCs w:val="24"/>
        </w:rPr>
      </w:pPr>
      <w:r w:rsidRPr="004D0F13">
        <w:rPr>
          <w:rFonts w:ascii="Times New Roman" w:hAnsi="Times New Roman" w:cs="Times New Roman"/>
          <w:b/>
          <w:bCs/>
          <w:color w:val="000000" w:themeColor="text1"/>
          <w:sz w:val="24"/>
          <w:szCs w:val="24"/>
        </w:rPr>
        <w:t>Legislație relevantă pentru epizootii, sănătate animală, siguranță alimentară, zoonoze</w:t>
      </w:r>
    </w:p>
    <w:p w14:paraId="73279E53" w14:textId="25F6968A" w:rsidR="00080784" w:rsidRPr="004D0F13" w:rsidRDefault="00080784" w:rsidP="00E32893">
      <w:pPr>
        <w:jc w:val="both"/>
        <w:rPr>
          <w:b/>
          <w:bCs/>
        </w:rPr>
      </w:pPr>
      <w:r w:rsidRPr="004D0F13">
        <w:rPr>
          <w:b/>
          <w:bCs/>
        </w:rPr>
        <w:t>Legea nr. 221/2007 privind activitatea sanitar-veterinară</w:t>
      </w:r>
    </w:p>
    <w:p w14:paraId="51F1DC59" w14:textId="12137D54" w:rsidR="00080784" w:rsidRPr="004D0F13" w:rsidRDefault="00512B59" w:rsidP="00E32893">
      <w:pPr>
        <w:spacing w:after="120"/>
        <w:ind w:firstLine="284"/>
        <w:jc w:val="both"/>
      </w:pPr>
      <w:r w:rsidRPr="004D0F13">
        <w:t>Sc</w:t>
      </w:r>
      <w:r w:rsidR="00080784" w:rsidRPr="004D0F13">
        <w:t>opul legii este asigurarea sănătății animalelor, prevenirea transmiterii de boli de la animale la om, realizarea siguranței produselor de origine animală destinate consumului uman, salubritatea și calitatea furajelor, testarea și autorizarea produselor medicinale de uz veterinar și a substanțelor utilizate în activitățile de diagnostic veterinar, protecția teritoriului țării față de bolile infecțioase prin organizarea activității sanitar-veterinare.</w:t>
      </w:r>
    </w:p>
    <w:p w14:paraId="467DFD7D" w14:textId="243D96D2" w:rsidR="00080784" w:rsidRPr="004D0F13" w:rsidRDefault="00080784" w:rsidP="00E32893">
      <w:pPr>
        <w:jc w:val="both"/>
        <w:rPr>
          <w:b/>
          <w:bCs/>
        </w:rPr>
      </w:pPr>
      <w:r w:rsidRPr="004D0F13">
        <w:rPr>
          <w:b/>
          <w:bCs/>
        </w:rPr>
        <w:t>Legea nr. 121/2020 privind profesia de medic veterinar</w:t>
      </w:r>
    </w:p>
    <w:p w14:paraId="4719FB23" w14:textId="69CFB168" w:rsidR="00080784" w:rsidRPr="004D0F13" w:rsidRDefault="00080784" w:rsidP="00E32893">
      <w:pPr>
        <w:spacing w:after="120"/>
        <w:ind w:firstLine="284"/>
        <w:jc w:val="both"/>
      </w:pPr>
      <w:r w:rsidRPr="004D0F13">
        <w:t>Reglementează exercitarea profesiei, competențele și responsabilitățile medicilor veterinari în prevenirea bolilor transmisibile și în asigurarea sănătății animalelor.</w:t>
      </w:r>
    </w:p>
    <w:p w14:paraId="6467A1DF" w14:textId="07029842" w:rsidR="00080784" w:rsidRPr="004D0F13" w:rsidRDefault="00080784" w:rsidP="00E32893">
      <w:pPr>
        <w:jc w:val="both"/>
        <w:rPr>
          <w:b/>
          <w:bCs/>
        </w:rPr>
      </w:pPr>
      <w:r w:rsidRPr="004D0F13">
        <w:rPr>
          <w:b/>
          <w:bCs/>
        </w:rPr>
        <w:lastRenderedPageBreak/>
        <w:t>Legea nr. 213/2022 privind zootehnia</w:t>
      </w:r>
    </w:p>
    <w:p w14:paraId="1E01068B" w14:textId="7049F8F1" w:rsidR="00512B59" w:rsidRPr="004D0F13" w:rsidRDefault="00512B59" w:rsidP="00E32893">
      <w:pPr>
        <w:spacing w:after="120"/>
        <w:ind w:firstLine="284"/>
        <w:jc w:val="both"/>
      </w:pPr>
      <w:r w:rsidRPr="004D0F13">
        <w:t xml:space="preserve">Stabilește cadrul juridic pentru activitățile din sectorul zootehnic din Republica Moldova. Aceasta reglementează aspecte precum ameliorarea animalelor, reproducția, înregistrarea animalelor și competențele organismelor de stat implicate, inclusiv responsabilitatea autorității competente în gestionarea fondului genetic și supravegherea activităților de selecție și ameliorare. </w:t>
      </w:r>
    </w:p>
    <w:p w14:paraId="562DE633" w14:textId="66CDDFD7" w:rsidR="00080784" w:rsidRPr="004D0F13" w:rsidRDefault="00080784" w:rsidP="00E32893">
      <w:pPr>
        <w:jc w:val="both"/>
        <w:rPr>
          <w:b/>
          <w:bCs/>
        </w:rPr>
      </w:pPr>
      <w:r w:rsidRPr="004D0F13">
        <w:rPr>
          <w:b/>
          <w:bCs/>
        </w:rPr>
        <w:t>Legea nr. 231/2006 privind identificarea și înregistrarea animalelor</w:t>
      </w:r>
    </w:p>
    <w:p w14:paraId="253D4B1F" w14:textId="1B9DAF3C" w:rsidR="00080784" w:rsidRPr="004D0F13" w:rsidRDefault="00297B47" w:rsidP="00E32893">
      <w:pPr>
        <w:spacing w:after="120"/>
        <w:ind w:firstLine="284"/>
        <w:jc w:val="both"/>
      </w:pPr>
      <w:r w:rsidRPr="004D0F13">
        <w:t>Stabilește cadrul pentru identificarea și înregistrarea animalelor domestice, asigurând trasabilitatea efectivelor și permițând intervenția rapidă în cazul epizootiilor și al altor riscuri biologico-sanitare.</w:t>
      </w:r>
    </w:p>
    <w:p w14:paraId="62CA0B5C" w14:textId="0DB838D2" w:rsidR="00080784" w:rsidRPr="004D0F13" w:rsidRDefault="00080784" w:rsidP="00E32893">
      <w:pPr>
        <w:jc w:val="both"/>
        <w:rPr>
          <w:b/>
          <w:bCs/>
        </w:rPr>
      </w:pPr>
      <w:r w:rsidRPr="004D0F13">
        <w:rPr>
          <w:b/>
          <w:bCs/>
        </w:rPr>
        <w:t>Legea nr. 50/2013 privind controalele oficiale</w:t>
      </w:r>
    </w:p>
    <w:p w14:paraId="59A33FE5" w14:textId="28F036D6" w:rsidR="00080784" w:rsidRPr="004D0F13" w:rsidRDefault="00080784" w:rsidP="00E32893">
      <w:pPr>
        <w:spacing w:after="120"/>
        <w:ind w:firstLine="284"/>
        <w:jc w:val="both"/>
      </w:pPr>
      <w:r w:rsidRPr="004D0F13">
        <w:t>Stabilește cadrul controalelor oficiale asupra hranei, furajelor și sănătății animalelor, contribuind la prevenirea contaminărilor și a riscurilor alimentare.</w:t>
      </w:r>
    </w:p>
    <w:p w14:paraId="66D43173" w14:textId="26A082A9" w:rsidR="00080784" w:rsidRPr="004D0F13" w:rsidRDefault="00080784" w:rsidP="00E32893">
      <w:pPr>
        <w:jc w:val="both"/>
        <w:rPr>
          <w:b/>
          <w:bCs/>
        </w:rPr>
      </w:pPr>
      <w:r w:rsidRPr="004D0F13">
        <w:rPr>
          <w:b/>
          <w:bCs/>
        </w:rPr>
        <w:t>Legea nr. 306/2018 privind siguranța alimentelor</w:t>
      </w:r>
    </w:p>
    <w:p w14:paraId="757A0262" w14:textId="77777777" w:rsidR="00080784" w:rsidRPr="004D0F13" w:rsidRDefault="00080784" w:rsidP="00E32893">
      <w:pPr>
        <w:spacing w:after="120"/>
        <w:ind w:firstLine="284"/>
        <w:jc w:val="both"/>
      </w:pPr>
      <w:r w:rsidRPr="004D0F13">
        <w:t>Reglementează întregul lanț alimentar „de la fermă la consumator”, prevenind riscurile biologice, contaminările și toxiinfecțiile alimentare.</w:t>
      </w:r>
    </w:p>
    <w:p w14:paraId="013EAE68" w14:textId="4AD0A1D1" w:rsidR="00080784" w:rsidRPr="004D0F13" w:rsidRDefault="00080784" w:rsidP="00E32893">
      <w:pPr>
        <w:jc w:val="both"/>
        <w:rPr>
          <w:b/>
          <w:bCs/>
        </w:rPr>
      </w:pPr>
      <w:r w:rsidRPr="004D0F13">
        <w:rPr>
          <w:b/>
          <w:bCs/>
        </w:rPr>
        <w:t xml:space="preserve">HG nr. 264/2011 </w:t>
      </w:r>
      <w:r w:rsidR="002274C2" w:rsidRPr="004D0F13">
        <w:rPr>
          <w:b/>
          <w:bCs/>
        </w:rPr>
        <w:t>privind pentru aprobarea Regulamentului privind monitorizarea zoonozelor și a agenților zoonotici</w:t>
      </w:r>
    </w:p>
    <w:p w14:paraId="77A19EF4" w14:textId="6550C4CF" w:rsidR="002274C2" w:rsidRPr="004D0F13" w:rsidRDefault="002274C2" w:rsidP="00E32893">
      <w:pPr>
        <w:spacing w:after="120"/>
        <w:ind w:firstLine="284"/>
        <w:jc w:val="both"/>
      </w:pPr>
      <w:r w:rsidRPr="004D0F13">
        <w:t xml:space="preserve">Regulamentul privind monitorizarea zoonozelor și a agenților zoonotici reglementează monitorizarea acestora și a rezistenței anti microbiene asociate, investigarea epidemiologică a focarelor de toxiinfecții alimentare și schimbul de informații relevante între autoritățile competente. </w:t>
      </w:r>
    </w:p>
    <w:p w14:paraId="0B0C3D54" w14:textId="31AB18B3" w:rsidR="002274C2" w:rsidRPr="004D0F13" w:rsidRDefault="006F2926" w:rsidP="00E32893">
      <w:pPr>
        <w:jc w:val="both"/>
        <w:rPr>
          <w:b/>
          <w:bCs/>
        </w:rPr>
      </w:pPr>
      <w:r w:rsidRPr="004D0F13">
        <w:rPr>
          <w:b/>
          <w:bCs/>
        </w:rPr>
        <w:t>HG</w:t>
      </w:r>
      <w:r w:rsidR="002274C2" w:rsidRPr="004D0F13">
        <w:rPr>
          <w:b/>
          <w:bCs/>
        </w:rPr>
        <w:t xml:space="preserve"> Nr. 828/2022 pentru aprobarea Regulamentului privind procedurile și documentele aferente Registrului de stat al animalelor</w:t>
      </w:r>
    </w:p>
    <w:p w14:paraId="3D3FBE45" w14:textId="1DEA79C4" w:rsidR="00080784" w:rsidRPr="004D0F13" w:rsidRDefault="002274C2" w:rsidP="00E32893">
      <w:pPr>
        <w:spacing w:after="120"/>
        <w:ind w:firstLine="284"/>
        <w:jc w:val="both"/>
      </w:pPr>
      <w:r w:rsidRPr="004D0F13">
        <w:t xml:space="preserve">Regulamentul stabilește activitățile, competențele, sarcinile, responsabilitățile, regulile aferente ale Sistemului informațional automatizat „Registrul de stat al animalelor” cu privire la identificarea și înregistrarea exploatațiilor, animalelor, precum și la înregistrarea mișcărilor și a evenimentelor cu acestea în scopul stabilirii principiului trasabilității animalelor vii. </w:t>
      </w:r>
    </w:p>
    <w:p w14:paraId="496AB258" w14:textId="3B0238F2" w:rsidR="00080784" w:rsidRPr="004D0F13" w:rsidRDefault="006F2926" w:rsidP="00E32893">
      <w:pPr>
        <w:jc w:val="both"/>
        <w:rPr>
          <w:b/>
          <w:bCs/>
        </w:rPr>
      </w:pPr>
      <w:r w:rsidRPr="004D0F13">
        <w:rPr>
          <w:b/>
          <w:bCs/>
        </w:rPr>
        <w:t>HG Nr. 174/2023 pentru aprobarea Normei sanitare veterinare privind măsurile de prevenire și control al rabiei la animale</w:t>
      </w:r>
    </w:p>
    <w:p w14:paraId="4AF46961" w14:textId="45E5E9C1" w:rsidR="00080784" w:rsidRPr="004D0F13" w:rsidRDefault="006F2926" w:rsidP="00E32893">
      <w:pPr>
        <w:spacing w:after="120"/>
        <w:ind w:firstLine="284"/>
        <w:jc w:val="both"/>
      </w:pPr>
      <w:r w:rsidRPr="004D0F13">
        <w:t>Prezenta Normă sanitară veterinară stabilește măsurile de prevenire și control al rabiei la animalele domestice și sălbatice.</w:t>
      </w:r>
    </w:p>
    <w:p w14:paraId="26798071" w14:textId="0BE367F0" w:rsidR="00080784" w:rsidRPr="004D0F13" w:rsidRDefault="006F2926" w:rsidP="00E32893">
      <w:pPr>
        <w:jc w:val="both"/>
        <w:rPr>
          <w:b/>
          <w:bCs/>
        </w:rPr>
      </w:pPr>
      <w:r w:rsidRPr="004D0F13">
        <w:rPr>
          <w:b/>
          <w:bCs/>
        </w:rPr>
        <w:t>HG Nr. 939/2008 pentru aprobarea Normei sanitar-veterinare privind măsurile de supraveghere, control și combatere a gripei aviare</w:t>
      </w:r>
    </w:p>
    <w:p w14:paraId="4518583B" w14:textId="5AF5C16C" w:rsidR="00080784" w:rsidRPr="004D0F13" w:rsidRDefault="006F2926" w:rsidP="00E32893">
      <w:pPr>
        <w:spacing w:after="120"/>
        <w:ind w:firstLine="284"/>
        <w:jc w:val="both"/>
      </w:pPr>
      <w:r w:rsidRPr="004D0F13">
        <w:t>Stabilește măsurile de supraveghere, control și combatere a gripei aviare la păsări domestice și sălbatice, fiind pe deplin armonizată cu Directiva 2005/94/CE și deciziile relevante ale Comisiei Europene. Actul reglementează monitorizarea preventivă și depistarea timpurie a gripei aviare, măsurile de biosecuritate, procedurile de intervenție în cazul apariției unui focar, precum și acțiunile necesare pentru prevenirea răspândirii virusurilor la alte specii și pentru protejarea sănătății animalelor și a populației.</w:t>
      </w:r>
    </w:p>
    <w:p w14:paraId="0B1476F3" w14:textId="521E7347" w:rsidR="00080784" w:rsidRPr="004D0F13" w:rsidRDefault="006F2926" w:rsidP="00280304">
      <w:pPr>
        <w:spacing w:after="120"/>
        <w:jc w:val="both"/>
        <w:rPr>
          <w:b/>
          <w:bCs/>
        </w:rPr>
      </w:pPr>
      <w:r w:rsidRPr="004D0F13">
        <w:rPr>
          <w:b/>
          <w:bCs/>
        </w:rPr>
        <w:t>HG Nr. 1085/2017 pentru aprobarea Normei sanitar-veterinare privind măsurile de combatere a bolii de Newcastle (pseudopesta aviară)</w:t>
      </w:r>
    </w:p>
    <w:p w14:paraId="20835582" w14:textId="45B6A2C6" w:rsidR="00080784" w:rsidRPr="004D0F13" w:rsidRDefault="006F2926" w:rsidP="00280304">
      <w:pPr>
        <w:spacing w:after="120"/>
        <w:jc w:val="both"/>
      </w:pPr>
      <w:r w:rsidRPr="004D0F13">
        <w:t>Norma stabilește măsurile obligatorii de supraveghere, control și intervenție care se aplică în cazul apariției unui focar de boală în exploatațiile de păsări, la porumbeii călători și la alte păsări crescute în captivitate, excluzând cazurile identificate la păsările sălbatice.</w:t>
      </w:r>
    </w:p>
    <w:p w14:paraId="23CA39AB" w14:textId="43CD4D22" w:rsidR="00D41ADD" w:rsidRPr="004D0F13" w:rsidRDefault="00080784" w:rsidP="00280304">
      <w:pPr>
        <w:spacing w:after="120"/>
        <w:jc w:val="both"/>
        <w:rPr>
          <w:b/>
          <w:bCs/>
        </w:rPr>
      </w:pPr>
      <w:r w:rsidRPr="004D0F13">
        <w:rPr>
          <w:b/>
          <w:bCs/>
        </w:rPr>
        <w:t xml:space="preserve">HG nr. 398/2012 </w:t>
      </w:r>
      <w:r w:rsidR="00D41ADD" w:rsidRPr="004D0F13">
        <w:rPr>
          <w:b/>
          <w:bCs/>
        </w:rPr>
        <w:t xml:space="preserve"> pentru aprobarea unor norme sanitar-veterinare privind controlul și reducerea prevalenței salmonelelor în efectivele de animale</w:t>
      </w:r>
    </w:p>
    <w:p w14:paraId="623017E5" w14:textId="7A33FF6C" w:rsidR="00080784" w:rsidRPr="004D0F13" w:rsidRDefault="00080784" w:rsidP="00E32893">
      <w:pPr>
        <w:spacing w:after="120"/>
        <w:ind w:firstLine="284"/>
        <w:jc w:val="both"/>
      </w:pPr>
      <w:r w:rsidRPr="004D0F13">
        <w:lastRenderedPageBreak/>
        <w:t xml:space="preserve">Reglementează măsuri de reducere a prevalenței </w:t>
      </w:r>
      <w:r w:rsidR="00D41ADD" w:rsidRPr="004D0F13">
        <w:t>salmonelei</w:t>
      </w:r>
      <w:r w:rsidRPr="004D0F13">
        <w:t xml:space="preserve"> în efective și produse de origine animală.</w:t>
      </w:r>
      <w:r w:rsidR="00E32893" w:rsidRPr="004D0F13">
        <w:t xml:space="preserve"> </w:t>
      </w:r>
      <w:r w:rsidR="00D41ADD" w:rsidRPr="004D0F13">
        <w:t>Stabilește măsuri adaptate și eficiente pentru depistarea și controlul salmonelei și al altor agenți zoonotici la întreprinderile de producere, prelucrare și distribuire a produselor de origine animală, precum și obiectivul de reducere a tuturor stereotipurilor de salmonelă, termenul de atingere a obiectivului și programul de teste pentru verificarea atingerii obiectivului trasat.</w:t>
      </w:r>
    </w:p>
    <w:p w14:paraId="4AEAF249" w14:textId="6DE0DB21" w:rsidR="00080784" w:rsidRPr="004D0F13" w:rsidRDefault="00752268" w:rsidP="00E32893">
      <w:pPr>
        <w:jc w:val="both"/>
        <w:rPr>
          <w:b/>
          <w:bCs/>
        </w:rPr>
      </w:pPr>
      <w:r w:rsidRPr="004D0F13">
        <w:rPr>
          <w:b/>
          <w:bCs/>
        </w:rPr>
        <w:t>HG Nr. 1115/2016 cu privire la unele măsuri de prevenire a introducerii pestei porcine africane</w:t>
      </w:r>
    </w:p>
    <w:p w14:paraId="325DB555" w14:textId="26DCEA5C" w:rsidR="00080784" w:rsidRPr="004D0F13" w:rsidRDefault="00752268" w:rsidP="00E32893">
      <w:pPr>
        <w:spacing w:after="120"/>
        <w:ind w:firstLine="284"/>
        <w:jc w:val="both"/>
      </w:pPr>
      <w:r w:rsidRPr="004D0F13">
        <w:t>Stabilește măsuri stricte de prevenire a introducerii pestei porcine africane în Republica Moldova, prin interzicerea importului din Ucraina a animalelor receptive la virus, a produselor și subproduselor de origine animală, precum și a furajelor asociate. Actul prevede întărirea controlului sanitar-veterinar la import, diagnosticul rapid al suspiciunilor, precum și confiscarea bunurilor la frontieră, fiind un instrument esențial pentru prevenirea epizootiilor cu impact major asupra sectorului zootehnic și a securității alimentare.</w:t>
      </w:r>
    </w:p>
    <w:p w14:paraId="7D5E273C" w14:textId="21306DB2" w:rsidR="00080784" w:rsidRPr="004D0F13" w:rsidRDefault="00080784" w:rsidP="00E32893">
      <w:pPr>
        <w:jc w:val="both"/>
        <w:rPr>
          <w:b/>
          <w:bCs/>
        </w:rPr>
      </w:pPr>
      <w:r w:rsidRPr="004D0F13">
        <w:rPr>
          <w:b/>
          <w:bCs/>
        </w:rPr>
        <w:t xml:space="preserve">HG nr. 698/2014 </w:t>
      </w:r>
      <w:r w:rsidR="00873699" w:rsidRPr="004D0F13">
        <w:rPr>
          <w:b/>
          <w:bCs/>
        </w:rPr>
        <w:t>pentru aprobarea Normei sanitar-veterinare privind măsurile de combatere a febrei aftoase</w:t>
      </w:r>
    </w:p>
    <w:p w14:paraId="34C3E6A5" w14:textId="1E54793F" w:rsidR="00080784" w:rsidRPr="004D0F13" w:rsidRDefault="00752268" w:rsidP="00E32893">
      <w:pPr>
        <w:spacing w:after="120"/>
        <w:ind w:firstLine="284"/>
        <w:jc w:val="both"/>
      </w:pPr>
      <w:r w:rsidRPr="004D0F13">
        <w:t>Norma sanitar-veterinară transpune parțial Directiva 2003/85/CE și stabilește atât măsurile minime obligatorii de intervenție în cazul apariției unui focar de febră aftoasă, indiferent de tipul virusului, cât și măsuri preventive menite să pregătească subdiviziunile teritoriale ale ANSA și proprietarii de animale pentru identificarea rapidă și gestionarea eficientă a bolii.</w:t>
      </w:r>
    </w:p>
    <w:p w14:paraId="0CBD266D" w14:textId="4F9AAADA" w:rsidR="00080784" w:rsidRPr="004D0F13" w:rsidRDefault="00080784" w:rsidP="00280304">
      <w:pPr>
        <w:spacing w:after="120"/>
        <w:jc w:val="both"/>
      </w:pPr>
      <w:r w:rsidRPr="004D0F13">
        <w:rPr>
          <w:b/>
          <w:bCs/>
        </w:rPr>
        <w:t xml:space="preserve">Ordin ANSA nr. 117/2024 </w:t>
      </w:r>
      <w:r w:rsidR="00517C41" w:rsidRPr="004D0F13">
        <w:rPr>
          <w:b/>
          <w:bCs/>
        </w:rPr>
        <w:t>privind</w:t>
      </w:r>
      <w:r w:rsidRPr="004D0F13">
        <w:rPr>
          <w:b/>
          <w:bCs/>
        </w:rPr>
        <w:t xml:space="preserve"> Prelevare</w:t>
      </w:r>
      <w:r w:rsidR="00517C41" w:rsidRPr="004D0F13">
        <w:rPr>
          <w:b/>
          <w:bCs/>
        </w:rPr>
        <w:t>a</w:t>
      </w:r>
      <w:r w:rsidRPr="004D0F13">
        <w:rPr>
          <w:b/>
          <w:bCs/>
        </w:rPr>
        <w:t xml:space="preserve"> apă pentru analize</w:t>
      </w:r>
      <w:r w:rsidR="002A27C5" w:rsidRPr="004D0F13">
        <w:rPr>
          <w:b/>
          <w:bCs/>
        </w:rPr>
        <w:t>,</w:t>
      </w:r>
      <w:r w:rsidR="002A27C5" w:rsidRPr="004D0F13">
        <w:t xml:space="preserve"> s</w:t>
      </w:r>
      <w:r w:rsidRPr="004D0F13">
        <w:t>tabilește procedura de prelevare microbiologică a apei pentru controlul calității și detectarea riscurilor biologice.</w:t>
      </w:r>
    </w:p>
    <w:p w14:paraId="28F7D491" w14:textId="1996F751" w:rsidR="008416C9" w:rsidRPr="004D0F13" w:rsidRDefault="00080784" w:rsidP="00280304">
      <w:pPr>
        <w:spacing w:after="120"/>
        <w:jc w:val="both"/>
      </w:pPr>
      <w:r w:rsidRPr="004D0F13">
        <w:rPr>
          <w:b/>
          <w:bCs/>
        </w:rPr>
        <w:t xml:space="preserve">Ordin ANSA nr. 486/2023 </w:t>
      </w:r>
      <w:r w:rsidR="00517C41" w:rsidRPr="004D0F13">
        <w:rPr>
          <w:b/>
          <w:bCs/>
        </w:rPr>
        <w:t>privind</w:t>
      </w:r>
      <w:r w:rsidRPr="004D0F13">
        <w:rPr>
          <w:b/>
          <w:bCs/>
        </w:rPr>
        <w:t xml:space="preserve"> Toxiinfecții</w:t>
      </w:r>
      <w:r w:rsidR="00517C41" w:rsidRPr="004D0F13">
        <w:rPr>
          <w:b/>
          <w:bCs/>
        </w:rPr>
        <w:t>le</w:t>
      </w:r>
      <w:r w:rsidRPr="004D0F13">
        <w:rPr>
          <w:b/>
          <w:bCs/>
        </w:rPr>
        <w:t xml:space="preserve"> alimentare</w:t>
      </w:r>
      <w:r w:rsidR="002A27C5" w:rsidRPr="004D0F13">
        <w:rPr>
          <w:b/>
          <w:bCs/>
        </w:rPr>
        <w:t xml:space="preserve">, </w:t>
      </w:r>
      <w:r w:rsidR="002A27C5" w:rsidRPr="004D0F13">
        <w:t>s</w:t>
      </w:r>
      <w:r w:rsidRPr="004D0F13">
        <w:t>tabilește proceduri pentru supravegherea, monitorizarea și investigarea cazurilor de toxiinfecții alimentare</w:t>
      </w:r>
      <w:r w:rsidR="00E25E42" w:rsidRPr="004D0F13">
        <w:t>.</w:t>
      </w:r>
      <w:bookmarkStart w:id="84" w:name="_Toc198493336"/>
    </w:p>
    <w:p w14:paraId="3FA2CD62" w14:textId="77777777" w:rsidR="00E32893" w:rsidRPr="004D0F13" w:rsidRDefault="00B96EA6" w:rsidP="00E32893">
      <w:pPr>
        <w:jc w:val="both"/>
        <w:rPr>
          <w:b/>
          <w:bCs/>
        </w:rPr>
      </w:pPr>
      <w:r w:rsidRPr="004D0F13">
        <w:rPr>
          <w:b/>
          <w:bCs/>
        </w:rPr>
        <w:t>Ordin comun nr. 787/311/2016 Ministerul Sănătății- Agenția Națională pentru Siguranța Alimentelor</w:t>
      </w:r>
    </w:p>
    <w:p w14:paraId="46E01ED6" w14:textId="52C08B0A" w:rsidR="00B96EA6" w:rsidRPr="004D0F13" w:rsidRDefault="00B96EA6" w:rsidP="00E32893">
      <w:pPr>
        <w:spacing w:after="120"/>
        <w:ind w:firstLine="284"/>
        <w:jc w:val="both"/>
        <w:rPr>
          <w:b/>
          <w:bCs/>
        </w:rPr>
      </w:pPr>
      <w:r w:rsidRPr="004D0F13">
        <w:t>Stabilește acțiuni coordonate pentru prevenirea și controlul salmonelozei, toxiinfecțiilor alimentare și altor boli diareice transmise prin apă și alimente, consolidând supravegherea integrată și reacția rapidă.</w:t>
      </w:r>
    </w:p>
    <w:p w14:paraId="2625F3C4" w14:textId="5307125F" w:rsidR="00B96EA6" w:rsidRPr="004D0F13" w:rsidRDefault="00B96EA6" w:rsidP="00280304">
      <w:pPr>
        <w:spacing w:after="120"/>
        <w:jc w:val="both"/>
        <w:rPr>
          <w:b/>
          <w:bCs/>
        </w:rPr>
      </w:pPr>
      <w:r w:rsidRPr="004D0F13">
        <w:rPr>
          <w:b/>
          <w:bCs/>
        </w:rPr>
        <w:t xml:space="preserve">Acord de colaborare nr. 01-9/1772/9/2016 Ministerul Sănătății- Agenția Națională pentru Siguranța Alimentelor, </w:t>
      </w:r>
      <w:r w:rsidRPr="004D0F13">
        <w:t>formalizează schimbul de date și cooperarea operațională în prevenirea riscurilor biologice asociate alimentelor, apei și sănătății publice.</w:t>
      </w:r>
    </w:p>
    <w:p w14:paraId="190561A0" w14:textId="77777777" w:rsidR="00B96EA6" w:rsidRPr="004D0F13" w:rsidRDefault="00B96EA6" w:rsidP="00E32893">
      <w:pPr>
        <w:jc w:val="both"/>
        <w:rPr>
          <w:b/>
          <w:bCs/>
        </w:rPr>
      </w:pPr>
      <w:r w:rsidRPr="004D0F13">
        <w:rPr>
          <w:b/>
          <w:bCs/>
        </w:rPr>
        <w:t>Ordin Ministerul Sănătății- Agenția Națională pentru Siguranța Alimentelor nr. 1495/542/2019</w:t>
      </w:r>
    </w:p>
    <w:p w14:paraId="2F3A7D3F" w14:textId="715B2190" w:rsidR="00B96EA6" w:rsidRPr="004D0F13" w:rsidRDefault="00B96EA6" w:rsidP="00E32893">
      <w:pPr>
        <w:jc w:val="both"/>
      </w:pPr>
      <w:r w:rsidRPr="004D0F13">
        <w:t>Aprobă Ghidul de investigare și răspuns la izbucniri provocate de alimente și apă contaminată, stabilind proceduri standard de alertă, prelevare, analiză și raportare.</w:t>
      </w:r>
    </w:p>
    <w:p w14:paraId="01D89845" w14:textId="2DBE0E9D" w:rsidR="005D0BC3" w:rsidRPr="004D0F13" w:rsidRDefault="005D0BC3" w:rsidP="00311372">
      <w:pPr>
        <w:pStyle w:val="ListParagraph"/>
        <w:numPr>
          <w:ilvl w:val="0"/>
          <w:numId w:val="51"/>
        </w:numPr>
        <w:ind w:left="0" w:firstLine="284"/>
        <w:jc w:val="both"/>
        <w:rPr>
          <w:rFonts w:ascii="Times New Roman" w:hAnsi="Times New Roman" w:cs="Times New Roman"/>
          <w:color w:val="000000" w:themeColor="text1"/>
          <w:sz w:val="24"/>
          <w:szCs w:val="24"/>
        </w:rPr>
      </w:pPr>
      <w:r w:rsidRPr="004D0F13">
        <w:rPr>
          <w:rFonts w:ascii="Times New Roman" w:hAnsi="Times New Roman" w:cs="Times New Roman"/>
          <w:b/>
          <w:bCs/>
          <w:color w:val="000000" w:themeColor="text1"/>
          <w:sz w:val="24"/>
          <w:szCs w:val="24"/>
        </w:rPr>
        <w:t>În concluzie,</w:t>
      </w:r>
      <w:r w:rsidRPr="004D0F13">
        <w:rPr>
          <w:rFonts w:ascii="Times New Roman" w:hAnsi="Times New Roman" w:cs="Times New Roman"/>
          <w:color w:val="000000" w:themeColor="text1"/>
          <w:sz w:val="24"/>
          <w:szCs w:val="24"/>
        </w:rPr>
        <w:t xml:space="preserve"> cadrul normativ național relevant pentru reducerea riscurilor de dezastre și a celor biologico-sociale este robust, complex și în plin proces de consolidare și aliniere treptată la acquis-ul UE și la angajamentele internaționale ale Republicii Moldova. În domenii precum apa, mediul, pădurile, biodiversitatea, protecția civilă, siguranța alimentară și sănătatea animală există deja instrumente-cheie care transpun parțial legislația europeană și oferă bază pentru prevenire, monitorizare, răspuns și refacere post-dezastru</w:t>
      </w:r>
      <w:r w:rsidR="00BC46F0" w:rsidRPr="004D0F13">
        <w:rPr>
          <w:rFonts w:ascii="Times New Roman" w:hAnsi="Times New Roman" w:cs="Times New Roman"/>
          <w:color w:val="000000" w:themeColor="text1"/>
          <w:sz w:val="24"/>
          <w:szCs w:val="24"/>
        </w:rPr>
        <w:t>.</w:t>
      </w:r>
      <w:r w:rsidR="00061F00" w:rsidRPr="004D0F13">
        <w:rPr>
          <w:rFonts w:ascii="Times New Roman" w:hAnsi="Times New Roman" w:cs="Times New Roman"/>
          <w:color w:val="000000" w:themeColor="text1"/>
          <w:sz w:val="24"/>
          <w:szCs w:val="24"/>
        </w:rPr>
        <w:t xml:space="preserve"> Adițional, Ordinului Ministerului Finanțelor nr. 124/2023 pentru aprobarea Setului metodologic privind elaborarea, aprobarea și modificarea bugetului, conține elemente ce pot facilita integrarea cheltuielilor pentru reducerea riscurilor de dezastre în procesul de planificare bugetară, prin corelarea obiectivelor sectoriale cu prioritățile naționale de dezvoltare durabilă și reziliență</w:t>
      </w:r>
      <w:r w:rsidR="009C3275" w:rsidRPr="004D0F13">
        <w:rPr>
          <w:rFonts w:ascii="Times New Roman" w:hAnsi="Times New Roman" w:cs="Times New Roman"/>
          <w:color w:val="000000" w:themeColor="text1"/>
          <w:sz w:val="24"/>
          <w:szCs w:val="24"/>
        </w:rPr>
        <w:t xml:space="preserve">. </w:t>
      </w:r>
    </w:p>
    <w:p w14:paraId="3BBF990D" w14:textId="2A954A26" w:rsidR="00517C41" w:rsidRPr="004D0F13" w:rsidRDefault="005D0BC3" w:rsidP="00311372">
      <w:pPr>
        <w:pStyle w:val="ListParagraph"/>
        <w:numPr>
          <w:ilvl w:val="0"/>
          <w:numId w:val="51"/>
        </w:numPr>
        <w:ind w:left="0" w:firstLine="284"/>
        <w:jc w:val="both"/>
        <w:rPr>
          <w:rFonts w:ascii="Times New Roman" w:hAnsi="Times New Roman" w:cs="Times New Roman"/>
          <w:color w:val="000000" w:themeColor="text1"/>
          <w:sz w:val="24"/>
          <w:szCs w:val="24"/>
        </w:rPr>
      </w:pPr>
      <w:r w:rsidRPr="004D0F13">
        <w:rPr>
          <w:rFonts w:ascii="Times New Roman" w:hAnsi="Times New Roman" w:cs="Times New Roman"/>
          <w:color w:val="000000" w:themeColor="text1"/>
          <w:sz w:val="24"/>
          <w:szCs w:val="24"/>
        </w:rPr>
        <w:t xml:space="preserve">În același timp, transpunerea și implementarea acquis-ului rămân în curs, iar Ministerul Mediului și alte instituții-cheie au încă un volum important de lucru pentru a asigura coerența și aplicarea efectivă a tuturor prevederilor. Complexitatea și fragmentarea cadrului normativ generează provocări de aplicare unitară, coordonare interinstituțională și prioritizare a măsurilor, atât la nivel </w:t>
      </w:r>
      <w:r w:rsidRPr="004D0F13">
        <w:rPr>
          <w:rFonts w:ascii="Times New Roman" w:hAnsi="Times New Roman" w:cs="Times New Roman"/>
          <w:color w:val="000000" w:themeColor="text1"/>
          <w:sz w:val="24"/>
          <w:szCs w:val="24"/>
        </w:rPr>
        <w:lastRenderedPageBreak/>
        <w:t>central cât si local. PNRRDN nu își propune să creeze noi reglementări, ci să consolideze implementarea celor existente, să clarifice rolurile instituționale pe întregul ciclu al dezastrelor, să întărească mecanismele de cooperare (IGSU, Ministerul Mediului, Ministerul Sănătății, ANSA, APL etc.) și să orienteze investițiile spre măsuri integrate, multi-risc, în concordanță cu Strategia de mediu 2024–2030 și alte politici sectoriale relevante.</w:t>
      </w:r>
    </w:p>
    <w:bookmarkEnd w:id="84"/>
    <w:p w14:paraId="3583341D" w14:textId="2D01CD9A" w:rsidR="00D81E40" w:rsidRPr="004D0F13" w:rsidRDefault="00D81E40" w:rsidP="00311372">
      <w:pPr>
        <w:pStyle w:val="ListParagraph"/>
        <w:numPr>
          <w:ilvl w:val="0"/>
          <w:numId w:val="51"/>
        </w:numPr>
        <w:pBdr>
          <w:top w:val="nil"/>
          <w:left w:val="nil"/>
          <w:bottom w:val="nil"/>
          <w:right w:val="nil"/>
          <w:between w:val="nil"/>
          <w:bar w:val="nil"/>
        </w:pBdr>
        <w:spacing w:after="120"/>
        <w:ind w:left="0" w:firstLine="284"/>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Cs/>
          <w:color w:val="000000" w:themeColor="text1"/>
          <w:sz w:val="24"/>
          <w:szCs w:val="24"/>
          <w:u w:color="000000"/>
          <w:bdr w:val="nil"/>
        </w:rPr>
        <w:t>Cadrul instituțional pentru reducerea riscurilor de dezastre naturale și biologico-sociale în Republica Moldova este organizat pe mai multe niveluri și se bazează pe mecanisme intersectoriale de coordonare, pe autorități centrale de resort și pe administrația publică locală. În spiritul Cadrului de la Sendai, responsabilitățile sunt împărțite între Guvern (nivel strategic), ministere și agențiile subordonate (nivel central sectorial) și APL (nivel local).</w:t>
      </w:r>
    </w:p>
    <w:p w14:paraId="65137F41" w14:textId="4F0AC129" w:rsidR="006942EB" w:rsidRPr="004D0F13" w:rsidRDefault="006942EB" w:rsidP="006942EB">
      <w:pPr>
        <w:pStyle w:val="ListParagraph"/>
        <w:numPr>
          <w:ilvl w:val="0"/>
          <w:numId w:val="51"/>
        </w:numPr>
        <w:pBdr>
          <w:top w:val="nil"/>
          <w:left w:val="nil"/>
          <w:bottom w:val="nil"/>
          <w:right w:val="nil"/>
          <w:between w:val="nil"/>
          <w:bar w:val="nil"/>
        </w:pBdr>
        <w:spacing w:after="120"/>
        <w:ind w:left="0" w:firstLine="284"/>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
          <w:color w:val="000000" w:themeColor="text1"/>
          <w:sz w:val="24"/>
          <w:szCs w:val="24"/>
          <w:u w:color="000000"/>
          <w:bdr w:val="nil"/>
        </w:rPr>
        <w:t>Centrul Național de Management al Crizelor (CNMC)</w:t>
      </w:r>
      <w:r w:rsidRPr="004D0F13">
        <w:rPr>
          <w:rFonts w:ascii="Times New Roman" w:eastAsia="Arial Unicode MS" w:hAnsi="Times New Roman" w:cs="Times New Roman"/>
          <w:bCs/>
          <w:color w:val="000000" w:themeColor="text1"/>
          <w:sz w:val="24"/>
          <w:szCs w:val="24"/>
          <w:u w:color="000000"/>
          <w:bdr w:val="nil"/>
        </w:rPr>
        <w:t xml:space="preserve"> este structura centrală a Guvernului responsabilă pentru coordonarea, integrarea și monitorizarea tuturor activităților de prevenire, pregătire, răspuns și recuperare aferente situațiilor de criză. În baza Legii nr. 248/2025, CNMC elaborează Evaluarea Națională de Risc, coordonează evaluările sectoriale ale tuturor ministerelor și asigură integrarea acestora în planurile de criză, planurile de continuitate și documentele strategice sectoriale. Prin această arhitectură, CNMC devine mecanismul prin care riscurile naturale și biologico sociale sunt analizate într-un sistem unitar „all-hazards”, evitându-se fragmentarea instituțională.</w:t>
      </w:r>
    </w:p>
    <w:p w14:paraId="01B6FCE2" w14:textId="1874F571" w:rsidR="00A35A61" w:rsidRPr="004D0F13" w:rsidRDefault="006942EB" w:rsidP="006942EB">
      <w:pPr>
        <w:pStyle w:val="ListParagraph"/>
        <w:numPr>
          <w:ilvl w:val="0"/>
          <w:numId w:val="51"/>
        </w:numPr>
        <w:pBdr>
          <w:top w:val="nil"/>
          <w:left w:val="nil"/>
          <w:bottom w:val="nil"/>
          <w:right w:val="nil"/>
          <w:between w:val="nil"/>
          <w:bar w:val="nil"/>
        </w:pBdr>
        <w:spacing w:after="120"/>
        <w:ind w:left="0" w:firstLine="284"/>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Cs/>
          <w:color w:val="000000" w:themeColor="text1"/>
          <w:sz w:val="24"/>
          <w:szCs w:val="24"/>
          <w:u w:color="000000"/>
          <w:bdr w:val="nil"/>
        </w:rPr>
        <w:t>Ministerele sectoriale, inclusiv Ministerul Mediului și Ministerul Sănătății,</w:t>
      </w:r>
      <w:r w:rsidR="003D1ACD" w:rsidRPr="004D0F13">
        <w:rPr>
          <w:rFonts w:ascii="Times New Roman" w:eastAsia="Arial Unicode MS" w:hAnsi="Times New Roman" w:cs="Times New Roman"/>
          <w:bCs/>
          <w:color w:val="000000" w:themeColor="text1"/>
          <w:sz w:val="24"/>
          <w:szCs w:val="24"/>
          <w:u w:color="000000"/>
          <w:bdr w:val="nil"/>
        </w:rPr>
        <w:t xml:space="preserve"> </w:t>
      </w:r>
      <w:r w:rsidRPr="004D0F13">
        <w:rPr>
          <w:rFonts w:ascii="Times New Roman" w:eastAsia="Arial Unicode MS" w:hAnsi="Times New Roman" w:cs="Times New Roman"/>
          <w:bCs/>
          <w:color w:val="000000" w:themeColor="text1"/>
          <w:sz w:val="24"/>
          <w:szCs w:val="24"/>
          <w:u w:color="000000"/>
          <w:bdr w:val="nil"/>
        </w:rPr>
        <w:t>elaborează evaluări sectoriale ale riscurilor, contribuie la evaluarea națională, furnizează date, scenarii și analize critice și dezvoltă planuri sectoriale de management al crizelor pe baza metodologiilor standardizate elaborate de CNMC. La nivel operațional, fiecare minister constituie un Centru Operațional de Coordonare (COC) și desemnează un coordonator al pregătirii pentru crize și un punct de contact 24/7. Astfel, fluxurile de informații</w:t>
      </w:r>
      <w:r w:rsidR="003D1ACD" w:rsidRPr="004D0F13">
        <w:rPr>
          <w:rFonts w:ascii="Times New Roman" w:eastAsia="Arial Unicode MS" w:hAnsi="Times New Roman" w:cs="Times New Roman"/>
          <w:bCs/>
          <w:color w:val="000000" w:themeColor="text1"/>
          <w:sz w:val="24"/>
          <w:szCs w:val="24"/>
          <w:u w:color="000000"/>
          <w:bdr w:val="nil"/>
        </w:rPr>
        <w:t xml:space="preserve">, </w:t>
      </w:r>
      <w:r w:rsidRPr="004D0F13">
        <w:rPr>
          <w:rFonts w:ascii="Times New Roman" w:eastAsia="Arial Unicode MS" w:hAnsi="Times New Roman" w:cs="Times New Roman"/>
          <w:bCs/>
          <w:color w:val="000000" w:themeColor="text1"/>
          <w:sz w:val="24"/>
          <w:szCs w:val="24"/>
          <w:u w:color="000000"/>
          <w:bdr w:val="nil"/>
        </w:rPr>
        <w:t>avertizare timpurie, date de monitorizare, indicatori epidemiologici, hidrologici sau climatici circulă în mod continuu între instituțiile sectoriale și CNMC.</w:t>
      </w:r>
      <w:r w:rsidR="003D1ACD" w:rsidRPr="004D0F13">
        <w:rPr>
          <w:rFonts w:ascii="Times New Roman" w:eastAsia="Arial Unicode MS" w:hAnsi="Times New Roman" w:cs="Times New Roman"/>
          <w:bCs/>
          <w:color w:val="000000" w:themeColor="text1"/>
          <w:sz w:val="24"/>
          <w:szCs w:val="24"/>
          <w:u w:color="000000"/>
          <w:bdr w:val="nil"/>
        </w:rPr>
        <w:t xml:space="preserve"> </w:t>
      </w:r>
    </w:p>
    <w:p w14:paraId="1D6DEBAE" w14:textId="7F63FA8F" w:rsidR="00CB3ADF" w:rsidRPr="004D0F13" w:rsidRDefault="00CB3ADF" w:rsidP="00CB3ADF">
      <w:pPr>
        <w:pStyle w:val="ListParagraph"/>
        <w:numPr>
          <w:ilvl w:val="0"/>
          <w:numId w:val="51"/>
        </w:numPr>
        <w:pBdr>
          <w:top w:val="nil"/>
          <w:left w:val="nil"/>
          <w:bottom w:val="nil"/>
          <w:right w:val="nil"/>
          <w:between w:val="nil"/>
          <w:bar w:val="nil"/>
        </w:pBdr>
        <w:spacing w:after="120"/>
        <w:ind w:left="0" w:firstLine="284"/>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Cs/>
          <w:color w:val="000000" w:themeColor="text1"/>
          <w:sz w:val="24"/>
          <w:szCs w:val="24"/>
          <w:u w:color="000000"/>
          <w:bdr w:val="nil"/>
        </w:rPr>
        <w:t>Ministerele și autoritățile administrative centrale au un rol esențial în integrarea reducerii riscurilor de dezastre în politicile sectoriale, fiecare gestionând domenii critice pentru reziliența națională: protecția civilă și intervenția în situații de urgențe, infrastructura critică și transporturile, energia, agricultura și siguranța agroalimentară, sănătatea publică și educația. Aceste ministere coordonează instituțiile subordonate responsabile de prevenire, monitorizare, pregătire, intervenție și recuperare, asigurând aplicarea măsurilor de RRD în sectorul lor și cooperarea cu Centrul Național de Management al Crizelor (CNMC).</w:t>
      </w:r>
    </w:p>
    <w:p w14:paraId="7583B9EE" w14:textId="3857770C" w:rsidR="00A35A61" w:rsidRPr="004D0F13" w:rsidRDefault="00A35A61" w:rsidP="00CB3ADF">
      <w:pPr>
        <w:pStyle w:val="ListParagraph"/>
        <w:numPr>
          <w:ilvl w:val="0"/>
          <w:numId w:val="51"/>
        </w:numPr>
        <w:pBdr>
          <w:top w:val="nil"/>
          <w:left w:val="nil"/>
          <w:bottom w:val="nil"/>
          <w:right w:val="nil"/>
          <w:between w:val="nil"/>
          <w:bar w:val="nil"/>
        </w:pBdr>
        <w:spacing w:after="120"/>
        <w:ind w:left="0" w:firstLine="284"/>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
          <w:color w:val="000000" w:themeColor="text1"/>
          <w:sz w:val="24"/>
          <w:szCs w:val="24"/>
          <w:u w:color="000000"/>
          <w:bdr w:val="nil"/>
        </w:rPr>
        <w:t>Comisia Națională privind Schimbările Climatice (CNSC)</w:t>
      </w:r>
      <w:r w:rsidRPr="004D0F13">
        <w:rPr>
          <w:rFonts w:ascii="Times New Roman" w:eastAsia="Arial Unicode MS" w:hAnsi="Times New Roman" w:cs="Times New Roman"/>
          <w:bCs/>
          <w:color w:val="000000" w:themeColor="text1"/>
          <w:sz w:val="24"/>
          <w:szCs w:val="24"/>
          <w:u w:color="000000"/>
          <w:bdr w:val="nil"/>
        </w:rPr>
        <w:t xml:space="preserve">, creată prin Hotărârea Guvernului nr. 425/2024 cu privire la organizarea și funcționarea Comisiei naționale privind schimbările climatice are statut de coordonare a politicilor în domeniul schimbărilor climatice, a proiectelor de investiții capitale publice, în contextul atenuării și adaptării la schimbările climatice, și al managementului riscurilor de dezastre naturale. Este prezidată de Prim-ministru și include reprezentanți din administrația publică centrală, cercetare, ONG-uri și sectorul privat. Ministerul Mediului are un rol esențial în operaționalizarea CNSC. </w:t>
      </w:r>
    </w:p>
    <w:p w14:paraId="0A0FDBBF" w14:textId="61C620A1" w:rsidR="00CB3ADF" w:rsidRPr="004D0F13" w:rsidRDefault="006D0491" w:rsidP="004D0F13">
      <w:pPr>
        <w:pStyle w:val="ListParagraph"/>
        <w:numPr>
          <w:ilvl w:val="0"/>
          <w:numId w:val="51"/>
        </w:numPr>
        <w:pBdr>
          <w:top w:val="nil"/>
          <w:left w:val="nil"/>
          <w:bottom w:val="nil"/>
          <w:right w:val="nil"/>
          <w:between w:val="nil"/>
          <w:bar w:val="nil"/>
        </w:pBdr>
        <w:spacing w:after="120"/>
        <w:ind w:left="0" w:firstLine="284"/>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
          <w:color w:val="000000" w:themeColor="text1"/>
          <w:sz w:val="24"/>
          <w:szCs w:val="24"/>
          <w:u w:color="000000"/>
          <w:bdr w:val="nil"/>
        </w:rPr>
        <w:t>Ministerul Mediului (MM)</w:t>
      </w:r>
      <w:r w:rsidRPr="004D0F13">
        <w:rPr>
          <w:rFonts w:ascii="Times New Roman" w:eastAsia="Arial Unicode MS" w:hAnsi="Times New Roman" w:cs="Times New Roman"/>
          <w:bCs/>
          <w:color w:val="000000" w:themeColor="text1"/>
          <w:sz w:val="24"/>
          <w:szCs w:val="24"/>
          <w:u w:color="000000"/>
          <w:bdr w:val="nil"/>
        </w:rPr>
        <w:t xml:space="preserve"> este organul central de specialitate responsabil pentru elaborarea și coordonarea politicilor de protecție a mediului, gestionare durabilă a resurselor naturale și adaptare la schimbările climatice. Misiunea sa este de a analiza problemele de mediu, de a elabora politici publice eficiente și de a asigura implementarea acestora, astfel încât să fie protejate ecosistemele, resursele naturale și sănătatea populației, cu utilizarea rațională a bugetelor publice și în conformitate cu tratatele internaționale și angajamentele Republicii Moldova.</w:t>
      </w:r>
      <w:r w:rsidR="004D0F13" w:rsidRPr="004D0F13">
        <w:rPr>
          <w:rFonts w:ascii="Times New Roman" w:eastAsia="Arial Unicode MS" w:hAnsi="Times New Roman" w:cs="Times New Roman"/>
          <w:bCs/>
          <w:color w:val="000000" w:themeColor="text1"/>
          <w:sz w:val="24"/>
          <w:szCs w:val="24"/>
          <w:u w:color="000000"/>
          <w:bdr w:val="nil"/>
        </w:rPr>
        <w:t xml:space="preserve"> </w:t>
      </w:r>
      <w:r w:rsidRPr="004D0F13">
        <w:rPr>
          <w:rFonts w:ascii="Times New Roman" w:eastAsia="Arial Unicode MS" w:hAnsi="Times New Roman" w:cs="Times New Roman"/>
          <w:bCs/>
          <w:color w:val="000000" w:themeColor="text1"/>
          <w:sz w:val="24"/>
          <w:szCs w:val="24"/>
          <w:u w:color="000000"/>
          <w:bdr w:val="nil"/>
        </w:rPr>
        <w:t>Ministerul exercită funcții de reglementare, planificare strategică, monitorizare și evaluare a politicilor de mediu, coordonează implementarea actelor normative, examinează inițiative legislative din alte sectoare cu impact asupra mediului și asigură integrarea obiectivelor de mediu și climă în documentele de planificare naționale. În domeniul schimbărilor climatice, Ministerul coordonează procesul de transpunere a angajamentelor internaționale (UNFCCC, Cadrul de la Sendai, UNCCD, CBD) și sprijină dezvoltarea politicilor de adaptare climatică și reducerea riscurilor climatice.</w:t>
      </w:r>
    </w:p>
    <w:p w14:paraId="01D1BA39" w14:textId="6BB363AB" w:rsidR="006D0491" w:rsidRPr="004D0F13" w:rsidRDefault="006D0491" w:rsidP="006D0491">
      <w:pPr>
        <w:pStyle w:val="ListParagraph"/>
        <w:numPr>
          <w:ilvl w:val="0"/>
          <w:numId w:val="51"/>
        </w:numPr>
        <w:pBdr>
          <w:top w:val="nil"/>
          <w:left w:val="nil"/>
          <w:bottom w:val="nil"/>
          <w:right w:val="nil"/>
          <w:between w:val="nil"/>
          <w:bar w:val="nil"/>
        </w:pBdr>
        <w:spacing w:after="120"/>
        <w:ind w:left="0" w:firstLine="284"/>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
          <w:color w:val="000000" w:themeColor="text1"/>
          <w:sz w:val="24"/>
          <w:szCs w:val="24"/>
          <w:u w:color="000000"/>
          <w:bdr w:val="nil"/>
        </w:rPr>
        <w:lastRenderedPageBreak/>
        <w:t>Agenția de Mediu</w:t>
      </w:r>
      <w:r w:rsidRPr="004D0F13">
        <w:rPr>
          <w:rFonts w:ascii="Times New Roman" w:eastAsia="Arial Unicode MS" w:hAnsi="Times New Roman" w:cs="Times New Roman"/>
          <w:bCs/>
          <w:color w:val="000000" w:themeColor="text1"/>
          <w:sz w:val="24"/>
          <w:szCs w:val="24"/>
          <w:u w:color="000000"/>
          <w:bdr w:val="nil"/>
        </w:rPr>
        <w:t xml:space="preserve"> este autoritatea administrativă centrală responsabilă de implementarea politicilor statului în domeniul protecției mediului, având misiunea de a preveni poluarea, de a proteja resursele naturale și de a contribui la conservarea biodiversității, utilizând eficient resursele bugetare. În domeniul reducerii riscurilor de dezastre, Agenția are un rol esențial prin monitorizarea calității factorilor de mediu (aer, apă, sol), supravegherea ecosistemelor naturale, gestionarea datelor geologice și hidrologice, precum și prin evaluarea stării resurselor de apă, sol și biodiversitate, informații critice pentru anticiparea riscurilor hidrologice, climatice, geologice și de poluare.Instituția exercită funcții de reglementare și autorizare a activităților cu impact asupra mediului, eliberând acte permisive (autorizații de mediu, permise, avize) care reprezintă mecanisme-cheie pentru prevenirea riscurilor industriale, poluărilor accidentale și degradării ecosistemelor. Agenția acordă suport tehnic Ministerului Mediului în elaborarea politicilor și actelor normative și gestionează sisteme informaționale, cadastre și registre speciale. Prin publicarea periodică a datelor de monitorizare și a Raportului național privind starea mediului, Agenția contribuie la transparență, la fundamentarea deciziilor și la sistemele de avertizare timpurie, fiind un actor tehnic central în arhitectura națională de RRD și adaptare la schimbările climatice.</w:t>
      </w:r>
    </w:p>
    <w:p w14:paraId="537FA69F" w14:textId="51FADFC3" w:rsidR="005E65AD" w:rsidRPr="004D0F13" w:rsidRDefault="00EC6EC3" w:rsidP="00EC6EC3">
      <w:pPr>
        <w:pStyle w:val="ListParagraph"/>
        <w:numPr>
          <w:ilvl w:val="0"/>
          <w:numId w:val="51"/>
        </w:numPr>
        <w:pBdr>
          <w:top w:val="nil"/>
          <w:left w:val="nil"/>
          <w:bottom w:val="nil"/>
          <w:right w:val="nil"/>
          <w:between w:val="nil"/>
          <w:bar w:val="nil"/>
        </w:pBdr>
        <w:spacing w:after="120"/>
        <w:ind w:left="0" w:firstLine="284"/>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
          <w:color w:val="000000" w:themeColor="text1"/>
          <w:sz w:val="24"/>
          <w:szCs w:val="24"/>
          <w:u w:color="000000"/>
          <w:bdr w:val="nil"/>
        </w:rPr>
        <w:t>Serviciul Hidrometeorologic de Stat (SHS)</w:t>
      </w:r>
      <w:r w:rsidRPr="004D0F13">
        <w:rPr>
          <w:rFonts w:ascii="Times New Roman" w:eastAsia="Arial Unicode MS" w:hAnsi="Times New Roman" w:cs="Times New Roman"/>
          <w:bCs/>
          <w:color w:val="000000" w:themeColor="text1"/>
          <w:sz w:val="24"/>
          <w:szCs w:val="24"/>
          <w:u w:color="000000"/>
          <w:bdr w:val="nil"/>
        </w:rPr>
        <w:t xml:space="preserve"> este instituția publică subordonată Ministerului Mediului, responsabilă de monitorizarea permanentă a fenomenelor meteorologice, climatice, hidrologice precum și de emiterea prognozelor și avertizărilor oficiale privind fenomene periculoase. Prin rețeaua sa de stații meteorologice, hidrologice, agrometeorologice și de monitorizare a calității aerului, apei și solului, SHS furnizează date critice pentru protecția populației, prevenirea dezastrelor și funcționarea sistemelor de avertizare timpurie, gestionând totodată Fondul Național de Date Hidrometeorologice.</w:t>
      </w:r>
      <w:r w:rsidR="004D0F13" w:rsidRPr="004D0F13">
        <w:rPr>
          <w:rFonts w:ascii="Times New Roman" w:eastAsia="Arial Unicode MS" w:hAnsi="Times New Roman" w:cs="Times New Roman"/>
          <w:bCs/>
          <w:color w:val="000000" w:themeColor="text1"/>
          <w:sz w:val="24"/>
          <w:szCs w:val="24"/>
          <w:u w:color="000000"/>
          <w:bdr w:val="nil"/>
        </w:rPr>
        <w:t xml:space="preserve"> </w:t>
      </w:r>
      <w:r w:rsidRPr="004D0F13">
        <w:rPr>
          <w:rFonts w:ascii="Times New Roman" w:eastAsia="Arial Unicode MS" w:hAnsi="Times New Roman" w:cs="Times New Roman"/>
          <w:bCs/>
          <w:color w:val="000000" w:themeColor="text1"/>
          <w:sz w:val="24"/>
          <w:szCs w:val="24"/>
          <w:u w:color="000000"/>
          <w:bdr w:val="nil"/>
        </w:rPr>
        <w:t>În arhitectura națională a reducerii riscurilor de dezastre, SHS are un rol esențial în anticiparea riscurilor climatice și hidrologice (inundații, secetă, furtuni, înghețuri), oferind informații operative către CNMC, IGSU, ministere sectoriale și autoritățile locale. Instituția contribuie la evaluarea riscurilor, la expertize tehnico-științifice, la fundamentarea deciziilor de planificare și la îndeplinirea obligațiilor internaționale ale Republicii Moldova în domeniul meteorologiei și schimbului de date de mediu.</w:t>
      </w:r>
    </w:p>
    <w:p w14:paraId="71523430" w14:textId="727C1BF3" w:rsidR="009955A3" w:rsidRPr="004D0F13" w:rsidRDefault="009955A3" w:rsidP="009955A3">
      <w:pPr>
        <w:pStyle w:val="ListParagraph"/>
        <w:numPr>
          <w:ilvl w:val="0"/>
          <w:numId w:val="51"/>
        </w:numPr>
        <w:pBdr>
          <w:top w:val="nil"/>
          <w:left w:val="nil"/>
          <w:bottom w:val="nil"/>
          <w:right w:val="nil"/>
          <w:between w:val="nil"/>
          <w:bar w:val="nil"/>
        </w:pBdr>
        <w:spacing w:after="120"/>
        <w:ind w:left="0" w:firstLine="284"/>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
          <w:color w:val="000000" w:themeColor="text1"/>
          <w:sz w:val="24"/>
          <w:szCs w:val="24"/>
          <w:u w:color="000000"/>
          <w:bdr w:val="nil"/>
        </w:rPr>
        <w:t>Agenția „Moldsilva”</w:t>
      </w:r>
      <w:r w:rsidRPr="004D0F13">
        <w:rPr>
          <w:rFonts w:ascii="Times New Roman" w:eastAsia="Arial Unicode MS" w:hAnsi="Times New Roman" w:cs="Times New Roman"/>
          <w:bCs/>
          <w:color w:val="000000" w:themeColor="text1"/>
          <w:sz w:val="24"/>
          <w:szCs w:val="24"/>
          <w:u w:color="000000"/>
          <w:bdr w:val="nil"/>
        </w:rPr>
        <w:t xml:space="preserve"> este autoritatea administrativă subordonată Ministerului Mediului, responsabilă de implementarea politicii de stat în domeniul silviculturii și cinegeticii, având ca misiune gestionarea durabilă a fondului forestier și a resurselor cinegetice, protecția și paza pădurilor, conservarea biodiversității forestiere și extinderea suprafețelor împădurite. Activitatea sa se bazează pe amenajamente silvice și pe principii ecologice, conform legislației naționale și Strategiei dezvoltării durabile a sectorului forestier. Moldsilva coordonează regenerarea și reconstrucția ecologică a pădurilor, administrarea fondului cinegetic, prevenirea și combaterea tăierilor ilegale, incendiilor forestiere, degradării ecosistemelor și pierderii biodiversității, contribuind direct la menținerea echilibrului ecologic și la protecția resurselor naturale.</w:t>
      </w:r>
      <w:r w:rsidR="004D0F13" w:rsidRPr="004D0F13">
        <w:rPr>
          <w:rFonts w:ascii="Times New Roman" w:eastAsia="Arial Unicode MS" w:hAnsi="Times New Roman" w:cs="Times New Roman"/>
          <w:bCs/>
          <w:color w:val="000000" w:themeColor="text1"/>
          <w:sz w:val="24"/>
          <w:szCs w:val="24"/>
          <w:u w:color="000000"/>
          <w:bdr w:val="nil"/>
        </w:rPr>
        <w:t xml:space="preserve"> </w:t>
      </w:r>
      <w:r w:rsidRPr="004D0F13">
        <w:rPr>
          <w:rFonts w:ascii="Times New Roman" w:eastAsia="Arial Unicode MS" w:hAnsi="Times New Roman" w:cs="Times New Roman"/>
          <w:bCs/>
          <w:color w:val="000000" w:themeColor="text1"/>
          <w:sz w:val="24"/>
          <w:szCs w:val="24"/>
          <w:u w:color="000000"/>
          <w:bdr w:val="nil"/>
        </w:rPr>
        <w:t>În contextul reducerii riscurilor de dezastre, Moldsilva este un actor esențial pentru diminuarea vulnerabilităților climatice și hidrologice ale țării, având un rol critic în prevenirea eroziunii solului, reducerea riscului de alunecări de teren, consolidarea zonelor riverane, crearea și întreținerea perdelelor forestiere de protecție, extinderea suprafețelor împădurite și gestionarea incendiilor forestiere. Agenția furnizează date și expertiză tehnică pentru evaluarea riscurilor forestiere, participă la amenajarea teritorială ecologică, gestionează sistemul informațional forestier și colaborează cu autoritățile locale și cu comunitățile în programe de protecție și reabilitare a ecosistemelor forestiere. Prin aceste funcții, Moldsilva contribuie la creșterea rezilienței teritoriale, la adaptarea la schimbările climatice și la atingerea obiectivelor PNRRDN, în special în domeniile pădurilor, solurilor și gestionării peisajelor vulnerabile la hazardele naturale</w:t>
      </w:r>
      <w:r w:rsidR="00DD0393" w:rsidRPr="004D0F13">
        <w:rPr>
          <w:rFonts w:ascii="Times New Roman" w:eastAsia="Arial Unicode MS" w:hAnsi="Times New Roman" w:cs="Times New Roman"/>
          <w:bCs/>
          <w:color w:val="000000" w:themeColor="text1"/>
          <w:sz w:val="24"/>
          <w:szCs w:val="24"/>
          <w:u w:color="000000"/>
          <w:bdr w:val="nil"/>
        </w:rPr>
        <w:t xml:space="preserve"> si</w:t>
      </w:r>
      <w:r w:rsidR="00886B31" w:rsidRPr="004D0F13">
        <w:rPr>
          <w:rFonts w:ascii="Times New Roman" w:eastAsia="Arial Unicode MS" w:hAnsi="Times New Roman" w:cs="Times New Roman"/>
          <w:bCs/>
          <w:color w:val="000000" w:themeColor="text1"/>
          <w:sz w:val="24"/>
          <w:szCs w:val="24"/>
          <w:u w:color="000000"/>
          <w:bdr w:val="nil"/>
        </w:rPr>
        <w:t xml:space="preserve"> b</w:t>
      </w:r>
      <w:r w:rsidR="00DD0393" w:rsidRPr="004D0F13">
        <w:rPr>
          <w:rFonts w:ascii="Times New Roman" w:eastAsia="Arial Unicode MS" w:hAnsi="Times New Roman" w:cs="Times New Roman"/>
          <w:bCs/>
          <w:color w:val="000000" w:themeColor="text1"/>
          <w:sz w:val="24"/>
          <w:szCs w:val="24"/>
          <w:u w:color="000000"/>
          <w:bdr w:val="nil"/>
        </w:rPr>
        <w:t>iologico-sociale</w:t>
      </w:r>
      <w:r w:rsidRPr="004D0F13">
        <w:rPr>
          <w:rFonts w:ascii="Times New Roman" w:eastAsia="Arial Unicode MS" w:hAnsi="Times New Roman" w:cs="Times New Roman"/>
          <w:bCs/>
          <w:color w:val="000000" w:themeColor="text1"/>
          <w:sz w:val="24"/>
          <w:szCs w:val="24"/>
          <w:u w:color="000000"/>
          <w:bdr w:val="nil"/>
        </w:rPr>
        <w:t>.</w:t>
      </w:r>
    </w:p>
    <w:p w14:paraId="6C8E2562" w14:textId="605FB4A8" w:rsidR="00293566" w:rsidRPr="004D0F13" w:rsidRDefault="00293566" w:rsidP="00293566">
      <w:pPr>
        <w:pStyle w:val="ListParagraph"/>
        <w:numPr>
          <w:ilvl w:val="0"/>
          <w:numId w:val="51"/>
        </w:numPr>
        <w:pBdr>
          <w:top w:val="nil"/>
          <w:left w:val="nil"/>
          <w:bottom w:val="nil"/>
          <w:right w:val="nil"/>
          <w:between w:val="nil"/>
          <w:bar w:val="nil"/>
        </w:pBdr>
        <w:spacing w:after="120"/>
        <w:ind w:left="0" w:firstLine="284"/>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
          <w:color w:val="000000" w:themeColor="text1"/>
          <w:sz w:val="24"/>
          <w:szCs w:val="24"/>
          <w:u w:color="000000"/>
          <w:bdr w:val="nil"/>
        </w:rPr>
        <w:t>Instituția Publica Administrația Națională „Apele Moldovei”</w:t>
      </w:r>
      <w:r w:rsidRPr="004D0F13">
        <w:rPr>
          <w:rFonts w:ascii="Times New Roman" w:eastAsia="Arial Unicode MS" w:hAnsi="Times New Roman" w:cs="Times New Roman"/>
          <w:bCs/>
          <w:color w:val="000000" w:themeColor="text1"/>
          <w:sz w:val="24"/>
          <w:szCs w:val="24"/>
          <w:u w:color="000000"/>
          <w:bdr w:val="nil"/>
        </w:rPr>
        <w:t xml:space="preserve"> </w:t>
      </w:r>
      <w:r w:rsidRPr="004D0F13">
        <w:rPr>
          <w:rFonts w:ascii="Times New Roman" w:eastAsia="Arial Unicode MS" w:hAnsi="Times New Roman" w:cs="Times New Roman"/>
          <w:b/>
          <w:color w:val="000000" w:themeColor="text1"/>
          <w:sz w:val="24"/>
          <w:szCs w:val="24"/>
          <w:u w:color="000000"/>
          <w:bdr w:val="nil"/>
        </w:rPr>
        <w:t xml:space="preserve">(IP AN Apele Moldovei) </w:t>
      </w:r>
      <w:r w:rsidRPr="004D0F13">
        <w:rPr>
          <w:rFonts w:ascii="Times New Roman" w:eastAsia="Arial Unicode MS" w:hAnsi="Times New Roman" w:cs="Times New Roman"/>
          <w:bCs/>
          <w:color w:val="000000" w:themeColor="text1"/>
          <w:sz w:val="24"/>
          <w:szCs w:val="24"/>
          <w:u w:color="000000"/>
          <w:bdr w:val="nil"/>
        </w:rPr>
        <w:t xml:space="preserve">este autoritatea responsabilă de implementarea legislației privind gestionarea și protecția resurselor de apă și a construcțiilor hidrotehnice proprietate publică a statului. Instituția are misiunea de a asigura utilizarea durabilă a resurselor de apă, protecția populației și a terenurilor agricole împotriva riscurilor </w:t>
      </w:r>
      <w:r w:rsidRPr="004D0F13">
        <w:rPr>
          <w:rFonts w:ascii="Times New Roman" w:eastAsia="Arial Unicode MS" w:hAnsi="Times New Roman" w:cs="Times New Roman"/>
          <w:bCs/>
          <w:color w:val="000000" w:themeColor="text1"/>
          <w:sz w:val="24"/>
          <w:szCs w:val="24"/>
          <w:u w:color="000000"/>
          <w:bdr w:val="nil"/>
        </w:rPr>
        <w:lastRenderedPageBreak/>
        <w:t>hidrologice, precum inundațiile și seceta, și de a gestiona infrastructura hidrotehnică necesară prevenirii acestor riscuri.</w:t>
      </w:r>
      <w:r w:rsidR="004D0F13" w:rsidRPr="004D0F13">
        <w:rPr>
          <w:rFonts w:ascii="Times New Roman" w:eastAsia="Arial Unicode MS" w:hAnsi="Times New Roman" w:cs="Times New Roman"/>
          <w:bCs/>
          <w:color w:val="000000" w:themeColor="text1"/>
          <w:sz w:val="24"/>
          <w:szCs w:val="24"/>
          <w:u w:color="000000"/>
          <w:bdr w:val="nil"/>
        </w:rPr>
        <w:t xml:space="preserve"> </w:t>
      </w:r>
      <w:r w:rsidRPr="004D0F13">
        <w:rPr>
          <w:rFonts w:ascii="Times New Roman" w:eastAsia="Arial Unicode MS" w:hAnsi="Times New Roman" w:cs="Times New Roman"/>
          <w:bCs/>
          <w:color w:val="000000" w:themeColor="text1"/>
          <w:sz w:val="24"/>
          <w:szCs w:val="24"/>
          <w:u w:color="000000"/>
          <w:bdr w:val="nil"/>
        </w:rPr>
        <w:t>Administrația gestionează lacurile de acumulare și iazurile aflate în proprietatea statului, întreține corpurile de apă de suprafață și construcțiile hidrotehnice, realizează prospecțiuni tematice pentru identificarea factorilor de risc și coordonează comitetele districtelor și sub bazinelor hidrografice. Instituția administrează Sistemul informațional automatizat „Cadastrul de stat al apelor”, colectează date de teren privind starea resurselor de apă și infrastructura hidrotehnică și implementează proiecte investiționale și de asistență tehnică în domeniul apelor. Un rol strategic îl constituie operațiunea comună cu partea română a Nodului Hidrotehnic Costești–Stânca, esențială pentru regularizarea proceselor hidrologice pe râul Prut și reducerea riscului de inundații.</w:t>
      </w:r>
    </w:p>
    <w:p w14:paraId="0B960ED7" w14:textId="255A03CD" w:rsidR="00A35A61" w:rsidRPr="004D0F13" w:rsidRDefault="00A35A61" w:rsidP="00A35A61">
      <w:pPr>
        <w:pStyle w:val="ListParagraph"/>
        <w:numPr>
          <w:ilvl w:val="0"/>
          <w:numId w:val="51"/>
        </w:numPr>
        <w:pBdr>
          <w:top w:val="nil"/>
          <w:left w:val="nil"/>
          <w:bottom w:val="nil"/>
          <w:right w:val="nil"/>
          <w:between w:val="nil"/>
          <w:bar w:val="nil"/>
        </w:pBdr>
        <w:spacing w:after="120"/>
        <w:ind w:left="0" w:firstLine="284"/>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
          <w:color w:val="000000" w:themeColor="text1"/>
          <w:sz w:val="24"/>
          <w:szCs w:val="24"/>
          <w:u w:color="000000"/>
          <w:bdr w:val="nil"/>
        </w:rPr>
        <w:t>Agenția pentru Geologie și Resurse Minerale</w:t>
      </w:r>
      <w:r w:rsidRPr="004D0F13">
        <w:rPr>
          <w:rFonts w:ascii="Times New Roman" w:eastAsia="Arial Unicode MS" w:hAnsi="Times New Roman" w:cs="Times New Roman"/>
          <w:bCs/>
          <w:color w:val="000000" w:themeColor="text1"/>
          <w:sz w:val="24"/>
          <w:szCs w:val="24"/>
          <w:u w:color="000000"/>
          <w:bdr w:val="nil"/>
        </w:rPr>
        <w:t>, gestionează datele geologice naționale și sistemul de evidență a lucrărilor de cercetare geologică, asigurând accesul la informațiile necesare pentru evaluarea riscurilor asociate utilizării subsolului și protecției apelor subterane.</w:t>
      </w:r>
    </w:p>
    <w:p w14:paraId="0ABAB9EE" w14:textId="77777777" w:rsidR="004D0F13" w:rsidRDefault="00A35A61" w:rsidP="009955A3">
      <w:pPr>
        <w:pStyle w:val="ListParagraph"/>
        <w:numPr>
          <w:ilvl w:val="0"/>
          <w:numId w:val="51"/>
        </w:numPr>
        <w:pBdr>
          <w:top w:val="nil"/>
          <w:left w:val="nil"/>
          <w:bottom w:val="nil"/>
          <w:right w:val="nil"/>
          <w:between w:val="nil"/>
          <w:bar w:val="nil"/>
        </w:pBdr>
        <w:spacing w:after="120"/>
        <w:ind w:left="0" w:firstLine="284"/>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
          <w:color w:val="000000" w:themeColor="text1"/>
          <w:sz w:val="24"/>
          <w:szCs w:val="24"/>
          <w:u w:color="000000"/>
          <w:bdr w:val="nil"/>
        </w:rPr>
        <w:t>Agenția Națională pentru Reglementarea Activităților Nucleare și Radiologice (ANRANR)</w:t>
      </w:r>
      <w:r w:rsidRPr="004D0F13">
        <w:rPr>
          <w:rFonts w:ascii="Times New Roman" w:eastAsia="Arial Unicode MS" w:hAnsi="Times New Roman" w:cs="Times New Roman"/>
          <w:bCs/>
          <w:color w:val="000000" w:themeColor="text1"/>
          <w:sz w:val="24"/>
          <w:szCs w:val="24"/>
          <w:u w:color="000000"/>
          <w:bdr w:val="nil"/>
        </w:rPr>
        <w:t>, supraveghează activitățile cu surse radioactive și reglementează riscurile radiologice, fiind parte integrantă în managementul riscurilor tehnologice.</w:t>
      </w:r>
    </w:p>
    <w:p w14:paraId="17987260" w14:textId="56295550" w:rsidR="00A35A61" w:rsidRPr="004D0F13" w:rsidRDefault="004D0F13" w:rsidP="009955A3">
      <w:pPr>
        <w:pStyle w:val="ListParagraph"/>
        <w:numPr>
          <w:ilvl w:val="0"/>
          <w:numId w:val="51"/>
        </w:numPr>
        <w:pBdr>
          <w:top w:val="nil"/>
          <w:left w:val="nil"/>
          <w:bottom w:val="nil"/>
          <w:right w:val="nil"/>
          <w:between w:val="nil"/>
          <w:bar w:val="nil"/>
        </w:pBdr>
        <w:spacing w:after="120"/>
        <w:ind w:left="0" w:firstLine="284"/>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Cs/>
          <w:color w:val="000000" w:themeColor="text1"/>
          <w:sz w:val="24"/>
          <w:szCs w:val="24"/>
          <w:u w:color="000000"/>
          <w:bdr w:val="nil"/>
        </w:rPr>
        <w:t xml:space="preserve"> </w:t>
      </w:r>
      <w:r w:rsidR="00A35A61" w:rsidRPr="004D0F13">
        <w:rPr>
          <w:rFonts w:ascii="Times New Roman" w:eastAsia="Arial Unicode MS" w:hAnsi="Times New Roman" w:cs="Times New Roman"/>
          <w:bCs/>
          <w:color w:val="000000" w:themeColor="text1"/>
          <w:sz w:val="24"/>
          <w:szCs w:val="24"/>
          <w:u w:color="000000"/>
          <w:bdr w:val="nil"/>
        </w:rPr>
        <w:t>Această rețea de instituții subordonate Ministerului Mediului oferă un cadru operațional important pentru reducerea riscurilor de dezastre naturale din perspectiva sectorială a protecției mediului. Totuși, colaborarea interinstituțională eficientă, schimbul de date și întărirea capacităților tehnice ale agențiilor rămân priorități pentru o implementare eficientă a Programului sectorial RRD în domeniul mediu.</w:t>
      </w:r>
    </w:p>
    <w:p w14:paraId="649F81D9" w14:textId="20E33AA4" w:rsidR="00957937" w:rsidRPr="004D0F13" w:rsidRDefault="00BD2281" w:rsidP="003B13E7">
      <w:pPr>
        <w:pStyle w:val="ListParagraph"/>
        <w:numPr>
          <w:ilvl w:val="0"/>
          <w:numId w:val="51"/>
        </w:numPr>
        <w:pBdr>
          <w:top w:val="nil"/>
          <w:left w:val="nil"/>
          <w:bottom w:val="nil"/>
          <w:right w:val="nil"/>
          <w:between w:val="nil"/>
          <w:bar w:val="nil"/>
        </w:pBdr>
        <w:spacing w:after="120"/>
        <w:ind w:left="0" w:firstLine="284"/>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
          <w:color w:val="000000" w:themeColor="text1"/>
          <w:sz w:val="24"/>
          <w:szCs w:val="24"/>
          <w:u w:color="000000"/>
          <w:bdr w:val="nil"/>
        </w:rPr>
        <w:t>Ministerul Sănătății</w:t>
      </w:r>
      <w:r w:rsidRPr="004D0F13">
        <w:rPr>
          <w:rFonts w:ascii="Times New Roman" w:eastAsia="Arial Unicode MS" w:hAnsi="Times New Roman" w:cs="Times New Roman"/>
          <w:bCs/>
          <w:color w:val="000000" w:themeColor="text1"/>
          <w:sz w:val="24"/>
          <w:szCs w:val="24"/>
          <w:u w:color="000000"/>
          <w:bdr w:val="nil"/>
        </w:rPr>
        <w:t xml:space="preserve"> </w:t>
      </w:r>
      <w:r w:rsidR="003B13E7" w:rsidRPr="004D0F13">
        <w:rPr>
          <w:rFonts w:ascii="Times New Roman" w:eastAsia="Arial Unicode MS" w:hAnsi="Times New Roman" w:cs="Times New Roman"/>
          <w:bCs/>
          <w:color w:val="000000" w:themeColor="text1"/>
          <w:sz w:val="24"/>
          <w:szCs w:val="24"/>
          <w:u w:color="000000"/>
          <w:bdr w:val="nil"/>
        </w:rPr>
        <w:t xml:space="preserve">este organul central de specialitate responsabil de elaborarea și coordonarea politicilor publice în domeniul sănătății, de organizarea și reglementarea sistemului de servicii medicale (primare, spitalicești, de urgență, de reabilitare) și de asigurarea accesului echitabil al populației la servicii de sănătate de calitate. Ministerul stabilește prioritățile de sănătate publică, planifică și gestionează resursele financiare și umane din sectorul sănătății, aprobă standarde, norme și programe naționale de sănătate publică și exercită supravegherea modului în care instituțiile medico-sanitare publice și private respectă aceste reglementări.Din perspectiva reducerii riscurilor de dezastre și a riscurilor biologico-sociale, Ministerul Sănătății are un rol esențial în supravegherea stării de sănătate a populației, identificarea, evaluarea și comunicarea riscurilor pentru sănătate, coordonarea programelor de prevenire și control al bolilor transmisibile și netransmisibile, precum și în pregătirea și răspunsul la urgențe de sănătate publică și epidemii. Prin politicile sale și prin coordonarea instituțiilor din subordine (inclusiv </w:t>
      </w:r>
      <w:r w:rsidR="008D429B" w:rsidRPr="004D0F13">
        <w:rPr>
          <w:rFonts w:ascii="Times New Roman" w:eastAsia="Arial Unicode MS" w:hAnsi="Times New Roman" w:cs="Times New Roman"/>
          <w:bCs/>
          <w:color w:val="000000" w:themeColor="text1"/>
          <w:sz w:val="24"/>
          <w:szCs w:val="24"/>
          <w:u w:color="000000"/>
          <w:bdr w:val="nil"/>
        </w:rPr>
        <w:t xml:space="preserve">Agenția Națională pentru Sănătate Publică, Centrul Național de Asistență Medicală Urgentă Prespitalicească, </w:t>
      </w:r>
      <w:r w:rsidR="003B13E7" w:rsidRPr="004D0F13">
        <w:rPr>
          <w:rFonts w:ascii="Times New Roman" w:eastAsia="Arial Unicode MS" w:hAnsi="Times New Roman" w:cs="Times New Roman"/>
          <w:bCs/>
          <w:color w:val="000000" w:themeColor="text1"/>
          <w:sz w:val="24"/>
          <w:szCs w:val="24"/>
          <w:u w:color="000000"/>
          <w:bdr w:val="nil"/>
        </w:rPr>
        <w:t>instituțiile spitalicești), Ministerul contribuie la consolidarea rezilienței sistemului de sănătate, la implementarea Regulamentului Sanitar Internațional, la integrarea dimensiunii „sănătatea în toate politicile” și la cooperarea cu alte sectoare și cu CNMC în procesul de prevenire, pregătire, răspuns și recuperare în situații de criză.</w:t>
      </w:r>
    </w:p>
    <w:p w14:paraId="2712D070" w14:textId="5E653014" w:rsidR="00BD2281" w:rsidRPr="004D0F13" w:rsidRDefault="00BD2281" w:rsidP="00BD2281">
      <w:pPr>
        <w:pStyle w:val="ListParagraph"/>
        <w:numPr>
          <w:ilvl w:val="0"/>
          <w:numId w:val="51"/>
        </w:numPr>
        <w:pBdr>
          <w:top w:val="nil"/>
          <w:left w:val="nil"/>
          <w:bottom w:val="nil"/>
          <w:right w:val="nil"/>
          <w:between w:val="nil"/>
          <w:bar w:val="nil"/>
        </w:pBdr>
        <w:spacing w:after="120"/>
        <w:ind w:left="0" w:firstLine="284"/>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
          <w:color w:val="000000" w:themeColor="text1"/>
          <w:sz w:val="24"/>
          <w:szCs w:val="24"/>
          <w:u w:color="000000"/>
          <w:bdr w:val="nil"/>
        </w:rPr>
        <w:t>Agenția Națională pentru Sănătate Publică (ANSP)</w:t>
      </w:r>
      <w:r w:rsidRPr="004D0F13">
        <w:rPr>
          <w:rFonts w:ascii="Times New Roman" w:eastAsia="Arial Unicode MS" w:hAnsi="Times New Roman" w:cs="Times New Roman"/>
          <w:bCs/>
          <w:color w:val="000000" w:themeColor="text1"/>
          <w:sz w:val="24"/>
          <w:szCs w:val="24"/>
          <w:u w:color="000000"/>
          <w:bdr w:val="nil"/>
        </w:rPr>
        <w:t xml:space="preserve"> exercită supravegherea epidemiologică, monitorizarea riscurilor biologice, detecția timpurie și răspunsul la urgențele de sănătate publică, inclusiv prin Punctul Focal Național pentru Regulamentul Sanitar Internațional (RSI 2005). ANSP asigură emiterea alertelor, evaluarea riscurilor, coordonarea investigațiilor epidemiologice, gestionarea laboratoarelor de sănătate publică și sprijinul tehnic pentru CNESP si Ministerul Sănătății în procesul decizional</w:t>
      </w:r>
      <w:r w:rsidR="00EA7F3A" w:rsidRPr="004D0F13">
        <w:rPr>
          <w:rFonts w:ascii="Times New Roman" w:eastAsia="Arial Unicode MS" w:hAnsi="Times New Roman" w:cs="Times New Roman"/>
          <w:bCs/>
          <w:color w:val="000000" w:themeColor="text1"/>
          <w:sz w:val="24"/>
          <w:szCs w:val="24"/>
          <w:u w:color="000000"/>
          <w:bdr w:val="nil"/>
        </w:rPr>
        <w:t xml:space="preserve">. </w:t>
      </w:r>
    </w:p>
    <w:p w14:paraId="75FAA74A" w14:textId="77777777" w:rsidR="004D0F13" w:rsidRDefault="003B13E7" w:rsidP="00CB3ADF">
      <w:pPr>
        <w:pStyle w:val="ListParagraph"/>
        <w:numPr>
          <w:ilvl w:val="0"/>
          <w:numId w:val="51"/>
        </w:numPr>
        <w:pBdr>
          <w:top w:val="nil"/>
          <w:left w:val="nil"/>
          <w:bottom w:val="nil"/>
          <w:right w:val="nil"/>
          <w:between w:val="nil"/>
          <w:bar w:val="nil"/>
        </w:pBdr>
        <w:spacing w:after="120"/>
        <w:ind w:left="0" w:firstLine="284"/>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
          <w:color w:val="000000" w:themeColor="text1"/>
          <w:sz w:val="24"/>
          <w:szCs w:val="24"/>
          <w:u w:color="000000"/>
          <w:bdr w:val="nil"/>
        </w:rPr>
        <w:t>Agenția Națională pentru Siguranța Alimentelor (ANSA)</w:t>
      </w:r>
      <w:r w:rsidRPr="004D0F13">
        <w:rPr>
          <w:rFonts w:ascii="Times New Roman" w:eastAsia="Arial Unicode MS" w:hAnsi="Times New Roman" w:cs="Times New Roman"/>
          <w:bCs/>
          <w:color w:val="000000" w:themeColor="text1"/>
          <w:sz w:val="24"/>
          <w:szCs w:val="24"/>
          <w:u w:color="000000"/>
          <w:bdr w:val="nil"/>
        </w:rPr>
        <w:t xml:space="preserve"> este autoritatea administrativă centrală responsabilă pentru implementarea politicilor statului în domeniul siguranței alimentelor, sănătății și protecției animalelor, protecției plantelor, siguranței zootehnice și fitosanitare, precum și pentru garantarea calității produselor alimentare și a produselor vitivinicole. Prin exercitarea funcțiilor de supraveghere sanitar-veterinară, fitosanitară și de control oficial, ANSA previne și combată riscurile biologico-sanitare asociate lanțului alimentar, sănătății animalelor și culturilor agricole, asigurând protecția consumatorilor și integritatea pieței alimentare.</w:t>
      </w:r>
      <w:r w:rsidR="004D0F13" w:rsidRPr="004D0F13">
        <w:rPr>
          <w:rFonts w:ascii="Times New Roman" w:eastAsia="Arial Unicode MS" w:hAnsi="Times New Roman" w:cs="Times New Roman"/>
          <w:bCs/>
          <w:color w:val="000000" w:themeColor="text1"/>
          <w:sz w:val="24"/>
          <w:szCs w:val="24"/>
          <w:u w:color="000000"/>
          <w:bdr w:val="nil"/>
        </w:rPr>
        <w:t xml:space="preserve"> </w:t>
      </w:r>
      <w:r w:rsidRPr="004D0F13">
        <w:rPr>
          <w:rFonts w:ascii="Times New Roman" w:eastAsia="Arial Unicode MS" w:hAnsi="Times New Roman" w:cs="Times New Roman"/>
          <w:bCs/>
          <w:color w:val="000000" w:themeColor="text1"/>
          <w:sz w:val="24"/>
          <w:szCs w:val="24"/>
          <w:u w:color="000000"/>
          <w:bdr w:val="nil"/>
        </w:rPr>
        <w:t xml:space="preserve">Din perspectiva reducerii riscurilor de dezastre și a riscurilor biologico-sociale, ANSA joacă un rol critic în detectarea timpurie, </w:t>
      </w:r>
      <w:r w:rsidRPr="004D0F13">
        <w:rPr>
          <w:rFonts w:ascii="Times New Roman" w:eastAsia="Arial Unicode MS" w:hAnsi="Times New Roman" w:cs="Times New Roman"/>
          <w:bCs/>
          <w:color w:val="000000" w:themeColor="text1"/>
          <w:sz w:val="24"/>
          <w:szCs w:val="24"/>
          <w:u w:color="000000"/>
          <w:bdr w:val="nil"/>
        </w:rPr>
        <w:lastRenderedPageBreak/>
        <w:t>monitorizarea și controlul zoonozelor, epizootiilor, bolilor transmise prin alimente și contaminărilor de origine chimică sau biologică. Agenția coordonează rețeaua de laboratoare specializate, efectuează controale oficiale în producție și comerț, emite alerte și acte permisive, și colaborează cu instituțiile sectoriale și internaționale pentru gestionarea riscurilor alimentare și veterinare. Prin rețeaua sa teritorială și posturile de inspecție la frontieră, ANSA contribuie la prevenirea introducerii și răspândirii bolilor animale, la menținerea biosecurității și la protejarea sănătății publice,  funcții esențiale pentru implementarea PNRRDN.</w:t>
      </w:r>
      <w:r w:rsidR="004D0F13" w:rsidRPr="004D0F13">
        <w:rPr>
          <w:rFonts w:ascii="Times New Roman" w:eastAsia="Arial Unicode MS" w:hAnsi="Times New Roman" w:cs="Times New Roman"/>
          <w:bCs/>
          <w:color w:val="000000" w:themeColor="text1"/>
          <w:sz w:val="24"/>
          <w:szCs w:val="24"/>
          <w:u w:color="000000"/>
          <w:bdr w:val="nil"/>
        </w:rPr>
        <w:t xml:space="preserve"> </w:t>
      </w:r>
    </w:p>
    <w:p w14:paraId="43E444E6" w14:textId="387B8719" w:rsidR="00CB3ADF" w:rsidRPr="004D0F13" w:rsidRDefault="00BD2281" w:rsidP="00CB3ADF">
      <w:pPr>
        <w:pStyle w:val="ListParagraph"/>
        <w:numPr>
          <w:ilvl w:val="0"/>
          <w:numId w:val="51"/>
        </w:numPr>
        <w:pBdr>
          <w:top w:val="nil"/>
          <w:left w:val="nil"/>
          <w:bottom w:val="nil"/>
          <w:right w:val="nil"/>
          <w:between w:val="nil"/>
          <w:bar w:val="nil"/>
        </w:pBdr>
        <w:spacing w:after="120"/>
        <w:ind w:left="0" w:firstLine="284"/>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Cs/>
          <w:color w:val="000000" w:themeColor="text1"/>
          <w:sz w:val="24"/>
          <w:szCs w:val="24"/>
          <w:u w:color="000000"/>
          <w:bdr w:val="nil"/>
        </w:rPr>
        <w:t>Aceste instituții formează coloana vertebrală a răspunsului sanitar în RRD, având roluri definite în detectarea rapidă, gestionarea focarelor, protejarea populației vulnerabile și menținerea continuității serviciilor esențiale de sănătate.</w:t>
      </w:r>
      <w:r w:rsidR="004D0F13" w:rsidRPr="004D0F13">
        <w:rPr>
          <w:rFonts w:ascii="Times New Roman" w:eastAsia="Arial Unicode MS" w:hAnsi="Times New Roman" w:cs="Times New Roman"/>
          <w:bCs/>
          <w:color w:val="000000" w:themeColor="text1"/>
          <w:sz w:val="24"/>
          <w:szCs w:val="24"/>
          <w:u w:color="000000"/>
          <w:bdr w:val="nil"/>
        </w:rPr>
        <w:t xml:space="preserve"> </w:t>
      </w:r>
      <w:r w:rsidR="00C62511" w:rsidRPr="004D0F13">
        <w:rPr>
          <w:rFonts w:ascii="Times New Roman" w:eastAsia="Arial Unicode MS" w:hAnsi="Times New Roman" w:cs="Times New Roman"/>
          <w:bCs/>
          <w:color w:val="000000" w:themeColor="text1"/>
          <w:sz w:val="24"/>
          <w:szCs w:val="24"/>
          <w:u w:color="000000"/>
          <w:bdr w:val="nil"/>
        </w:rPr>
        <w:t xml:space="preserve">Funcțiile principale </w:t>
      </w:r>
      <w:r w:rsidR="00823AE9" w:rsidRPr="004D0F13">
        <w:rPr>
          <w:rFonts w:ascii="Times New Roman" w:eastAsia="Arial Unicode MS" w:hAnsi="Times New Roman" w:cs="Times New Roman"/>
          <w:bCs/>
          <w:color w:val="000000" w:themeColor="text1"/>
          <w:sz w:val="24"/>
          <w:szCs w:val="24"/>
          <w:u w:color="000000"/>
          <w:bdr w:val="nil"/>
        </w:rPr>
        <w:t>ale</w:t>
      </w:r>
      <w:r w:rsidR="00C62511" w:rsidRPr="004D0F13">
        <w:rPr>
          <w:rFonts w:ascii="Times New Roman" w:eastAsia="Arial Unicode MS" w:hAnsi="Times New Roman" w:cs="Times New Roman"/>
          <w:bCs/>
          <w:color w:val="000000" w:themeColor="text1"/>
          <w:sz w:val="24"/>
          <w:szCs w:val="24"/>
          <w:u w:color="000000"/>
          <w:bdr w:val="nil"/>
        </w:rPr>
        <w:t xml:space="preserve"> </w:t>
      </w:r>
      <w:r w:rsidR="00676D38" w:rsidRPr="004D0F13">
        <w:rPr>
          <w:rFonts w:ascii="Times New Roman" w:eastAsia="Arial Unicode MS" w:hAnsi="Times New Roman" w:cs="Times New Roman"/>
          <w:bCs/>
          <w:color w:val="000000" w:themeColor="text1"/>
          <w:sz w:val="24"/>
          <w:szCs w:val="24"/>
          <w:u w:color="000000"/>
          <w:bdr w:val="nil"/>
        </w:rPr>
        <w:t xml:space="preserve">altor ministere-cheie </w:t>
      </w:r>
      <w:r w:rsidR="00823AE9" w:rsidRPr="004D0F13">
        <w:rPr>
          <w:rFonts w:ascii="Times New Roman" w:eastAsia="Arial Unicode MS" w:hAnsi="Times New Roman" w:cs="Times New Roman"/>
          <w:bCs/>
          <w:color w:val="000000" w:themeColor="text1"/>
          <w:sz w:val="24"/>
          <w:szCs w:val="24"/>
          <w:u w:color="000000"/>
          <w:bdr w:val="nil"/>
        </w:rPr>
        <w:t>sunt</w:t>
      </w:r>
      <w:r w:rsidR="00676D38" w:rsidRPr="004D0F13">
        <w:rPr>
          <w:rFonts w:ascii="Times New Roman" w:eastAsia="Arial Unicode MS" w:hAnsi="Times New Roman" w:cs="Times New Roman"/>
          <w:bCs/>
          <w:color w:val="000000" w:themeColor="text1"/>
          <w:sz w:val="24"/>
          <w:szCs w:val="24"/>
          <w:u w:color="000000"/>
          <w:bdr w:val="nil"/>
        </w:rPr>
        <w:t xml:space="preserve"> descris</w:t>
      </w:r>
      <w:r w:rsidR="00823AE9" w:rsidRPr="004D0F13">
        <w:rPr>
          <w:rFonts w:ascii="Times New Roman" w:eastAsia="Arial Unicode MS" w:hAnsi="Times New Roman" w:cs="Times New Roman"/>
          <w:bCs/>
          <w:color w:val="000000" w:themeColor="text1"/>
          <w:sz w:val="24"/>
          <w:szCs w:val="24"/>
          <w:u w:color="000000"/>
          <w:bdr w:val="nil"/>
        </w:rPr>
        <w:t>e</w:t>
      </w:r>
      <w:r w:rsidR="00676D38" w:rsidRPr="004D0F13">
        <w:rPr>
          <w:rFonts w:ascii="Times New Roman" w:eastAsia="Arial Unicode MS" w:hAnsi="Times New Roman" w:cs="Times New Roman"/>
          <w:bCs/>
          <w:color w:val="000000" w:themeColor="text1"/>
          <w:sz w:val="24"/>
          <w:szCs w:val="24"/>
          <w:u w:color="000000"/>
          <w:bdr w:val="nil"/>
        </w:rPr>
        <w:t xml:space="preserve"> mai jos deoarece ele au un rol esențial </w:t>
      </w:r>
      <w:r w:rsidR="00823AE9" w:rsidRPr="004D0F13">
        <w:rPr>
          <w:rFonts w:ascii="Times New Roman" w:eastAsia="Arial Unicode MS" w:hAnsi="Times New Roman" w:cs="Times New Roman"/>
          <w:bCs/>
          <w:color w:val="000000" w:themeColor="text1"/>
          <w:sz w:val="24"/>
          <w:szCs w:val="24"/>
          <w:u w:color="000000"/>
          <w:bdr w:val="nil"/>
        </w:rPr>
        <w:t xml:space="preserve">în </w:t>
      </w:r>
      <w:r w:rsidR="00676D38" w:rsidRPr="004D0F13">
        <w:rPr>
          <w:rFonts w:ascii="Times New Roman" w:eastAsia="Arial Unicode MS" w:hAnsi="Times New Roman" w:cs="Times New Roman"/>
          <w:bCs/>
          <w:color w:val="000000" w:themeColor="text1"/>
          <w:sz w:val="24"/>
          <w:szCs w:val="24"/>
          <w:u w:color="000000"/>
          <w:bdr w:val="nil"/>
        </w:rPr>
        <w:t>integrarea riscurilor de dezastre naturale si biologico-sociale la nivel sectorial însă ele nu au atribuții directe în implementarea PNRRDN.</w:t>
      </w:r>
    </w:p>
    <w:p w14:paraId="786CD6E7" w14:textId="56454376" w:rsidR="00CB3ADF" w:rsidRPr="004D0F13" w:rsidRDefault="00CB3ADF" w:rsidP="00CB3ADF">
      <w:pPr>
        <w:pStyle w:val="ListParagraph"/>
        <w:numPr>
          <w:ilvl w:val="0"/>
          <w:numId w:val="51"/>
        </w:numPr>
        <w:pBdr>
          <w:top w:val="nil"/>
          <w:left w:val="nil"/>
          <w:bottom w:val="nil"/>
          <w:right w:val="nil"/>
          <w:between w:val="nil"/>
          <w:bar w:val="nil"/>
        </w:pBdr>
        <w:spacing w:after="120"/>
        <w:ind w:left="0" w:firstLine="284"/>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
          <w:color w:val="000000" w:themeColor="text1"/>
          <w:sz w:val="24"/>
          <w:szCs w:val="24"/>
          <w:u w:color="000000"/>
          <w:bdr w:val="nil"/>
        </w:rPr>
        <w:t>Ministerul Afacerilor Interne</w:t>
      </w:r>
      <w:r w:rsidR="00676D38" w:rsidRPr="004D0F13">
        <w:rPr>
          <w:rFonts w:ascii="Times New Roman" w:eastAsia="Arial Unicode MS" w:hAnsi="Times New Roman" w:cs="Times New Roman"/>
          <w:b/>
          <w:color w:val="000000" w:themeColor="text1"/>
          <w:sz w:val="24"/>
          <w:szCs w:val="24"/>
          <w:u w:color="000000"/>
          <w:bdr w:val="nil"/>
        </w:rPr>
        <w:t xml:space="preserve"> (MAI)</w:t>
      </w:r>
      <w:r w:rsidRPr="004D0F13">
        <w:rPr>
          <w:rFonts w:ascii="Times New Roman" w:eastAsia="Arial Unicode MS" w:hAnsi="Times New Roman" w:cs="Times New Roman"/>
          <w:b/>
          <w:color w:val="000000" w:themeColor="text1"/>
          <w:sz w:val="24"/>
          <w:szCs w:val="24"/>
          <w:u w:color="000000"/>
          <w:bdr w:val="nil"/>
        </w:rPr>
        <w:t>, prin Inspectoratul General pentru Situații de Urgență (IGSU</w:t>
      </w:r>
      <w:r w:rsidRPr="004D0F13">
        <w:rPr>
          <w:rFonts w:ascii="Times New Roman" w:eastAsia="Arial Unicode MS" w:hAnsi="Times New Roman" w:cs="Times New Roman"/>
          <w:bCs/>
          <w:color w:val="000000" w:themeColor="text1"/>
          <w:sz w:val="24"/>
          <w:szCs w:val="24"/>
          <w:u w:color="000000"/>
          <w:bdr w:val="nil"/>
        </w:rPr>
        <w:t>), este autoritatea principală pentru managementul situațiilor de urgență, protecția civilă, prevenirea și lichidarea consecințelor dezastrelor naturale, tehnogene și biologico-sociale. IGSU coordonează sistemul național de răspuns, conduce operațiunile de intervenție, gestionează centrele operative și structurile teritoriale, coordonează Comisiile pentru Situații Excepționale și asigură activitatea 24/7 a serviciilor de pompieri, salvatori și căutare-salvare. IGSU este instituția-cheie pentru aplicarea principiului subsidiarității în intervenții și pentru cooperarea directă cu autoritățile locale, CNMC, serviciile de ordine publică și instituțiile sectorial</w:t>
      </w:r>
      <w:r w:rsidR="00676D38" w:rsidRPr="004D0F13">
        <w:rPr>
          <w:rFonts w:ascii="Times New Roman" w:eastAsia="Arial Unicode MS" w:hAnsi="Times New Roman" w:cs="Times New Roman"/>
          <w:bCs/>
          <w:color w:val="000000" w:themeColor="text1"/>
          <w:sz w:val="24"/>
          <w:szCs w:val="24"/>
          <w:u w:color="000000"/>
          <w:bdr w:val="nil"/>
        </w:rPr>
        <w:t>.</w:t>
      </w:r>
    </w:p>
    <w:p w14:paraId="1BFE595C" w14:textId="7CE66042" w:rsidR="00CB3ADF" w:rsidRPr="004D0F13" w:rsidRDefault="00CB3ADF" w:rsidP="00CB3ADF">
      <w:pPr>
        <w:pStyle w:val="ListParagraph"/>
        <w:numPr>
          <w:ilvl w:val="0"/>
          <w:numId w:val="51"/>
        </w:numPr>
        <w:pBdr>
          <w:top w:val="nil"/>
          <w:left w:val="nil"/>
          <w:bottom w:val="nil"/>
          <w:right w:val="nil"/>
          <w:between w:val="nil"/>
          <w:bar w:val="nil"/>
        </w:pBdr>
        <w:spacing w:after="120"/>
        <w:ind w:left="0" w:firstLine="284"/>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
          <w:color w:val="000000" w:themeColor="text1"/>
          <w:sz w:val="24"/>
          <w:szCs w:val="24"/>
          <w:u w:color="000000"/>
          <w:bdr w:val="nil"/>
        </w:rPr>
        <w:t>Ministerul Infrastructurii și Dezvoltării Regionale</w:t>
      </w:r>
      <w:r w:rsidR="00676D38" w:rsidRPr="004D0F13">
        <w:rPr>
          <w:rFonts w:ascii="Times New Roman" w:eastAsia="Arial Unicode MS" w:hAnsi="Times New Roman" w:cs="Times New Roman"/>
          <w:b/>
          <w:color w:val="000000" w:themeColor="text1"/>
          <w:sz w:val="24"/>
          <w:szCs w:val="24"/>
          <w:u w:color="000000"/>
          <w:bdr w:val="nil"/>
        </w:rPr>
        <w:t xml:space="preserve"> (MIRD)</w:t>
      </w:r>
      <w:r w:rsidRPr="004D0F13">
        <w:rPr>
          <w:rFonts w:ascii="Times New Roman" w:eastAsia="Arial Unicode MS" w:hAnsi="Times New Roman" w:cs="Times New Roman"/>
          <w:bCs/>
          <w:color w:val="000000" w:themeColor="text1"/>
          <w:sz w:val="24"/>
          <w:szCs w:val="24"/>
          <w:u w:color="000000"/>
          <w:bdr w:val="nil"/>
        </w:rPr>
        <w:t xml:space="preserve"> are un rol critic în gestionarea riscurilor asociate infrastructurilor critice</w:t>
      </w:r>
      <w:r w:rsidR="00676D38" w:rsidRPr="004D0F13">
        <w:rPr>
          <w:rFonts w:ascii="Times New Roman" w:eastAsia="Arial Unicode MS" w:hAnsi="Times New Roman" w:cs="Times New Roman"/>
          <w:bCs/>
          <w:color w:val="000000" w:themeColor="text1"/>
          <w:sz w:val="24"/>
          <w:szCs w:val="24"/>
          <w:u w:color="000000"/>
          <w:bdr w:val="nil"/>
        </w:rPr>
        <w:t xml:space="preserve">. </w:t>
      </w:r>
      <w:r w:rsidRPr="004D0F13">
        <w:rPr>
          <w:rFonts w:ascii="Times New Roman" w:eastAsia="Arial Unicode MS" w:hAnsi="Times New Roman" w:cs="Times New Roman"/>
          <w:bCs/>
          <w:color w:val="000000" w:themeColor="text1"/>
          <w:sz w:val="24"/>
          <w:szCs w:val="24"/>
          <w:u w:color="000000"/>
          <w:bdr w:val="nil"/>
        </w:rPr>
        <w:t>Prin Inspectoratul Național pentru Supraveghere Tehnică (INSP), ministerul asigură supravegherea siguranței industriale, verificarea conformității tehnice, supravegherea produselor nealimentare, controlul infrastructurii din construcții, geodezie și cartografie, precum și supravegherea de stat în domeniul protecției civile și al măsurilor contra incendiilor. MIDR contribuie la prevenirea colapsului infrastructurii, la reducerea riscurilor tehnologice și la planificarea urbană rezilientă, fiind actor esențial în evaluarea vulnerabilităților infrastructurale integrate în evaluarea națională de risc.</w:t>
      </w:r>
    </w:p>
    <w:p w14:paraId="07B6E130" w14:textId="2C7D1174" w:rsidR="00CB3ADF" w:rsidRPr="004D0F13" w:rsidRDefault="00CB3ADF" w:rsidP="00CB3ADF">
      <w:pPr>
        <w:pStyle w:val="ListParagraph"/>
        <w:numPr>
          <w:ilvl w:val="0"/>
          <w:numId w:val="51"/>
        </w:numPr>
        <w:pBdr>
          <w:top w:val="nil"/>
          <w:left w:val="nil"/>
          <w:bottom w:val="nil"/>
          <w:right w:val="nil"/>
          <w:between w:val="nil"/>
          <w:bar w:val="nil"/>
        </w:pBdr>
        <w:spacing w:after="120"/>
        <w:ind w:left="0" w:firstLine="284"/>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
          <w:color w:val="000000" w:themeColor="text1"/>
          <w:sz w:val="24"/>
          <w:szCs w:val="24"/>
          <w:u w:color="000000"/>
          <w:bdr w:val="nil"/>
        </w:rPr>
        <w:t>Ministerul Energiei</w:t>
      </w:r>
      <w:r w:rsidRPr="004D0F13">
        <w:rPr>
          <w:rFonts w:ascii="Times New Roman" w:eastAsia="Arial Unicode MS" w:hAnsi="Times New Roman" w:cs="Times New Roman"/>
          <w:bCs/>
          <w:color w:val="000000" w:themeColor="text1"/>
          <w:sz w:val="24"/>
          <w:szCs w:val="24"/>
          <w:u w:color="000000"/>
          <w:bdr w:val="nil"/>
        </w:rPr>
        <w:t xml:space="preserve"> </w:t>
      </w:r>
      <w:r w:rsidR="0078027E" w:rsidRPr="004D0F13">
        <w:rPr>
          <w:rFonts w:ascii="Times New Roman" w:eastAsia="Arial Unicode MS" w:hAnsi="Times New Roman" w:cs="Times New Roman"/>
          <w:b/>
          <w:color w:val="000000" w:themeColor="text1"/>
          <w:sz w:val="24"/>
          <w:szCs w:val="24"/>
          <w:u w:color="000000"/>
          <w:bdr w:val="nil"/>
        </w:rPr>
        <w:t>(ME)</w:t>
      </w:r>
      <w:r w:rsidR="0078027E" w:rsidRPr="004D0F13">
        <w:rPr>
          <w:rFonts w:ascii="Times New Roman" w:eastAsia="Arial Unicode MS" w:hAnsi="Times New Roman" w:cs="Times New Roman"/>
          <w:bCs/>
          <w:color w:val="000000" w:themeColor="text1"/>
          <w:sz w:val="24"/>
          <w:szCs w:val="24"/>
          <w:u w:color="000000"/>
          <w:bdr w:val="nil"/>
        </w:rPr>
        <w:t xml:space="preserve"> </w:t>
      </w:r>
      <w:r w:rsidRPr="004D0F13">
        <w:rPr>
          <w:rFonts w:ascii="Times New Roman" w:eastAsia="Arial Unicode MS" w:hAnsi="Times New Roman" w:cs="Times New Roman"/>
          <w:bCs/>
          <w:color w:val="000000" w:themeColor="text1"/>
          <w:sz w:val="24"/>
          <w:szCs w:val="24"/>
          <w:u w:color="000000"/>
          <w:bdr w:val="nil"/>
        </w:rPr>
        <w:t>contribuie la RRD prin asigurarea continuității serviciilor energetice în situații de criză, coordonarea securității infrastructurii energetice critice, promovarea măsurilor de eficiență energetică și protejarea rețelelor în fața riscurilor naturale (vânt puternic, îngheț, inundații</w:t>
      </w:r>
      <w:r w:rsidR="00676D38" w:rsidRPr="004D0F13">
        <w:rPr>
          <w:rFonts w:ascii="Times New Roman" w:eastAsia="Arial Unicode MS" w:hAnsi="Times New Roman" w:cs="Times New Roman"/>
          <w:bCs/>
          <w:color w:val="000000" w:themeColor="text1"/>
          <w:sz w:val="24"/>
          <w:szCs w:val="24"/>
          <w:u w:color="000000"/>
          <w:bdr w:val="nil"/>
        </w:rPr>
        <w:t>, temperaturi extreme</w:t>
      </w:r>
      <w:r w:rsidRPr="004D0F13">
        <w:rPr>
          <w:rFonts w:ascii="Times New Roman" w:eastAsia="Arial Unicode MS" w:hAnsi="Times New Roman" w:cs="Times New Roman"/>
          <w:bCs/>
          <w:color w:val="000000" w:themeColor="text1"/>
          <w:sz w:val="24"/>
          <w:szCs w:val="24"/>
          <w:u w:color="000000"/>
          <w:bdr w:val="nil"/>
        </w:rPr>
        <w:t>) și tehnologice. Ministerul coordonează operatorii de sistem, reglementează planurile de continuitate și contribuie la planificarea capacităților de rezervă și a mecanismelor de protecție pentru infrastructura energetică.</w:t>
      </w:r>
    </w:p>
    <w:p w14:paraId="00334295" w14:textId="5EA5C25C" w:rsidR="00CB3ADF" w:rsidRPr="004D0F13" w:rsidRDefault="00CB3ADF" w:rsidP="00CB3ADF">
      <w:pPr>
        <w:pStyle w:val="ListParagraph"/>
        <w:numPr>
          <w:ilvl w:val="0"/>
          <w:numId w:val="51"/>
        </w:numPr>
        <w:pBdr>
          <w:top w:val="nil"/>
          <w:left w:val="nil"/>
          <w:bottom w:val="nil"/>
          <w:right w:val="nil"/>
          <w:between w:val="nil"/>
          <w:bar w:val="nil"/>
        </w:pBdr>
        <w:spacing w:after="120"/>
        <w:ind w:left="0" w:firstLine="284"/>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
          <w:color w:val="000000" w:themeColor="text1"/>
          <w:sz w:val="24"/>
          <w:szCs w:val="24"/>
          <w:u w:color="000000"/>
          <w:bdr w:val="nil"/>
        </w:rPr>
        <w:t>Ministerul Agriculturii și Industriei Alimentare</w:t>
      </w:r>
      <w:r w:rsidR="0078027E" w:rsidRPr="004D0F13">
        <w:rPr>
          <w:rFonts w:ascii="Times New Roman" w:eastAsia="Arial Unicode MS" w:hAnsi="Times New Roman" w:cs="Times New Roman"/>
          <w:b/>
          <w:color w:val="000000" w:themeColor="text1"/>
          <w:sz w:val="24"/>
          <w:szCs w:val="24"/>
          <w:u w:color="000000"/>
          <w:bdr w:val="nil"/>
        </w:rPr>
        <w:t xml:space="preserve"> (</w:t>
      </w:r>
      <w:r w:rsidRPr="004D0F13">
        <w:rPr>
          <w:rFonts w:ascii="Times New Roman" w:eastAsia="Arial Unicode MS" w:hAnsi="Times New Roman" w:cs="Times New Roman"/>
          <w:b/>
          <w:color w:val="000000" w:themeColor="text1"/>
          <w:sz w:val="24"/>
          <w:szCs w:val="24"/>
          <w:u w:color="000000"/>
          <w:bdr w:val="nil"/>
        </w:rPr>
        <w:t>MAI</w:t>
      </w:r>
      <w:r w:rsidR="00676D38" w:rsidRPr="004D0F13">
        <w:rPr>
          <w:rFonts w:ascii="Times New Roman" w:eastAsia="Arial Unicode MS" w:hAnsi="Times New Roman" w:cs="Times New Roman"/>
          <w:b/>
          <w:color w:val="000000" w:themeColor="text1"/>
          <w:sz w:val="24"/>
          <w:szCs w:val="24"/>
          <w:u w:color="000000"/>
          <w:bdr w:val="nil"/>
        </w:rPr>
        <w:t>A</w:t>
      </w:r>
      <w:r w:rsidR="0078027E" w:rsidRPr="004D0F13">
        <w:rPr>
          <w:rFonts w:ascii="Times New Roman" w:eastAsia="Arial Unicode MS" w:hAnsi="Times New Roman" w:cs="Times New Roman"/>
          <w:b/>
          <w:color w:val="000000" w:themeColor="text1"/>
          <w:sz w:val="24"/>
          <w:szCs w:val="24"/>
          <w:u w:color="000000"/>
          <w:bdr w:val="nil"/>
        </w:rPr>
        <w:t>)</w:t>
      </w:r>
      <w:r w:rsidR="00676D38" w:rsidRPr="004D0F13">
        <w:rPr>
          <w:rFonts w:ascii="Times New Roman" w:eastAsia="Arial Unicode MS" w:hAnsi="Times New Roman" w:cs="Times New Roman"/>
          <w:b/>
          <w:color w:val="000000" w:themeColor="text1"/>
          <w:sz w:val="24"/>
          <w:szCs w:val="24"/>
          <w:u w:color="000000"/>
          <w:bdr w:val="nil"/>
        </w:rPr>
        <w:t>,</w:t>
      </w:r>
      <w:r w:rsidR="00676D38" w:rsidRPr="004D0F13">
        <w:rPr>
          <w:rFonts w:ascii="Times New Roman" w:eastAsia="Arial Unicode MS" w:hAnsi="Times New Roman" w:cs="Times New Roman"/>
          <w:bCs/>
          <w:color w:val="000000" w:themeColor="text1"/>
          <w:sz w:val="24"/>
          <w:szCs w:val="24"/>
          <w:u w:color="000000"/>
          <w:bdr w:val="nil"/>
        </w:rPr>
        <w:t xml:space="preserve"> </w:t>
      </w:r>
      <w:r w:rsidRPr="004D0F13">
        <w:rPr>
          <w:rFonts w:ascii="Times New Roman" w:eastAsia="Arial Unicode MS" w:hAnsi="Times New Roman" w:cs="Times New Roman"/>
          <w:bCs/>
          <w:color w:val="000000" w:themeColor="text1"/>
          <w:sz w:val="24"/>
          <w:szCs w:val="24"/>
          <w:u w:color="000000"/>
          <w:bdr w:val="nil"/>
        </w:rPr>
        <w:t>gestionează riscurile legate de securitatea alimentară, agricultură, riscuri climatice (secetă, inundații), degradarea terenurilor și sănătatea animală. Prin colaborarea strânsă cu ANSA și alte instituții, ministerul coordonează programe de prevenire a epizootiilor, adaptarea agriculturii la schimbările climatice, utilizarea durabilă a resurselor naturale și asigurarea continuității lanțurilor alimentare. MAIA este un actor crucial în prevenirea șocurilor alimentare și a riscurilor biologico-sanitare cu impact transsectorial.</w:t>
      </w:r>
    </w:p>
    <w:p w14:paraId="561DA9F7" w14:textId="74518FB4" w:rsidR="00982345" w:rsidRPr="004D0F13" w:rsidRDefault="00CB3ADF" w:rsidP="004325A0">
      <w:pPr>
        <w:pStyle w:val="ListParagraph"/>
        <w:numPr>
          <w:ilvl w:val="0"/>
          <w:numId w:val="51"/>
        </w:numPr>
        <w:pBdr>
          <w:top w:val="nil"/>
          <w:left w:val="nil"/>
          <w:bottom w:val="nil"/>
          <w:right w:val="nil"/>
          <w:between w:val="nil"/>
          <w:bar w:val="nil"/>
        </w:pBdr>
        <w:spacing w:after="120"/>
        <w:ind w:left="0" w:firstLine="284"/>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
          <w:color w:val="000000" w:themeColor="text1"/>
          <w:sz w:val="24"/>
          <w:szCs w:val="24"/>
          <w:u w:color="000000"/>
          <w:bdr w:val="nil"/>
        </w:rPr>
        <w:t>Ministerul Educației și Cercetării</w:t>
      </w:r>
      <w:r w:rsidR="00823AE9" w:rsidRPr="004D0F13">
        <w:rPr>
          <w:rFonts w:ascii="Times New Roman" w:eastAsia="Arial Unicode MS" w:hAnsi="Times New Roman" w:cs="Times New Roman"/>
          <w:b/>
          <w:color w:val="000000" w:themeColor="text1"/>
          <w:sz w:val="24"/>
          <w:szCs w:val="24"/>
          <w:u w:color="000000"/>
          <w:bdr w:val="nil"/>
        </w:rPr>
        <w:t xml:space="preserve"> (MEC)</w:t>
      </w:r>
      <w:r w:rsidR="0078027E" w:rsidRPr="004D0F13">
        <w:rPr>
          <w:rFonts w:ascii="Times New Roman" w:eastAsia="Arial Unicode MS" w:hAnsi="Times New Roman" w:cs="Times New Roman"/>
          <w:bCs/>
          <w:color w:val="000000" w:themeColor="text1"/>
          <w:sz w:val="24"/>
          <w:szCs w:val="24"/>
          <w:u w:color="000000"/>
          <w:bdr w:val="nil"/>
        </w:rPr>
        <w:t xml:space="preserve">, din perspectiva PNRRDN, Ministerul </w:t>
      </w:r>
      <w:r w:rsidRPr="004D0F13">
        <w:rPr>
          <w:rFonts w:ascii="Times New Roman" w:eastAsia="Arial Unicode MS" w:hAnsi="Times New Roman" w:cs="Times New Roman"/>
          <w:bCs/>
          <w:color w:val="000000" w:themeColor="text1"/>
          <w:sz w:val="24"/>
          <w:szCs w:val="24"/>
          <w:u w:color="000000"/>
          <w:bdr w:val="nil"/>
        </w:rPr>
        <w:t xml:space="preserve">are un rol transversal în consolidarea capacității societății de a preveni și gestiona riscurile, prin educația pentru </w:t>
      </w:r>
      <w:r w:rsidR="0078027E" w:rsidRPr="004D0F13">
        <w:rPr>
          <w:rFonts w:ascii="Times New Roman" w:eastAsia="Arial Unicode MS" w:hAnsi="Times New Roman" w:cs="Times New Roman"/>
          <w:bCs/>
          <w:color w:val="000000" w:themeColor="text1"/>
          <w:sz w:val="24"/>
          <w:szCs w:val="24"/>
          <w:u w:color="000000"/>
          <w:bdr w:val="nil"/>
        </w:rPr>
        <w:t xml:space="preserve">prevenire, pregătire, răspuns si recuperare, </w:t>
      </w:r>
      <w:r w:rsidRPr="004D0F13">
        <w:rPr>
          <w:rFonts w:ascii="Times New Roman" w:eastAsia="Arial Unicode MS" w:hAnsi="Times New Roman" w:cs="Times New Roman"/>
          <w:bCs/>
          <w:color w:val="000000" w:themeColor="text1"/>
          <w:sz w:val="24"/>
          <w:szCs w:val="24"/>
          <w:u w:color="000000"/>
          <w:bdr w:val="nil"/>
        </w:rPr>
        <w:t xml:space="preserve">promovarea culturii de siguranță în școli, dezvoltarea competențelor științifice pentru înțelegerea riscurilor naturale și biologico-sociale și coordonarea activităților de cercetare relevante pentru RRD. MEC </w:t>
      </w:r>
      <w:r w:rsidR="002A7E19" w:rsidRPr="004D0F13">
        <w:rPr>
          <w:rFonts w:ascii="Times New Roman" w:eastAsia="Arial Unicode MS" w:hAnsi="Times New Roman" w:cs="Times New Roman"/>
          <w:bCs/>
          <w:color w:val="000000" w:themeColor="text1"/>
          <w:sz w:val="24"/>
          <w:szCs w:val="24"/>
          <w:u w:color="000000"/>
          <w:bdr w:val="nil"/>
        </w:rPr>
        <w:t xml:space="preserve">poate sa </w:t>
      </w:r>
      <w:r w:rsidRPr="004D0F13">
        <w:rPr>
          <w:rFonts w:ascii="Times New Roman" w:eastAsia="Arial Unicode MS" w:hAnsi="Times New Roman" w:cs="Times New Roman"/>
          <w:bCs/>
          <w:color w:val="000000" w:themeColor="text1"/>
          <w:sz w:val="24"/>
          <w:szCs w:val="24"/>
          <w:u w:color="000000"/>
          <w:bdr w:val="nil"/>
        </w:rPr>
        <w:t>contribuie la reducerea vulnerabilităților sociale, la educarea populației și la dezvoltarea unui cadru științific pentru luarea deciziilor.</w:t>
      </w:r>
    </w:p>
    <w:p w14:paraId="213BC5E9" w14:textId="0DD87E98" w:rsidR="000E3D1E" w:rsidRPr="004D0F13" w:rsidRDefault="000E3D1E" w:rsidP="00392C6D">
      <w:pPr>
        <w:pStyle w:val="ListParagraph"/>
        <w:numPr>
          <w:ilvl w:val="0"/>
          <w:numId w:val="51"/>
        </w:numPr>
        <w:pBdr>
          <w:top w:val="nil"/>
          <w:left w:val="nil"/>
          <w:bottom w:val="nil"/>
          <w:right w:val="nil"/>
          <w:between w:val="nil"/>
          <w:bar w:val="nil"/>
        </w:pBdr>
        <w:spacing w:after="0"/>
        <w:ind w:left="0" w:firstLine="284"/>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Cs/>
          <w:color w:val="000000" w:themeColor="text1"/>
          <w:sz w:val="24"/>
          <w:szCs w:val="24"/>
          <w:u w:color="000000"/>
          <w:bdr w:val="nil"/>
        </w:rPr>
        <w:lastRenderedPageBreak/>
        <w:t xml:space="preserve">Autoritățile administrației publice locale (APL) reprezintă un pilon esențial în arhitectura națională de prevenire, pregătire, răspuns și recuperare în situații de criză, iar rolul lor va fi consolidat semnificativ odată cu adoptarea Legii privind managementul situațiilor de criză nr. </w:t>
      </w:r>
      <w:r w:rsidR="00961D38" w:rsidRPr="004D0F13">
        <w:rPr>
          <w:rFonts w:ascii="Times New Roman" w:eastAsia="Arial Unicode MS" w:hAnsi="Times New Roman" w:cs="Times New Roman"/>
          <w:bCs/>
          <w:color w:val="000000" w:themeColor="text1"/>
          <w:sz w:val="24"/>
          <w:szCs w:val="24"/>
          <w:u w:color="000000"/>
          <w:bdr w:val="nil"/>
        </w:rPr>
        <w:t>2</w:t>
      </w:r>
      <w:r w:rsidRPr="004D0F13">
        <w:rPr>
          <w:rFonts w:ascii="Times New Roman" w:eastAsia="Arial Unicode MS" w:hAnsi="Times New Roman" w:cs="Times New Roman"/>
          <w:bCs/>
          <w:color w:val="000000" w:themeColor="text1"/>
          <w:sz w:val="24"/>
          <w:szCs w:val="24"/>
          <w:u w:color="000000"/>
          <w:bdr w:val="nil"/>
        </w:rPr>
        <w:t>84/2025</w:t>
      </w:r>
      <w:r w:rsidR="00961D38" w:rsidRPr="004D0F13">
        <w:rPr>
          <w:rStyle w:val="FootnoteReference"/>
          <w:rFonts w:ascii="Times New Roman" w:eastAsia="Arial Unicode MS" w:hAnsi="Times New Roman" w:cs="Times New Roman"/>
          <w:bCs/>
          <w:color w:val="000000" w:themeColor="text1"/>
          <w:sz w:val="24"/>
          <w:szCs w:val="24"/>
          <w:u w:color="000000"/>
          <w:bdr w:val="nil"/>
        </w:rPr>
        <w:footnoteReference w:id="44"/>
      </w:r>
      <w:r w:rsidRPr="004D0F13">
        <w:rPr>
          <w:rFonts w:ascii="Times New Roman" w:eastAsia="Arial Unicode MS" w:hAnsi="Times New Roman" w:cs="Times New Roman"/>
          <w:bCs/>
          <w:color w:val="000000" w:themeColor="text1"/>
          <w:sz w:val="24"/>
          <w:szCs w:val="24"/>
          <w:u w:color="000000"/>
          <w:bdr w:val="nil"/>
        </w:rPr>
        <w:t>.</w:t>
      </w:r>
    </w:p>
    <w:p w14:paraId="0D243FAF" w14:textId="77777777" w:rsidR="000E3D1E" w:rsidRPr="004D0F13" w:rsidRDefault="000E3D1E" w:rsidP="00392C6D">
      <w:pPr>
        <w:pBdr>
          <w:top w:val="nil"/>
          <w:left w:val="nil"/>
          <w:bottom w:val="nil"/>
          <w:right w:val="nil"/>
          <w:between w:val="nil"/>
          <w:bar w:val="nil"/>
        </w:pBdr>
        <w:jc w:val="both"/>
        <w:rPr>
          <w:rFonts w:eastAsia="Arial Unicode MS"/>
          <w:bCs/>
          <w:u w:color="000000"/>
          <w:bdr w:val="nil"/>
        </w:rPr>
      </w:pPr>
      <w:r w:rsidRPr="004D0F13">
        <w:rPr>
          <w:rFonts w:eastAsia="Arial Unicode MS"/>
          <w:bCs/>
          <w:u w:color="000000"/>
          <w:bdr w:val="nil"/>
        </w:rPr>
        <w:t>Conform noii legi, APL-urile vor avea următoarele obligații instituționale:</w:t>
      </w:r>
    </w:p>
    <w:p w14:paraId="5861B172" w14:textId="77777777" w:rsidR="000E3D1E" w:rsidRPr="004D0F13" w:rsidRDefault="000E3D1E">
      <w:pPr>
        <w:pStyle w:val="ListParagraph"/>
        <w:numPr>
          <w:ilvl w:val="0"/>
          <w:numId w:val="20"/>
        </w:numPr>
        <w:pBdr>
          <w:top w:val="nil"/>
          <w:left w:val="nil"/>
          <w:bottom w:val="nil"/>
          <w:right w:val="nil"/>
          <w:between w:val="nil"/>
          <w:bar w:val="nil"/>
        </w:pBdr>
        <w:spacing w:after="120"/>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Cs/>
          <w:color w:val="000000" w:themeColor="text1"/>
          <w:sz w:val="24"/>
          <w:szCs w:val="24"/>
          <w:u w:color="000000"/>
          <w:bdr w:val="nil"/>
        </w:rPr>
        <w:t>Constituirea Comisiilor locale de management al situațiilor de criză, ca structuri permanente de decizie la nivel local,</w:t>
      </w:r>
    </w:p>
    <w:p w14:paraId="770FC103" w14:textId="0D1743FD" w:rsidR="000E3D1E" w:rsidRPr="004D0F13" w:rsidRDefault="000E3D1E">
      <w:pPr>
        <w:pStyle w:val="ListParagraph"/>
        <w:numPr>
          <w:ilvl w:val="0"/>
          <w:numId w:val="20"/>
        </w:numPr>
        <w:pBdr>
          <w:top w:val="nil"/>
          <w:left w:val="nil"/>
          <w:bottom w:val="nil"/>
          <w:right w:val="nil"/>
          <w:between w:val="nil"/>
          <w:bar w:val="nil"/>
        </w:pBdr>
        <w:spacing w:after="120"/>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Cs/>
          <w:color w:val="000000" w:themeColor="text1"/>
          <w:sz w:val="24"/>
          <w:szCs w:val="24"/>
          <w:u w:color="000000"/>
          <w:bdr w:val="nil"/>
        </w:rPr>
        <w:t xml:space="preserve">Înființarea Centrelor Operaționale de Coordonare (COC) în cadrul primăriilor și consiliilor raionale, inclusiv desemnarea unui punct de contact 24/7 pentru alertare și </w:t>
      </w:r>
      <w:r w:rsidR="00217E68" w:rsidRPr="004D0F13">
        <w:rPr>
          <w:rFonts w:ascii="Times New Roman" w:eastAsia="Arial Unicode MS" w:hAnsi="Times New Roman" w:cs="Times New Roman"/>
          <w:bCs/>
          <w:color w:val="000000" w:themeColor="text1"/>
          <w:sz w:val="24"/>
          <w:szCs w:val="24"/>
          <w:u w:color="000000"/>
          <w:bdr w:val="nil"/>
        </w:rPr>
        <w:t>intervenții</w:t>
      </w:r>
      <w:r w:rsidRPr="004D0F13">
        <w:rPr>
          <w:rFonts w:ascii="Times New Roman" w:eastAsia="Arial Unicode MS" w:hAnsi="Times New Roman" w:cs="Times New Roman"/>
          <w:bCs/>
          <w:color w:val="000000" w:themeColor="text1"/>
          <w:sz w:val="24"/>
          <w:szCs w:val="24"/>
          <w:u w:color="000000"/>
          <w:bdr w:val="nil"/>
        </w:rPr>
        <w:t xml:space="preserve">, </w:t>
      </w:r>
    </w:p>
    <w:p w14:paraId="0852E4EB" w14:textId="77777777" w:rsidR="000E3D1E" w:rsidRPr="004D0F13" w:rsidRDefault="000E3D1E">
      <w:pPr>
        <w:pStyle w:val="ListParagraph"/>
        <w:numPr>
          <w:ilvl w:val="0"/>
          <w:numId w:val="20"/>
        </w:numPr>
        <w:pBdr>
          <w:top w:val="nil"/>
          <w:left w:val="nil"/>
          <w:bottom w:val="nil"/>
          <w:right w:val="nil"/>
          <w:between w:val="nil"/>
          <w:bar w:val="nil"/>
        </w:pBdr>
        <w:spacing w:after="120"/>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Cs/>
          <w:color w:val="000000" w:themeColor="text1"/>
          <w:sz w:val="24"/>
          <w:szCs w:val="24"/>
          <w:u w:color="000000"/>
          <w:bdr w:val="nil"/>
        </w:rPr>
        <w:t xml:space="preserve">Elaborarea și actualizarea planurilor locale de pregătire și răspuns la situații de criză, în corelare cu Planul Național de Management al Crizelor, </w:t>
      </w:r>
    </w:p>
    <w:p w14:paraId="78CD6A35" w14:textId="77777777" w:rsidR="000E3D1E" w:rsidRPr="004D0F13" w:rsidRDefault="000E3D1E">
      <w:pPr>
        <w:pStyle w:val="ListParagraph"/>
        <w:numPr>
          <w:ilvl w:val="0"/>
          <w:numId w:val="20"/>
        </w:numPr>
        <w:pBdr>
          <w:top w:val="nil"/>
          <w:left w:val="nil"/>
          <w:bottom w:val="nil"/>
          <w:right w:val="nil"/>
          <w:between w:val="nil"/>
          <w:bar w:val="nil"/>
        </w:pBdr>
        <w:spacing w:after="120"/>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Cs/>
          <w:color w:val="000000" w:themeColor="text1"/>
          <w:sz w:val="24"/>
          <w:szCs w:val="24"/>
          <w:u w:color="000000"/>
          <w:bdr w:val="nil"/>
        </w:rPr>
        <w:t xml:space="preserve">Participarea activă la evaluările locale de risc și la procesul de actualizare a evaluării naționale, sub coordonarea CNMC (Centrul Național de Management al Crizelor), </w:t>
      </w:r>
    </w:p>
    <w:p w14:paraId="00D01B08" w14:textId="7C4B88D6" w:rsidR="000E3D1E" w:rsidRPr="004D0F13" w:rsidRDefault="000E3D1E" w:rsidP="00392C6D">
      <w:pPr>
        <w:pStyle w:val="ListParagraph"/>
        <w:numPr>
          <w:ilvl w:val="0"/>
          <w:numId w:val="20"/>
        </w:numPr>
        <w:pBdr>
          <w:top w:val="nil"/>
          <w:left w:val="nil"/>
          <w:bottom w:val="nil"/>
          <w:right w:val="nil"/>
          <w:between w:val="nil"/>
          <w:bar w:val="nil"/>
        </w:pBdr>
        <w:spacing w:after="0"/>
        <w:jc w:val="both"/>
        <w:rPr>
          <w:rFonts w:ascii="Times New Roman" w:eastAsia="Arial Unicode MS" w:hAnsi="Times New Roman" w:cs="Times New Roman"/>
          <w:bCs/>
          <w:color w:val="000000" w:themeColor="text1"/>
          <w:sz w:val="24"/>
          <w:szCs w:val="24"/>
          <w:u w:color="000000"/>
          <w:bdr w:val="nil"/>
        </w:rPr>
      </w:pPr>
      <w:r w:rsidRPr="004D0F13">
        <w:rPr>
          <w:rFonts w:ascii="Times New Roman" w:eastAsia="Arial Unicode MS" w:hAnsi="Times New Roman" w:cs="Times New Roman"/>
          <w:bCs/>
          <w:color w:val="000000" w:themeColor="text1"/>
          <w:sz w:val="24"/>
          <w:szCs w:val="24"/>
          <w:u w:color="000000"/>
          <w:bdr w:val="nil"/>
        </w:rPr>
        <w:t>Cooperarea cu CNMC și cu autoritățile sectoriale pentru transmiterea informațiilor operaționale și pentru aplicarea deciziilor adoptate la nivel național.</w:t>
      </w:r>
    </w:p>
    <w:p w14:paraId="4AA9C2DE" w14:textId="77777777" w:rsidR="000E3D1E" w:rsidRPr="004D0F13" w:rsidRDefault="000E3D1E" w:rsidP="004D0F13">
      <w:pPr>
        <w:pBdr>
          <w:top w:val="nil"/>
          <w:left w:val="nil"/>
          <w:bottom w:val="nil"/>
          <w:right w:val="nil"/>
          <w:between w:val="nil"/>
          <w:bar w:val="nil"/>
        </w:pBdr>
        <w:ind w:firstLine="360"/>
        <w:jc w:val="both"/>
        <w:rPr>
          <w:rFonts w:eastAsia="Arial Unicode MS"/>
          <w:bCs/>
          <w:u w:color="000000"/>
          <w:bdr w:val="nil"/>
        </w:rPr>
      </w:pPr>
      <w:r w:rsidRPr="004D0F13">
        <w:rPr>
          <w:rFonts w:eastAsia="Arial Unicode MS"/>
          <w:bCs/>
          <w:u w:color="000000"/>
          <w:bdr w:val="nil"/>
        </w:rPr>
        <w:t>APL-urile vor avea acces la ghiduri, metodologii și protocoale naționale standardizate, elaborate de CNMC, pentru a asigura aplicarea coerentă a măsurilor de prevenire, pregătire și intervenție.</w:t>
      </w:r>
    </w:p>
    <w:p w14:paraId="6F32216A" w14:textId="3309B071" w:rsidR="00A353F7" w:rsidRPr="004D0F13" w:rsidRDefault="000E3D1E" w:rsidP="004D0F13">
      <w:pPr>
        <w:pBdr>
          <w:top w:val="nil"/>
          <w:left w:val="nil"/>
          <w:bottom w:val="nil"/>
          <w:right w:val="nil"/>
          <w:between w:val="nil"/>
          <w:bar w:val="nil"/>
        </w:pBdr>
        <w:spacing w:after="120"/>
        <w:ind w:firstLine="360"/>
        <w:jc w:val="both"/>
        <w:rPr>
          <w:rFonts w:eastAsia="Arial Unicode MS"/>
          <w:bCs/>
          <w:u w:color="000000"/>
          <w:bdr w:val="nil"/>
        </w:rPr>
      </w:pPr>
      <w:r w:rsidRPr="004D0F13">
        <w:rPr>
          <w:rFonts w:eastAsia="Arial Unicode MS"/>
          <w:bCs/>
          <w:u w:color="000000"/>
          <w:bdr w:val="nil"/>
        </w:rPr>
        <w:t>Rămâne o prioritate consolidarea capacităților tehnice, logistice și financiare ale autorităților locale, inclusiv prin sprijinul Guvernului și al partenerilor de dezvoltare, pentru a asigura funcționarea operațională a COC-urilor, formarea personalului și interoperabilitatea planurilor locale cu cele naționale.</w:t>
      </w:r>
    </w:p>
    <w:p w14:paraId="204CA48C" w14:textId="7CC37A7C" w:rsidR="00EB7C55" w:rsidRPr="00CD2ADD" w:rsidRDefault="00EB7C55" w:rsidP="00E5345D">
      <w:pPr>
        <w:pStyle w:val="Heading1"/>
        <w:spacing w:before="0"/>
        <w:jc w:val="center"/>
        <w:rPr>
          <w:rFonts w:ascii="Times New Roman" w:hAnsi="Times New Roman" w:cs="Times New Roman"/>
          <w:b/>
          <w:bCs w:val="0"/>
          <w:color w:val="000000" w:themeColor="text1"/>
          <w:sz w:val="24"/>
          <w:szCs w:val="24"/>
          <w:u w:color="000000"/>
          <w:bdr w:val="nil"/>
        </w:rPr>
      </w:pPr>
      <w:r w:rsidRPr="00CD2ADD">
        <w:rPr>
          <w:rFonts w:ascii="Times New Roman" w:hAnsi="Times New Roman" w:cs="Times New Roman"/>
          <w:b/>
          <w:bCs w:val="0"/>
          <w:color w:val="000000" w:themeColor="text1"/>
          <w:sz w:val="24"/>
          <w:szCs w:val="24"/>
          <w:u w:color="000000"/>
          <w:bdr w:val="nil"/>
        </w:rPr>
        <w:t>Capitolul III</w:t>
      </w:r>
    </w:p>
    <w:p w14:paraId="6FD32FAB" w14:textId="00FA09B3" w:rsidR="00EB7C55" w:rsidRPr="00CD2ADD" w:rsidRDefault="00EB7C55" w:rsidP="00E5345D">
      <w:pPr>
        <w:pStyle w:val="Heading1"/>
        <w:spacing w:before="0"/>
        <w:jc w:val="center"/>
        <w:rPr>
          <w:rFonts w:ascii="Times New Roman" w:hAnsi="Times New Roman" w:cs="Times New Roman"/>
          <w:b/>
          <w:bCs w:val="0"/>
          <w:color w:val="000000" w:themeColor="text1"/>
          <w:sz w:val="24"/>
          <w:szCs w:val="24"/>
          <w:u w:color="000000"/>
          <w:bdr w:val="nil"/>
        </w:rPr>
      </w:pPr>
      <w:r w:rsidRPr="00CD2ADD">
        <w:rPr>
          <w:rFonts w:ascii="Times New Roman" w:hAnsi="Times New Roman" w:cs="Times New Roman"/>
          <w:b/>
          <w:bCs w:val="0"/>
          <w:color w:val="000000" w:themeColor="text1"/>
          <w:sz w:val="24"/>
          <w:szCs w:val="24"/>
          <w:u w:color="000000"/>
          <w:bdr w:val="nil"/>
        </w:rPr>
        <w:t>OBIECTIVE GENERALE ȘI SPECIFICE</w:t>
      </w:r>
    </w:p>
    <w:p w14:paraId="69EE6A31" w14:textId="77777777" w:rsidR="00EB7C55" w:rsidRPr="004D0F13" w:rsidRDefault="00EB7C55" w:rsidP="00EB7C55">
      <w:pPr>
        <w:pBdr>
          <w:top w:val="nil"/>
          <w:left w:val="nil"/>
          <w:bottom w:val="nil"/>
          <w:right w:val="nil"/>
          <w:between w:val="nil"/>
          <w:bar w:val="nil"/>
        </w:pBdr>
        <w:jc w:val="center"/>
        <w:rPr>
          <w:rFonts w:eastAsia="Arial Unicode MS"/>
          <w:b/>
          <w:u w:color="000000"/>
          <w:bdr w:val="nil"/>
        </w:rPr>
      </w:pPr>
    </w:p>
    <w:p w14:paraId="40D11EC7" w14:textId="771C9E33" w:rsidR="003916CA" w:rsidRPr="004D0F13" w:rsidRDefault="003916CA" w:rsidP="004D0F13">
      <w:pPr>
        <w:pStyle w:val="ListParagraph"/>
        <w:numPr>
          <w:ilvl w:val="0"/>
          <w:numId w:val="42"/>
        </w:numPr>
        <w:spacing w:after="120"/>
        <w:ind w:left="0" w:firstLine="284"/>
        <w:jc w:val="both"/>
        <w:rPr>
          <w:rFonts w:ascii="Times New Roman" w:hAnsi="Times New Roman" w:cs="Times New Roman"/>
          <w:color w:val="000000" w:themeColor="text1"/>
          <w:sz w:val="24"/>
          <w:szCs w:val="24"/>
        </w:rPr>
      </w:pPr>
      <w:r w:rsidRPr="004D0F13">
        <w:rPr>
          <w:rFonts w:ascii="Times New Roman" w:hAnsi="Times New Roman" w:cs="Times New Roman"/>
          <w:color w:val="000000" w:themeColor="text1"/>
          <w:sz w:val="24"/>
          <w:szCs w:val="24"/>
        </w:rPr>
        <w:t xml:space="preserve">Obiectivele generale ale Programului Național de Reducere a Riscurilor de Dezastre Naturale 2026–2030 rezultă din </w:t>
      </w:r>
      <w:r w:rsidRPr="004D0F13">
        <w:rPr>
          <w:rFonts w:ascii="Times New Roman" w:hAnsi="Times New Roman" w:cs="Times New Roman"/>
          <w:b/>
          <w:bCs/>
          <w:color w:val="000000" w:themeColor="text1"/>
          <w:sz w:val="24"/>
          <w:szCs w:val="24"/>
        </w:rPr>
        <w:t>Strategia Națională de Reducere a Riscurilor Dezastrelor 2024–2030</w:t>
      </w:r>
      <w:r w:rsidRPr="004D0F13">
        <w:rPr>
          <w:rFonts w:ascii="Times New Roman" w:hAnsi="Times New Roman" w:cs="Times New Roman"/>
          <w:color w:val="000000" w:themeColor="text1"/>
          <w:sz w:val="24"/>
          <w:szCs w:val="24"/>
        </w:rPr>
        <w:t xml:space="preserve"> și contribuie la atingerea Obiectivului 10 al Strategiei Naționale de Dezvoltare „Moldova Europeană 2030” – „Asigurarea dreptului fundamental la un mediu ambiant sănătos și sigur”. Acest obiectiv stabilește direcții-cheie privind protecția mediului, promovarea economiei verzi și combaterea schimbărilor climatice.</w:t>
      </w:r>
    </w:p>
    <w:p w14:paraId="7AE397D4" w14:textId="3515C75E" w:rsidR="003916CA" w:rsidRPr="004D0F13" w:rsidRDefault="003916CA" w:rsidP="003916CA">
      <w:pPr>
        <w:pStyle w:val="ListParagraph"/>
        <w:numPr>
          <w:ilvl w:val="0"/>
          <w:numId w:val="42"/>
        </w:numPr>
        <w:spacing w:after="120"/>
        <w:ind w:left="0" w:firstLine="284"/>
        <w:jc w:val="both"/>
        <w:rPr>
          <w:rFonts w:ascii="Times New Roman" w:hAnsi="Times New Roman" w:cs="Times New Roman"/>
          <w:color w:val="000000" w:themeColor="text1"/>
          <w:sz w:val="24"/>
          <w:szCs w:val="24"/>
        </w:rPr>
      </w:pPr>
      <w:r w:rsidRPr="004D0F13">
        <w:rPr>
          <w:rFonts w:ascii="Times New Roman" w:hAnsi="Times New Roman" w:cs="Times New Roman"/>
          <w:color w:val="000000" w:themeColor="text1"/>
          <w:sz w:val="24"/>
          <w:szCs w:val="24"/>
        </w:rPr>
        <w:t>Totodată, Programul contribuie la realizarea obiectivelor Strategiei de Mediu, aprobată prin Hotărârea Guvernului nr. 409/2004, care vizează principalele domenii ale protecției mediului și utilizării durabile a resurselor naturale: guvernanța de mediu; calitatea, protecția și gestionarea resurselor de apă; calitatea și protecția aerului, solului și subsolului; conservarea biodiversității și a ecosistemelor naturale; gestionarea deșeurilor și a substanțelor chimice; atenuarea și adaptarea la schimbările climatice; precum și promovarea economiei verzi și a consumului responsabil al resurselor naturale.</w:t>
      </w:r>
    </w:p>
    <w:p w14:paraId="523F3102" w14:textId="0B6F19F1" w:rsidR="00616938" w:rsidRPr="004D0F13" w:rsidRDefault="003916CA" w:rsidP="00392C6D">
      <w:pPr>
        <w:pStyle w:val="ListParagraph"/>
        <w:numPr>
          <w:ilvl w:val="0"/>
          <w:numId w:val="42"/>
        </w:numPr>
        <w:spacing w:after="0"/>
        <w:ind w:left="0" w:firstLine="284"/>
        <w:jc w:val="both"/>
        <w:rPr>
          <w:rFonts w:ascii="Times New Roman" w:hAnsi="Times New Roman" w:cs="Times New Roman"/>
          <w:color w:val="000000" w:themeColor="text1"/>
          <w:sz w:val="24"/>
          <w:szCs w:val="24"/>
        </w:rPr>
      </w:pPr>
      <w:r w:rsidRPr="004D0F13">
        <w:rPr>
          <w:rFonts w:ascii="Times New Roman" w:hAnsi="Times New Roman" w:cs="Times New Roman"/>
          <w:color w:val="000000" w:themeColor="text1"/>
          <w:sz w:val="24"/>
          <w:szCs w:val="24"/>
        </w:rPr>
        <w:t>Prin abordarea sa integrată, PNRRDN transpune în context național obiectivele Agendei 2030 pentru Dezvoltare Durabilă și ale Cadrului de la Sendai pentru Reducerea Riscurilor de Dezastre, consolidând reziliența comunităților, ecosistemelor și infrastructurilor pentru a reduce vulnerabilitățile și a proteja sănătatea și siguranța populației Republicii Moldova.</w:t>
      </w:r>
      <w:r w:rsidR="002370FB" w:rsidRPr="004D0F13">
        <w:rPr>
          <w:rFonts w:ascii="Times New Roman" w:hAnsi="Times New Roman" w:cs="Times New Roman"/>
          <w:color w:val="000000" w:themeColor="text1"/>
          <w:sz w:val="24"/>
          <w:szCs w:val="24"/>
        </w:rPr>
        <w:t xml:space="preserve"> </w:t>
      </w:r>
      <w:r w:rsidR="00AD6C20" w:rsidRPr="004D0F13">
        <w:rPr>
          <w:rFonts w:ascii="Times New Roman" w:hAnsi="Times New Roman" w:cs="Times New Roman"/>
          <w:color w:val="000000" w:themeColor="text1"/>
          <w:sz w:val="24"/>
          <w:szCs w:val="24"/>
        </w:rPr>
        <w:t xml:space="preserve">Obiectivele generale sunt enumerate mai jos: </w:t>
      </w:r>
    </w:p>
    <w:p w14:paraId="04493450" w14:textId="77777777" w:rsidR="004270FE" w:rsidRPr="00CD2ADD" w:rsidRDefault="004270FE" w:rsidP="00392C6D">
      <w:pPr>
        <w:jc w:val="both"/>
        <w:rPr>
          <w:color w:val="000000" w:themeColor="text1"/>
          <w:sz w:val="22"/>
          <w:szCs w:val="22"/>
          <w:lang w:eastAsia="en-US"/>
        </w:rPr>
      </w:pPr>
      <w:r w:rsidRPr="004D0F13">
        <w:rPr>
          <w:b/>
          <w:bCs/>
          <w:color w:val="000000" w:themeColor="text1"/>
          <w:lang w:eastAsia="en-US"/>
        </w:rPr>
        <w:t>Obiectiv</w:t>
      </w:r>
      <w:r w:rsidRPr="00CD2ADD">
        <w:rPr>
          <w:b/>
          <w:bCs/>
          <w:color w:val="000000" w:themeColor="text1"/>
          <w:sz w:val="22"/>
          <w:szCs w:val="22"/>
          <w:lang w:eastAsia="en-US"/>
        </w:rPr>
        <w:t xml:space="preserve"> general 1: Înțelegerea riscului de dezastre naturale și biologico-sociale,</w:t>
      </w:r>
      <w:r w:rsidRPr="00CD2ADD">
        <w:rPr>
          <w:color w:val="000000" w:themeColor="text1"/>
          <w:sz w:val="22"/>
          <w:szCs w:val="22"/>
          <w:lang w:eastAsia="en-US"/>
        </w:rPr>
        <w:t xml:space="preserve"> printr-o mai bună cunoaștere a hazardelor, vulnerabilităților și interdependențelor ecosistemice, în vederea fundamentării politicilor publice și a măsurilor de prevenție.</w:t>
      </w:r>
    </w:p>
    <w:p w14:paraId="0768A1F4" w14:textId="77777777" w:rsidR="004270FE" w:rsidRPr="00CD2ADD" w:rsidRDefault="004270FE" w:rsidP="004270FE">
      <w:pPr>
        <w:spacing w:after="120"/>
        <w:jc w:val="both"/>
        <w:rPr>
          <w:b/>
          <w:bCs/>
          <w:color w:val="000000" w:themeColor="text1"/>
          <w:sz w:val="22"/>
          <w:szCs w:val="22"/>
          <w:lang w:eastAsia="en-US"/>
        </w:rPr>
      </w:pPr>
      <w:r w:rsidRPr="00CD2ADD">
        <w:rPr>
          <w:b/>
          <w:bCs/>
          <w:color w:val="000000" w:themeColor="text1"/>
          <w:sz w:val="22"/>
          <w:szCs w:val="22"/>
          <w:lang w:eastAsia="en-US"/>
        </w:rPr>
        <w:t>Obiectiv general 2: Consolidarea capacității de coordonare, cooperare și intervenție a autorităților publice centrale și locale</w:t>
      </w:r>
      <w:r w:rsidRPr="00CD2ADD">
        <w:rPr>
          <w:color w:val="000000" w:themeColor="text1"/>
          <w:sz w:val="22"/>
          <w:szCs w:val="22"/>
          <w:lang w:eastAsia="en-US"/>
        </w:rPr>
        <w:t xml:space="preserve"> pentru o gestionare integrată a riscurilor naturale și biologico-sociale,</w:t>
      </w:r>
      <w:r w:rsidRPr="00CD2ADD">
        <w:rPr>
          <w:b/>
          <w:bCs/>
          <w:color w:val="000000" w:themeColor="text1"/>
          <w:sz w:val="22"/>
          <w:szCs w:val="22"/>
          <w:lang w:eastAsia="en-US"/>
        </w:rPr>
        <w:t xml:space="preserve"> </w:t>
      </w:r>
      <w:r w:rsidRPr="00CD2ADD">
        <w:rPr>
          <w:color w:val="000000" w:themeColor="text1"/>
          <w:sz w:val="22"/>
          <w:szCs w:val="22"/>
          <w:lang w:eastAsia="en-US"/>
        </w:rPr>
        <w:t>inclusiv prin digitalizare și consolidarea parteneriatelor interinstituționale.</w:t>
      </w:r>
    </w:p>
    <w:p w14:paraId="5419CCA8" w14:textId="77777777" w:rsidR="004270FE" w:rsidRPr="00CD2ADD" w:rsidRDefault="004270FE" w:rsidP="00392C6D">
      <w:pPr>
        <w:jc w:val="both"/>
        <w:rPr>
          <w:b/>
          <w:bCs/>
          <w:color w:val="000000" w:themeColor="text1"/>
          <w:sz w:val="22"/>
          <w:szCs w:val="22"/>
          <w:lang w:eastAsia="en-US"/>
        </w:rPr>
      </w:pPr>
      <w:r w:rsidRPr="00CD2ADD">
        <w:rPr>
          <w:b/>
          <w:bCs/>
          <w:color w:val="000000" w:themeColor="text1"/>
          <w:sz w:val="22"/>
          <w:szCs w:val="22"/>
          <w:lang w:eastAsia="en-US"/>
        </w:rPr>
        <w:lastRenderedPageBreak/>
        <w:t>Obiectiv general 3: Investiții în reducerea riscurilor și consolidarea rezilienței ecosistemelor și infrastructurii de mediu</w:t>
      </w:r>
      <w:r w:rsidRPr="00CD2ADD">
        <w:rPr>
          <w:color w:val="000000" w:themeColor="text1"/>
          <w:sz w:val="22"/>
          <w:szCs w:val="22"/>
          <w:lang w:eastAsia="en-US"/>
        </w:rPr>
        <w:t>, prin integrarea acestor dimensiuni în politicile</w:t>
      </w:r>
      <w:r w:rsidRPr="00CD2ADD">
        <w:rPr>
          <w:b/>
          <w:bCs/>
          <w:color w:val="000000" w:themeColor="text1"/>
          <w:sz w:val="22"/>
          <w:szCs w:val="22"/>
          <w:lang w:eastAsia="en-US"/>
        </w:rPr>
        <w:t xml:space="preserve"> </w:t>
      </w:r>
      <w:r w:rsidRPr="00CD2ADD">
        <w:rPr>
          <w:color w:val="000000" w:themeColor="text1"/>
          <w:sz w:val="22"/>
          <w:szCs w:val="22"/>
          <w:lang w:eastAsia="en-US"/>
        </w:rPr>
        <w:t>sectoriale, inclusiv în agricultură, silvicultură, apă, biodiversitate și soluri, precum și în</w:t>
      </w:r>
      <w:r w:rsidRPr="00CD2ADD">
        <w:rPr>
          <w:b/>
          <w:bCs/>
          <w:color w:val="000000" w:themeColor="text1"/>
          <w:sz w:val="22"/>
          <w:szCs w:val="22"/>
          <w:lang w:eastAsia="en-US"/>
        </w:rPr>
        <w:t xml:space="preserve"> </w:t>
      </w:r>
      <w:r w:rsidRPr="00CD2ADD">
        <w:rPr>
          <w:color w:val="000000" w:themeColor="text1"/>
          <w:sz w:val="22"/>
          <w:szCs w:val="22"/>
          <w:lang w:eastAsia="en-US"/>
        </w:rPr>
        <w:t>domenii relevante pentru gestionarea mobilității umane generate de riscuri climatice.</w:t>
      </w:r>
    </w:p>
    <w:p w14:paraId="635E0697" w14:textId="5895911C" w:rsidR="004270FE" w:rsidRPr="00CD2ADD" w:rsidRDefault="004270FE" w:rsidP="00392C6D">
      <w:pPr>
        <w:jc w:val="both"/>
        <w:rPr>
          <w:color w:val="000000" w:themeColor="text1"/>
          <w:sz w:val="22"/>
          <w:szCs w:val="22"/>
          <w:lang w:eastAsia="en-US"/>
        </w:rPr>
      </w:pPr>
      <w:r w:rsidRPr="00CD2ADD">
        <w:rPr>
          <w:b/>
          <w:bCs/>
          <w:color w:val="000000" w:themeColor="text1"/>
          <w:sz w:val="22"/>
          <w:szCs w:val="22"/>
          <w:lang w:eastAsia="en-US"/>
        </w:rPr>
        <w:t>Obiectiv general 4: Consolidarea pregătirii și capacității de răspuns în situații de dezastre</w:t>
      </w:r>
      <w:r w:rsidR="00E33BE9" w:rsidRPr="00CD2ADD">
        <w:rPr>
          <w:b/>
          <w:bCs/>
          <w:color w:val="000000" w:themeColor="text1"/>
          <w:sz w:val="22"/>
          <w:szCs w:val="22"/>
          <w:lang w:eastAsia="en-US"/>
        </w:rPr>
        <w:t xml:space="preserve"> </w:t>
      </w:r>
      <w:r w:rsidRPr="00CD2ADD">
        <w:rPr>
          <w:b/>
          <w:bCs/>
          <w:color w:val="000000" w:themeColor="text1"/>
          <w:sz w:val="22"/>
          <w:szCs w:val="22"/>
          <w:lang w:eastAsia="en-US"/>
        </w:rPr>
        <w:t>naturale, urmată de o restabilire eficientă și durabilă</w:t>
      </w:r>
      <w:r w:rsidR="00626F5F" w:rsidRPr="00CD2ADD">
        <w:rPr>
          <w:b/>
          <w:bCs/>
          <w:color w:val="000000" w:themeColor="text1"/>
          <w:sz w:val="22"/>
          <w:szCs w:val="22"/>
          <w:lang w:eastAsia="en-US"/>
        </w:rPr>
        <w:t xml:space="preserve">, </w:t>
      </w:r>
      <w:r w:rsidR="00626F5F" w:rsidRPr="00CD2ADD">
        <w:rPr>
          <w:color w:val="000000" w:themeColor="text1"/>
          <w:sz w:val="22"/>
          <w:szCs w:val="22"/>
          <w:lang w:eastAsia="en-US"/>
        </w:rPr>
        <w:t xml:space="preserve">prin investiții in echipament de monitorizare a mediului si climei si prin fortificarea capacităților </w:t>
      </w:r>
      <w:r w:rsidR="003309D9" w:rsidRPr="00CD2ADD">
        <w:rPr>
          <w:color w:val="000000" w:themeColor="text1"/>
          <w:sz w:val="22"/>
          <w:szCs w:val="22"/>
          <w:lang w:eastAsia="en-US"/>
        </w:rPr>
        <w:t>instituționale</w:t>
      </w:r>
      <w:r w:rsidR="00626F5F" w:rsidRPr="00CD2ADD">
        <w:rPr>
          <w:color w:val="000000" w:themeColor="text1"/>
          <w:sz w:val="22"/>
          <w:szCs w:val="22"/>
          <w:lang w:eastAsia="en-US"/>
        </w:rPr>
        <w:t xml:space="preserve">. </w:t>
      </w:r>
    </w:p>
    <w:p w14:paraId="292FB07D" w14:textId="77777777" w:rsidR="004270FE" w:rsidRPr="00CD2ADD" w:rsidRDefault="004270FE" w:rsidP="00392C6D">
      <w:pPr>
        <w:jc w:val="both"/>
        <w:rPr>
          <w:color w:val="000000" w:themeColor="text1"/>
          <w:sz w:val="22"/>
          <w:szCs w:val="22"/>
        </w:rPr>
      </w:pPr>
      <w:r w:rsidRPr="00CD2ADD">
        <w:rPr>
          <w:b/>
          <w:bCs/>
          <w:color w:val="000000" w:themeColor="text1"/>
          <w:sz w:val="22"/>
          <w:szCs w:val="22"/>
          <w:lang w:eastAsia="en-US"/>
        </w:rPr>
        <w:t>Obiectiv general 5: Dezvoltarea cooperării internaționale și regionale în domeniul reducerii riscurilor naturale,</w:t>
      </w:r>
      <w:r w:rsidRPr="00CD2ADD">
        <w:rPr>
          <w:color w:val="000000" w:themeColor="text1"/>
          <w:sz w:val="22"/>
          <w:szCs w:val="22"/>
          <w:lang w:eastAsia="en-US"/>
        </w:rPr>
        <w:t xml:space="preserve"> prin participarea la programe și mecanisme europene, schimb</w:t>
      </w:r>
      <w:r w:rsidRPr="00CD2ADD">
        <w:rPr>
          <w:b/>
          <w:bCs/>
          <w:color w:val="000000" w:themeColor="text1"/>
          <w:sz w:val="22"/>
          <w:szCs w:val="22"/>
          <w:lang w:eastAsia="en-US"/>
        </w:rPr>
        <w:t xml:space="preserve"> </w:t>
      </w:r>
      <w:r w:rsidRPr="00CD2ADD">
        <w:rPr>
          <w:color w:val="000000" w:themeColor="text1"/>
          <w:sz w:val="22"/>
          <w:szCs w:val="22"/>
          <w:lang w:eastAsia="en-US"/>
        </w:rPr>
        <w:t>de date și bune practici, precum și armonizarea cadrului normativ național cu standardele</w:t>
      </w:r>
      <w:r w:rsidRPr="00CD2ADD">
        <w:rPr>
          <w:b/>
          <w:bCs/>
          <w:color w:val="000000" w:themeColor="text1"/>
          <w:sz w:val="22"/>
          <w:szCs w:val="22"/>
          <w:lang w:eastAsia="en-US"/>
        </w:rPr>
        <w:t xml:space="preserve"> </w:t>
      </w:r>
      <w:r w:rsidRPr="00CD2ADD">
        <w:rPr>
          <w:color w:val="000000" w:themeColor="text1"/>
          <w:sz w:val="22"/>
          <w:szCs w:val="22"/>
          <w:lang w:eastAsia="en-US"/>
        </w:rPr>
        <w:t>UE și ONU.</w:t>
      </w:r>
    </w:p>
    <w:p w14:paraId="259278E3" w14:textId="65A01F08" w:rsidR="004270FE" w:rsidRDefault="004270FE" w:rsidP="00392C6D">
      <w:pPr>
        <w:ind w:firstLine="284"/>
        <w:jc w:val="both"/>
        <w:rPr>
          <w:sz w:val="22"/>
          <w:szCs w:val="22"/>
          <w:lang w:eastAsia="en-US"/>
        </w:rPr>
      </w:pPr>
      <w:r w:rsidRPr="00CD2ADD">
        <w:rPr>
          <w:sz w:val="22"/>
          <w:szCs w:val="22"/>
          <w:lang w:eastAsia="en-US"/>
        </w:rPr>
        <w:t>Aceste obiective generale stabilesc fundamentul intervenției Programului, urmând a fi detaliate printr-un set coerent de obiective specifice și acțiuni corelate, orientate spre reducerea concretă a riscurilor de dezastr</w:t>
      </w:r>
      <w:r w:rsidR="00246F48" w:rsidRPr="00CD2ADD">
        <w:rPr>
          <w:sz w:val="22"/>
          <w:szCs w:val="22"/>
          <w:lang w:eastAsia="en-US"/>
        </w:rPr>
        <w:t>e naturale si biologico-sociale.</w:t>
      </w:r>
    </w:p>
    <w:p w14:paraId="074C575C" w14:textId="749E498C" w:rsidR="00006BBF" w:rsidRPr="000D4BD2" w:rsidRDefault="004270FE" w:rsidP="000D4BD2">
      <w:pPr>
        <w:pStyle w:val="ListParagraph"/>
        <w:numPr>
          <w:ilvl w:val="0"/>
          <w:numId w:val="42"/>
        </w:numPr>
        <w:spacing w:after="120"/>
        <w:ind w:left="0" w:firstLine="284"/>
        <w:jc w:val="both"/>
        <w:rPr>
          <w:rFonts w:ascii="Times New Roman" w:hAnsi="Times New Roman" w:cs="Times New Roman"/>
          <w:sz w:val="24"/>
          <w:szCs w:val="24"/>
        </w:rPr>
      </w:pPr>
      <w:r w:rsidRPr="000D4BD2">
        <w:rPr>
          <w:rFonts w:ascii="Times New Roman" w:hAnsi="Times New Roman" w:cs="Times New Roman"/>
          <w:color w:val="000000" w:themeColor="text1"/>
          <w:sz w:val="24"/>
          <w:szCs w:val="24"/>
        </w:rPr>
        <w:t xml:space="preserve">Analiza detaliat a contribuției PNRRDN la obiectivele Agendei 2030 pentru Dezvoltare Durabilă se regăsește mai jos: </w:t>
      </w:r>
    </w:p>
    <w:p w14:paraId="5D47F9B5" w14:textId="77777777" w:rsidR="00616938" w:rsidRPr="00CD2ADD" w:rsidRDefault="00616938" w:rsidP="00006BBF">
      <w:pPr>
        <w:spacing w:after="120"/>
        <w:jc w:val="both"/>
        <w:rPr>
          <w:b/>
          <w:bCs/>
          <w:sz w:val="22"/>
          <w:szCs w:val="22"/>
        </w:rPr>
      </w:pPr>
      <w:r w:rsidRPr="00CD2ADD">
        <w:rPr>
          <w:b/>
          <w:bCs/>
          <w:sz w:val="22"/>
          <w:szCs w:val="22"/>
        </w:rPr>
        <w:t>ODD 1: Eradicarea sărăciei în toate formele sale și în orice context</w:t>
      </w:r>
    </w:p>
    <w:p w14:paraId="115F78AB" w14:textId="64745433" w:rsidR="00021727" w:rsidRPr="00CD2ADD" w:rsidRDefault="00616938" w:rsidP="00006BBF">
      <w:pPr>
        <w:spacing w:after="120"/>
        <w:jc w:val="both"/>
        <w:rPr>
          <w:sz w:val="22"/>
          <w:szCs w:val="22"/>
        </w:rPr>
      </w:pPr>
      <w:r w:rsidRPr="00CD2ADD">
        <w:rPr>
          <w:b/>
          <w:bCs/>
          <w:sz w:val="22"/>
          <w:szCs w:val="22"/>
        </w:rPr>
        <w:t>Ținta 1.5</w:t>
      </w:r>
      <w:r w:rsidRPr="00CD2ADD">
        <w:rPr>
          <w:sz w:val="22"/>
          <w:szCs w:val="22"/>
        </w:rPr>
        <w:t xml:space="preserve"> Până în 2030, crearea rezilienței celor săraci și a celor aflați în situații vulnerabile și</w:t>
      </w:r>
      <w:r w:rsidR="002370FB" w:rsidRPr="00CD2ADD">
        <w:rPr>
          <w:sz w:val="22"/>
          <w:szCs w:val="22"/>
        </w:rPr>
        <w:t xml:space="preserve"> </w:t>
      </w:r>
      <w:r w:rsidRPr="00CD2ADD">
        <w:rPr>
          <w:sz w:val="22"/>
          <w:szCs w:val="22"/>
        </w:rPr>
        <w:t>reducerea expunerii și vulnerabilității acestora la evenimente extreme legate de climă și alte șocuri și dezastre.</w:t>
      </w:r>
    </w:p>
    <w:p w14:paraId="12E1C1C2" w14:textId="6A9280AE" w:rsidR="00616938" w:rsidRPr="00CD2ADD" w:rsidRDefault="00616938" w:rsidP="00006BBF">
      <w:pPr>
        <w:spacing w:after="120"/>
        <w:jc w:val="both"/>
        <w:rPr>
          <w:sz w:val="22"/>
          <w:szCs w:val="22"/>
        </w:rPr>
      </w:pPr>
      <w:r w:rsidRPr="00CD2ADD">
        <w:rPr>
          <w:sz w:val="22"/>
          <w:szCs w:val="22"/>
        </w:rPr>
        <w:t>Indicatori relevanți:</w:t>
      </w:r>
    </w:p>
    <w:p w14:paraId="79D2F60E" w14:textId="77777777" w:rsidR="00616938" w:rsidRPr="00CD2ADD" w:rsidRDefault="00616938">
      <w:pPr>
        <w:pStyle w:val="ListBullet"/>
        <w:numPr>
          <w:ilvl w:val="0"/>
          <w:numId w:val="25"/>
        </w:numPr>
        <w:spacing w:after="120" w:line="240" w:lineRule="auto"/>
        <w:jc w:val="both"/>
        <w:rPr>
          <w:rFonts w:ascii="Times New Roman" w:hAnsi="Times New Roman" w:cs="Times New Roman"/>
          <w:lang w:val="ro-MD"/>
        </w:rPr>
      </w:pPr>
      <w:r w:rsidRPr="00CD2ADD">
        <w:rPr>
          <w:rFonts w:ascii="Times New Roman" w:hAnsi="Times New Roman" w:cs="Times New Roman"/>
          <w:lang w:val="ro-MD"/>
        </w:rPr>
        <w:t>Indicatorul 1.5.1: Numărul de persoane decedate, dispărute sau afectate direct ca urmare a dezastrelor (la 100.000 locuitori)</w:t>
      </w:r>
    </w:p>
    <w:p w14:paraId="2D367B56" w14:textId="77777777" w:rsidR="00616938" w:rsidRPr="00CD2ADD" w:rsidRDefault="00616938">
      <w:pPr>
        <w:pStyle w:val="ListBullet"/>
        <w:numPr>
          <w:ilvl w:val="0"/>
          <w:numId w:val="25"/>
        </w:numPr>
        <w:spacing w:after="120" w:line="240" w:lineRule="auto"/>
        <w:jc w:val="both"/>
        <w:rPr>
          <w:rFonts w:ascii="Times New Roman" w:hAnsi="Times New Roman" w:cs="Times New Roman"/>
          <w:lang w:val="ro-MD"/>
        </w:rPr>
      </w:pPr>
      <w:r w:rsidRPr="00CD2ADD">
        <w:rPr>
          <w:rFonts w:ascii="Times New Roman" w:hAnsi="Times New Roman" w:cs="Times New Roman"/>
          <w:lang w:val="ro-MD"/>
        </w:rPr>
        <w:t>Indicatorul 1.5.2: Pierderi economice directe cauzate de dezastre raportate la PIB</w:t>
      </w:r>
    </w:p>
    <w:p w14:paraId="1E265CA6" w14:textId="77777777" w:rsidR="00616938" w:rsidRPr="00CD2ADD" w:rsidRDefault="00616938">
      <w:pPr>
        <w:pStyle w:val="ListBullet"/>
        <w:numPr>
          <w:ilvl w:val="0"/>
          <w:numId w:val="25"/>
        </w:numPr>
        <w:spacing w:after="120" w:line="240" w:lineRule="auto"/>
        <w:jc w:val="both"/>
        <w:rPr>
          <w:rFonts w:ascii="Times New Roman" w:hAnsi="Times New Roman" w:cs="Times New Roman"/>
          <w:lang w:val="ro-MD"/>
        </w:rPr>
      </w:pPr>
      <w:r w:rsidRPr="00CD2ADD">
        <w:rPr>
          <w:rFonts w:ascii="Times New Roman" w:hAnsi="Times New Roman" w:cs="Times New Roman"/>
          <w:lang w:val="ro-MD"/>
        </w:rPr>
        <w:t>Indicatorul 1.5.3: Numărul/statutul implementării strategiilor naționale de RRD</w:t>
      </w:r>
    </w:p>
    <w:p w14:paraId="72B60922" w14:textId="106C0FBF" w:rsidR="00856125" w:rsidRPr="00CD2ADD" w:rsidRDefault="00616938">
      <w:pPr>
        <w:pStyle w:val="ListBullet"/>
        <w:numPr>
          <w:ilvl w:val="0"/>
          <w:numId w:val="25"/>
        </w:numPr>
        <w:spacing w:after="120" w:line="240" w:lineRule="auto"/>
        <w:jc w:val="both"/>
        <w:rPr>
          <w:rFonts w:ascii="Times New Roman" w:hAnsi="Times New Roman" w:cs="Times New Roman"/>
          <w:lang w:val="ro-MD"/>
        </w:rPr>
      </w:pPr>
      <w:r w:rsidRPr="00CD2ADD">
        <w:rPr>
          <w:rFonts w:ascii="Times New Roman" w:hAnsi="Times New Roman" w:cs="Times New Roman"/>
          <w:lang w:val="ro-MD"/>
        </w:rPr>
        <w:t>Indicatorul 1.5.4: Procentul APL care implementează strategii locale RRD</w:t>
      </w:r>
    </w:p>
    <w:p w14:paraId="2FCCB4E3" w14:textId="29CE844B" w:rsidR="00616938" w:rsidRPr="00CD2ADD" w:rsidRDefault="00616938" w:rsidP="00006BBF">
      <w:pPr>
        <w:spacing w:after="120"/>
        <w:jc w:val="both"/>
        <w:rPr>
          <w:b/>
          <w:bCs/>
          <w:sz w:val="22"/>
          <w:szCs w:val="22"/>
        </w:rPr>
      </w:pPr>
      <w:r w:rsidRPr="00CD2ADD">
        <w:rPr>
          <w:rFonts w:eastAsiaTheme="minorEastAsia"/>
          <w:b/>
          <w:bCs/>
          <w:sz w:val="22"/>
          <w:szCs w:val="22"/>
        </w:rPr>
        <w:t>ODD 3: Asigurarea unei vieți sănătoase și promovarea bunăstării tuturor la orice vârstă</w:t>
      </w:r>
    </w:p>
    <w:p w14:paraId="5B44363D" w14:textId="3510D808" w:rsidR="00616938" w:rsidRPr="00CD2ADD" w:rsidRDefault="00616938" w:rsidP="00006BBF">
      <w:pPr>
        <w:spacing w:after="120"/>
        <w:jc w:val="both"/>
        <w:rPr>
          <w:sz w:val="22"/>
          <w:szCs w:val="22"/>
        </w:rPr>
      </w:pPr>
      <w:r w:rsidRPr="00CD2ADD">
        <w:rPr>
          <w:b/>
          <w:bCs/>
          <w:sz w:val="22"/>
          <w:szCs w:val="22"/>
        </w:rPr>
        <w:t>Ținta 3.d</w:t>
      </w:r>
      <w:r w:rsidRPr="00CD2ADD">
        <w:rPr>
          <w:sz w:val="22"/>
          <w:szCs w:val="22"/>
        </w:rPr>
        <w:t xml:space="preserve"> Consolidarea capacității pentru avertizarea rapidă, reducerea  și gestionarea riscurilor naționale pentru sănătate.</w:t>
      </w:r>
    </w:p>
    <w:p w14:paraId="0942F8C5" w14:textId="77777777" w:rsidR="003216AE" w:rsidRPr="00CD2ADD" w:rsidRDefault="00616938" w:rsidP="00006BBF">
      <w:pPr>
        <w:spacing w:after="120"/>
        <w:jc w:val="both"/>
        <w:rPr>
          <w:sz w:val="22"/>
          <w:szCs w:val="22"/>
        </w:rPr>
      </w:pPr>
      <w:r w:rsidRPr="00CD2ADD">
        <w:rPr>
          <w:sz w:val="22"/>
          <w:szCs w:val="22"/>
        </w:rPr>
        <w:t xml:space="preserve">Indicatori relevanți: </w:t>
      </w:r>
    </w:p>
    <w:p w14:paraId="62E1B0D4" w14:textId="115E2C16" w:rsidR="00616938" w:rsidRPr="00CD2ADD" w:rsidRDefault="00616938">
      <w:pPr>
        <w:pStyle w:val="ListParagraph"/>
        <w:numPr>
          <w:ilvl w:val="0"/>
          <w:numId w:val="35"/>
        </w:numPr>
        <w:spacing w:after="120"/>
        <w:jc w:val="both"/>
        <w:rPr>
          <w:rFonts w:ascii="Times New Roman" w:hAnsi="Times New Roman" w:cs="Times New Roman"/>
          <w:color w:val="auto"/>
          <w:sz w:val="22"/>
        </w:rPr>
      </w:pPr>
      <w:r w:rsidRPr="00EA4902">
        <w:rPr>
          <w:rFonts w:ascii="Times New Roman" w:hAnsi="Times New Roman" w:cs="Times New Roman"/>
          <w:color w:val="000000" w:themeColor="text1"/>
          <w:sz w:val="22"/>
        </w:rPr>
        <w:t>Indicatorul</w:t>
      </w:r>
      <w:r w:rsidRPr="00CD2ADD">
        <w:rPr>
          <w:rFonts w:ascii="Times New Roman" w:hAnsi="Times New Roman" w:cs="Times New Roman"/>
          <w:sz w:val="22"/>
        </w:rPr>
        <w:t xml:space="preserve"> </w:t>
      </w:r>
      <w:r w:rsidRPr="00CD2ADD">
        <w:rPr>
          <w:rFonts w:ascii="Times New Roman" w:hAnsi="Times New Roman" w:cs="Times New Roman"/>
          <w:color w:val="000000" w:themeColor="text1"/>
          <w:sz w:val="22"/>
        </w:rPr>
        <w:t>3.d.1. Indicele capacității sectorului de  sănătate ((1) legislația, politicile și finanțarea națională; (2) coordonarea și legătura cu punctele focale naționale; (3) supravegherea; (4) răspunsul; (5) pregătirea; (6) comunicarea riscurilor; (7) resursele umane; (8) laboratorul; (9) punctele de intrare; (10) evenimente zoonotice; (11) siguranța alimentelor; (12) evenimente chimice; (13) urgențe radio-nucleare)</w:t>
      </w:r>
    </w:p>
    <w:p w14:paraId="074999B9" w14:textId="77777777" w:rsidR="00616938" w:rsidRPr="00CD2ADD" w:rsidRDefault="00616938" w:rsidP="00006BBF">
      <w:pPr>
        <w:spacing w:after="120"/>
        <w:jc w:val="both"/>
        <w:rPr>
          <w:rFonts w:eastAsiaTheme="minorEastAsia"/>
          <w:b/>
          <w:bCs/>
          <w:sz w:val="22"/>
          <w:szCs w:val="22"/>
        </w:rPr>
      </w:pPr>
      <w:r w:rsidRPr="00CD2ADD">
        <w:rPr>
          <w:rFonts w:eastAsiaTheme="minorEastAsia"/>
          <w:b/>
          <w:bCs/>
          <w:sz w:val="22"/>
          <w:szCs w:val="22"/>
        </w:rPr>
        <w:t xml:space="preserve">ODD 6: Asigurarea disponibilității și managementului durabil al apei și sanitație pentru toți </w:t>
      </w:r>
    </w:p>
    <w:p w14:paraId="2D9B067B" w14:textId="16CB4B95" w:rsidR="00616938" w:rsidRPr="00CD2ADD" w:rsidRDefault="00616938" w:rsidP="00006BBF">
      <w:pPr>
        <w:spacing w:after="120"/>
        <w:jc w:val="both"/>
        <w:rPr>
          <w:sz w:val="22"/>
          <w:szCs w:val="22"/>
        </w:rPr>
      </w:pPr>
      <w:r w:rsidRPr="00CD2ADD">
        <w:rPr>
          <w:b/>
          <w:bCs/>
          <w:sz w:val="22"/>
          <w:szCs w:val="22"/>
        </w:rPr>
        <w:t>Țintele 6.3</w:t>
      </w:r>
      <w:r w:rsidR="003216AE" w:rsidRPr="00CD2ADD">
        <w:rPr>
          <w:b/>
          <w:bCs/>
          <w:sz w:val="22"/>
          <w:szCs w:val="22"/>
        </w:rPr>
        <w:t xml:space="preserve"> </w:t>
      </w:r>
      <w:r w:rsidRPr="00CD2ADD">
        <w:rPr>
          <w:sz w:val="22"/>
          <w:szCs w:val="22"/>
        </w:rPr>
        <w:t>Până în 2030, îmbunătățirea calității apei prin reducerea poluării, eliminarea deversării deșeurilor și minimizarea eliminărilor produselor chimice și materialelor periculoase, reducerea proporției apelor uzate netratate și sporirea substanțială a gradului de reciclare și reutilizare sigură</w:t>
      </w:r>
    </w:p>
    <w:p w14:paraId="2F545FF8" w14:textId="77777777" w:rsidR="00616938" w:rsidRPr="00CD2ADD" w:rsidRDefault="00616938" w:rsidP="00006BBF">
      <w:pPr>
        <w:spacing w:after="120"/>
        <w:jc w:val="both"/>
        <w:rPr>
          <w:sz w:val="22"/>
          <w:szCs w:val="22"/>
        </w:rPr>
      </w:pPr>
      <w:r w:rsidRPr="00CD2ADD">
        <w:rPr>
          <w:sz w:val="22"/>
          <w:szCs w:val="22"/>
        </w:rPr>
        <w:t xml:space="preserve">Indicatori relevanți: </w:t>
      </w:r>
    </w:p>
    <w:p w14:paraId="52F28B47" w14:textId="77777777" w:rsidR="00616938" w:rsidRPr="00CD2ADD" w:rsidRDefault="00616938">
      <w:pPr>
        <w:pStyle w:val="ListParagraph"/>
        <w:numPr>
          <w:ilvl w:val="0"/>
          <w:numId w:val="24"/>
        </w:numPr>
        <w:spacing w:after="120"/>
        <w:jc w:val="both"/>
        <w:rPr>
          <w:rFonts w:ascii="Times New Roman" w:hAnsi="Times New Roman" w:cs="Times New Roman"/>
          <w:color w:val="000000" w:themeColor="text1"/>
          <w:sz w:val="22"/>
        </w:rPr>
      </w:pPr>
      <w:r w:rsidRPr="00CD2ADD">
        <w:rPr>
          <w:rFonts w:ascii="Times New Roman" w:hAnsi="Times New Roman" w:cs="Times New Roman"/>
          <w:color w:val="000000" w:themeColor="text1"/>
          <w:sz w:val="22"/>
        </w:rPr>
        <w:t>6.3.1. Ponderea apelor uzate epurate suficient din totalul apelor evacuate, sectorul non rezidențial</w:t>
      </w:r>
    </w:p>
    <w:p w14:paraId="3DD608FF" w14:textId="77777777" w:rsidR="00616938" w:rsidRPr="00CD2ADD" w:rsidRDefault="00616938">
      <w:pPr>
        <w:pStyle w:val="ListParagraph"/>
        <w:numPr>
          <w:ilvl w:val="0"/>
          <w:numId w:val="24"/>
        </w:numPr>
        <w:spacing w:after="120"/>
        <w:jc w:val="both"/>
        <w:rPr>
          <w:rFonts w:ascii="Times New Roman" w:hAnsi="Times New Roman" w:cs="Times New Roman"/>
          <w:color w:val="000000" w:themeColor="text1"/>
          <w:sz w:val="22"/>
        </w:rPr>
      </w:pPr>
      <w:r w:rsidRPr="00CD2ADD">
        <w:rPr>
          <w:rFonts w:ascii="Times New Roman" w:hAnsi="Times New Roman" w:cs="Times New Roman"/>
          <w:color w:val="000000" w:themeColor="text1"/>
          <w:sz w:val="22"/>
        </w:rPr>
        <w:t>6.3.2.a. Proporția corpurilor de apă de suprafață care au atins clasa de „calitate bună” (conform parametrilor hidrochimici)</w:t>
      </w:r>
    </w:p>
    <w:p w14:paraId="5723EF2F" w14:textId="77777777" w:rsidR="00616938" w:rsidRPr="00CD2ADD" w:rsidRDefault="00616938">
      <w:pPr>
        <w:pStyle w:val="ListParagraph"/>
        <w:numPr>
          <w:ilvl w:val="0"/>
          <w:numId w:val="24"/>
        </w:numPr>
        <w:spacing w:after="120"/>
        <w:jc w:val="both"/>
        <w:rPr>
          <w:rFonts w:ascii="Times New Roman" w:hAnsi="Times New Roman" w:cs="Times New Roman"/>
          <w:color w:val="000000" w:themeColor="text1"/>
          <w:sz w:val="22"/>
        </w:rPr>
      </w:pPr>
      <w:r w:rsidRPr="00CD2ADD">
        <w:rPr>
          <w:rFonts w:ascii="Times New Roman" w:hAnsi="Times New Roman" w:cs="Times New Roman"/>
          <w:color w:val="000000" w:themeColor="text1"/>
          <w:sz w:val="22"/>
        </w:rPr>
        <w:t>6.3.2.b. Proporția corpurilor de apă subterane care au atins clasa de „calitate bună” (conform parametrilor chimici analitici, metale dizolvate, pesticide)</w:t>
      </w:r>
    </w:p>
    <w:p w14:paraId="189BC208" w14:textId="77777777" w:rsidR="00616938" w:rsidRPr="00CD2ADD" w:rsidRDefault="00616938">
      <w:pPr>
        <w:pStyle w:val="ListParagraph"/>
        <w:numPr>
          <w:ilvl w:val="0"/>
          <w:numId w:val="24"/>
        </w:numPr>
        <w:spacing w:after="120"/>
        <w:jc w:val="both"/>
        <w:rPr>
          <w:rFonts w:ascii="Times New Roman" w:hAnsi="Times New Roman" w:cs="Times New Roman"/>
          <w:color w:val="000000" w:themeColor="text1"/>
          <w:sz w:val="22"/>
        </w:rPr>
      </w:pPr>
      <w:r w:rsidRPr="00CD2ADD">
        <w:rPr>
          <w:rFonts w:ascii="Times New Roman" w:hAnsi="Times New Roman" w:cs="Times New Roman"/>
          <w:color w:val="000000" w:themeColor="text1"/>
          <w:sz w:val="22"/>
        </w:rPr>
        <w:t>6.3.2.1. Ponderea surselor de alimentare cu apă potabilă neconforme la normele sanitare conform calității apei (conform parametrilor microbiologici)</w:t>
      </w:r>
    </w:p>
    <w:p w14:paraId="2A6F6C39" w14:textId="7A21E08F" w:rsidR="00616938" w:rsidRPr="00CD2ADD" w:rsidRDefault="00616938" w:rsidP="00006BBF">
      <w:pPr>
        <w:pStyle w:val="ListBullet"/>
        <w:numPr>
          <w:ilvl w:val="0"/>
          <w:numId w:val="0"/>
        </w:numPr>
        <w:spacing w:after="120" w:line="240" w:lineRule="auto"/>
        <w:jc w:val="both"/>
        <w:rPr>
          <w:rFonts w:ascii="Times New Roman" w:hAnsi="Times New Roman" w:cs="Times New Roman"/>
          <w:lang w:val="ro-MD"/>
        </w:rPr>
      </w:pPr>
      <w:r w:rsidRPr="00CD2ADD">
        <w:rPr>
          <w:rFonts w:ascii="Times New Roman" w:hAnsi="Times New Roman" w:cs="Times New Roman"/>
          <w:b/>
          <w:bCs/>
          <w:lang w:val="ro-MD"/>
        </w:rPr>
        <w:t xml:space="preserve">Ținta 6.4 </w:t>
      </w:r>
      <w:r w:rsidRPr="00CD2ADD">
        <w:rPr>
          <w:rFonts w:ascii="Times New Roman" w:hAnsi="Times New Roman" w:cs="Times New Roman"/>
          <w:lang w:val="ro-MD"/>
        </w:rPr>
        <w:t>Până în 2030, creșterea substanțială a eficienței de utilizare a apei în toate sectoarele și asigurarea unui proces durabil de captare și furnizare a apei potabile</w:t>
      </w:r>
    </w:p>
    <w:p w14:paraId="0F978CD8" w14:textId="77777777" w:rsidR="00616938" w:rsidRPr="00CD2ADD" w:rsidRDefault="00616938" w:rsidP="00006BBF">
      <w:pPr>
        <w:spacing w:after="120"/>
        <w:jc w:val="both"/>
        <w:rPr>
          <w:sz w:val="22"/>
          <w:szCs w:val="22"/>
        </w:rPr>
      </w:pPr>
      <w:r w:rsidRPr="00CD2ADD">
        <w:rPr>
          <w:sz w:val="22"/>
          <w:szCs w:val="22"/>
        </w:rPr>
        <w:lastRenderedPageBreak/>
        <w:t xml:space="preserve">Indicatori relevanți: </w:t>
      </w:r>
    </w:p>
    <w:p w14:paraId="4402EE8B" w14:textId="77777777" w:rsidR="00616938" w:rsidRPr="00CD2ADD" w:rsidRDefault="00616938">
      <w:pPr>
        <w:pStyle w:val="ListBullet"/>
        <w:numPr>
          <w:ilvl w:val="0"/>
          <w:numId w:val="26"/>
        </w:numPr>
        <w:spacing w:after="120" w:line="240" w:lineRule="auto"/>
        <w:jc w:val="both"/>
        <w:rPr>
          <w:rFonts w:ascii="Times New Roman" w:hAnsi="Times New Roman" w:cs="Times New Roman"/>
          <w:lang w:val="ro-MD"/>
        </w:rPr>
      </w:pPr>
      <w:r w:rsidRPr="00CD2ADD">
        <w:rPr>
          <w:rFonts w:ascii="Times New Roman" w:hAnsi="Times New Roman" w:cs="Times New Roman"/>
          <w:lang w:val="ro-MD"/>
        </w:rPr>
        <w:t>6.4.1. Evoluția eficienței utilizării apei în timp</w:t>
      </w:r>
    </w:p>
    <w:p w14:paraId="3F862D8D" w14:textId="77777777" w:rsidR="00616938" w:rsidRPr="00CD2ADD" w:rsidRDefault="00616938">
      <w:pPr>
        <w:pStyle w:val="ListBullet"/>
        <w:numPr>
          <w:ilvl w:val="0"/>
          <w:numId w:val="26"/>
        </w:numPr>
        <w:spacing w:after="120" w:line="240" w:lineRule="auto"/>
        <w:jc w:val="both"/>
        <w:rPr>
          <w:rFonts w:ascii="Times New Roman" w:hAnsi="Times New Roman" w:cs="Times New Roman"/>
          <w:lang w:val="ro-MD"/>
        </w:rPr>
      </w:pPr>
      <w:r w:rsidRPr="00CD2ADD">
        <w:rPr>
          <w:rFonts w:ascii="Times New Roman" w:hAnsi="Times New Roman" w:cs="Times New Roman"/>
          <w:lang w:val="ro-MD"/>
        </w:rPr>
        <w:t>6.4.1.1. Consumul apei pentru necesități de producție și potabile</w:t>
      </w:r>
    </w:p>
    <w:p w14:paraId="198E5902" w14:textId="77777777" w:rsidR="00616938" w:rsidRPr="00CD2ADD" w:rsidRDefault="00616938">
      <w:pPr>
        <w:pStyle w:val="ListBullet"/>
        <w:numPr>
          <w:ilvl w:val="0"/>
          <w:numId w:val="26"/>
        </w:numPr>
        <w:spacing w:after="120" w:line="240" w:lineRule="auto"/>
        <w:jc w:val="both"/>
        <w:rPr>
          <w:rFonts w:ascii="Times New Roman" w:hAnsi="Times New Roman" w:cs="Times New Roman"/>
          <w:lang w:val="ro-MD"/>
        </w:rPr>
      </w:pPr>
      <w:r w:rsidRPr="00CD2ADD">
        <w:rPr>
          <w:rFonts w:ascii="Times New Roman" w:hAnsi="Times New Roman" w:cs="Times New Roman"/>
          <w:lang w:val="ro-MD"/>
        </w:rPr>
        <w:t>6.4.2. Ponderea apei captate din totalul resurselor de apă disponibile (Water Stress Index)</w:t>
      </w:r>
    </w:p>
    <w:p w14:paraId="04F972F4" w14:textId="6F2D0F15" w:rsidR="00616938" w:rsidRPr="00CD2ADD" w:rsidRDefault="00616938" w:rsidP="00006BBF">
      <w:pPr>
        <w:pStyle w:val="ListBullet"/>
        <w:numPr>
          <w:ilvl w:val="0"/>
          <w:numId w:val="0"/>
        </w:numPr>
        <w:spacing w:after="120" w:line="240" w:lineRule="auto"/>
        <w:jc w:val="both"/>
        <w:rPr>
          <w:rFonts w:ascii="Times New Roman" w:hAnsi="Times New Roman" w:cs="Times New Roman"/>
          <w:lang w:val="ro-MD"/>
        </w:rPr>
      </w:pPr>
      <w:r w:rsidRPr="00CD2ADD">
        <w:rPr>
          <w:rFonts w:ascii="Times New Roman" w:hAnsi="Times New Roman" w:cs="Times New Roman"/>
          <w:b/>
          <w:bCs/>
          <w:lang w:val="ro-MD"/>
        </w:rPr>
        <w:t>Ținta 6.5.</w:t>
      </w:r>
      <w:r w:rsidR="003216AE" w:rsidRPr="00CD2ADD">
        <w:rPr>
          <w:rFonts w:ascii="Times New Roman" w:hAnsi="Times New Roman" w:cs="Times New Roman"/>
          <w:b/>
          <w:bCs/>
          <w:lang w:val="ro-MD"/>
        </w:rPr>
        <w:t xml:space="preserve"> </w:t>
      </w:r>
      <w:r w:rsidRPr="00CD2ADD">
        <w:rPr>
          <w:rFonts w:ascii="Times New Roman" w:hAnsi="Times New Roman" w:cs="Times New Roman"/>
          <w:lang w:val="ro-MD"/>
        </w:rPr>
        <w:t>Până în 2030, implementarea managementului integrat al resurselor de apă la toate nivelurile.</w:t>
      </w:r>
    </w:p>
    <w:p w14:paraId="70BBAA38" w14:textId="77777777" w:rsidR="00616938" w:rsidRPr="00CD2ADD" w:rsidRDefault="00616938" w:rsidP="00006BBF">
      <w:pPr>
        <w:spacing w:after="120"/>
        <w:jc w:val="both"/>
        <w:rPr>
          <w:sz w:val="22"/>
          <w:szCs w:val="22"/>
        </w:rPr>
      </w:pPr>
      <w:r w:rsidRPr="00CD2ADD">
        <w:rPr>
          <w:sz w:val="22"/>
          <w:szCs w:val="22"/>
        </w:rPr>
        <w:t xml:space="preserve">Indicatori relevanți: </w:t>
      </w:r>
    </w:p>
    <w:p w14:paraId="6A7E0D4B" w14:textId="77777777" w:rsidR="00616938" w:rsidRPr="00CD2ADD" w:rsidRDefault="00616938">
      <w:pPr>
        <w:pStyle w:val="ListBullet"/>
        <w:numPr>
          <w:ilvl w:val="0"/>
          <w:numId w:val="27"/>
        </w:numPr>
        <w:spacing w:after="120" w:line="240" w:lineRule="auto"/>
        <w:jc w:val="both"/>
        <w:rPr>
          <w:rFonts w:ascii="Times New Roman" w:hAnsi="Times New Roman" w:cs="Times New Roman"/>
          <w:lang w:val="ro-MD"/>
        </w:rPr>
      </w:pPr>
      <w:r w:rsidRPr="00CD2ADD">
        <w:rPr>
          <w:rFonts w:ascii="Times New Roman" w:hAnsi="Times New Roman" w:cs="Times New Roman"/>
          <w:lang w:val="ro-MD"/>
        </w:rPr>
        <w:t>6.5.1. Gradul de implementare a managementului integrat al resurselor de apă (de la 0 la 100)</w:t>
      </w:r>
    </w:p>
    <w:p w14:paraId="00D0E645" w14:textId="77777777" w:rsidR="00616938" w:rsidRPr="00CD2ADD" w:rsidRDefault="00616938">
      <w:pPr>
        <w:pStyle w:val="ListBullet"/>
        <w:numPr>
          <w:ilvl w:val="0"/>
          <w:numId w:val="27"/>
        </w:numPr>
        <w:spacing w:after="120" w:line="240" w:lineRule="auto"/>
        <w:jc w:val="both"/>
        <w:rPr>
          <w:rFonts w:ascii="Times New Roman" w:hAnsi="Times New Roman" w:cs="Times New Roman"/>
          <w:lang w:val="ro-MD"/>
        </w:rPr>
      </w:pPr>
      <w:r w:rsidRPr="00CD2ADD">
        <w:rPr>
          <w:rFonts w:ascii="Times New Roman" w:hAnsi="Times New Roman" w:cs="Times New Roman"/>
          <w:lang w:val="ro-MD"/>
        </w:rPr>
        <w:t>6.5.2. Ponderea suprafeței bazinelor apelor râurilor (hidrografice) transfrontaliere, parte a acordurilor internaționale</w:t>
      </w:r>
    </w:p>
    <w:p w14:paraId="691E8762" w14:textId="77777777" w:rsidR="00616938" w:rsidRPr="00CD2ADD" w:rsidRDefault="00616938" w:rsidP="00006BBF">
      <w:pPr>
        <w:pStyle w:val="ListBullet"/>
        <w:numPr>
          <w:ilvl w:val="0"/>
          <w:numId w:val="0"/>
        </w:numPr>
        <w:spacing w:after="120" w:line="240" w:lineRule="auto"/>
        <w:jc w:val="both"/>
        <w:rPr>
          <w:rFonts w:ascii="Times New Roman" w:hAnsi="Times New Roman" w:cs="Times New Roman"/>
          <w:lang w:val="ro-MD"/>
        </w:rPr>
      </w:pPr>
      <w:r w:rsidRPr="00CD2ADD">
        <w:rPr>
          <w:rFonts w:ascii="Times New Roman" w:hAnsi="Times New Roman" w:cs="Times New Roman"/>
          <w:b/>
          <w:bCs/>
          <w:lang w:val="ro-MD"/>
        </w:rPr>
        <w:t>Ținta 6.6.</w:t>
      </w:r>
      <w:r w:rsidRPr="00CD2ADD">
        <w:rPr>
          <w:rFonts w:ascii="Times New Roman" w:hAnsi="Times New Roman" w:cs="Times New Roman"/>
          <w:lang w:val="ro-MD"/>
        </w:rPr>
        <w:t xml:space="preserve"> Până în 2030, protejarea și restabilirea ecosistemelor legate de apă, inclusiv păduri, zone umede, râuri, acvifere și lacuri </w:t>
      </w:r>
    </w:p>
    <w:p w14:paraId="533C9BC9" w14:textId="77777777" w:rsidR="00616938" w:rsidRPr="00CD2ADD" w:rsidRDefault="00616938" w:rsidP="00006BBF">
      <w:pPr>
        <w:spacing w:after="120"/>
        <w:jc w:val="both"/>
        <w:rPr>
          <w:sz w:val="22"/>
          <w:szCs w:val="22"/>
        </w:rPr>
      </w:pPr>
      <w:r w:rsidRPr="00CD2ADD">
        <w:rPr>
          <w:sz w:val="22"/>
          <w:szCs w:val="22"/>
        </w:rPr>
        <w:t xml:space="preserve">Indicatori relevanți: </w:t>
      </w:r>
    </w:p>
    <w:p w14:paraId="57314383" w14:textId="77777777" w:rsidR="00616938" w:rsidRPr="00CD2ADD" w:rsidRDefault="00616938">
      <w:pPr>
        <w:pStyle w:val="ListBullet"/>
        <w:numPr>
          <w:ilvl w:val="0"/>
          <w:numId w:val="28"/>
        </w:numPr>
        <w:spacing w:after="120" w:line="240" w:lineRule="auto"/>
        <w:jc w:val="both"/>
        <w:rPr>
          <w:rFonts w:ascii="Times New Roman" w:hAnsi="Times New Roman" w:cs="Times New Roman"/>
          <w:lang w:val="ro-MD"/>
        </w:rPr>
      </w:pPr>
      <w:r w:rsidRPr="00CD2ADD">
        <w:rPr>
          <w:rFonts w:ascii="Times New Roman" w:hAnsi="Times New Roman" w:cs="Times New Roman"/>
          <w:lang w:val="ro-MD"/>
        </w:rPr>
        <w:t>6.6.1. Dinamica modificării suprafețelor ecosistemelor legate de apă  (indicatori privind extensia spațială a ecosistemelor legate de apă, calitatea apei lacurilor și corpurilor de apă artificiale, cantitatea (descărcarea) apei în râuri și estuare, calitatea ecosistemelor legate de apă, cantitatea apei subterane din acvifere)</w:t>
      </w:r>
    </w:p>
    <w:p w14:paraId="17F7DC19" w14:textId="77777777" w:rsidR="00616938" w:rsidRPr="00CD2ADD" w:rsidRDefault="00616938" w:rsidP="00006BBF">
      <w:pPr>
        <w:pStyle w:val="ListBullet"/>
        <w:numPr>
          <w:ilvl w:val="0"/>
          <w:numId w:val="0"/>
        </w:numPr>
        <w:spacing w:after="120" w:line="240" w:lineRule="auto"/>
        <w:jc w:val="both"/>
        <w:rPr>
          <w:rFonts w:ascii="Times New Roman" w:hAnsi="Times New Roman" w:cs="Times New Roman"/>
          <w:lang w:val="ro-MD"/>
        </w:rPr>
      </w:pPr>
      <w:r w:rsidRPr="00CD2ADD">
        <w:rPr>
          <w:rFonts w:ascii="Times New Roman" w:hAnsi="Times New Roman" w:cs="Times New Roman"/>
          <w:b/>
          <w:bCs/>
          <w:lang w:val="ro-MD"/>
        </w:rPr>
        <w:t>Ținta 6.a.</w:t>
      </w:r>
      <w:r w:rsidRPr="00CD2ADD">
        <w:rPr>
          <w:rFonts w:ascii="Times New Roman" w:hAnsi="Times New Roman" w:cs="Times New Roman"/>
          <w:lang w:val="ro-MD"/>
        </w:rPr>
        <w:t xml:space="preserve"> Până în 2030, consolidarea capacităților țării, cu ajutorul cooperării internaționale și suportului extern, pentru implementare de activități și programe legate de apă și sanitație, inclusiv captarea apei, desalinizarea, eficiența apei, tratarea apelor uzate, tehnologiilor de reciclare și reutilizare</w:t>
      </w:r>
    </w:p>
    <w:p w14:paraId="1AC366F4" w14:textId="77777777" w:rsidR="00616938" w:rsidRPr="00CD2ADD" w:rsidRDefault="00616938" w:rsidP="00006BBF">
      <w:pPr>
        <w:spacing w:after="120"/>
        <w:jc w:val="both"/>
        <w:rPr>
          <w:sz w:val="22"/>
          <w:szCs w:val="22"/>
        </w:rPr>
      </w:pPr>
      <w:r w:rsidRPr="00CD2ADD">
        <w:rPr>
          <w:sz w:val="22"/>
          <w:szCs w:val="22"/>
        </w:rPr>
        <w:t xml:space="preserve">Indicatori relevanți: </w:t>
      </w:r>
    </w:p>
    <w:p w14:paraId="2BA25CD4" w14:textId="4BBF585A" w:rsidR="009E7967" w:rsidRPr="00CD2ADD" w:rsidRDefault="00616938">
      <w:pPr>
        <w:pStyle w:val="ListBullet"/>
        <w:numPr>
          <w:ilvl w:val="0"/>
          <w:numId w:val="28"/>
        </w:numPr>
        <w:spacing w:after="120" w:line="240" w:lineRule="auto"/>
        <w:jc w:val="both"/>
        <w:rPr>
          <w:rFonts w:ascii="Times New Roman" w:hAnsi="Times New Roman" w:cs="Times New Roman"/>
          <w:lang w:val="ro-MD"/>
        </w:rPr>
      </w:pPr>
      <w:r w:rsidRPr="00CD2ADD">
        <w:rPr>
          <w:rFonts w:ascii="Times New Roman" w:hAnsi="Times New Roman" w:cs="Times New Roman"/>
          <w:lang w:val="ro-MD"/>
        </w:rPr>
        <w:t>6.a.1. Valoarea asistenței financiare și tehnice externe pentru dezvoltarea sectorului de aprovizionare cu apă și sanitație</w:t>
      </w:r>
    </w:p>
    <w:p w14:paraId="2C88B1E8" w14:textId="5A849704" w:rsidR="00616938" w:rsidRPr="00CD2ADD" w:rsidRDefault="00616938" w:rsidP="00006BBF">
      <w:pPr>
        <w:spacing w:after="120"/>
        <w:jc w:val="both"/>
        <w:rPr>
          <w:b/>
          <w:bCs/>
          <w:sz w:val="22"/>
          <w:szCs w:val="22"/>
        </w:rPr>
      </w:pPr>
      <w:r w:rsidRPr="00CD2ADD">
        <w:rPr>
          <w:b/>
          <w:bCs/>
          <w:sz w:val="22"/>
          <w:szCs w:val="22"/>
        </w:rPr>
        <w:t>ODD 9: Construirea unor infrastructuri rezistente, promovarea industrializării durabile și încurajarea inovației</w:t>
      </w:r>
    </w:p>
    <w:p w14:paraId="131DE31B" w14:textId="508F6F73" w:rsidR="00616938" w:rsidRPr="00CD2ADD" w:rsidRDefault="00616938" w:rsidP="00006BBF">
      <w:pPr>
        <w:spacing w:after="120"/>
        <w:jc w:val="both"/>
        <w:rPr>
          <w:sz w:val="22"/>
          <w:szCs w:val="22"/>
        </w:rPr>
      </w:pPr>
      <w:r w:rsidRPr="00CD2ADD">
        <w:rPr>
          <w:b/>
          <w:bCs/>
          <w:sz w:val="22"/>
          <w:szCs w:val="22"/>
        </w:rPr>
        <w:t>Ținta 9.1</w:t>
      </w:r>
      <w:r w:rsidRPr="00CD2ADD">
        <w:rPr>
          <w:sz w:val="22"/>
          <w:szCs w:val="22"/>
        </w:rPr>
        <w:t xml:space="preserve"> Dezvoltarea infrastructurii calitative, fiabile, durabile și puternice în regiunile țării pentru a susține dezvoltarea economică și creșterea bunăstării populației, cu accent pe accesul larg și echitabil pentru toți</w:t>
      </w:r>
      <w:r w:rsidR="003216AE" w:rsidRPr="00CD2ADD">
        <w:rPr>
          <w:sz w:val="22"/>
          <w:szCs w:val="22"/>
        </w:rPr>
        <w:t>.</w:t>
      </w:r>
    </w:p>
    <w:p w14:paraId="45CCCB3F" w14:textId="22587CEB" w:rsidR="009E7967" w:rsidRPr="00CD2ADD" w:rsidRDefault="00616938" w:rsidP="00006BBF">
      <w:pPr>
        <w:spacing w:after="120"/>
        <w:jc w:val="both"/>
      </w:pPr>
      <w:r w:rsidRPr="00CD2ADD">
        <w:rPr>
          <w:sz w:val="22"/>
          <w:szCs w:val="22"/>
        </w:rPr>
        <w:t>Indicatori relevanți:</w:t>
      </w:r>
      <w:r w:rsidR="009E3785" w:rsidRPr="00CD2ADD">
        <w:rPr>
          <w:sz w:val="22"/>
          <w:szCs w:val="22"/>
        </w:rPr>
        <w:t xml:space="preserve"> 9.1.1. Ponderea populației rurale care locuiește în raza de 2 km  de la un drum funcțional.</w:t>
      </w:r>
    </w:p>
    <w:p w14:paraId="731A85A8" w14:textId="4A8AB19E" w:rsidR="00616938" w:rsidRPr="00CD2ADD" w:rsidRDefault="00616938" w:rsidP="00006BBF">
      <w:pPr>
        <w:spacing w:after="120"/>
        <w:jc w:val="both"/>
        <w:rPr>
          <w:rFonts w:eastAsiaTheme="minorEastAsia"/>
          <w:b/>
          <w:bCs/>
          <w:sz w:val="22"/>
          <w:szCs w:val="22"/>
        </w:rPr>
      </w:pPr>
      <w:r w:rsidRPr="00CD2ADD">
        <w:rPr>
          <w:rFonts w:eastAsiaTheme="minorEastAsia"/>
          <w:b/>
          <w:bCs/>
          <w:sz w:val="22"/>
          <w:szCs w:val="22"/>
        </w:rPr>
        <w:t>ODD 11: Dezvoltarea orașelor și a așezărilor umane pentru ca ele să fie deschise tuturor, sigure, reziliente și durabile</w:t>
      </w:r>
    </w:p>
    <w:p w14:paraId="5B867744" w14:textId="1C8B0574" w:rsidR="00616938" w:rsidRPr="00CD2ADD" w:rsidRDefault="00616938" w:rsidP="00006BBF">
      <w:pPr>
        <w:spacing w:after="120"/>
        <w:jc w:val="both"/>
        <w:rPr>
          <w:sz w:val="22"/>
          <w:szCs w:val="22"/>
        </w:rPr>
      </w:pPr>
      <w:r w:rsidRPr="00CD2ADD">
        <w:rPr>
          <w:b/>
          <w:bCs/>
          <w:sz w:val="22"/>
          <w:szCs w:val="22"/>
        </w:rPr>
        <w:t>Ținta 11.5</w:t>
      </w:r>
      <w:r w:rsidRPr="00CD2ADD">
        <w:rPr>
          <w:sz w:val="22"/>
          <w:szCs w:val="22"/>
        </w:rPr>
        <w:t xml:space="preserve"> Până în 2030, reducerea pierderilor economice directe cauzate de situații excepționale/dezastre</w:t>
      </w:r>
    </w:p>
    <w:p w14:paraId="1E6CB7E9" w14:textId="37BD00BD" w:rsidR="009E7967" w:rsidRPr="00CD2ADD" w:rsidRDefault="00616938" w:rsidP="00006BBF">
      <w:pPr>
        <w:spacing w:after="120"/>
        <w:jc w:val="both"/>
        <w:rPr>
          <w:sz w:val="22"/>
          <w:szCs w:val="22"/>
        </w:rPr>
      </w:pPr>
      <w:r w:rsidRPr="00CD2ADD">
        <w:rPr>
          <w:sz w:val="22"/>
          <w:szCs w:val="22"/>
        </w:rPr>
        <w:t>Indicatori relevanți:</w:t>
      </w:r>
      <w:r w:rsidR="00E25884" w:rsidRPr="00CD2ADD">
        <w:rPr>
          <w:sz w:val="22"/>
          <w:szCs w:val="22"/>
        </w:rPr>
        <w:t xml:space="preserve"> id</w:t>
      </w:r>
      <w:r w:rsidR="00765EEB" w:rsidRPr="00CD2ADD">
        <w:rPr>
          <w:sz w:val="22"/>
          <w:szCs w:val="22"/>
        </w:rPr>
        <w:t>entic</w:t>
      </w:r>
      <w:r w:rsidR="00E25884" w:rsidRPr="00CD2ADD">
        <w:rPr>
          <w:sz w:val="22"/>
          <w:szCs w:val="22"/>
        </w:rPr>
        <w:t xml:space="preserve"> cu cei menționați la ținta 1.5 referitor la numărul de persoane decedate, dispărute, afectate în urma situațiilor excepționale</w:t>
      </w:r>
      <w:r w:rsidR="009E7967" w:rsidRPr="00CD2ADD">
        <w:rPr>
          <w:sz w:val="22"/>
          <w:szCs w:val="22"/>
        </w:rPr>
        <w:t xml:space="preserve"> naturale si socio-biologice</w:t>
      </w:r>
      <w:r w:rsidR="00E25884" w:rsidRPr="00CD2ADD">
        <w:rPr>
          <w:sz w:val="22"/>
          <w:szCs w:val="22"/>
        </w:rPr>
        <w:t xml:space="preserve">, precum si pierderile economice directe la infrastructura critică raportat la PIB, numărul de întreruperi ale serviciilor de bază. </w:t>
      </w:r>
    </w:p>
    <w:p w14:paraId="59321B5B" w14:textId="54A02307" w:rsidR="00616938" w:rsidRPr="00CD2ADD" w:rsidRDefault="00616938" w:rsidP="00006BBF">
      <w:pPr>
        <w:spacing w:after="120"/>
        <w:jc w:val="both"/>
        <w:rPr>
          <w:b/>
          <w:bCs/>
          <w:sz w:val="22"/>
          <w:szCs w:val="22"/>
        </w:rPr>
      </w:pPr>
      <w:r w:rsidRPr="00CD2ADD">
        <w:rPr>
          <w:b/>
          <w:bCs/>
          <w:sz w:val="22"/>
          <w:szCs w:val="22"/>
        </w:rPr>
        <w:t>ODD 12: Asigurarea unor tipare de consum și producție durabile</w:t>
      </w:r>
    </w:p>
    <w:p w14:paraId="725048D3" w14:textId="5FB80B8D" w:rsidR="00616938" w:rsidRPr="00CD2ADD" w:rsidRDefault="00616938" w:rsidP="00006BBF">
      <w:pPr>
        <w:spacing w:after="120"/>
        <w:jc w:val="both"/>
        <w:rPr>
          <w:sz w:val="22"/>
          <w:szCs w:val="22"/>
        </w:rPr>
      </w:pPr>
      <w:r w:rsidRPr="00CD2ADD">
        <w:rPr>
          <w:b/>
          <w:bCs/>
          <w:sz w:val="22"/>
          <w:szCs w:val="22"/>
        </w:rPr>
        <w:t>Țintele 12.2</w:t>
      </w:r>
      <w:r w:rsidRPr="00CD2ADD">
        <w:rPr>
          <w:sz w:val="22"/>
          <w:szCs w:val="22"/>
        </w:rPr>
        <w:t xml:space="preserve">  Până în 2030, realizarea gestionării durabile și utilizării eficiente a resurselor naturale</w:t>
      </w:r>
    </w:p>
    <w:p w14:paraId="0D06AD88" w14:textId="7CBFFA93" w:rsidR="00616938" w:rsidRPr="00CD2ADD" w:rsidRDefault="00616938">
      <w:pPr>
        <w:pStyle w:val="ListParagraph"/>
        <w:numPr>
          <w:ilvl w:val="0"/>
          <w:numId w:val="30"/>
        </w:numPr>
        <w:spacing w:after="120"/>
        <w:jc w:val="both"/>
        <w:rPr>
          <w:rFonts w:ascii="Times New Roman" w:hAnsi="Times New Roman" w:cs="Times New Roman"/>
          <w:color w:val="000000" w:themeColor="text1"/>
          <w:sz w:val="22"/>
        </w:rPr>
      </w:pPr>
      <w:r w:rsidRPr="00CD2ADD">
        <w:rPr>
          <w:rFonts w:ascii="Times New Roman" w:hAnsi="Times New Roman" w:cs="Times New Roman"/>
          <w:color w:val="000000" w:themeColor="text1"/>
          <w:sz w:val="22"/>
        </w:rPr>
        <w:t>12.2.1.a. Volumul resurselor naturale extrase pe o persoană</w:t>
      </w:r>
    </w:p>
    <w:p w14:paraId="543BFD04" w14:textId="28287287" w:rsidR="00616938" w:rsidRPr="00CD2ADD" w:rsidRDefault="00616938">
      <w:pPr>
        <w:pStyle w:val="ListParagraph"/>
        <w:numPr>
          <w:ilvl w:val="0"/>
          <w:numId w:val="30"/>
        </w:numPr>
        <w:spacing w:after="120"/>
        <w:jc w:val="both"/>
        <w:rPr>
          <w:rFonts w:ascii="Times New Roman" w:hAnsi="Times New Roman" w:cs="Times New Roman"/>
          <w:color w:val="000000" w:themeColor="text1"/>
          <w:sz w:val="22"/>
        </w:rPr>
      </w:pPr>
      <w:r w:rsidRPr="00CD2ADD">
        <w:rPr>
          <w:rFonts w:ascii="Times New Roman" w:hAnsi="Times New Roman" w:cs="Times New Roman"/>
          <w:color w:val="000000" w:themeColor="text1"/>
          <w:sz w:val="22"/>
        </w:rPr>
        <w:t xml:space="preserve">12.2.1.b. Volumul resurselor naturale extrase raportate la PIB </w:t>
      </w:r>
    </w:p>
    <w:p w14:paraId="1C666EA7" w14:textId="0D86D670" w:rsidR="00616938" w:rsidRPr="00CD2ADD" w:rsidRDefault="00616938">
      <w:pPr>
        <w:pStyle w:val="ListParagraph"/>
        <w:numPr>
          <w:ilvl w:val="0"/>
          <w:numId w:val="30"/>
        </w:numPr>
        <w:spacing w:after="120"/>
        <w:jc w:val="both"/>
        <w:rPr>
          <w:rFonts w:ascii="Times New Roman" w:hAnsi="Times New Roman" w:cs="Times New Roman"/>
          <w:color w:val="000000" w:themeColor="text1"/>
          <w:sz w:val="22"/>
        </w:rPr>
      </w:pPr>
      <w:r w:rsidRPr="00CD2ADD">
        <w:rPr>
          <w:rFonts w:ascii="Times New Roman" w:hAnsi="Times New Roman" w:cs="Times New Roman"/>
          <w:color w:val="000000" w:themeColor="text1"/>
          <w:sz w:val="22"/>
        </w:rPr>
        <w:t>12.2.2.a. Consumul de resurse naturale pe o persoană</w:t>
      </w:r>
    </w:p>
    <w:p w14:paraId="5D11231F" w14:textId="1A4CB3E2" w:rsidR="00A732C2" w:rsidRPr="00CD2ADD" w:rsidRDefault="00616938">
      <w:pPr>
        <w:pStyle w:val="ListParagraph"/>
        <w:numPr>
          <w:ilvl w:val="0"/>
          <w:numId w:val="30"/>
        </w:numPr>
        <w:spacing w:after="120"/>
        <w:jc w:val="both"/>
        <w:rPr>
          <w:rFonts w:ascii="Times New Roman" w:hAnsi="Times New Roman" w:cs="Times New Roman"/>
          <w:color w:val="000000" w:themeColor="text1"/>
          <w:sz w:val="22"/>
        </w:rPr>
      </w:pPr>
      <w:r w:rsidRPr="00CD2ADD">
        <w:rPr>
          <w:rFonts w:ascii="Times New Roman" w:hAnsi="Times New Roman" w:cs="Times New Roman"/>
          <w:color w:val="000000" w:themeColor="text1"/>
          <w:sz w:val="22"/>
        </w:rPr>
        <w:t xml:space="preserve">12.2.2.b. Consumul de resurse naturale raportate la PIB </w:t>
      </w:r>
    </w:p>
    <w:p w14:paraId="19E6851B" w14:textId="11EA2B4B" w:rsidR="00616938" w:rsidRPr="00CD2ADD" w:rsidRDefault="00616938" w:rsidP="00006BBF">
      <w:pPr>
        <w:spacing w:after="120"/>
        <w:jc w:val="both"/>
        <w:rPr>
          <w:b/>
          <w:bCs/>
          <w:sz w:val="22"/>
          <w:szCs w:val="22"/>
        </w:rPr>
      </w:pPr>
      <w:r w:rsidRPr="00CD2ADD">
        <w:rPr>
          <w:b/>
          <w:bCs/>
          <w:sz w:val="22"/>
          <w:szCs w:val="22"/>
        </w:rPr>
        <w:t>ODD 13: Luarea unor măsuri urgente de combatere a schimbărilor climatice și a impactului lor</w:t>
      </w:r>
    </w:p>
    <w:p w14:paraId="3B8D1DEC" w14:textId="2FE54A07" w:rsidR="00616938" w:rsidRPr="00CD2ADD" w:rsidRDefault="00616938" w:rsidP="00006BBF">
      <w:pPr>
        <w:spacing w:after="120"/>
        <w:jc w:val="both"/>
        <w:rPr>
          <w:sz w:val="22"/>
          <w:szCs w:val="22"/>
        </w:rPr>
      </w:pPr>
      <w:r w:rsidRPr="00CD2ADD">
        <w:rPr>
          <w:b/>
          <w:bCs/>
          <w:sz w:val="22"/>
          <w:szCs w:val="22"/>
        </w:rPr>
        <w:t>Ținta 13.1</w:t>
      </w:r>
      <w:r w:rsidRPr="00CD2ADD">
        <w:rPr>
          <w:sz w:val="22"/>
          <w:szCs w:val="22"/>
        </w:rPr>
        <w:t xml:space="preserve"> </w:t>
      </w:r>
      <w:r w:rsidR="00856125" w:rsidRPr="00CD2ADD">
        <w:rPr>
          <w:sz w:val="22"/>
          <w:szCs w:val="22"/>
        </w:rPr>
        <w:t>P</w:t>
      </w:r>
      <w:r w:rsidRPr="00CD2ADD">
        <w:rPr>
          <w:sz w:val="22"/>
          <w:szCs w:val="22"/>
        </w:rPr>
        <w:t xml:space="preserve">ână în anul 2030 asigurarea rezilienței climatice prin reducerea cu 50 procente a riscurilor legate de schimbările climatice și prin facilitarea adaptării în </w:t>
      </w:r>
      <w:r w:rsidR="00765EEB" w:rsidRPr="00CD2ADD">
        <w:rPr>
          <w:sz w:val="22"/>
          <w:szCs w:val="22"/>
        </w:rPr>
        <w:t>6 sectoare prioritare: agricultură, resurse de apă, sănătate, sector forestier, energie și transport.</w:t>
      </w:r>
    </w:p>
    <w:p w14:paraId="2FC1BAA8" w14:textId="77777777" w:rsidR="00616938" w:rsidRPr="00CD2ADD" w:rsidRDefault="00616938" w:rsidP="00006BBF">
      <w:pPr>
        <w:spacing w:after="120"/>
        <w:jc w:val="both"/>
        <w:rPr>
          <w:sz w:val="22"/>
          <w:szCs w:val="22"/>
        </w:rPr>
      </w:pPr>
      <w:r w:rsidRPr="00CD2ADD">
        <w:rPr>
          <w:sz w:val="22"/>
          <w:szCs w:val="22"/>
        </w:rPr>
        <w:t>Indicatori relevanți:</w:t>
      </w:r>
    </w:p>
    <w:p w14:paraId="353F871B" w14:textId="3AEEB39A" w:rsidR="00765EEB" w:rsidRPr="00CD2ADD" w:rsidRDefault="00616938">
      <w:pPr>
        <w:pStyle w:val="ListParagraph"/>
        <w:numPr>
          <w:ilvl w:val="0"/>
          <w:numId w:val="29"/>
        </w:numPr>
        <w:spacing w:after="120"/>
        <w:jc w:val="both"/>
        <w:rPr>
          <w:rFonts w:ascii="Times New Roman" w:hAnsi="Times New Roman" w:cs="Times New Roman"/>
          <w:color w:val="000000" w:themeColor="text1"/>
          <w:sz w:val="22"/>
        </w:rPr>
      </w:pPr>
      <w:r w:rsidRPr="00CD2ADD">
        <w:rPr>
          <w:rFonts w:ascii="Times New Roman" w:hAnsi="Times New Roman" w:cs="Times New Roman"/>
          <w:color w:val="000000" w:themeColor="text1"/>
          <w:sz w:val="22"/>
        </w:rPr>
        <w:lastRenderedPageBreak/>
        <w:t>indicatorul 13.1.1.a.</w:t>
      </w:r>
      <w:r w:rsidR="00765EEB" w:rsidRPr="00CD2ADD">
        <w:rPr>
          <w:rFonts w:ascii="Times New Roman" w:hAnsi="Times New Roman" w:cs="Times New Roman"/>
          <w:color w:val="000000" w:themeColor="text1"/>
          <w:sz w:val="22"/>
        </w:rPr>
        <w:t xml:space="preserve">, 13.1.1.b. 13.1.1.c. </w:t>
      </w:r>
      <w:r w:rsidRPr="00CD2ADD">
        <w:rPr>
          <w:rFonts w:ascii="Times New Roman" w:hAnsi="Times New Roman" w:cs="Times New Roman"/>
          <w:color w:val="000000" w:themeColor="text1"/>
          <w:sz w:val="22"/>
        </w:rPr>
        <w:t>i</w:t>
      </w:r>
      <w:r w:rsidR="00765EEB" w:rsidRPr="00CD2ADD">
        <w:rPr>
          <w:rFonts w:ascii="Times New Roman" w:hAnsi="Times New Roman" w:cs="Times New Roman"/>
          <w:color w:val="000000" w:themeColor="text1"/>
          <w:sz w:val="22"/>
        </w:rPr>
        <w:t xml:space="preserve">dentic cu </w:t>
      </w:r>
      <w:r w:rsidRPr="00CD2ADD">
        <w:rPr>
          <w:rFonts w:ascii="Times New Roman" w:hAnsi="Times New Roman" w:cs="Times New Roman"/>
          <w:color w:val="000000" w:themeColor="text1"/>
          <w:sz w:val="22"/>
        </w:rPr>
        <w:t>1.5.1.a/11.5.1.a</w:t>
      </w:r>
      <w:r w:rsidR="00765EEB" w:rsidRPr="00CD2ADD">
        <w:rPr>
          <w:rFonts w:ascii="Times New Roman" w:hAnsi="Times New Roman" w:cs="Times New Roman"/>
          <w:color w:val="000000" w:themeColor="text1"/>
          <w:sz w:val="22"/>
        </w:rPr>
        <w:t>, 1.5.1.b/11.5.1.b, 1.5.1.c/11.5.1.c – referitor la numărul de persoane decedate, dispărute, direct afectate în urma situațiilor excepționale, la 100 000 populație</w:t>
      </w:r>
    </w:p>
    <w:p w14:paraId="2A3B358F" w14:textId="16082382" w:rsidR="00616938" w:rsidRPr="00CD2ADD" w:rsidRDefault="00616938" w:rsidP="00006BBF">
      <w:pPr>
        <w:spacing w:after="120"/>
        <w:jc w:val="both"/>
        <w:rPr>
          <w:b/>
          <w:bCs/>
          <w:sz w:val="22"/>
          <w:szCs w:val="22"/>
        </w:rPr>
      </w:pPr>
      <w:r w:rsidRPr="00CD2ADD">
        <w:rPr>
          <w:b/>
          <w:bCs/>
          <w:sz w:val="22"/>
          <w:szCs w:val="22"/>
        </w:rPr>
        <w:t>ODD 15: Protejarea, restaurarea și promovarea utilizării durabile a ecosistemelor terestre, gestionarea durabilă a pădurilor, combaterea deșertificării, stoparea și repararea degradării solului și stoparea pierderilor de biodiversitate</w:t>
      </w:r>
    </w:p>
    <w:p w14:paraId="3C828B7C" w14:textId="18E9D522" w:rsidR="00616938" w:rsidRPr="00CD2ADD" w:rsidRDefault="0052253E" w:rsidP="00006BBF">
      <w:pPr>
        <w:spacing w:after="120"/>
        <w:jc w:val="both"/>
        <w:rPr>
          <w:color w:val="000000" w:themeColor="text1"/>
          <w:sz w:val="22"/>
          <w:szCs w:val="22"/>
        </w:rPr>
      </w:pPr>
      <w:r w:rsidRPr="00CD2ADD">
        <w:rPr>
          <w:b/>
          <w:bCs/>
          <w:sz w:val="22"/>
          <w:szCs w:val="22"/>
        </w:rPr>
        <w:t xml:space="preserve">Ținta </w:t>
      </w:r>
      <w:r w:rsidR="00616938" w:rsidRPr="00CD2ADD">
        <w:rPr>
          <w:b/>
          <w:bCs/>
          <w:sz w:val="22"/>
          <w:szCs w:val="22"/>
        </w:rPr>
        <w:t xml:space="preserve">15.1. </w:t>
      </w:r>
      <w:r w:rsidR="00616938" w:rsidRPr="00CD2ADD">
        <w:rPr>
          <w:sz w:val="22"/>
          <w:szCs w:val="22"/>
        </w:rPr>
        <w:t xml:space="preserve">Până în 2030, asigurarea conservării, restabilirii și utilizării durabile a ecosistemelor de apă dulce </w:t>
      </w:r>
      <w:r w:rsidR="00616938" w:rsidRPr="00CD2ADD">
        <w:rPr>
          <w:color w:val="000000" w:themeColor="text1"/>
          <w:sz w:val="22"/>
          <w:szCs w:val="22"/>
        </w:rPr>
        <w:t>terestre și interioare și a serviciilor acestora, în special păduri și zone umede</w:t>
      </w:r>
      <w:r w:rsidR="00AB73CB" w:rsidRPr="00CD2ADD">
        <w:rPr>
          <w:color w:val="000000" w:themeColor="text1"/>
          <w:sz w:val="22"/>
          <w:szCs w:val="22"/>
        </w:rPr>
        <w:t>.</w:t>
      </w:r>
    </w:p>
    <w:p w14:paraId="772DFA65" w14:textId="77777777" w:rsidR="00616938" w:rsidRPr="00CD2ADD" w:rsidRDefault="00616938">
      <w:pPr>
        <w:pStyle w:val="ListParagraph"/>
        <w:numPr>
          <w:ilvl w:val="0"/>
          <w:numId w:val="31"/>
        </w:numPr>
        <w:spacing w:after="120"/>
        <w:jc w:val="both"/>
        <w:rPr>
          <w:rFonts w:ascii="Times New Roman" w:hAnsi="Times New Roman" w:cs="Times New Roman"/>
          <w:color w:val="000000" w:themeColor="text1"/>
          <w:sz w:val="22"/>
        </w:rPr>
      </w:pPr>
      <w:r w:rsidRPr="00CD2ADD">
        <w:rPr>
          <w:rFonts w:ascii="Times New Roman" w:hAnsi="Times New Roman" w:cs="Times New Roman"/>
          <w:color w:val="000000" w:themeColor="text1"/>
          <w:sz w:val="22"/>
        </w:rPr>
        <w:t>15.1.1. Suprafața forestieră ca procent din suprafața totală a terenurilor terestre</w:t>
      </w:r>
    </w:p>
    <w:p w14:paraId="39EBF98A" w14:textId="77777777" w:rsidR="00616938" w:rsidRPr="00CD2ADD" w:rsidRDefault="00616938">
      <w:pPr>
        <w:pStyle w:val="ListParagraph"/>
        <w:numPr>
          <w:ilvl w:val="0"/>
          <w:numId w:val="31"/>
        </w:numPr>
        <w:spacing w:after="120"/>
        <w:jc w:val="both"/>
        <w:rPr>
          <w:rFonts w:ascii="Times New Roman" w:hAnsi="Times New Roman" w:cs="Times New Roman"/>
          <w:color w:val="000000" w:themeColor="text1"/>
          <w:sz w:val="22"/>
        </w:rPr>
      </w:pPr>
      <w:r w:rsidRPr="00CD2ADD">
        <w:rPr>
          <w:rFonts w:ascii="Times New Roman" w:hAnsi="Times New Roman" w:cs="Times New Roman"/>
          <w:color w:val="000000" w:themeColor="text1"/>
          <w:sz w:val="22"/>
        </w:rPr>
        <w:t>15.1.2. Proporția ariilor importante ale biodiversității zonelor terestre și de apă dulce protejate, divizate pe tipuri de ecosisteme</w:t>
      </w:r>
    </w:p>
    <w:p w14:paraId="2CD0FEEC" w14:textId="661A6789" w:rsidR="00616938" w:rsidRPr="00CD2ADD" w:rsidRDefault="0052253E" w:rsidP="00006BBF">
      <w:pPr>
        <w:spacing w:after="120"/>
        <w:jc w:val="both"/>
        <w:rPr>
          <w:sz w:val="22"/>
          <w:szCs w:val="22"/>
        </w:rPr>
      </w:pPr>
      <w:r w:rsidRPr="00CD2ADD">
        <w:rPr>
          <w:b/>
          <w:bCs/>
          <w:sz w:val="22"/>
          <w:szCs w:val="22"/>
        </w:rPr>
        <w:t xml:space="preserve">Ținta </w:t>
      </w:r>
      <w:r w:rsidR="00616938" w:rsidRPr="00CD2ADD">
        <w:rPr>
          <w:b/>
          <w:bCs/>
          <w:sz w:val="22"/>
          <w:szCs w:val="22"/>
        </w:rPr>
        <w:t>15.2.</w:t>
      </w:r>
      <w:r w:rsidR="00616938" w:rsidRPr="00CD2ADD">
        <w:rPr>
          <w:sz w:val="22"/>
          <w:szCs w:val="22"/>
        </w:rPr>
        <w:t xml:space="preserve"> Până în 2030, promovarea implementării managementului durabil al tuturor tipurilor de păduri, efectuarea lucrărilor silvotehnici, restabilirea pădurilor degradate și creșterea semnificativă a împăduririi și reîmpăduririi </w:t>
      </w:r>
    </w:p>
    <w:p w14:paraId="0E76988F" w14:textId="4454DB90" w:rsidR="008E7E04" w:rsidRPr="00CD2ADD" w:rsidRDefault="008E7E04" w:rsidP="00006BBF">
      <w:pPr>
        <w:spacing w:after="120"/>
        <w:jc w:val="both"/>
        <w:rPr>
          <w:sz w:val="22"/>
          <w:szCs w:val="22"/>
        </w:rPr>
      </w:pPr>
      <w:r w:rsidRPr="00CD2ADD">
        <w:rPr>
          <w:sz w:val="22"/>
          <w:szCs w:val="22"/>
        </w:rPr>
        <w:t>Indicatori relevanți:</w:t>
      </w:r>
    </w:p>
    <w:p w14:paraId="33417086" w14:textId="2A318914" w:rsidR="00616938" w:rsidRPr="00CD2ADD" w:rsidRDefault="00616938">
      <w:pPr>
        <w:pStyle w:val="ListParagraph"/>
        <w:numPr>
          <w:ilvl w:val="0"/>
          <w:numId w:val="36"/>
        </w:numPr>
        <w:spacing w:after="120"/>
        <w:jc w:val="both"/>
        <w:rPr>
          <w:rFonts w:ascii="Times New Roman" w:hAnsi="Times New Roman" w:cs="Times New Roman"/>
          <w:color w:val="000000" w:themeColor="text1"/>
          <w:sz w:val="22"/>
        </w:rPr>
      </w:pPr>
      <w:r w:rsidRPr="00CD2ADD">
        <w:rPr>
          <w:rFonts w:ascii="Times New Roman" w:hAnsi="Times New Roman" w:cs="Times New Roman"/>
          <w:color w:val="000000" w:themeColor="text1"/>
          <w:sz w:val="22"/>
        </w:rPr>
        <w:t>15.2.1. Indicatori privind progresul managementului durabil al pădurilor:</w:t>
      </w:r>
      <w:r w:rsidR="008E7E04" w:rsidRPr="00CD2ADD">
        <w:rPr>
          <w:rFonts w:ascii="Times New Roman" w:hAnsi="Times New Roman" w:cs="Times New Roman"/>
          <w:color w:val="000000" w:themeColor="text1"/>
          <w:sz w:val="22"/>
        </w:rPr>
        <w:t xml:space="preserve"> </w:t>
      </w:r>
      <w:r w:rsidRPr="00CD2ADD">
        <w:rPr>
          <w:rFonts w:ascii="Times New Roman" w:hAnsi="Times New Roman" w:cs="Times New Roman"/>
          <w:color w:val="000000" w:themeColor="text1"/>
          <w:sz w:val="22"/>
        </w:rPr>
        <w:t>rata netă anuală de schimbare a suprafeței forestiere; rezervele de biomasă supraterană în păduri; proporția de suprafață forestieră situată în zonele protejate legal;  proporția de suprafață forestieră gospodărită în conformitate cu planurile de gestionare durabilă  a pădurilor pe termen lung;</w:t>
      </w:r>
      <w:r w:rsidR="0052253E" w:rsidRPr="00CD2ADD">
        <w:rPr>
          <w:rFonts w:ascii="Times New Roman" w:hAnsi="Times New Roman" w:cs="Times New Roman"/>
          <w:color w:val="000000" w:themeColor="text1"/>
          <w:sz w:val="22"/>
        </w:rPr>
        <w:t xml:space="preserve"> </w:t>
      </w:r>
      <w:r w:rsidRPr="00CD2ADD">
        <w:rPr>
          <w:rFonts w:ascii="Times New Roman" w:hAnsi="Times New Roman" w:cs="Times New Roman"/>
          <w:color w:val="000000" w:themeColor="text1"/>
          <w:sz w:val="22"/>
        </w:rPr>
        <w:t>suprafața forestieră inclusă în cadrul sistemului de certificare a modului de gestionare a pădurilor, verificat independent</w:t>
      </w:r>
    </w:p>
    <w:p w14:paraId="70869E97" w14:textId="77777777" w:rsidR="00616938" w:rsidRPr="00CD2ADD" w:rsidRDefault="00616938">
      <w:pPr>
        <w:pStyle w:val="ListParagraph"/>
        <w:numPr>
          <w:ilvl w:val="0"/>
          <w:numId w:val="32"/>
        </w:numPr>
        <w:spacing w:after="120"/>
        <w:jc w:val="both"/>
        <w:rPr>
          <w:rFonts w:ascii="Times New Roman" w:hAnsi="Times New Roman" w:cs="Times New Roman"/>
          <w:color w:val="000000" w:themeColor="text1"/>
          <w:sz w:val="22"/>
        </w:rPr>
      </w:pPr>
      <w:r w:rsidRPr="00CD2ADD">
        <w:rPr>
          <w:rFonts w:ascii="Times New Roman" w:hAnsi="Times New Roman" w:cs="Times New Roman"/>
          <w:color w:val="000000" w:themeColor="text1"/>
          <w:sz w:val="22"/>
        </w:rPr>
        <w:t>15.2.1.1. Suprafața terenurilor degradate restabilite prin împădurire</w:t>
      </w:r>
    </w:p>
    <w:p w14:paraId="777F05DB" w14:textId="77777777" w:rsidR="00616938" w:rsidRPr="00CD2ADD" w:rsidRDefault="00616938">
      <w:pPr>
        <w:pStyle w:val="ListParagraph"/>
        <w:numPr>
          <w:ilvl w:val="0"/>
          <w:numId w:val="32"/>
        </w:numPr>
        <w:spacing w:after="120"/>
        <w:jc w:val="both"/>
        <w:rPr>
          <w:rFonts w:ascii="Times New Roman" w:hAnsi="Times New Roman" w:cs="Times New Roman"/>
          <w:color w:val="000000" w:themeColor="text1"/>
          <w:sz w:val="22"/>
        </w:rPr>
      </w:pPr>
      <w:r w:rsidRPr="00CD2ADD">
        <w:rPr>
          <w:rFonts w:ascii="Times New Roman" w:hAnsi="Times New Roman" w:cs="Times New Roman"/>
          <w:color w:val="000000" w:themeColor="text1"/>
          <w:sz w:val="22"/>
        </w:rPr>
        <w:t>15.2.1.2. Suprafața pădurilor restabilite</w:t>
      </w:r>
    </w:p>
    <w:p w14:paraId="5F109E43" w14:textId="77777777" w:rsidR="00616938" w:rsidRPr="00CD2ADD" w:rsidRDefault="00616938">
      <w:pPr>
        <w:pStyle w:val="ListParagraph"/>
        <w:numPr>
          <w:ilvl w:val="0"/>
          <w:numId w:val="32"/>
        </w:numPr>
        <w:spacing w:after="120"/>
        <w:jc w:val="both"/>
        <w:rPr>
          <w:rFonts w:ascii="Times New Roman" w:hAnsi="Times New Roman" w:cs="Times New Roman"/>
          <w:color w:val="000000" w:themeColor="text1"/>
          <w:sz w:val="22"/>
        </w:rPr>
      </w:pPr>
      <w:r w:rsidRPr="00CD2ADD">
        <w:rPr>
          <w:rFonts w:ascii="Times New Roman" w:hAnsi="Times New Roman" w:cs="Times New Roman"/>
          <w:color w:val="000000" w:themeColor="text1"/>
          <w:sz w:val="22"/>
        </w:rPr>
        <w:t>15.2.1.3. Suprafața pădurilor extinse</w:t>
      </w:r>
    </w:p>
    <w:p w14:paraId="1B946C59" w14:textId="51D784EB" w:rsidR="00616938" w:rsidRPr="00CD2ADD" w:rsidRDefault="008E7E04" w:rsidP="00006BBF">
      <w:pPr>
        <w:spacing w:after="120"/>
        <w:jc w:val="both"/>
        <w:rPr>
          <w:sz w:val="22"/>
          <w:szCs w:val="22"/>
        </w:rPr>
      </w:pPr>
      <w:r w:rsidRPr="00CD2ADD">
        <w:rPr>
          <w:b/>
          <w:bCs/>
          <w:sz w:val="22"/>
          <w:szCs w:val="22"/>
        </w:rPr>
        <w:t xml:space="preserve">Ținta 15.3. </w:t>
      </w:r>
      <w:r w:rsidR="00616938" w:rsidRPr="00CD2ADD">
        <w:rPr>
          <w:sz w:val="22"/>
          <w:szCs w:val="22"/>
        </w:rPr>
        <w:t>Până în 2030, combaterea deșertificării, restabilirea terenurilor degradate prin implementarea mecanismului  Neutralitatea Degradării Terenurilor (NDT),  pentru a realiza o lume neutră din punctul de vedere al degradării solului</w:t>
      </w:r>
      <w:r w:rsidR="00AB73CB" w:rsidRPr="00CD2ADD">
        <w:rPr>
          <w:sz w:val="22"/>
          <w:szCs w:val="22"/>
        </w:rPr>
        <w:t>.</w:t>
      </w:r>
    </w:p>
    <w:p w14:paraId="1F97CB70" w14:textId="4360861A" w:rsidR="00AB73CB" w:rsidRPr="00CD2ADD" w:rsidRDefault="00AB73CB" w:rsidP="00006BBF">
      <w:pPr>
        <w:spacing w:after="120"/>
        <w:jc w:val="both"/>
        <w:rPr>
          <w:sz w:val="22"/>
          <w:szCs w:val="22"/>
        </w:rPr>
      </w:pPr>
      <w:r w:rsidRPr="00CD2ADD">
        <w:rPr>
          <w:sz w:val="22"/>
          <w:szCs w:val="22"/>
        </w:rPr>
        <w:t>Indicatori relevanți:</w:t>
      </w:r>
    </w:p>
    <w:p w14:paraId="280D5D69" w14:textId="77777777" w:rsidR="00616938" w:rsidRPr="00CD2ADD" w:rsidRDefault="00616938">
      <w:pPr>
        <w:pStyle w:val="ListParagraph"/>
        <w:numPr>
          <w:ilvl w:val="0"/>
          <w:numId w:val="34"/>
        </w:numPr>
        <w:spacing w:after="120"/>
        <w:jc w:val="both"/>
        <w:rPr>
          <w:rFonts w:ascii="Times New Roman" w:hAnsi="Times New Roman" w:cs="Times New Roman"/>
          <w:color w:val="000000" w:themeColor="text1"/>
          <w:sz w:val="22"/>
        </w:rPr>
      </w:pPr>
      <w:r w:rsidRPr="00CD2ADD">
        <w:rPr>
          <w:rFonts w:ascii="Times New Roman" w:hAnsi="Times New Roman" w:cs="Times New Roman"/>
          <w:color w:val="000000" w:themeColor="text1"/>
          <w:sz w:val="22"/>
        </w:rPr>
        <w:t xml:space="preserve">15.3.1. Cota-parte a terenurilor degradate din suprafața totală de terenuri </w:t>
      </w:r>
    </w:p>
    <w:p w14:paraId="23C55F23" w14:textId="77777777" w:rsidR="00616938" w:rsidRPr="00CD2ADD" w:rsidRDefault="00616938">
      <w:pPr>
        <w:pStyle w:val="ListParagraph"/>
        <w:numPr>
          <w:ilvl w:val="0"/>
          <w:numId w:val="34"/>
        </w:numPr>
        <w:spacing w:after="120"/>
        <w:jc w:val="both"/>
        <w:rPr>
          <w:rFonts w:ascii="Times New Roman" w:hAnsi="Times New Roman" w:cs="Times New Roman"/>
          <w:color w:val="000000" w:themeColor="text1"/>
          <w:sz w:val="22"/>
        </w:rPr>
      </w:pPr>
      <w:r w:rsidRPr="00CD2ADD">
        <w:rPr>
          <w:rFonts w:ascii="Times New Roman" w:hAnsi="Times New Roman" w:cs="Times New Roman"/>
          <w:color w:val="000000" w:themeColor="text1"/>
          <w:sz w:val="22"/>
        </w:rPr>
        <w:t>15.3.1.1.  Cota-parte a terenurilor din categoria terenurilor cu destinație agricolă ameliorate din suprafața totală de terenuri degradate din categoria respectivă</w:t>
      </w:r>
    </w:p>
    <w:p w14:paraId="65DF7AF5" w14:textId="1653A061" w:rsidR="00616938" w:rsidRPr="00CD2ADD" w:rsidRDefault="00AB73CB" w:rsidP="00006BBF">
      <w:pPr>
        <w:spacing w:after="120"/>
        <w:jc w:val="both"/>
        <w:rPr>
          <w:sz w:val="22"/>
          <w:szCs w:val="22"/>
        </w:rPr>
      </w:pPr>
      <w:r w:rsidRPr="00CD2ADD">
        <w:rPr>
          <w:b/>
          <w:bCs/>
          <w:sz w:val="22"/>
          <w:szCs w:val="22"/>
        </w:rPr>
        <w:t>Ținta</w:t>
      </w:r>
      <w:r w:rsidRPr="00CD2ADD">
        <w:rPr>
          <w:sz w:val="22"/>
          <w:szCs w:val="22"/>
        </w:rPr>
        <w:t xml:space="preserve"> </w:t>
      </w:r>
      <w:r w:rsidR="00616938" w:rsidRPr="00CD2ADD">
        <w:rPr>
          <w:b/>
          <w:bCs/>
          <w:sz w:val="22"/>
          <w:szCs w:val="22"/>
        </w:rPr>
        <w:t>15.5.</w:t>
      </w:r>
      <w:r w:rsidR="00616938" w:rsidRPr="00CD2ADD">
        <w:rPr>
          <w:sz w:val="22"/>
          <w:szCs w:val="22"/>
        </w:rPr>
        <w:t xml:space="preserve"> Luarea unor măsuri urgente și semnificative pentru a reduce degradarea habitatelor naturale, pentru a stopa pierderea biodiversității și, până în 2030, pentru a proteja și preveni extincția speciilor amenințate</w:t>
      </w:r>
      <w:r w:rsidRPr="00CD2ADD">
        <w:rPr>
          <w:sz w:val="22"/>
          <w:szCs w:val="22"/>
        </w:rPr>
        <w:t>.</w:t>
      </w:r>
    </w:p>
    <w:p w14:paraId="42DBCAAB" w14:textId="3939BF40" w:rsidR="00AB73CB" w:rsidRPr="00CD2ADD" w:rsidRDefault="00AB73CB" w:rsidP="00006BBF">
      <w:pPr>
        <w:spacing w:after="120"/>
        <w:jc w:val="both"/>
        <w:rPr>
          <w:sz w:val="22"/>
          <w:szCs w:val="22"/>
        </w:rPr>
      </w:pPr>
      <w:r w:rsidRPr="00CD2ADD">
        <w:rPr>
          <w:sz w:val="22"/>
          <w:szCs w:val="22"/>
        </w:rPr>
        <w:t>Indicatori relevanți:</w:t>
      </w:r>
    </w:p>
    <w:p w14:paraId="497D0084" w14:textId="77777777" w:rsidR="00616938" w:rsidRPr="00CD2ADD" w:rsidRDefault="00616938">
      <w:pPr>
        <w:pStyle w:val="ListParagraph"/>
        <w:numPr>
          <w:ilvl w:val="0"/>
          <w:numId w:val="33"/>
        </w:numPr>
        <w:spacing w:after="120"/>
        <w:jc w:val="both"/>
        <w:rPr>
          <w:rFonts w:ascii="Times New Roman" w:hAnsi="Times New Roman" w:cs="Times New Roman"/>
          <w:color w:val="000000" w:themeColor="text1"/>
          <w:sz w:val="22"/>
        </w:rPr>
      </w:pPr>
      <w:r w:rsidRPr="00CD2ADD">
        <w:rPr>
          <w:rFonts w:ascii="Times New Roman" w:hAnsi="Times New Roman" w:cs="Times New Roman"/>
          <w:color w:val="000000" w:themeColor="text1"/>
          <w:sz w:val="22"/>
        </w:rPr>
        <w:t>15.5.1. Indicele listei speciilor din Cartea Roșie a Republicii Moldova</w:t>
      </w:r>
    </w:p>
    <w:p w14:paraId="5B8996ED" w14:textId="77777777" w:rsidR="00616938" w:rsidRPr="00CD2ADD" w:rsidRDefault="00616938">
      <w:pPr>
        <w:pStyle w:val="ListParagraph"/>
        <w:numPr>
          <w:ilvl w:val="0"/>
          <w:numId w:val="33"/>
        </w:numPr>
        <w:spacing w:after="120"/>
        <w:jc w:val="both"/>
        <w:rPr>
          <w:rFonts w:ascii="Times New Roman" w:hAnsi="Times New Roman" w:cs="Times New Roman"/>
          <w:color w:val="000000" w:themeColor="text1"/>
          <w:sz w:val="22"/>
        </w:rPr>
      </w:pPr>
      <w:r w:rsidRPr="00CD2ADD">
        <w:rPr>
          <w:rFonts w:ascii="Times New Roman" w:hAnsi="Times New Roman" w:cs="Times New Roman"/>
          <w:color w:val="000000" w:themeColor="text1"/>
          <w:sz w:val="22"/>
        </w:rPr>
        <w:t>15.5.1.1. Numărul total de specii incluse în Cartea Roșie a Republicii Moldova</w:t>
      </w:r>
    </w:p>
    <w:p w14:paraId="13E0FEB2" w14:textId="23F3CD07" w:rsidR="00AB73CB" w:rsidRPr="00CD2ADD" w:rsidRDefault="00AB73CB" w:rsidP="00006BBF">
      <w:pPr>
        <w:spacing w:after="120"/>
        <w:jc w:val="both"/>
        <w:rPr>
          <w:sz w:val="22"/>
          <w:szCs w:val="22"/>
        </w:rPr>
      </w:pPr>
      <w:r w:rsidRPr="00CD2ADD">
        <w:rPr>
          <w:b/>
          <w:bCs/>
          <w:sz w:val="22"/>
          <w:szCs w:val="22"/>
        </w:rPr>
        <w:t>Ținta</w:t>
      </w:r>
      <w:r w:rsidRPr="00CD2ADD">
        <w:rPr>
          <w:sz w:val="22"/>
          <w:szCs w:val="22"/>
        </w:rPr>
        <w:t xml:space="preserve"> </w:t>
      </w:r>
      <w:r w:rsidR="00616938" w:rsidRPr="00CD2ADD">
        <w:rPr>
          <w:b/>
          <w:bCs/>
          <w:sz w:val="22"/>
          <w:szCs w:val="22"/>
        </w:rPr>
        <w:t>15.6.</w:t>
      </w:r>
      <w:r w:rsidR="00616938" w:rsidRPr="00CD2ADD">
        <w:rPr>
          <w:sz w:val="22"/>
          <w:szCs w:val="22"/>
        </w:rPr>
        <w:t xml:space="preserve"> Promovarea distribuirii corecte și echitabile a beneficiilor care rezultă din utilizarea resurselor genetice și promovarea accesului corespunzător la aceste resurse, după cum este convenit la nivel internațional</w:t>
      </w:r>
      <w:r w:rsidRPr="00CD2ADD">
        <w:rPr>
          <w:sz w:val="22"/>
          <w:szCs w:val="22"/>
        </w:rPr>
        <w:t>.</w:t>
      </w:r>
    </w:p>
    <w:p w14:paraId="08EA7A1E" w14:textId="062A9488" w:rsidR="00616938" w:rsidRPr="00CD2ADD" w:rsidRDefault="00AB73CB" w:rsidP="00006BBF">
      <w:pPr>
        <w:spacing w:after="120"/>
        <w:jc w:val="both"/>
        <w:rPr>
          <w:sz w:val="22"/>
        </w:rPr>
      </w:pPr>
      <w:r w:rsidRPr="00CD2ADD">
        <w:rPr>
          <w:sz w:val="22"/>
          <w:szCs w:val="22"/>
        </w:rPr>
        <w:t xml:space="preserve">Indicatori relevanți: </w:t>
      </w:r>
      <w:r w:rsidR="00616938" w:rsidRPr="00CD2ADD">
        <w:rPr>
          <w:sz w:val="22"/>
        </w:rPr>
        <w:t>15.6.1.1. Existența actelor normative referitoare la asigurarea distribuirii corecte și echitabile a resurselor genetice</w:t>
      </w:r>
      <w:r w:rsidRPr="00CD2ADD">
        <w:rPr>
          <w:sz w:val="22"/>
        </w:rPr>
        <w:t xml:space="preserve">. </w:t>
      </w:r>
    </w:p>
    <w:p w14:paraId="265B8F2A" w14:textId="74C2E3ED" w:rsidR="00616938" w:rsidRPr="00CD2ADD" w:rsidRDefault="00AB73CB" w:rsidP="00006BBF">
      <w:pPr>
        <w:spacing w:after="120"/>
        <w:jc w:val="both"/>
        <w:rPr>
          <w:sz w:val="22"/>
          <w:szCs w:val="22"/>
        </w:rPr>
      </w:pPr>
      <w:r w:rsidRPr="00CD2ADD">
        <w:rPr>
          <w:b/>
          <w:bCs/>
          <w:sz w:val="22"/>
          <w:szCs w:val="22"/>
        </w:rPr>
        <w:t>Ținta</w:t>
      </w:r>
      <w:r w:rsidRPr="00CD2ADD">
        <w:rPr>
          <w:sz w:val="22"/>
          <w:szCs w:val="22"/>
        </w:rPr>
        <w:t xml:space="preserve"> </w:t>
      </w:r>
      <w:r w:rsidR="00616938" w:rsidRPr="00CD2ADD">
        <w:rPr>
          <w:b/>
          <w:bCs/>
          <w:sz w:val="22"/>
          <w:szCs w:val="22"/>
        </w:rPr>
        <w:t>15.7.</w:t>
      </w:r>
      <w:r w:rsidR="00616938" w:rsidRPr="00CD2ADD">
        <w:rPr>
          <w:sz w:val="22"/>
          <w:szCs w:val="22"/>
        </w:rPr>
        <w:t xml:space="preserve"> Luarea unor măsuri urgente pentru a stopa braconajul și traficul de specii de floră și faună protejate, precum și pentru a face față problemelor puse de cererea și oferta de produse ilegale de specii sălbatice</w:t>
      </w:r>
      <w:r w:rsidRPr="00CD2ADD">
        <w:rPr>
          <w:sz w:val="22"/>
          <w:szCs w:val="22"/>
        </w:rPr>
        <w:t xml:space="preserve">. </w:t>
      </w:r>
    </w:p>
    <w:p w14:paraId="219015ED" w14:textId="68E10CE0" w:rsidR="00616938" w:rsidRPr="00CD2ADD" w:rsidRDefault="00AB73CB" w:rsidP="00006BBF">
      <w:pPr>
        <w:spacing w:after="120"/>
        <w:jc w:val="both"/>
        <w:rPr>
          <w:sz w:val="22"/>
        </w:rPr>
      </w:pPr>
      <w:r w:rsidRPr="00CD2ADD">
        <w:rPr>
          <w:sz w:val="22"/>
          <w:szCs w:val="22"/>
        </w:rPr>
        <w:t xml:space="preserve">Indicatori relevanți: </w:t>
      </w:r>
      <w:r w:rsidR="00616938" w:rsidRPr="00CD2ADD">
        <w:rPr>
          <w:sz w:val="22"/>
        </w:rPr>
        <w:t>15.7.1. Proporția comerțului ilicit cu animale sălbatice (inclusiv produse derivate, părți ale acestora) care au fost braconate sau traficate prin contrabandă</w:t>
      </w:r>
      <w:r w:rsidRPr="00CD2ADD">
        <w:rPr>
          <w:sz w:val="22"/>
        </w:rPr>
        <w:t>.</w:t>
      </w:r>
    </w:p>
    <w:p w14:paraId="2FA5EC81" w14:textId="543AD195" w:rsidR="00616938" w:rsidRPr="00CD2ADD" w:rsidRDefault="00AB73CB" w:rsidP="00006BBF">
      <w:pPr>
        <w:spacing w:after="120"/>
        <w:jc w:val="both"/>
        <w:rPr>
          <w:sz w:val="22"/>
          <w:szCs w:val="22"/>
        </w:rPr>
      </w:pPr>
      <w:r w:rsidRPr="00CD2ADD">
        <w:rPr>
          <w:b/>
          <w:bCs/>
          <w:sz w:val="22"/>
          <w:szCs w:val="22"/>
        </w:rPr>
        <w:t>Ținta</w:t>
      </w:r>
      <w:r w:rsidRPr="00CD2ADD">
        <w:rPr>
          <w:sz w:val="22"/>
          <w:szCs w:val="22"/>
        </w:rPr>
        <w:t xml:space="preserve"> </w:t>
      </w:r>
      <w:r w:rsidR="00616938" w:rsidRPr="00CD2ADD">
        <w:rPr>
          <w:b/>
          <w:bCs/>
          <w:sz w:val="22"/>
          <w:szCs w:val="22"/>
        </w:rPr>
        <w:t>15.8.</w:t>
      </w:r>
      <w:r w:rsidR="00616938" w:rsidRPr="00CD2ADD">
        <w:rPr>
          <w:sz w:val="22"/>
          <w:szCs w:val="22"/>
        </w:rPr>
        <w:t xml:space="preserve"> Adoptarea și implementarea măsurilor pentru a preveni introducerea și a reduce semnificativ impactul speciilor invazive asupra ecosistemelor terestre și acvatice și pentru a controla și eradica speciile prioritare</w:t>
      </w:r>
      <w:r w:rsidRPr="00CD2ADD">
        <w:rPr>
          <w:sz w:val="22"/>
          <w:szCs w:val="22"/>
        </w:rPr>
        <w:t xml:space="preserve">. </w:t>
      </w:r>
    </w:p>
    <w:p w14:paraId="0B6EEEAD" w14:textId="289CE152" w:rsidR="00616938" w:rsidRPr="00CD2ADD" w:rsidRDefault="00AB73CB" w:rsidP="00006BBF">
      <w:pPr>
        <w:spacing w:after="120"/>
        <w:jc w:val="both"/>
        <w:rPr>
          <w:sz w:val="22"/>
        </w:rPr>
      </w:pPr>
      <w:r w:rsidRPr="00CD2ADD">
        <w:rPr>
          <w:sz w:val="22"/>
          <w:szCs w:val="22"/>
        </w:rPr>
        <w:lastRenderedPageBreak/>
        <w:t xml:space="preserve">Indicatori relevanți: </w:t>
      </w:r>
      <w:r w:rsidR="00616938" w:rsidRPr="00CD2ADD">
        <w:rPr>
          <w:sz w:val="22"/>
        </w:rPr>
        <w:t>15.8.1.1. Existența actelor normative și a măsurilor privind prevenirea și reducerea apariției speciilor invazive pentru a controla și eradica speciile prioritare</w:t>
      </w:r>
      <w:r w:rsidRPr="00CD2ADD">
        <w:rPr>
          <w:sz w:val="22"/>
        </w:rPr>
        <w:t xml:space="preserve">. </w:t>
      </w:r>
    </w:p>
    <w:p w14:paraId="39C72635" w14:textId="7D4CB087" w:rsidR="00616938" w:rsidRPr="00CD2ADD" w:rsidRDefault="00AB73CB" w:rsidP="00006BBF">
      <w:pPr>
        <w:spacing w:after="120"/>
        <w:jc w:val="both"/>
        <w:rPr>
          <w:sz w:val="22"/>
          <w:szCs w:val="22"/>
        </w:rPr>
      </w:pPr>
      <w:r w:rsidRPr="00CD2ADD">
        <w:rPr>
          <w:b/>
          <w:bCs/>
          <w:sz w:val="22"/>
          <w:szCs w:val="22"/>
        </w:rPr>
        <w:t>Ținta</w:t>
      </w:r>
      <w:r w:rsidRPr="00CD2ADD">
        <w:rPr>
          <w:sz w:val="22"/>
          <w:szCs w:val="22"/>
        </w:rPr>
        <w:t xml:space="preserve"> </w:t>
      </w:r>
      <w:r w:rsidR="00616938" w:rsidRPr="00CD2ADD">
        <w:rPr>
          <w:b/>
          <w:bCs/>
          <w:sz w:val="22"/>
          <w:szCs w:val="22"/>
        </w:rPr>
        <w:t>15.9.</w:t>
      </w:r>
      <w:r w:rsidR="00616938" w:rsidRPr="00CD2ADD">
        <w:rPr>
          <w:sz w:val="22"/>
          <w:szCs w:val="22"/>
        </w:rPr>
        <w:t xml:space="preserve"> Integrarea și monitorizarea valorilor biodiversității și ecosistemelor în planificarea națională și locală, procesele de dezvoltare, strategii, planurile de reducere a sărăciei și planurile de amenajare a teritoriilor</w:t>
      </w:r>
      <w:r w:rsidRPr="00CD2ADD">
        <w:rPr>
          <w:sz w:val="22"/>
          <w:szCs w:val="22"/>
        </w:rPr>
        <w:t xml:space="preserve">. </w:t>
      </w:r>
    </w:p>
    <w:p w14:paraId="7145278C" w14:textId="74EC4F73" w:rsidR="00616938" w:rsidRDefault="00AB73CB" w:rsidP="00006BBF">
      <w:pPr>
        <w:spacing w:after="120"/>
        <w:jc w:val="both"/>
      </w:pPr>
      <w:r w:rsidRPr="00CD2ADD">
        <w:rPr>
          <w:sz w:val="22"/>
          <w:szCs w:val="22"/>
        </w:rPr>
        <w:t xml:space="preserve">Indicatori relevanți: </w:t>
      </w:r>
      <w:r w:rsidR="00616938" w:rsidRPr="00CD2ADD">
        <w:rPr>
          <w:sz w:val="22"/>
        </w:rPr>
        <w:t xml:space="preserve">15.9.1.1. Gradul de implementare a acțiunilor din cadrul Planului al Strategiei de mediu </w:t>
      </w:r>
      <w:r w:rsidR="00616938" w:rsidRPr="000D4BD2">
        <w:t>pentru anii 2014-2023</w:t>
      </w:r>
      <w:r w:rsidRPr="000D4BD2">
        <w:t xml:space="preserve">. </w:t>
      </w:r>
    </w:p>
    <w:p w14:paraId="18195425" w14:textId="263BB646" w:rsidR="000D4BD2" w:rsidRPr="00326C38" w:rsidRDefault="00326C38" w:rsidP="00326C38">
      <w:pPr>
        <w:spacing w:after="120"/>
        <w:jc w:val="center"/>
        <w:rPr>
          <w:b/>
          <w:bCs/>
        </w:rPr>
      </w:pPr>
      <w:r w:rsidRPr="00326C38">
        <w:rPr>
          <w:b/>
          <w:bCs/>
        </w:rPr>
        <w:t>Corelarea Programului cu Agenta 2030 și cadrul național de monitorizare ODD</w:t>
      </w:r>
    </w:p>
    <w:p w14:paraId="77495A1C" w14:textId="77777777" w:rsidR="006835D3" w:rsidRDefault="00CC538D" w:rsidP="00326C38">
      <w:pPr>
        <w:pStyle w:val="ListParagraph"/>
        <w:numPr>
          <w:ilvl w:val="0"/>
          <w:numId w:val="42"/>
        </w:numPr>
        <w:spacing w:after="120"/>
        <w:ind w:left="0" w:firstLine="142"/>
        <w:jc w:val="both"/>
        <w:rPr>
          <w:rFonts w:ascii="Times New Roman" w:hAnsi="Times New Roman" w:cs="Times New Roman"/>
          <w:color w:val="auto"/>
          <w:sz w:val="24"/>
          <w:szCs w:val="24"/>
        </w:rPr>
      </w:pPr>
      <w:r w:rsidRPr="00326C38">
        <w:rPr>
          <w:rFonts w:ascii="Times New Roman" w:hAnsi="Times New Roman" w:cs="Times New Roman"/>
          <w:color w:val="auto"/>
          <w:sz w:val="24"/>
          <w:szCs w:val="24"/>
        </w:rPr>
        <w:t xml:space="preserve">Programul național de reducere a riscurilor de dezastre naturale și biologico-sociale este conceput ca un instrument transversal de implementare a Agendei de Dezvoltare Durabilă 2030, în conformitate cu Cadrul național de monitorizare aprobat prin Hotărârea Guvernului nr. 953/2022. Obiectivele specifice, rezultatele așteptate și indicatorii Programului sunt corelate cu țintele și indicatorii ODD relevanți, în special cei aferenți ODD 1, 3, 6, 9, 11, 12, 13 și 15. </w:t>
      </w:r>
    </w:p>
    <w:p w14:paraId="16D1471F" w14:textId="4C2BCF31" w:rsidR="006835D3" w:rsidRPr="006835D3" w:rsidRDefault="00CC538D" w:rsidP="006835D3">
      <w:pPr>
        <w:pStyle w:val="ListParagraph"/>
        <w:numPr>
          <w:ilvl w:val="0"/>
          <w:numId w:val="42"/>
        </w:numPr>
        <w:spacing w:after="120"/>
        <w:ind w:left="0" w:firstLine="142"/>
        <w:jc w:val="both"/>
        <w:rPr>
          <w:rFonts w:ascii="Times New Roman" w:hAnsi="Times New Roman" w:cs="Times New Roman"/>
          <w:color w:val="auto"/>
          <w:sz w:val="24"/>
          <w:szCs w:val="24"/>
        </w:rPr>
      </w:pPr>
      <w:r w:rsidRPr="00326C38">
        <w:rPr>
          <w:rFonts w:ascii="Times New Roman" w:hAnsi="Times New Roman" w:cs="Times New Roman"/>
          <w:color w:val="auto"/>
          <w:sz w:val="24"/>
          <w:szCs w:val="24"/>
        </w:rPr>
        <w:t>Monitorizarea progresului Programului se va realiza, în măsura aplicabilității, prin utilizarea indicatorilor naționali ODD existenți, evitând dublarea sistemelor de raportare și asigurând coerența cu mecanismele naționale de monitorizare a Agendei 2030.</w:t>
      </w:r>
    </w:p>
    <w:p w14:paraId="39FDEDA9" w14:textId="725DA1DB" w:rsidR="006835D3" w:rsidRPr="009067DC" w:rsidRDefault="006835D3" w:rsidP="009067DC">
      <w:pPr>
        <w:pStyle w:val="Heading2"/>
        <w:jc w:val="both"/>
        <w:rPr>
          <w:rFonts w:ascii="Times New Roman" w:hAnsi="Times New Roman" w:cs="Times New Roman"/>
          <w:color w:val="auto"/>
          <w:sz w:val="24"/>
          <w:szCs w:val="24"/>
        </w:rPr>
      </w:pPr>
      <w:r w:rsidRPr="009067DC">
        <w:rPr>
          <w:rStyle w:val="Heading2Char"/>
          <w:rFonts w:ascii="Times New Roman" w:hAnsi="Times New Roman" w:cs="Times New Roman"/>
          <w:b/>
          <w:bCs/>
          <w:color w:val="auto"/>
          <w:sz w:val="24"/>
          <w:szCs w:val="24"/>
        </w:rPr>
        <w:t>Obiectivul general 1</w:t>
      </w:r>
      <w:r w:rsidRPr="009067DC">
        <w:rPr>
          <w:rFonts w:ascii="Times New Roman" w:hAnsi="Times New Roman" w:cs="Times New Roman"/>
          <w:b w:val="0"/>
          <w:bCs w:val="0"/>
          <w:color w:val="auto"/>
          <w:sz w:val="24"/>
          <w:szCs w:val="24"/>
        </w:rPr>
        <w:t xml:space="preserve">:  </w:t>
      </w:r>
      <w:r w:rsidRPr="009067DC">
        <w:rPr>
          <w:rFonts w:ascii="Times New Roman" w:hAnsi="Times New Roman" w:cs="Times New Roman"/>
          <w:color w:val="auto"/>
          <w:sz w:val="24"/>
          <w:szCs w:val="24"/>
        </w:rPr>
        <w:t>Înțelegerea riscului de dezastre naturale și biologico-sociale este îmbunătățită până in 2030, printr-o mai bună cunoaștere a hazardelor, vulnerabilităților, expunerii și interdependențelor ecosistemice, în vederea fundamentării politicilor publice și a măsurilor de prevenție.</w:t>
      </w:r>
    </w:p>
    <w:p w14:paraId="207EBA12" w14:textId="1D1FAA1C" w:rsidR="006835D3" w:rsidRPr="006835D3" w:rsidRDefault="006835D3" w:rsidP="006835D3">
      <w:pPr>
        <w:spacing w:after="120"/>
        <w:jc w:val="both"/>
        <w:rPr>
          <w:i/>
          <w:iCs/>
          <w:sz w:val="22"/>
          <w:szCs w:val="22"/>
          <w:u w:val="single"/>
        </w:rPr>
      </w:pPr>
      <w:r w:rsidRPr="00CD2ADD">
        <w:rPr>
          <w:i/>
          <w:iCs/>
          <w:sz w:val="22"/>
          <w:szCs w:val="22"/>
          <w:u w:val="single"/>
        </w:rPr>
        <w:t>Contribuie la: ODD 1 -Ținta 1.5, ODD 3 -Ținta 3.d, ODD 6 - Țintele 6.3, 6.5, 6.6, ODD 11 - Ținta 11.5, ODD 13 - Ținta 13.1</w:t>
      </w:r>
    </w:p>
    <w:p w14:paraId="4EC66BA0" w14:textId="73EFF11B" w:rsidR="0068147F" w:rsidRPr="006835D3" w:rsidRDefault="0068147F" w:rsidP="00765389">
      <w:pPr>
        <w:pStyle w:val="ListParagraph"/>
        <w:numPr>
          <w:ilvl w:val="0"/>
          <w:numId w:val="42"/>
        </w:numPr>
        <w:spacing w:after="120"/>
        <w:ind w:left="0" w:firstLine="142"/>
        <w:jc w:val="both"/>
        <w:rPr>
          <w:rFonts w:ascii="Times New Roman" w:hAnsi="Times New Roman" w:cs="Times New Roman"/>
          <w:color w:val="auto"/>
          <w:sz w:val="24"/>
          <w:szCs w:val="24"/>
        </w:rPr>
      </w:pPr>
      <w:r w:rsidRPr="006835D3">
        <w:rPr>
          <w:rFonts w:ascii="Times New Roman" w:hAnsi="Times New Roman" w:cs="Times New Roman"/>
          <w:color w:val="auto"/>
          <w:sz w:val="24"/>
          <w:szCs w:val="24"/>
        </w:rPr>
        <w:t xml:space="preserve">Obiectivul general urmărește crearea unei baze solide de cunoaștere privind riscurile de dezastre naturale și biologico-sociale, printr-o mai bună înțelegere a hazardelor, vulnerabilităților, expunerii și interdependențelor ecosistemice, în vederea fundamentării politicilor publice și a măsurilor de prevenție. Pentru atingerea acestui </w:t>
      </w:r>
      <w:r w:rsidR="00E33BE9" w:rsidRPr="006835D3">
        <w:rPr>
          <w:rFonts w:ascii="Times New Roman" w:hAnsi="Times New Roman" w:cs="Times New Roman"/>
          <w:color w:val="auto"/>
          <w:sz w:val="24"/>
          <w:szCs w:val="24"/>
        </w:rPr>
        <w:t>obiectiv</w:t>
      </w:r>
      <w:r w:rsidRPr="006835D3">
        <w:rPr>
          <w:rFonts w:ascii="Times New Roman" w:hAnsi="Times New Roman" w:cs="Times New Roman"/>
          <w:color w:val="auto"/>
          <w:sz w:val="24"/>
          <w:szCs w:val="24"/>
        </w:rPr>
        <w:t>, Programul se axează pe trei direcții complementare de acțiune.</w:t>
      </w:r>
      <w:r w:rsidR="0038478C" w:rsidRPr="006835D3">
        <w:rPr>
          <w:rFonts w:ascii="Times New Roman" w:hAnsi="Times New Roman" w:cs="Times New Roman"/>
          <w:color w:val="auto"/>
          <w:sz w:val="24"/>
          <w:szCs w:val="24"/>
        </w:rPr>
        <w:t xml:space="preserve"> Aceste trei direcții sunt operaționalizate prin Obiectivele specifice 1.1 (date, hărți și cartografiere multi-risc), 1.2 (educație, comunicare și implicare comunitară) și 1.3 (cercetare aplicată și analiză pentru politici publice).</w:t>
      </w:r>
    </w:p>
    <w:p w14:paraId="5713324A" w14:textId="77777777" w:rsidR="00B016B8" w:rsidRPr="006835D3" w:rsidRDefault="0068147F" w:rsidP="00765389">
      <w:pPr>
        <w:pStyle w:val="ListParagraph"/>
        <w:numPr>
          <w:ilvl w:val="0"/>
          <w:numId w:val="42"/>
        </w:numPr>
        <w:spacing w:after="120"/>
        <w:ind w:left="0" w:firstLine="142"/>
        <w:jc w:val="both"/>
        <w:rPr>
          <w:rFonts w:ascii="Times New Roman" w:hAnsi="Times New Roman" w:cs="Times New Roman"/>
          <w:color w:val="auto"/>
          <w:sz w:val="24"/>
          <w:szCs w:val="24"/>
        </w:rPr>
      </w:pPr>
      <w:r w:rsidRPr="006835D3">
        <w:rPr>
          <w:rFonts w:ascii="Times New Roman" w:hAnsi="Times New Roman" w:cs="Times New Roman"/>
          <w:color w:val="auto"/>
          <w:sz w:val="24"/>
          <w:szCs w:val="24"/>
        </w:rPr>
        <w:t>Prima direcție vizează dezvoltarea cadrului național de evaluare și cartografiere a riscurilor, prin integrarea datelor științifice și instituționale într-un sistem unitar de analiză și monitorizare, conform standardelor internaționale. Aceasta include consolidarea cooperării interinstituționale și a schimbului de informații între autoritățile publice, mediul academic și instituțiile de cercetare, pentru a identifica zonele și sectoarele vulnerabile și a ghida planificarea bazată pe risc.</w:t>
      </w:r>
      <w:r w:rsidR="00B016B8" w:rsidRPr="006835D3">
        <w:rPr>
          <w:rFonts w:ascii="Times New Roman" w:hAnsi="Times New Roman" w:cs="Times New Roman"/>
          <w:color w:val="auto"/>
          <w:sz w:val="24"/>
          <w:szCs w:val="24"/>
        </w:rPr>
        <w:t xml:space="preserve"> </w:t>
      </w:r>
    </w:p>
    <w:p w14:paraId="7F24CA28" w14:textId="5E88456C" w:rsidR="00505FF1" w:rsidRPr="006835D3" w:rsidRDefault="00505FF1" w:rsidP="00166FBA">
      <w:pPr>
        <w:pStyle w:val="ListParagraph"/>
        <w:numPr>
          <w:ilvl w:val="0"/>
          <w:numId w:val="42"/>
        </w:numPr>
        <w:spacing w:after="120"/>
        <w:ind w:left="0" w:firstLine="142"/>
        <w:jc w:val="both"/>
        <w:rPr>
          <w:rFonts w:ascii="Times New Roman" w:hAnsi="Times New Roman" w:cs="Times New Roman"/>
          <w:color w:val="auto"/>
          <w:sz w:val="24"/>
          <w:szCs w:val="24"/>
        </w:rPr>
      </w:pPr>
      <w:r w:rsidRPr="006835D3">
        <w:rPr>
          <w:rFonts w:ascii="Times New Roman" w:hAnsi="Times New Roman" w:cs="Times New Roman"/>
          <w:color w:val="auto"/>
          <w:sz w:val="24"/>
          <w:szCs w:val="24"/>
        </w:rPr>
        <w:t xml:space="preserve">A doua direcție are drept scop creșterea gradului de conștientizare și înțelegere a riscurilor în rândul populației și al factorilor de decizie, prin acțiuni de educare și informare bazate pe date științifice și a legăturilor dintre riscurile naturale, climatice și biologico-sociale. Aceste măsuri vor fi complementare, și nu suprapuse, celor prevăzute în Programul Național de Prevenire și Gestionare a Situațiilor de Urgență și Excepționale, coordonat de MAI. În timp ce </w:t>
      </w:r>
      <w:r w:rsidR="00166FBA" w:rsidRPr="006835D3">
        <w:rPr>
          <w:rFonts w:ascii="Times New Roman" w:hAnsi="Times New Roman" w:cs="Times New Roman"/>
          <w:color w:val="auto"/>
          <w:sz w:val="24"/>
          <w:szCs w:val="24"/>
        </w:rPr>
        <w:t xml:space="preserve">Programului național de dezvoltare a protecției civile pentru anii 2026-2030, </w:t>
      </w:r>
      <w:r w:rsidRPr="006835D3">
        <w:rPr>
          <w:rFonts w:ascii="Times New Roman" w:hAnsi="Times New Roman" w:cs="Times New Roman"/>
          <w:color w:val="auto"/>
          <w:sz w:val="24"/>
          <w:szCs w:val="24"/>
        </w:rPr>
        <w:t>se concentrează pe campanii generale de prevenire și pregătire a populației, PNRRDN vizează dezvoltarea de instrumente de învățare și comunicare dedicate grupurilor de mediu, instituțiilor specializate, autorităților locale și actorilor economici implicați în managementul riscurilor</w:t>
      </w:r>
      <w:r w:rsidR="00E33BE9" w:rsidRPr="006835D3">
        <w:rPr>
          <w:rFonts w:ascii="Times New Roman" w:hAnsi="Times New Roman" w:cs="Times New Roman"/>
          <w:color w:val="auto"/>
          <w:sz w:val="24"/>
          <w:szCs w:val="24"/>
        </w:rPr>
        <w:t xml:space="preserve"> naturale și biologico-sociale</w:t>
      </w:r>
      <w:r w:rsidRPr="006835D3">
        <w:rPr>
          <w:rFonts w:ascii="Times New Roman" w:hAnsi="Times New Roman" w:cs="Times New Roman"/>
          <w:color w:val="auto"/>
          <w:sz w:val="24"/>
          <w:szCs w:val="24"/>
        </w:rPr>
        <w:t>.</w:t>
      </w:r>
    </w:p>
    <w:p w14:paraId="700ECBE3" w14:textId="5628169A" w:rsidR="006835D3" w:rsidRPr="006835D3" w:rsidRDefault="00505FF1" w:rsidP="006835D3">
      <w:pPr>
        <w:pStyle w:val="ListParagraph"/>
        <w:numPr>
          <w:ilvl w:val="0"/>
          <w:numId w:val="42"/>
        </w:numPr>
        <w:spacing w:after="0"/>
        <w:ind w:left="0" w:firstLine="142"/>
        <w:jc w:val="both"/>
        <w:rPr>
          <w:rFonts w:ascii="Times New Roman" w:hAnsi="Times New Roman" w:cs="Times New Roman"/>
          <w:color w:val="auto"/>
          <w:sz w:val="24"/>
          <w:szCs w:val="24"/>
        </w:rPr>
      </w:pPr>
      <w:r w:rsidRPr="006835D3">
        <w:rPr>
          <w:rFonts w:ascii="Times New Roman" w:hAnsi="Times New Roman" w:cs="Times New Roman"/>
          <w:color w:val="auto"/>
          <w:sz w:val="24"/>
          <w:szCs w:val="24"/>
        </w:rPr>
        <w:t>Cea de-a treia direcție se concentrează pe consolidarea bazei științifice și analitice pentru reducerea riscurilor de dezastre, prin stimularea cercetării aplicate, colectarea și analiza datelor privind impactul evenimentelor extreme, și promovarea inovației în domeniul monitorizării și al modelării riscurilor. Aceasta va permite integrarea dimensiunilor ecosistemice și socio-economice în politicile de reducere a riscurilor și fundamentarea deciziilor bazate pe dovezi.</w:t>
      </w:r>
    </w:p>
    <w:p w14:paraId="2588BFFC" w14:textId="5E56533E" w:rsidR="005E3AF9" w:rsidRPr="00CD2ADD" w:rsidRDefault="00505FF1" w:rsidP="006835D3">
      <w:pPr>
        <w:spacing w:after="120"/>
        <w:ind w:firstLine="284"/>
        <w:jc w:val="both"/>
        <w:rPr>
          <w:sz w:val="22"/>
          <w:szCs w:val="22"/>
        </w:rPr>
      </w:pPr>
      <w:r w:rsidRPr="00CD2ADD">
        <w:rPr>
          <w:sz w:val="22"/>
          <w:szCs w:val="22"/>
        </w:rPr>
        <w:lastRenderedPageBreak/>
        <w:t>Împreună, aceste trei direcții vor contribui la o mai bună înțelegere și anticipare a riscurilor, la reducerea vulnerabilităților și la întărirea rezilienței comunităților și instituțiilor, în conformitate cu principiile Cadrului de la Sendai și obiectivele Agendei 2030 pentru Dezvoltare Durabilă.</w:t>
      </w:r>
      <w:r w:rsidR="0038478C" w:rsidRPr="00CD2ADD">
        <w:rPr>
          <w:sz w:val="22"/>
          <w:szCs w:val="22"/>
        </w:rPr>
        <w:t xml:space="preserve"> </w:t>
      </w:r>
    </w:p>
    <w:tbl>
      <w:tblPr>
        <w:tblStyle w:val="TableGrid"/>
        <w:tblW w:w="9244" w:type="dxa"/>
        <w:tblLayout w:type="fixed"/>
        <w:tblLook w:val="04A0" w:firstRow="1" w:lastRow="0" w:firstColumn="1" w:lastColumn="0" w:noHBand="0" w:noVBand="1"/>
      </w:tblPr>
      <w:tblGrid>
        <w:gridCol w:w="2370"/>
        <w:gridCol w:w="2734"/>
        <w:gridCol w:w="2004"/>
        <w:gridCol w:w="2136"/>
      </w:tblGrid>
      <w:tr w:rsidR="00E81FAA" w:rsidRPr="00CD2ADD" w14:paraId="5891BA51" w14:textId="77777777" w:rsidTr="00E81FAA">
        <w:trPr>
          <w:trHeight w:val="493"/>
        </w:trPr>
        <w:tc>
          <w:tcPr>
            <w:tcW w:w="2370" w:type="dxa"/>
          </w:tcPr>
          <w:p w14:paraId="1AB3D7E6" w14:textId="7291A483" w:rsidR="00E81FAA" w:rsidRPr="00CD2ADD" w:rsidRDefault="00E81FAA" w:rsidP="00B339C7">
            <w:pPr>
              <w:pStyle w:val="p1"/>
              <w:rPr>
                <w:b/>
                <w:bCs/>
                <w:sz w:val="22"/>
                <w:szCs w:val="22"/>
              </w:rPr>
            </w:pPr>
            <w:r w:rsidRPr="00CD2ADD">
              <w:rPr>
                <w:b/>
                <w:bCs/>
                <w:sz w:val="22"/>
                <w:szCs w:val="22"/>
              </w:rPr>
              <w:t>Indicator de impact</w:t>
            </w:r>
            <w:r w:rsidRPr="00CD2ADD">
              <w:rPr>
                <w:rStyle w:val="apple-converted-space"/>
                <w:rFonts w:eastAsiaTheme="majorEastAsia"/>
                <w:b/>
                <w:bCs/>
                <w:sz w:val="22"/>
                <w:szCs w:val="22"/>
              </w:rPr>
              <w:t> </w:t>
            </w:r>
          </w:p>
        </w:tc>
        <w:tc>
          <w:tcPr>
            <w:tcW w:w="2734" w:type="dxa"/>
          </w:tcPr>
          <w:p w14:paraId="4A9FF11A" w14:textId="573FFD8B" w:rsidR="00E81FAA" w:rsidRPr="00CD2ADD" w:rsidRDefault="00E81FAA" w:rsidP="00E23A8C">
            <w:pPr>
              <w:widowControl w:val="0"/>
              <w:autoSpaceDE w:val="0"/>
              <w:autoSpaceDN w:val="0"/>
              <w:spacing w:after="120"/>
              <w:ind w:right="459"/>
              <w:rPr>
                <w:b/>
                <w:bCs/>
                <w:color w:val="000000" w:themeColor="text1"/>
                <w:sz w:val="22"/>
                <w:szCs w:val="22"/>
              </w:rPr>
            </w:pPr>
            <w:r w:rsidRPr="00CD2ADD">
              <w:rPr>
                <w:b/>
                <w:bCs/>
                <w:color w:val="000000" w:themeColor="text1"/>
                <w:sz w:val="22"/>
                <w:szCs w:val="22"/>
              </w:rPr>
              <w:t>Furnizor de date</w:t>
            </w:r>
          </w:p>
        </w:tc>
        <w:tc>
          <w:tcPr>
            <w:tcW w:w="2004" w:type="dxa"/>
          </w:tcPr>
          <w:p w14:paraId="006E5C23" w14:textId="3C67CB3A" w:rsidR="00E81FAA" w:rsidRPr="00CD2ADD" w:rsidRDefault="00E81FAA" w:rsidP="00B339C7">
            <w:pPr>
              <w:widowControl w:val="0"/>
              <w:autoSpaceDE w:val="0"/>
              <w:autoSpaceDN w:val="0"/>
              <w:spacing w:after="120"/>
              <w:ind w:right="459"/>
              <w:rPr>
                <w:b/>
                <w:bCs/>
                <w:color w:val="000000" w:themeColor="text1"/>
                <w:sz w:val="22"/>
                <w:szCs w:val="22"/>
              </w:rPr>
            </w:pPr>
            <w:r w:rsidRPr="00CD2ADD">
              <w:rPr>
                <w:b/>
                <w:bCs/>
                <w:color w:val="000000" w:themeColor="text1"/>
                <w:sz w:val="22"/>
                <w:szCs w:val="22"/>
              </w:rPr>
              <w:t xml:space="preserve">Valoare </w:t>
            </w:r>
            <w:r w:rsidR="00B90C31" w:rsidRPr="00CD2ADD">
              <w:rPr>
                <w:b/>
                <w:bCs/>
                <w:color w:val="000000" w:themeColor="text1"/>
                <w:sz w:val="22"/>
                <w:szCs w:val="22"/>
              </w:rPr>
              <w:t xml:space="preserve">de </w:t>
            </w:r>
            <w:r w:rsidRPr="00CD2ADD">
              <w:rPr>
                <w:b/>
                <w:bCs/>
                <w:color w:val="000000" w:themeColor="text1"/>
                <w:sz w:val="22"/>
                <w:szCs w:val="22"/>
              </w:rPr>
              <w:t>referință 2025</w:t>
            </w:r>
          </w:p>
        </w:tc>
        <w:tc>
          <w:tcPr>
            <w:tcW w:w="2136" w:type="dxa"/>
          </w:tcPr>
          <w:p w14:paraId="24D16C6E" w14:textId="65604306" w:rsidR="00E81FAA" w:rsidRPr="00CD2ADD" w:rsidRDefault="00E81FAA" w:rsidP="00B339C7">
            <w:pPr>
              <w:widowControl w:val="0"/>
              <w:autoSpaceDE w:val="0"/>
              <w:autoSpaceDN w:val="0"/>
              <w:spacing w:after="120"/>
              <w:ind w:right="459"/>
              <w:rPr>
                <w:b/>
                <w:bCs/>
                <w:color w:val="000000" w:themeColor="text1"/>
                <w:sz w:val="22"/>
                <w:szCs w:val="22"/>
              </w:rPr>
            </w:pPr>
            <w:r w:rsidRPr="00CD2ADD">
              <w:rPr>
                <w:b/>
                <w:bCs/>
                <w:color w:val="000000" w:themeColor="text1"/>
                <w:sz w:val="22"/>
                <w:szCs w:val="22"/>
              </w:rPr>
              <w:t>Ținta finală 2030</w:t>
            </w:r>
          </w:p>
        </w:tc>
      </w:tr>
      <w:tr w:rsidR="00E81FAA" w:rsidRPr="00CD2ADD" w14:paraId="67432EB7" w14:textId="77777777" w:rsidTr="00E81FAA">
        <w:trPr>
          <w:trHeight w:val="860"/>
        </w:trPr>
        <w:tc>
          <w:tcPr>
            <w:tcW w:w="2370" w:type="dxa"/>
          </w:tcPr>
          <w:p w14:paraId="6D6041FD" w14:textId="58B7283F" w:rsidR="00E81FAA" w:rsidRPr="00CD2ADD" w:rsidRDefault="00E81FAA" w:rsidP="00B339C7">
            <w:pPr>
              <w:widowControl w:val="0"/>
              <w:autoSpaceDE w:val="0"/>
              <w:autoSpaceDN w:val="0"/>
              <w:spacing w:after="120"/>
              <w:ind w:right="459"/>
              <w:rPr>
                <w:b/>
                <w:bCs/>
                <w:color w:val="000000" w:themeColor="text1"/>
                <w:sz w:val="22"/>
                <w:szCs w:val="22"/>
              </w:rPr>
            </w:pPr>
            <w:r w:rsidRPr="00CD2ADD">
              <w:rPr>
                <w:b/>
                <w:bCs/>
                <w:sz w:val="22"/>
                <w:szCs w:val="22"/>
              </w:rPr>
              <w:t>Proporția tipurilor de riscuri naturale și biologico-sociale reprezentate cu straturi de date și hărți digitale în INDS</w:t>
            </w:r>
          </w:p>
        </w:tc>
        <w:tc>
          <w:tcPr>
            <w:tcW w:w="2734" w:type="dxa"/>
          </w:tcPr>
          <w:p w14:paraId="68057E52" w14:textId="0E7EF16D" w:rsidR="00E81FAA" w:rsidRPr="00CD2ADD" w:rsidRDefault="00E81FAA" w:rsidP="00E23A8C">
            <w:pPr>
              <w:widowControl w:val="0"/>
              <w:autoSpaceDE w:val="0"/>
              <w:autoSpaceDN w:val="0"/>
              <w:spacing w:after="120"/>
              <w:ind w:right="459"/>
              <w:rPr>
                <w:color w:val="000000" w:themeColor="text1"/>
                <w:sz w:val="22"/>
                <w:szCs w:val="22"/>
              </w:rPr>
            </w:pPr>
            <w:r w:rsidRPr="00CD2ADD">
              <w:rPr>
                <w:sz w:val="22"/>
                <w:szCs w:val="22"/>
              </w:rPr>
              <w:t xml:space="preserve">Serviciul Hidrometeorologic de Stat, Agenția Geodezie, Cartografie și Cadastru, IP </w:t>
            </w:r>
            <w:r w:rsidR="000D3D07" w:rsidRPr="00CD2ADD">
              <w:rPr>
                <w:sz w:val="22"/>
                <w:szCs w:val="22"/>
              </w:rPr>
              <w:t>AN</w:t>
            </w:r>
            <w:r w:rsidRPr="00CD2ADD">
              <w:rPr>
                <w:sz w:val="22"/>
                <w:szCs w:val="22"/>
              </w:rPr>
              <w:t xml:space="preserve"> Apele Moldovei, Agenția „ Moldsilva, Agenția de Mediu, Agenția pentru Geologie și Resurse Minerale</w:t>
            </w:r>
          </w:p>
        </w:tc>
        <w:tc>
          <w:tcPr>
            <w:tcW w:w="2004" w:type="dxa"/>
          </w:tcPr>
          <w:p w14:paraId="20D073C9" w14:textId="1500F7FF" w:rsidR="00E81FAA" w:rsidRPr="00CD2ADD" w:rsidRDefault="00E81FAA" w:rsidP="00B339C7">
            <w:pPr>
              <w:widowControl w:val="0"/>
              <w:autoSpaceDE w:val="0"/>
              <w:autoSpaceDN w:val="0"/>
              <w:spacing w:after="120"/>
              <w:ind w:right="459"/>
              <w:rPr>
                <w:color w:val="000000" w:themeColor="text1"/>
                <w:sz w:val="22"/>
                <w:szCs w:val="22"/>
              </w:rPr>
            </w:pPr>
            <w:r w:rsidRPr="00CD2ADD">
              <w:rPr>
                <w:color w:val="000000" w:themeColor="text1"/>
                <w:sz w:val="22"/>
                <w:szCs w:val="22"/>
              </w:rPr>
              <w:t xml:space="preserve">Riscurile </w:t>
            </w:r>
            <w:r w:rsidRPr="00CD2ADD">
              <w:rPr>
                <w:sz w:val="22"/>
                <w:szCs w:val="22"/>
              </w:rPr>
              <w:t>naturale și biologico-sociale</w:t>
            </w:r>
            <w:r w:rsidRPr="00CD2ADD">
              <w:rPr>
                <w:color w:val="000000" w:themeColor="text1"/>
                <w:sz w:val="22"/>
                <w:szCs w:val="22"/>
              </w:rPr>
              <w:t xml:space="preserve"> digitalizate doar parțial  in INDS </w:t>
            </w:r>
          </w:p>
        </w:tc>
        <w:tc>
          <w:tcPr>
            <w:tcW w:w="2136" w:type="dxa"/>
          </w:tcPr>
          <w:p w14:paraId="77F6AD93" w14:textId="6A2213DD" w:rsidR="00E81FAA" w:rsidRPr="00CD2ADD" w:rsidRDefault="00E81FAA" w:rsidP="00B339C7">
            <w:pPr>
              <w:widowControl w:val="0"/>
              <w:autoSpaceDE w:val="0"/>
              <w:autoSpaceDN w:val="0"/>
              <w:spacing w:after="120"/>
              <w:ind w:right="459"/>
              <w:rPr>
                <w:color w:val="000000" w:themeColor="text1"/>
                <w:sz w:val="22"/>
                <w:szCs w:val="22"/>
              </w:rPr>
            </w:pPr>
            <w:r w:rsidRPr="00CD2ADD">
              <w:rPr>
                <w:color w:val="000000" w:themeColor="text1"/>
                <w:sz w:val="22"/>
                <w:szCs w:val="22"/>
              </w:rPr>
              <w:t xml:space="preserve">100% riscuri </w:t>
            </w:r>
            <w:r w:rsidRPr="00CD2ADD">
              <w:rPr>
                <w:sz w:val="22"/>
                <w:szCs w:val="22"/>
              </w:rPr>
              <w:t>naturale și biologico-sociale</w:t>
            </w:r>
            <w:r w:rsidRPr="00CD2ADD">
              <w:rPr>
                <w:color w:val="000000" w:themeColor="text1"/>
                <w:sz w:val="22"/>
                <w:szCs w:val="22"/>
              </w:rPr>
              <w:t xml:space="preserve"> identificate în PNRRDN reprezentate cu straturi de date și hărți digitale în INDS</w:t>
            </w:r>
          </w:p>
        </w:tc>
      </w:tr>
    </w:tbl>
    <w:p w14:paraId="4D2E2CF7" w14:textId="77777777" w:rsidR="00B07A87" w:rsidRPr="008F1616" w:rsidRDefault="00B07A87" w:rsidP="00505FF1">
      <w:pPr>
        <w:widowControl w:val="0"/>
        <w:autoSpaceDE w:val="0"/>
        <w:autoSpaceDN w:val="0"/>
        <w:spacing w:after="120"/>
        <w:ind w:right="459"/>
        <w:jc w:val="both"/>
        <w:rPr>
          <w:color w:val="000000" w:themeColor="text1"/>
        </w:rPr>
      </w:pPr>
    </w:p>
    <w:p w14:paraId="27566954" w14:textId="4D93C930" w:rsidR="00D1697C" w:rsidRPr="009067DC" w:rsidRDefault="00D1697C" w:rsidP="009067DC">
      <w:pPr>
        <w:pStyle w:val="Heading3"/>
        <w:jc w:val="both"/>
        <w:rPr>
          <w:rFonts w:ascii="Times New Roman" w:hAnsi="Times New Roman" w:cs="Times New Roman"/>
          <w:b/>
          <w:bCs w:val="0"/>
          <w:color w:val="auto"/>
          <w:lang w:eastAsia="en-GB"/>
        </w:rPr>
      </w:pPr>
      <w:r w:rsidRPr="009067DC">
        <w:rPr>
          <w:rStyle w:val="Heading3Char"/>
          <w:rFonts w:ascii="Times New Roman" w:hAnsi="Times New Roman" w:cs="Times New Roman"/>
          <w:b/>
          <w:bCs/>
          <w:color w:val="auto"/>
        </w:rPr>
        <w:t>Obiectiv specific 1</w:t>
      </w:r>
      <w:r w:rsidR="00C53FC5" w:rsidRPr="009067DC">
        <w:rPr>
          <w:rStyle w:val="Heading3Char"/>
          <w:rFonts w:ascii="Times New Roman" w:hAnsi="Times New Roman" w:cs="Times New Roman"/>
          <w:b/>
          <w:bCs/>
          <w:color w:val="auto"/>
        </w:rPr>
        <w:t>.1</w:t>
      </w:r>
      <w:r w:rsidRPr="009067DC">
        <w:rPr>
          <w:rFonts w:ascii="Times New Roman" w:hAnsi="Times New Roman" w:cs="Times New Roman"/>
          <w:b/>
          <w:bCs w:val="0"/>
          <w:color w:val="auto"/>
        </w:rPr>
        <w:t xml:space="preserve">: </w:t>
      </w:r>
      <w:r w:rsidR="000108F2" w:rsidRPr="009067DC">
        <w:rPr>
          <w:rFonts w:ascii="Times New Roman" w:hAnsi="Times New Roman" w:cs="Times New Roman"/>
          <w:b/>
          <w:bCs w:val="0"/>
          <w:color w:val="auto"/>
        </w:rPr>
        <w:t>Până în anul 2030, Ministerul Mediului și gestionarii de risc consolidează sistemul național integrat de date geospațiale (INDS) prin elaborarea și actualizarea hărților climatice, de risc și multi-hazard pentru toate tipurile de riscuri naturale și biologico-sociale identificate în PNRRDN</w:t>
      </w:r>
    </w:p>
    <w:p w14:paraId="15DAC02B" w14:textId="37E5284A" w:rsidR="00E375FC" w:rsidRPr="008F1616" w:rsidRDefault="00D2543D" w:rsidP="006835D3">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Un sistem funcțional de colectare, analiză și diseminare a datelor relevante pentru riscuri și dezastre este esențial pentru luarea deciziilor informate, planificarea preventivă, atenuarea riscurilor</w:t>
      </w:r>
      <w:r w:rsidR="0003333B" w:rsidRPr="008F1616">
        <w:rPr>
          <w:rFonts w:ascii="Times New Roman" w:hAnsi="Times New Roman" w:cs="Times New Roman"/>
          <w:color w:val="000000" w:themeColor="text1"/>
          <w:sz w:val="24"/>
          <w:szCs w:val="24"/>
        </w:rPr>
        <w:t xml:space="preserve">, o </w:t>
      </w:r>
      <w:r w:rsidR="00F001AE" w:rsidRPr="008F1616">
        <w:rPr>
          <w:rFonts w:ascii="Times New Roman" w:hAnsi="Times New Roman" w:cs="Times New Roman"/>
          <w:color w:val="000000" w:themeColor="text1"/>
          <w:sz w:val="24"/>
          <w:szCs w:val="24"/>
        </w:rPr>
        <w:t>pregătire</w:t>
      </w:r>
      <w:r w:rsidRPr="008F1616">
        <w:rPr>
          <w:rFonts w:ascii="Times New Roman" w:hAnsi="Times New Roman" w:cs="Times New Roman"/>
          <w:color w:val="000000" w:themeColor="text1"/>
          <w:sz w:val="24"/>
          <w:szCs w:val="24"/>
        </w:rPr>
        <w:t xml:space="preserve"> </w:t>
      </w:r>
      <w:r w:rsidR="00F001AE" w:rsidRPr="008F1616">
        <w:rPr>
          <w:rFonts w:ascii="Times New Roman" w:hAnsi="Times New Roman" w:cs="Times New Roman"/>
          <w:color w:val="000000" w:themeColor="text1"/>
          <w:sz w:val="24"/>
          <w:szCs w:val="24"/>
        </w:rPr>
        <w:t>corespunzătoare</w:t>
      </w:r>
      <w:r w:rsidR="0003333B" w:rsidRPr="008F1616">
        <w:rPr>
          <w:rFonts w:ascii="Times New Roman" w:hAnsi="Times New Roman" w:cs="Times New Roman"/>
          <w:color w:val="000000" w:themeColor="text1"/>
          <w:sz w:val="24"/>
          <w:szCs w:val="24"/>
        </w:rPr>
        <w:t xml:space="preserve"> </w:t>
      </w:r>
      <w:r w:rsidRPr="008F1616">
        <w:rPr>
          <w:rFonts w:ascii="Times New Roman" w:hAnsi="Times New Roman" w:cs="Times New Roman"/>
          <w:color w:val="000000" w:themeColor="text1"/>
          <w:sz w:val="24"/>
          <w:szCs w:val="24"/>
        </w:rPr>
        <w:t xml:space="preserve">și răspunsul eficient în </w:t>
      </w:r>
      <w:r w:rsidR="0003333B" w:rsidRPr="008F1616">
        <w:rPr>
          <w:rFonts w:ascii="Times New Roman" w:hAnsi="Times New Roman" w:cs="Times New Roman"/>
          <w:color w:val="000000" w:themeColor="text1"/>
          <w:sz w:val="24"/>
          <w:szCs w:val="24"/>
        </w:rPr>
        <w:t>caz de dezastre naturale si biologico-sociale</w:t>
      </w:r>
      <w:r w:rsidRPr="008F1616">
        <w:rPr>
          <w:rFonts w:ascii="Times New Roman" w:hAnsi="Times New Roman" w:cs="Times New Roman"/>
          <w:color w:val="000000" w:themeColor="text1"/>
          <w:sz w:val="24"/>
          <w:szCs w:val="24"/>
        </w:rPr>
        <w:t xml:space="preserve">. În prezent, Republica Moldova dispune de mai multe surse și baze de date gestionate de instituții publice diferite, însă lipsa interoperabilității și standardizării metodologice limitează potențialul acestor informații în sprijinul proceselor de anticipare și adaptare la riscurile </w:t>
      </w:r>
      <w:r w:rsidR="0003333B" w:rsidRPr="008F1616">
        <w:rPr>
          <w:rFonts w:ascii="Times New Roman" w:hAnsi="Times New Roman" w:cs="Times New Roman"/>
          <w:color w:val="000000" w:themeColor="text1"/>
          <w:sz w:val="24"/>
          <w:szCs w:val="24"/>
        </w:rPr>
        <w:t>menționate mai sus</w:t>
      </w:r>
      <w:r w:rsidRPr="008F1616">
        <w:rPr>
          <w:rFonts w:ascii="Times New Roman" w:hAnsi="Times New Roman" w:cs="Times New Roman"/>
          <w:color w:val="000000" w:themeColor="text1"/>
          <w:sz w:val="24"/>
          <w:szCs w:val="24"/>
        </w:rPr>
        <w:t>.</w:t>
      </w:r>
      <w:r w:rsidR="0046096A" w:rsidRPr="008F1616">
        <w:rPr>
          <w:rFonts w:ascii="Times New Roman" w:hAnsi="Times New Roman" w:cs="Times New Roman"/>
          <w:color w:val="000000" w:themeColor="text1"/>
          <w:sz w:val="24"/>
          <w:szCs w:val="24"/>
        </w:rPr>
        <w:t xml:space="preserve"> În plus, acest obiectiv specific va promova evaluările participative ale riscurilor la nivel comunitar, prin integrarea cunoștințelor locale și a instrumentelor participative, pentru a reflecta mai bine vulnerabilitățile și capacitățile specifice contextului</w:t>
      </w:r>
      <w:r w:rsidR="004C704F" w:rsidRPr="008F1616">
        <w:rPr>
          <w:rFonts w:ascii="Times New Roman" w:hAnsi="Times New Roman" w:cs="Times New Roman"/>
          <w:color w:val="000000" w:themeColor="text1"/>
          <w:sz w:val="24"/>
          <w:szCs w:val="24"/>
        </w:rPr>
        <w:t>.</w:t>
      </w:r>
      <w:r w:rsidR="00E375FC" w:rsidRPr="008F1616">
        <w:rPr>
          <w:rFonts w:ascii="Times New Roman" w:hAnsi="Times New Roman" w:cs="Times New Roman"/>
          <w:color w:val="000000" w:themeColor="text1"/>
          <w:sz w:val="24"/>
          <w:szCs w:val="24"/>
        </w:rPr>
        <w:t xml:space="preserve"> </w:t>
      </w:r>
      <w:r w:rsidR="000108F2" w:rsidRPr="008F1616">
        <w:rPr>
          <w:rFonts w:ascii="Times New Roman" w:hAnsi="Times New Roman" w:cs="Times New Roman"/>
          <w:color w:val="000000" w:themeColor="text1"/>
          <w:sz w:val="24"/>
          <w:szCs w:val="24"/>
        </w:rPr>
        <w:t xml:space="preserve">Aceste evaluări vor sprijini procesul de planificare locală participativă, asigurând corelarea între datele științifice și percepțiile comunitare ale riscurilor. </w:t>
      </w:r>
      <w:r w:rsidR="00E375FC" w:rsidRPr="008F1616">
        <w:rPr>
          <w:rFonts w:ascii="Times New Roman" w:hAnsi="Times New Roman" w:cs="Times New Roman"/>
          <w:color w:val="000000" w:themeColor="text1"/>
          <w:sz w:val="24"/>
          <w:szCs w:val="24"/>
        </w:rPr>
        <w:t>În acest sens, Programul va sprijini integrarea tehnologiilor emergente inclusiv inteligența artificială, monitorizarea satelitară și aplicațiile Internet of Things (IoT) în procesele de analiză a riscurilor</w:t>
      </w:r>
      <w:r w:rsidR="004C704F" w:rsidRPr="008F1616">
        <w:rPr>
          <w:rFonts w:ascii="Times New Roman" w:hAnsi="Times New Roman" w:cs="Times New Roman"/>
          <w:color w:val="000000" w:themeColor="text1"/>
          <w:sz w:val="24"/>
          <w:szCs w:val="24"/>
        </w:rPr>
        <w:t xml:space="preserve"> </w:t>
      </w:r>
      <w:r w:rsidR="00E375FC" w:rsidRPr="008F1616">
        <w:rPr>
          <w:rFonts w:ascii="Times New Roman" w:hAnsi="Times New Roman" w:cs="Times New Roman"/>
          <w:color w:val="000000" w:themeColor="text1"/>
          <w:sz w:val="24"/>
          <w:szCs w:val="24"/>
        </w:rPr>
        <w:t>și evaluare a impactului, în colaborare cu instituțiile relevante și cu parteneri din mediul academic și sectorul privat.</w:t>
      </w:r>
    </w:p>
    <w:p w14:paraId="109C03F9" w14:textId="67329AB4" w:rsidR="00D2543D" w:rsidRPr="008F1616" w:rsidRDefault="008F1616" w:rsidP="00765389">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 xml:space="preserve"> </w:t>
      </w:r>
      <w:r w:rsidR="00D2543D" w:rsidRPr="008F1616">
        <w:rPr>
          <w:rFonts w:ascii="Times New Roman" w:hAnsi="Times New Roman" w:cs="Times New Roman"/>
          <w:color w:val="000000" w:themeColor="text1"/>
          <w:sz w:val="24"/>
          <w:szCs w:val="24"/>
        </w:rPr>
        <w:t>Serviciul Hidrometeorologic de Stat (SHS), în calitate de Punct Focal Național pentru Cadrul de la Sendai, joacă un rol central în furnizarea de date climatice, hidrologice și agrometeorologice. Totuși, instrumentele sale digitale și sistemele de colectare automată a datelor necesită modernizare, iar platforma clima.gov.md lansată în contextul adaptării la schimbările climatice poate fi extinsă pentru a deveni un nod integrat al informației privind riscurile sectoriale.</w:t>
      </w:r>
    </w:p>
    <w:p w14:paraId="46D8665F" w14:textId="77777777" w:rsidR="00C81FDB" w:rsidRPr="008F1616" w:rsidRDefault="00D2543D" w:rsidP="00765389">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 xml:space="preserve">În paralel, infrastructura națională de date spațiale (INDS), gestionată de </w:t>
      </w:r>
      <w:r w:rsidR="003F3D64" w:rsidRPr="008F1616">
        <w:rPr>
          <w:rFonts w:ascii="Times New Roman" w:hAnsi="Times New Roman" w:cs="Times New Roman"/>
          <w:color w:val="000000" w:themeColor="text1"/>
          <w:sz w:val="24"/>
          <w:szCs w:val="24"/>
        </w:rPr>
        <w:t>Agenția Geodezie, Cartografie și Cadastru (AGCC)</w:t>
      </w:r>
      <w:r w:rsidRPr="008F1616">
        <w:rPr>
          <w:rFonts w:ascii="Times New Roman" w:hAnsi="Times New Roman" w:cs="Times New Roman"/>
          <w:color w:val="000000" w:themeColor="text1"/>
          <w:sz w:val="24"/>
          <w:szCs w:val="24"/>
        </w:rPr>
        <w:t xml:space="preserve">, oferă un cadru tehnic și instituțional pentru partajarea datelor geospațiale în Republica Moldova. Evoluat din portalul geodata.gov.md, INDS asigură interoperabilitatea, standardizarea metadatelor și accesul centralizat la seturi de date relevante, inclusiv pentru riscurile de mediu. Integrarea platformei clima.gov.md cu INDS va contribui la consolidarea unui sistem coerent, transparent și accesibil de date privind riscurile, susținând luarea deciziilor la nivel </w:t>
      </w:r>
      <w:r w:rsidR="008B2938" w:rsidRPr="008F1616">
        <w:rPr>
          <w:rFonts w:ascii="Times New Roman" w:hAnsi="Times New Roman" w:cs="Times New Roman"/>
          <w:color w:val="000000" w:themeColor="text1"/>
          <w:sz w:val="24"/>
          <w:szCs w:val="24"/>
        </w:rPr>
        <w:t xml:space="preserve">național, </w:t>
      </w:r>
      <w:r w:rsidRPr="008F1616">
        <w:rPr>
          <w:rFonts w:ascii="Times New Roman" w:hAnsi="Times New Roman" w:cs="Times New Roman"/>
          <w:color w:val="000000" w:themeColor="text1"/>
          <w:sz w:val="24"/>
          <w:szCs w:val="24"/>
        </w:rPr>
        <w:t>local și sectorial.</w:t>
      </w:r>
      <w:r w:rsidR="00C81FDB" w:rsidRPr="008F1616">
        <w:rPr>
          <w:rFonts w:ascii="Times New Roman" w:hAnsi="Times New Roman" w:cs="Times New Roman"/>
          <w:color w:val="000000" w:themeColor="text1"/>
          <w:sz w:val="24"/>
          <w:szCs w:val="24"/>
        </w:rPr>
        <w:t xml:space="preserve"> </w:t>
      </w:r>
    </w:p>
    <w:p w14:paraId="59B33A8D" w14:textId="7C177D71" w:rsidR="00401209" w:rsidRPr="008F1616" w:rsidRDefault="00D2543D" w:rsidP="00765389">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Agenția de Mediu colectează și publică indicatori privind calitatea aerului, apei și solului</w:t>
      </w:r>
      <w:r w:rsidR="00024B28" w:rsidRPr="008F1616">
        <w:rPr>
          <w:rFonts w:ascii="Times New Roman" w:hAnsi="Times New Roman" w:cs="Times New Roman"/>
          <w:color w:val="000000" w:themeColor="text1"/>
          <w:sz w:val="24"/>
          <w:szCs w:val="24"/>
        </w:rPr>
        <w:t xml:space="preserve"> etc. </w:t>
      </w:r>
      <w:r w:rsidRPr="008F1616">
        <w:rPr>
          <w:rFonts w:ascii="Times New Roman" w:hAnsi="Times New Roman" w:cs="Times New Roman"/>
          <w:color w:val="000000" w:themeColor="text1"/>
          <w:sz w:val="24"/>
          <w:szCs w:val="24"/>
        </w:rPr>
        <w:t xml:space="preserve">însă aceștia nu sunt corelați în mod sistematic cu date privind riscurile naturale sau </w:t>
      </w:r>
      <w:r w:rsidR="0003333B" w:rsidRPr="008F1616">
        <w:rPr>
          <w:rFonts w:ascii="Times New Roman" w:hAnsi="Times New Roman" w:cs="Times New Roman"/>
          <w:color w:val="000000" w:themeColor="text1"/>
          <w:sz w:val="24"/>
          <w:szCs w:val="24"/>
        </w:rPr>
        <w:t>biologico-sociale</w:t>
      </w:r>
      <w:r w:rsidRPr="008F1616">
        <w:rPr>
          <w:rFonts w:ascii="Times New Roman" w:hAnsi="Times New Roman" w:cs="Times New Roman"/>
          <w:color w:val="000000" w:themeColor="text1"/>
          <w:sz w:val="24"/>
          <w:szCs w:val="24"/>
        </w:rPr>
        <w:t xml:space="preserve">. În același timp, </w:t>
      </w:r>
      <w:r w:rsidR="003F3D64" w:rsidRPr="008F1616">
        <w:rPr>
          <w:rFonts w:ascii="Times New Roman" w:hAnsi="Times New Roman" w:cs="Times New Roman"/>
          <w:color w:val="000000" w:themeColor="text1"/>
          <w:sz w:val="24"/>
          <w:szCs w:val="24"/>
        </w:rPr>
        <w:t>IGSU</w:t>
      </w:r>
      <w:r w:rsidRPr="008F1616">
        <w:rPr>
          <w:rFonts w:ascii="Times New Roman" w:hAnsi="Times New Roman" w:cs="Times New Roman"/>
          <w:color w:val="000000" w:themeColor="text1"/>
          <w:sz w:val="24"/>
          <w:szCs w:val="24"/>
        </w:rPr>
        <w:t xml:space="preserve"> și alte </w:t>
      </w:r>
      <w:r w:rsidR="008B2938" w:rsidRPr="008F1616">
        <w:rPr>
          <w:rFonts w:ascii="Times New Roman" w:hAnsi="Times New Roman" w:cs="Times New Roman"/>
          <w:color w:val="000000" w:themeColor="text1"/>
          <w:sz w:val="24"/>
          <w:szCs w:val="24"/>
        </w:rPr>
        <w:t xml:space="preserve">instituții relevante </w:t>
      </w:r>
      <w:r w:rsidRPr="008F1616">
        <w:rPr>
          <w:rFonts w:ascii="Times New Roman" w:hAnsi="Times New Roman" w:cs="Times New Roman"/>
          <w:color w:val="000000" w:themeColor="text1"/>
          <w:sz w:val="24"/>
          <w:szCs w:val="24"/>
        </w:rPr>
        <w:t xml:space="preserve">dispun de baze de date și sisteme proprii, dar acestea </w:t>
      </w:r>
      <w:r w:rsidRPr="008F1616">
        <w:rPr>
          <w:rFonts w:ascii="Times New Roman" w:hAnsi="Times New Roman" w:cs="Times New Roman"/>
          <w:color w:val="000000" w:themeColor="text1"/>
          <w:sz w:val="24"/>
          <w:szCs w:val="24"/>
        </w:rPr>
        <w:lastRenderedPageBreak/>
        <w:t>funcționează adesea în paralel și nu sunt aliniate cu standarde comune de clasificare, codificare sau schimb de date.</w:t>
      </w:r>
    </w:p>
    <w:p w14:paraId="069012CF" w14:textId="302C14F2" w:rsidR="00915527" w:rsidRPr="008F1616" w:rsidRDefault="00915527" w:rsidP="00765389">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 xml:space="preserve">Acest obiectiv urmărește dezvoltarea unui cadru național unitar de evaluare și cartografiere a riscurilor, bazat pe integrarea datelor climatice, ecologice, geospațiale și socio-economice într-un sistem coerent și interoperabil. Platforma va permite interconectarea bazelor de date existente (ex. </w:t>
      </w:r>
      <w:r w:rsidR="00942A33" w:rsidRPr="008F1616">
        <w:rPr>
          <w:rFonts w:ascii="Times New Roman" w:hAnsi="Times New Roman" w:cs="Times New Roman"/>
          <w:color w:val="000000" w:themeColor="text1"/>
          <w:sz w:val="24"/>
          <w:szCs w:val="24"/>
        </w:rPr>
        <w:t xml:space="preserve">IP AN </w:t>
      </w:r>
      <w:r w:rsidRPr="008F1616">
        <w:rPr>
          <w:rFonts w:ascii="Times New Roman" w:hAnsi="Times New Roman" w:cs="Times New Roman"/>
          <w:color w:val="000000" w:themeColor="text1"/>
          <w:sz w:val="24"/>
          <w:szCs w:val="24"/>
        </w:rPr>
        <w:t>Apele Moldovei, Moldsilva, Agenția de Mediu, ANSA, ANSP, IGSU, BNS ș.a.), asigurând standardizare în colectare, clasificare și partajare.</w:t>
      </w:r>
    </w:p>
    <w:p w14:paraId="602E399A" w14:textId="0889FA44" w:rsidR="00915527" w:rsidRPr="008F1616" w:rsidRDefault="00915527" w:rsidP="00765389">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Coordonarea generală va fi realizată prin Infrastructura Națională de Date Spațiale (INDS), gestionată de Agenția Geodezie, Cartografie și Cadastru (AGCC), în calitate de geoportal oficial al datelor geospațiale. INDS va integra layere tematice pentru o abordare multi-risc, iar fiecare tip de risc natural și biologico-social identificat în PNRRDN (inundații, secetă, grindină, alunecări de teren, epizootii, zoonoze, epidemii etc.) va avea un gestionar de risc desemnat, responsabil de actualizarea periodică a hărților aferente.</w:t>
      </w:r>
      <w:r w:rsidR="00024B28" w:rsidRPr="008F1616">
        <w:rPr>
          <w:rFonts w:ascii="Times New Roman" w:hAnsi="Times New Roman" w:cs="Times New Roman"/>
          <w:color w:val="000000" w:themeColor="text1"/>
          <w:sz w:val="24"/>
          <w:szCs w:val="24"/>
        </w:rPr>
        <w:t xml:space="preserve"> Aceste hărți vor include o evaluare periodică a vulnerabilităților și riscurilor și vor fi făcute disponibile gratuit și atâta timp cât datele nu sunt sensibile. Aceste hărți vor fi structurate pe raioane și unități administrative locale și vor fi integrate în procesele de planificare strategică și urbanistică, servind drept bază pentru definirea priorităților de prevenire, pregătire, răspuns, reconstrucție și finanțare a acțiunilor RRD.</w:t>
      </w:r>
    </w:p>
    <w:p w14:paraId="7F36AC31" w14:textId="3052B009" w:rsidR="00210824" w:rsidRPr="008F1616" w:rsidRDefault="00A11781" w:rsidP="00765389">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Dezvoltarea hărților multi-hazard pentru evaluarea integrată a expunerii și vulnerabilității la nivel teritorial. Aceste hărți vor combina date geospațiale privind mai multe tipuri de riscuri (secetă, inundații, alunecări de teren, valuri de căldură, etc.), în corelație cu indicatori de</w:t>
      </w:r>
      <w:r w:rsidR="00460415" w:rsidRPr="008F1616">
        <w:rPr>
          <w:rFonts w:ascii="Times New Roman" w:hAnsi="Times New Roman" w:cs="Times New Roman"/>
          <w:color w:val="000000" w:themeColor="text1"/>
          <w:sz w:val="24"/>
          <w:szCs w:val="24"/>
        </w:rPr>
        <w:t xml:space="preserve"> expunere,</w:t>
      </w:r>
      <w:r w:rsidRPr="008F1616">
        <w:rPr>
          <w:rFonts w:ascii="Times New Roman" w:hAnsi="Times New Roman" w:cs="Times New Roman"/>
          <w:color w:val="000000" w:themeColor="text1"/>
          <w:sz w:val="24"/>
          <w:szCs w:val="24"/>
        </w:rPr>
        <w:t xml:space="preserve"> vulnerabilitate socio-economică, </w:t>
      </w:r>
      <w:r w:rsidR="00CF7F27" w:rsidRPr="008F1616">
        <w:rPr>
          <w:rFonts w:ascii="Times New Roman" w:hAnsi="Times New Roman" w:cs="Times New Roman"/>
          <w:color w:val="000000" w:themeColor="text1"/>
          <w:sz w:val="24"/>
          <w:szCs w:val="24"/>
        </w:rPr>
        <w:t xml:space="preserve">la nivel de </w:t>
      </w:r>
      <w:r w:rsidRPr="008F1616">
        <w:rPr>
          <w:rFonts w:ascii="Times New Roman" w:hAnsi="Times New Roman" w:cs="Times New Roman"/>
          <w:color w:val="000000" w:themeColor="text1"/>
          <w:sz w:val="24"/>
          <w:szCs w:val="24"/>
        </w:rPr>
        <w:t xml:space="preserve">infrastructură și </w:t>
      </w:r>
      <w:r w:rsidR="00CF7F27" w:rsidRPr="008F1616">
        <w:rPr>
          <w:rFonts w:ascii="Times New Roman" w:hAnsi="Times New Roman" w:cs="Times New Roman"/>
          <w:color w:val="000000" w:themeColor="text1"/>
          <w:sz w:val="24"/>
          <w:szCs w:val="24"/>
        </w:rPr>
        <w:t xml:space="preserve">de </w:t>
      </w:r>
      <w:r w:rsidRPr="008F1616">
        <w:rPr>
          <w:rFonts w:ascii="Times New Roman" w:hAnsi="Times New Roman" w:cs="Times New Roman"/>
          <w:color w:val="000000" w:themeColor="text1"/>
          <w:sz w:val="24"/>
          <w:szCs w:val="24"/>
        </w:rPr>
        <w:t>instituți</w:t>
      </w:r>
      <w:r w:rsidR="00CF7F27" w:rsidRPr="008F1616">
        <w:rPr>
          <w:rFonts w:ascii="Times New Roman" w:hAnsi="Times New Roman" w:cs="Times New Roman"/>
          <w:color w:val="000000" w:themeColor="text1"/>
          <w:sz w:val="24"/>
          <w:szCs w:val="24"/>
        </w:rPr>
        <w:t>e</w:t>
      </w:r>
      <w:r w:rsidR="00460415" w:rsidRPr="008F1616">
        <w:rPr>
          <w:rFonts w:ascii="Times New Roman" w:hAnsi="Times New Roman" w:cs="Times New Roman"/>
          <w:color w:val="000000" w:themeColor="text1"/>
          <w:sz w:val="24"/>
          <w:szCs w:val="24"/>
        </w:rPr>
        <w:t xml:space="preserve">, </w:t>
      </w:r>
      <w:r w:rsidR="00AC1CBB" w:rsidRPr="008F1616">
        <w:rPr>
          <w:rFonts w:ascii="Times New Roman" w:hAnsi="Times New Roman" w:cs="Times New Roman"/>
          <w:color w:val="000000" w:themeColor="text1"/>
          <w:sz w:val="24"/>
          <w:szCs w:val="24"/>
        </w:rPr>
        <w:t>ș</w:t>
      </w:r>
      <w:r w:rsidR="00460415" w:rsidRPr="008F1616">
        <w:rPr>
          <w:rFonts w:ascii="Times New Roman" w:hAnsi="Times New Roman" w:cs="Times New Roman"/>
          <w:color w:val="000000" w:themeColor="text1"/>
          <w:sz w:val="24"/>
          <w:szCs w:val="24"/>
        </w:rPr>
        <w:t>i a capacității de răspuns</w:t>
      </w:r>
      <w:r w:rsidRPr="008F1616">
        <w:rPr>
          <w:rFonts w:ascii="Times New Roman" w:hAnsi="Times New Roman" w:cs="Times New Roman"/>
          <w:color w:val="000000" w:themeColor="text1"/>
          <w:sz w:val="24"/>
          <w:szCs w:val="24"/>
        </w:rPr>
        <w:t xml:space="preserve">. </w:t>
      </w:r>
      <w:r w:rsidR="00181B18" w:rsidRPr="008F1616">
        <w:rPr>
          <w:rFonts w:ascii="Times New Roman" w:hAnsi="Times New Roman" w:cs="Times New Roman"/>
          <w:color w:val="000000" w:themeColor="text1"/>
          <w:sz w:val="24"/>
          <w:szCs w:val="24"/>
        </w:rPr>
        <w:t xml:space="preserve">Aceste hărți tematice vor include și </w:t>
      </w:r>
      <w:r w:rsidR="009E2393" w:rsidRPr="008F1616">
        <w:rPr>
          <w:rFonts w:ascii="Times New Roman" w:hAnsi="Times New Roman" w:cs="Times New Roman"/>
          <w:color w:val="000000" w:themeColor="text1"/>
          <w:sz w:val="24"/>
          <w:szCs w:val="24"/>
        </w:rPr>
        <w:t>straturi de date</w:t>
      </w:r>
      <w:r w:rsidR="00181B18" w:rsidRPr="008F1616">
        <w:rPr>
          <w:rFonts w:ascii="Times New Roman" w:hAnsi="Times New Roman" w:cs="Times New Roman"/>
          <w:color w:val="000000" w:themeColor="text1"/>
          <w:sz w:val="24"/>
          <w:szCs w:val="24"/>
        </w:rPr>
        <w:t xml:space="preserve"> dedicate vulnerabilităților socio-demografice, dezvoltate în cooperare cu Biroul Național de Statistică. </w:t>
      </w:r>
      <w:r w:rsidRPr="008F1616">
        <w:rPr>
          <w:rFonts w:ascii="Times New Roman" w:hAnsi="Times New Roman" w:cs="Times New Roman"/>
          <w:color w:val="000000" w:themeColor="text1"/>
          <w:sz w:val="24"/>
          <w:szCs w:val="24"/>
        </w:rPr>
        <w:t xml:space="preserve">Acestea vor contribui la planificarea teritorială bazată pe risc, la prioritizarea investițiilor și la consolidarea capacităților de analiză la nivel local, regional și național. </w:t>
      </w:r>
      <w:r w:rsidR="002C355A" w:rsidRPr="008F1616">
        <w:rPr>
          <w:rFonts w:ascii="Times New Roman" w:hAnsi="Times New Roman" w:cs="Times New Roman"/>
          <w:color w:val="000000" w:themeColor="text1"/>
          <w:sz w:val="24"/>
          <w:szCs w:val="24"/>
        </w:rPr>
        <w:t>Această măsură răspunde nevoii de a corela diferite tipuri de riscuri într-o manieră integrată, cu accent pe suprapunerile de expunere și vulnerabilitate în teritoriu.</w:t>
      </w:r>
      <w:r w:rsidR="00A12A71" w:rsidRPr="008F1616">
        <w:rPr>
          <w:rFonts w:ascii="Times New Roman" w:hAnsi="Times New Roman" w:cs="Times New Roman"/>
          <w:color w:val="000000" w:themeColor="text1"/>
          <w:sz w:val="24"/>
          <w:szCs w:val="24"/>
        </w:rPr>
        <w:t xml:space="preserve"> </w:t>
      </w:r>
      <w:r w:rsidR="002C355A" w:rsidRPr="008F1616">
        <w:rPr>
          <w:rFonts w:ascii="Times New Roman" w:hAnsi="Times New Roman" w:cs="Times New Roman"/>
          <w:color w:val="000000" w:themeColor="text1"/>
          <w:sz w:val="24"/>
          <w:szCs w:val="24"/>
        </w:rPr>
        <w:t>Spre deosebire de hărțile individuale pe tip de risc</w:t>
      </w:r>
      <w:r w:rsidR="00D50310" w:rsidRPr="008F1616">
        <w:rPr>
          <w:rFonts w:ascii="Times New Roman" w:hAnsi="Times New Roman" w:cs="Times New Roman"/>
          <w:color w:val="000000" w:themeColor="text1"/>
          <w:sz w:val="24"/>
          <w:szCs w:val="24"/>
        </w:rPr>
        <w:t xml:space="preserve">, </w:t>
      </w:r>
      <w:r w:rsidR="002C355A" w:rsidRPr="008F1616">
        <w:rPr>
          <w:rFonts w:ascii="Times New Roman" w:hAnsi="Times New Roman" w:cs="Times New Roman"/>
          <w:color w:val="000000" w:themeColor="text1"/>
          <w:sz w:val="24"/>
          <w:szCs w:val="24"/>
        </w:rPr>
        <w:t>hărțile multi-hazard permit identificarea zonelor cu risc complex și multiple vulnerabilități (ex. localități rurale expuse concomitent la secetă, alunecări și lipsă de servicii publice). Instrumentul este esențial pentru o planificare eficientă a măsurilor RRD, pentru consolidarea rezilienței locale și pentru integrarea riscurilor în strategii sectoriale și de dezvoltare locală.</w:t>
      </w:r>
    </w:p>
    <w:p w14:paraId="6CCB3204" w14:textId="2C41AF68" w:rsidR="00024B28" w:rsidRPr="008F1616" w:rsidRDefault="00024B28" w:rsidP="00765389">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În paralel, platforma clima.gov.md, administrată de Serviciul Hidrometeorologic de Stat (SHS), va fi consolidată ca principal nod public de informare privind riscurile climatice și scenariile de impact. Integrarea sa cu INDS va asigura interoperabilitate instituțională și o comunicare accesibilă pentru public și APL-uri. Platforma va include hărți interactive, module de analiză sectorială, alerte geospațiale și ghiduri pentru autorități, sprijinind planificarea bazată pe risc și adaptarea climatică.</w:t>
      </w:r>
    </w:p>
    <w:p w14:paraId="5287A9BB" w14:textId="7903EAE8" w:rsidR="00DA7AA7" w:rsidRDefault="00DA7AA7" w:rsidP="00765389">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Prin implementarea acestor măsuri, PNRRDN va sprijini tranziția către o guvernanță bazată pe date, anticipare și planificare strategică în reducerea riscurilor de dezastre naturale si biologico-sociale precum și adaptarea la schimbările climatice.</w:t>
      </w:r>
    </w:p>
    <w:p w14:paraId="6A20D2D8" w14:textId="77777777" w:rsidR="008F1616" w:rsidRPr="009067DC" w:rsidRDefault="008F1616" w:rsidP="00ED0131">
      <w:pPr>
        <w:pStyle w:val="Heading3"/>
        <w:jc w:val="both"/>
        <w:rPr>
          <w:rFonts w:ascii="Times New Roman" w:hAnsi="Times New Roman" w:cs="Times New Roman"/>
          <w:b/>
          <w:bCs w:val="0"/>
          <w:color w:val="auto"/>
        </w:rPr>
      </w:pPr>
      <w:r w:rsidRPr="009067DC">
        <w:rPr>
          <w:rFonts w:ascii="Times New Roman" w:hAnsi="Times New Roman" w:cs="Times New Roman"/>
          <w:b/>
          <w:bCs w:val="0"/>
          <w:color w:val="auto"/>
        </w:rPr>
        <w:t>Obiectiv specific 1.2: Creșterea până în 2030 a gradului de înțelegere și implicare comunitară privind riscurile naturale și biologico-sociale, prin campanii tematice, educație formală și non-formală, și dezvoltarea rețelelor locale de voluntariat în cel puțin 10 raioane vulnerabile.</w:t>
      </w:r>
    </w:p>
    <w:p w14:paraId="0ED0ABB0" w14:textId="77777777" w:rsidR="008F1616" w:rsidRDefault="008F1616" w:rsidP="008F1616">
      <w:pPr>
        <w:pStyle w:val="ListParagraph"/>
        <w:spacing w:after="120"/>
        <w:ind w:left="284" w:firstLine="0"/>
        <w:jc w:val="both"/>
        <w:rPr>
          <w:rFonts w:ascii="Times New Roman" w:hAnsi="Times New Roman" w:cs="Times New Roman"/>
          <w:color w:val="000000" w:themeColor="text1"/>
          <w:sz w:val="24"/>
          <w:szCs w:val="24"/>
        </w:rPr>
      </w:pPr>
    </w:p>
    <w:p w14:paraId="6502E96D" w14:textId="0ECD77AA" w:rsidR="003941DA" w:rsidRPr="008F1616" w:rsidRDefault="003941DA" w:rsidP="00765389">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Gradul redus de înțelegere a riscurilor naturale și biologico-sociale limitează eficiența măsurilor de prevenire și adaptare, în special în zonele rurale și în comunitățile vulnerabile, unde accesul la informații relevante rămâne limitat. Acest obiectiv specific urmărește dezvoltarea unei culturi a riscului și a rezilienței comunitare, prin acțiuni de informare, educare și implicare participativă, realizate în complementaritate cu activitățile de protecție civilă derulate de Inspectoratul General pentru Situații de Urgență</w:t>
      </w:r>
      <w:r w:rsidR="001E24D6" w:rsidRPr="008F1616">
        <w:rPr>
          <w:rFonts w:ascii="Times New Roman" w:hAnsi="Times New Roman" w:cs="Times New Roman"/>
          <w:color w:val="000000" w:themeColor="text1"/>
          <w:sz w:val="24"/>
          <w:szCs w:val="24"/>
        </w:rPr>
        <w:t xml:space="preserve">. </w:t>
      </w:r>
    </w:p>
    <w:p w14:paraId="3601D26A" w14:textId="79E63E10" w:rsidR="003941DA" w:rsidRPr="008F1616" w:rsidRDefault="003941DA" w:rsidP="00765389">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lastRenderedPageBreak/>
        <w:t>În acest scop, obiectivul specific 1.2 va sprijini, în primul rând, realizarea unei cartografieri a actorilor relevanți care pot fi implicați în comunicarea</w:t>
      </w:r>
      <w:r w:rsidR="00C94FC5" w:rsidRPr="008F1616">
        <w:rPr>
          <w:rFonts w:ascii="Times New Roman" w:hAnsi="Times New Roman" w:cs="Times New Roman"/>
          <w:color w:val="000000" w:themeColor="text1"/>
          <w:sz w:val="24"/>
          <w:szCs w:val="24"/>
        </w:rPr>
        <w:t xml:space="preserve">, prevenirea </w:t>
      </w:r>
      <w:r w:rsidRPr="008F1616">
        <w:rPr>
          <w:rFonts w:ascii="Times New Roman" w:hAnsi="Times New Roman" w:cs="Times New Roman"/>
          <w:color w:val="000000" w:themeColor="text1"/>
          <w:sz w:val="24"/>
          <w:szCs w:val="24"/>
        </w:rPr>
        <w:t xml:space="preserve"> și gestionarea riscurilor naturale și biologico-sociale. Acest exercițiu de „mapping” va include instituțiile publice cu atribuții în reducerea și managementul riscurilor la nivel național, regional și local, agenți economici care oferă produse sau servicii de mediu</w:t>
      </w:r>
      <w:r w:rsidR="00FE471F" w:rsidRPr="008F1616">
        <w:rPr>
          <w:rFonts w:ascii="Times New Roman" w:hAnsi="Times New Roman" w:cs="Times New Roman"/>
          <w:color w:val="000000" w:themeColor="text1"/>
          <w:sz w:val="24"/>
          <w:szCs w:val="24"/>
        </w:rPr>
        <w:t xml:space="preserve"> si sănătate </w:t>
      </w:r>
      <w:r w:rsidRPr="008F1616">
        <w:rPr>
          <w:rFonts w:ascii="Times New Roman" w:hAnsi="Times New Roman" w:cs="Times New Roman"/>
          <w:color w:val="000000" w:themeColor="text1"/>
          <w:sz w:val="24"/>
          <w:szCs w:val="24"/>
        </w:rPr>
        <w:t xml:space="preserve">organizații ale societății civile și reprezentanți ai comunităților locale. Scopul acestei activități este de a crea o bază coerentă de parteneri și canale de comunicare pentru campaniile viitoare, evitând suprapunerile cu inițiativele MAI si IGSU și asigurând complementaritate instituțională. </w:t>
      </w:r>
    </w:p>
    <w:p w14:paraId="03F356E8" w14:textId="1D82486C" w:rsidR="008B22A3" w:rsidRPr="008F1616" w:rsidRDefault="00CE2851" w:rsidP="00765389">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Pe</w:t>
      </w:r>
      <w:r w:rsidR="003941DA" w:rsidRPr="008F1616">
        <w:rPr>
          <w:rFonts w:ascii="Times New Roman" w:hAnsi="Times New Roman" w:cs="Times New Roman"/>
          <w:color w:val="000000" w:themeColor="text1"/>
          <w:sz w:val="24"/>
          <w:szCs w:val="24"/>
        </w:rPr>
        <w:t xml:space="preserve"> baza acestei cartografieri, Ministerul Mediului și Ministerul Sănătății, în parteneriat cu instituțiile subordonate, vor elabora și implementa campanii educaționale tematice privind riscurile de mediu, sănătate și climă, bazate pe date, analize de vulnerabilitate și cunoștințele comunităților. Conținutul acestor campanii va fi coordonat în amonte cu MAI și IGSU, pentru a evita suprapunerile tematice și pentru a asigura coerența mesajelor la nivel național. Campaniile </w:t>
      </w:r>
      <w:r w:rsidR="00B93205" w:rsidRPr="008F1616">
        <w:rPr>
          <w:rFonts w:ascii="Times New Roman" w:hAnsi="Times New Roman" w:cs="Times New Roman"/>
          <w:color w:val="000000" w:themeColor="text1"/>
          <w:sz w:val="24"/>
          <w:szCs w:val="24"/>
        </w:rPr>
        <w:t xml:space="preserve">vor fi adaptate pe grupuri-țintă, </w:t>
      </w:r>
      <w:r w:rsidR="003941DA" w:rsidRPr="008F1616">
        <w:rPr>
          <w:rFonts w:ascii="Times New Roman" w:hAnsi="Times New Roman" w:cs="Times New Roman"/>
          <w:color w:val="000000" w:themeColor="text1"/>
          <w:sz w:val="24"/>
          <w:szCs w:val="24"/>
        </w:rPr>
        <w:t>vor promova bune practici de reducere a riscurilor naturale si biologico-sociale, de adaptare locală și vor utiliza metode și instrumente moderne, precum aplicații participative, platforme de feedback, „Zilele Rezilienței” și materiale vizuale accesibile</w:t>
      </w:r>
      <w:r w:rsidR="001E24D6" w:rsidRPr="008F1616">
        <w:rPr>
          <w:rFonts w:ascii="Times New Roman" w:hAnsi="Times New Roman" w:cs="Times New Roman"/>
          <w:color w:val="000000" w:themeColor="text1"/>
          <w:sz w:val="24"/>
          <w:szCs w:val="24"/>
        </w:rPr>
        <w:t xml:space="preserve">. </w:t>
      </w:r>
    </w:p>
    <w:p w14:paraId="163E3BF1" w14:textId="3B897BAD" w:rsidR="002A3718" w:rsidRPr="008F1616" w:rsidRDefault="002A3718" w:rsidP="00765389">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Colaborarea cu Ministerul Educației și Cercetării va permite integrarea noțiunilor de risc și adaptare climatică în educația formală și non-formală, inclusiv prin implicarea școlilor vocaționale și a organizațiilor de tineret în acțiuni de conștientizare și simulări. În paralel, parteneriatele cu UNFPA și UNICEF vor contribui la integrarea nevoilor specifice ale copiilor cu dizabilități, ale fetelor și adolescenților, precum și la adaptarea conținutului educațional la regiune, vârstă și tip de risc.</w:t>
      </w:r>
    </w:p>
    <w:p w14:paraId="0CE8AB66" w14:textId="69F3ED3C" w:rsidR="008B22A3" w:rsidRPr="008F1616" w:rsidRDefault="008B22A3" w:rsidP="00765389">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Pentru a evita suprapunerile cu campaniile generale de protecție civilă derulate de IGSU, activitățile de comunicare și educare desfășurate de Ministerul Mediului și Ministerul Sănătății vor pune accentul pe cauzele și mecanismele de apariție a riscurilor, precum și pe măsurile de prevenire</w:t>
      </w:r>
      <w:r w:rsidR="00FE471F" w:rsidRPr="008F1616">
        <w:rPr>
          <w:rFonts w:ascii="Times New Roman" w:hAnsi="Times New Roman" w:cs="Times New Roman"/>
          <w:color w:val="000000" w:themeColor="text1"/>
          <w:sz w:val="24"/>
          <w:szCs w:val="24"/>
        </w:rPr>
        <w:t xml:space="preserve">, pregătire </w:t>
      </w:r>
      <w:r w:rsidRPr="008F1616">
        <w:rPr>
          <w:rFonts w:ascii="Times New Roman" w:hAnsi="Times New Roman" w:cs="Times New Roman"/>
          <w:color w:val="000000" w:themeColor="text1"/>
          <w:sz w:val="24"/>
          <w:szCs w:val="24"/>
        </w:rPr>
        <w:t xml:space="preserve">și adaptare pe termen lung. De exemplu, în cazul riscurilor naturale precum inundațiile, campaniile de protecție civila se concentrează, în mod firesc, pe comportamentul populației înainte, în timpul și imediat după un eveniment sau pe cum să se evacueze eficient. Prin contrast, abordarea Ministerului Mediului vizează explicarea cauzelor de fond și a rolului ecosistemelor naturale în reducerea riscurilor: conservarea luncilor și zonelor umede ca bariere naturale împotriva viiturilor, prevenirea urbanizării necontrolate în zone inundabile și gestionarea durabilă a terenurilor agricole pentru a </w:t>
      </w:r>
      <w:r w:rsidR="00284DCD" w:rsidRPr="008F1616">
        <w:rPr>
          <w:rFonts w:ascii="Times New Roman" w:hAnsi="Times New Roman" w:cs="Times New Roman"/>
          <w:color w:val="000000" w:themeColor="text1"/>
          <w:sz w:val="24"/>
          <w:szCs w:val="24"/>
        </w:rPr>
        <w:t>fortifica</w:t>
      </w:r>
      <w:r w:rsidRPr="008F1616">
        <w:rPr>
          <w:rFonts w:ascii="Times New Roman" w:hAnsi="Times New Roman" w:cs="Times New Roman"/>
          <w:color w:val="000000" w:themeColor="text1"/>
          <w:sz w:val="24"/>
          <w:szCs w:val="24"/>
        </w:rPr>
        <w:t xml:space="preserve"> capacitatea solurilor de a reține apa. Astfel, accentul se deplasează de la reacția în caz de dezastru la prevenirea riscurilor printr-o gestionare durabilă a mediului.</w:t>
      </w:r>
      <w:r w:rsidR="008F2A5E" w:rsidRPr="008F1616">
        <w:rPr>
          <w:rFonts w:ascii="Times New Roman" w:hAnsi="Times New Roman" w:cs="Times New Roman"/>
          <w:color w:val="000000" w:themeColor="text1"/>
          <w:sz w:val="24"/>
          <w:szCs w:val="24"/>
        </w:rPr>
        <w:t xml:space="preserve"> </w:t>
      </w:r>
    </w:p>
    <w:p w14:paraId="7E48C564" w14:textId="52712C7A" w:rsidR="00505C30" w:rsidRPr="008F1616" w:rsidRDefault="008B22A3" w:rsidP="00765389">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În mod similar, în cazul riscurilor biologico-sociale, cum este gripa aviară, campaniile de prevenire gestionate de Ministerul Mediului și Ministerul Sănătății v</w:t>
      </w:r>
      <w:r w:rsidR="008A509F" w:rsidRPr="008F1616">
        <w:rPr>
          <w:rFonts w:ascii="Times New Roman" w:hAnsi="Times New Roman" w:cs="Times New Roman"/>
          <w:color w:val="000000" w:themeColor="text1"/>
          <w:sz w:val="24"/>
          <w:szCs w:val="24"/>
        </w:rPr>
        <w:t>or</w:t>
      </w:r>
      <w:r w:rsidRPr="008F1616">
        <w:rPr>
          <w:rFonts w:ascii="Times New Roman" w:hAnsi="Times New Roman" w:cs="Times New Roman"/>
          <w:color w:val="000000" w:themeColor="text1"/>
          <w:sz w:val="24"/>
          <w:szCs w:val="24"/>
        </w:rPr>
        <w:t xml:space="preserve"> urmări explicarea interacțiunilor dintre ecosisteme, activitățile umane și sănătatea animală și umană, conform principiului „O singură sănătate” (One Health). Mesajele vor evidenția modul în care degradarea habitatelor naturale, aglomerarea zootehnică și pierderea biodiversității cresc riscul de transmitere a bolilor zoonotice, iar măsurile preventive vizează reducerea acestor presiuni și îmbunătățirea </w:t>
      </w:r>
      <w:r w:rsidR="0055679C" w:rsidRPr="008F1616">
        <w:rPr>
          <w:rFonts w:ascii="Times New Roman" w:hAnsi="Times New Roman" w:cs="Times New Roman"/>
          <w:color w:val="000000" w:themeColor="text1"/>
          <w:sz w:val="24"/>
          <w:szCs w:val="24"/>
        </w:rPr>
        <w:t>calității</w:t>
      </w:r>
      <w:r w:rsidRPr="008F1616">
        <w:rPr>
          <w:rFonts w:ascii="Times New Roman" w:hAnsi="Times New Roman" w:cs="Times New Roman"/>
          <w:color w:val="000000" w:themeColor="text1"/>
          <w:sz w:val="24"/>
          <w:szCs w:val="24"/>
        </w:rPr>
        <w:t xml:space="preserve"> </w:t>
      </w:r>
      <w:r w:rsidR="0055679C" w:rsidRPr="008F1616">
        <w:rPr>
          <w:rFonts w:ascii="Times New Roman" w:hAnsi="Times New Roman" w:cs="Times New Roman"/>
          <w:color w:val="000000" w:themeColor="text1"/>
          <w:sz w:val="24"/>
          <w:szCs w:val="24"/>
        </w:rPr>
        <w:t>solului,</w:t>
      </w:r>
      <w:r w:rsidRPr="008F1616">
        <w:rPr>
          <w:rFonts w:ascii="Times New Roman" w:hAnsi="Times New Roman" w:cs="Times New Roman"/>
          <w:color w:val="000000" w:themeColor="text1"/>
          <w:sz w:val="24"/>
          <w:szCs w:val="24"/>
        </w:rPr>
        <w:t xml:space="preserve"> a controlului deșeurilor și a calității apei.</w:t>
      </w:r>
      <w:r w:rsidR="0055679C" w:rsidRPr="008F1616">
        <w:rPr>
          <w:rFonts w:ascii="Times New Roman" w:hAnsi="Times New Roman" w:cs="Times New Roman"/>
          <w:color w:val="000000" w:themeColor="text1"/>
          <w:sz w:val="24"/>
          <w:szCs w:val="24"/>
        </w:rPr>
        <w:t xml:space="preserve"> </w:t>
      </w:r>
      <w:r w:rsidRPr="008F1616">
        <w:rPr>
          <w:rFonts w:ascii="Times New Roman" w:hAnsi="Times New Roman" w:cs="Times New Roman"/>
          <w:color w:val="000000" w:themeColor="text1"/>
          <w:sz w:val="24"/>
          <w:szCs w:val="24"/>
        </w:rPr>
        <w:t>Prin această abordare diferențiată, campaniile coordonate de Ministerul Mediului și Ministerul Sănătății vor contribui la formarea unei culturi a riscului bazate pe cauze și soluții structurale, consolidând reziliența ecologică și socială a comunităților, în completarea mecanismelor de intervenție rapidă coordonate de MAI</w:t>
      </w:r>
      <w:r w:rsidR="0055679C" w:rsidRPr="008F1616">
        <w:rPr>
          <w:rFonts w:ascii="Times New Roman" w:hAnsi="Times New Roman" w:cs="Times New Roman"/>
          <w:color w:val="000000" w:themeColor="text1"/>
          <w:sz w:val="24"/>
          <w:szCs w:val="24"/>
        </w:rPr>
        <w:t xml:space="preserve"> si </w:t>
      </w:r>
      <w:r w:rsidRPr="008F1616">
        <w:rPr>
          <w:rFonts w:ascii="Times New Roman" w:hAnsi="Times New Roman" w:cs="Times New Roman"/>
          <w:color w:val="000000" w:themeColor="text1"/>
          <w:sz w:val="24"/>
          <w:szCs w:val="24"/>
        </w:rPr>
        <w:t>IGSU.</w:t>
      </w:r>
    </w:p>
    <w:p w14:paraId="07D054AA" w14:textId="1A295830" w:rsidR="001F5A97" w:rsidRPr="008F1616" w:rsidRDefault="00D4659D" w:rsidP="00765389">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 xml:space="preserve">Consolidarea rețelelor locale de voluntariat, educatori și personal instituțional pentru prevenirea și gestionarea riscurilor </w:t>
      </w:r>
      <w:r w:rsidR="00284DCD" w:rsidRPr="008F1616">
        <w:rPr>
          <w:rFonts w:ascii="Times New Roman" w:hAnsi="Times New Roman" w:cs="Times New Roman"/>
          <w:color w:val="000000" w:themeColor="text1"/>
          <w:sz w:val="24"/>
          <w:szCs w:val="24"/>
        </w:rPr>
        <w:t>naturale si biologico-sociale</w:t>
      </w:r>
      <w:r w:rsidRPr="008F1616">
        <w:rPr>
          <w:rFonts w:ascii="Times New Roman" w:hAnsi="Times New Roman" w:cs="Times New Roman"/>
          <w:color w:val="000000" w:themeColor="text1"/>
          <w:sz w:val="24"/>
          <w:szCs w:val="24"/>
        </w:rPr>
        <w:t xml:space="preserve"> și protejarea grupurilor vulnerabile. Această acțiune urmărește dezvoltarea unei abordări integrate de formare și mobilizare la nivel local, combinând instruirea actorilor instituționali și privați cu sprijinirea rețelelor civice și de voluntariat. Obiectivul este creșterea rezilienței comunităților și asigurarea protecției grupurilor vulnerabile (femei însărcinate, vârstnici, tineri, persoane cu dizabilități, migrați) în fața</w:t>
      </w:r>
      <w:r w:rsidR="00B93205" w:rsidRPr="008F1616">
        <w:rPr>
          <w:rFonts w:ascii="Times New Roman" w:hAnsi="Times New Roman" w:cs="Times New Roman"/>
          <w:color w:val="000000" w:themeColor="text1"/>
          <w:sz w:val="24"/>
          <w:szCs w:val="24"/>
        </w:rPr>
        <w:t xml:space="preserve"> riscurilor</w:t>
      </w:r>
      <w:r w:rsidRPr="008F1616">
        <w:rPr>
          <w:rFonts w:ascii="Times New Roman" w:hAnsi="Times New Roman" w:cs="Times New Roman"/>
          <w:color w:val="000000" w:themeColor="text1"/>
          <w:sz w:val="24"/>
          <w:szCs w:val="24"/>
        </w:rPr>
        <w:t xml:space="preserve"> </w:t>
      </w:r>
      <w:r w:rsidR="00B93205" w:rsidRPr="008F1616">
        <w:rPr>
          <w:rFonts w:ascii="Times New Roman" w:hAnsi="Times New Roman" w:cs="Times New Roman"/>
          <w:color w:val="000000" w:themeColor="text1"/>
          <w:sz w:val="24"/>
          <w:szCs w:val="24"/>
        </w:rPr>
        <w:t>naturale si biologico-sociale</w:t>
      </w:r>
      <w:r w:rsidRPr="008F1616">
        <w:rPr>
          <w:rFonts w:ascii="Times New Roman" w:hAnsi="Times New Roman" w:cs="Times New Roman"/>
          <w:color w:val="000000" w:themeColor="text1"/>
          <w:sz w:val="24"/>
          <w:szCs w:val="24"/>
        </w:rPr>
        <w:t xml:space="preserve">. Principalele activități includ: formarea rețelelor locale de educatori, voluntari si personal de sprijin, sprijinirea OSC-urilor si a comunităților locale prin cartografierea capacităților existente, </w:t>
      </w:r>
      <w:r w:rsidRPr="008F1616">
        <w:rPr>
          <w:rFonts w:ascii="Times New Roman" w:hAnsi="Times New Roman" w:cs="Times New Roman"/>
          <w:color w:val="000000" w:themeColor="text1"/>
          <w:sz w:val="24"/>
          <w:szCs w:val="24"/>
        </w:rPr>
        <w:lastRenderedPageBreak/>
        <w:t xml:space="preserve">parteneriate cu APL, scoli si centre comunitare, precum si mobilizarea resurselor externe pentru finanțarea inițiativelor locale; organizarea de sesiuni interdisciplinare (mediu, sănătate, protecție civila, comunicare), cu sprijinul partenerilor internaționali, informarea populației privind riscurile climatice asupra sănătății generale, sexuale si reproductive precum si promovarea accesului la serviciilor vitale în situații de urgenta; promovarea campaniilor participative si a diseminării bunelor practici comunitare (agricultura rezilientă,  conservarea solului, împăduriri locale, Zilele Rezilienței). </w:t>
      </w:r>
    </w:p>
    <w:p w14:paraId="1FC565B4" w14:textId="7730022C" w:rsidR="008F3261" w:rsidRPr="008F1616" w:rsidRDefault="00D153C5" w:rsidP="00765389">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În timpul consultărilor, UNFPA a subliniat importanța implicării rețelelor locale de tineret și a organizațiilor care lucrează cu femei, persoane cu dizabilități și migrați în activități de prevenire și comunicare. Se va promova participarea acestora în campanii locale, inclusiv în zone cu expunere multiplă la riscuri climatic</w:t>
      </w:r>
      <w:r w:rsidR="004064B7" w:rsidRPr="008F1616">
        <w:rPr>
          <w:rFonts w:ascii="Times New Roman" w:hAnsi="Times New Roman" w:cs="Times New Roman"/>
          <w:color w:val="000000" w:themeColor="text1"/>
          <w:sz w:val="24"/>
          <w:szCs w:val="24"/>
        </w:rPr>
        <w:t>e și de mediu</w:t>
      </w:r>
      <w:r w:rsidRPr="008F1616">
        <w:rPr>
          <w:rFonts w:ascii="Times New Roman" w:hAnsi="Times New Roman" w:cs="Times New Roman"/>
          <w:color w:val="000000" w:themeColor="text1"/>
          <w:sz w:val="24"/>
          <w:szCs w:val="24"/>
        </w:rPr>
        <w:t>.</w:t>
      </w:r>
    </w:p>
    <w:p w14:paraId="68D21447" w14:textId="77777777" w:rsidR="008F1616" w:rsidRDefault="004E5F02" w:rsidP="00765389">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 xml:space="preserve">Acest obiectiv </w:t>
      </w:r>
      <w:r w:rsidR="001F5A97" w:rsidRPr="008F1616">
        <w:rPr>
          <w:rFonts w:ascii="Times New Roman" w:hAnsi="Times New Roman" w:cs="Times New Roman"/>
          <w:color w:val="000000" w:themeColor="text1"/>
          <w:sz w:val="24"/>
          <w:szCs w:val="24"/>
        </w:rPr>
        <w:t xml:space="preserve">specific </w:t>
      </w:r>
      <w:r w:rsidRPr="008F1616">
        <w:rPr>
          <w:rFonts w:ascii="Times New Roman" w:hAnsi="Times New Roman" w:cs="Times New Roman"/>
          <w:color w:val="000000" w:themeColor="text1"/>
          <w:sz w:val="24"/>
          <w:szCs w:val="24"/>
        </w:rPr>
        <w:t>este acoperit</w:t>
      </w:r>
      <w:r w:rsidR="00DB34AE" w:rsidRPr="008F1616">
        <w:rPr>
          <w:rFonts w:ascii="Times New Roman" w:hAnsi="Times New Roman" w:cs="Times New Roman"/>
          <w:color w:val="000000" w:themeColor="text1"/>
          <w:sz w:val="24"/>
          <w:szCs w:val="24"/>
        </w:rPr>
        <w:t xml:space="preserve"> într-un mod cooperativ</w:t>
      </w:r>
      <w:r w:rsidRPr="008F1616">
        <w:rPr>
          <w:rFonts w:ascii="Times New Roman" w:hAnsi="Times New Roman" w:cs="Times New Roman"/>
          <w:color w:val="000000" w:themeColor="text1"/>
          <w:sz w:val="24"/>
          <w:szCs w:val="24"/>
        </w:rPr>
        <w:t xml:space="preserve"> de </w:t>
      </w:r>
      <w:r w:rsidR="00E051A9" w:rsidRPr="008F1616">
        <w:rPr>
          <w:rFonts w:ascii="Times New Roman" w:hAnsi="Times New Roman" w:cs="Times New Roman"/>
          <w:color w:val="000000" w:themeColor="text1"/>
          <w:sz w:val="24"/>
          <w:szCs w:val="24"/>
        </w:rPr>
        <w:t xml:space="preserve">Ministerul Mediului, Ministerul Educației si Cercetării, Ministerul Sănătății, Ministerul </w:t>
      </w:r>
      <w:r w:rsidR="000F73AB" w:rsidRPr="008F1616">
        <w:rPr>
          <w:rFonts w:ascii="Times New Roman" w:hAnsi="Times New Roman" w:cs="Times New Roman"/>
          <w:color w:val="000000" w:themeColor="text1"/>
          <w:sz w:val="24"/>
          <w:szCs w:val="24"/>
        </w:rPr>
        <w:t>Agriculturii si Industriei Alimentare</w:t>
      </w:r>
      <w:r w:rsidR="00E051A9" w:rsidRPr="008F1616">
        <w:rPr>
          <w:rFonts w:ascii="Times New Roman" w:hAnsi="Times New Roman" w:cs="Times New Roman"/>
          <w:color w:val="000000" w:themeColor="text1"/>
          <w:sz w:val="24"/>
          <w:szCs w:val="24"/>
        </w:rPr>
        <w:t xml:space="preserve">, </w:t>
      </w:r>
      <w:r w:rsidR="000F73AB" w:rsidRPr="008F1616">
        <w:rPr>
          <w:rFonts w:ascii="Times New Roman" w:hAnsi="Times New Roman" w:cs="Times New Roman"/>
          <w:color w:val="000000" w:themeColor="text1"/>
          <w:sz w:val="24"/>
          <w:szCs w:val="24"/>
        </w:rPr>
        <w:t xml:space="preserve">Ministerul Afacerilor Interne </w:t>
      </w:r>
      <w:r w:rsidR="00E051A9" w:rsidRPr="008F1616">
        <w:rPr>
          <w:rFonts w:ascii="Times New Roman" w:hAnsi="Times New Roman" w:cs="Times New Roman"/>
          <w:color w:val="000000" w:themeColor="text1"/>
          <w:sz w:val="24"/>
          <w:szCs w:val="24"/>
        </w:rPr>
        <w:t xml:space="preserve">si alte Ministere relevante în funcție de </w:t>
      </w:r>
      <w:r w:rsidR="00DB34AE" w:rsidRPr="008F1616">
        <w:rPr>
          <w:rFonts w:ascii="Times New Roman" w:hAnsi="Times New Roman" w:cs="Times New Roman"/>
          <w:color w:val="000000" w:themeColor="text1"/>
          <w:sz w:val="24"/>
          <w:szCs w:val="24"/>
        </w:rPr>
        <w:t xml:space="preserve">tipul </w:t>
      </w:r>
      <w:r w:rsidR="009022FB" w:rsidRPr="008F1616">
        <w:rPr>
          <w:rFonts w:ascii="Times New Roman" w:hAnsi="Times New Roman" w:cs="Times New Roman"/>
          <w:color w:val="000000" w:themeColor="text1"/>
          <w:sz w:val="24"/>
          <w:szCs w:val="24"/>
        </w:rPr>
        <w:t>dezastrelor naturale si biologico-sociale abordate</w:t>
      </w:r>
      <w:r w:rsidRPr="008F1616">
        <w:rPr>
          <w:rFonts w:ascii="Times New Roman" w:hAnsi="Times New Roman" w:cs="Times New Roman"/>
          <w:color w:val="000000" w:themeColor="text1"/>
          <w:sz w:val="24"/>
          <w:szCs w:val="24"/>
        </w:rPr>
        <w:t>.</w:t>
      </w:r>
    </w:p>
    <w:p w14:paraId="44890C24" w14:textId="2EF1DE0A" w:rsidR="008F1616" w:rsidRPr="009067DC" w:rsidRDefault="008F1616" w:rsidP="009067DC">
      <w:pPr>
        <w:pStyle w:val="Heading3"/>
        <w:jc w:val="both"/>
        <w:rPr>
          <w:rFonts w:ascii="Times New Roman" w:hAnsi="Times New Roman" w:cs="Times New Roman"/>
          <w:b/>
          <w:bCs w:val="0"/>
          <w:color w:val="auto"/>
        </w:rPr>
      </w:pPr>
      <w:r w:rsidRPr="009067DC">
        <w:rPr>
          <w:rFonts w:ascii="Times New Roman" w:hAnsi="Times New Roman" w:cs="Times New Roman"/>
          <w:b/>
          <w:bCs w:val="0"/>
          <w:color w:val="auto"/>
        </w:rPr>
        <w:t>Obiectiv specific 1.3: Până în 2030, Ministerul Mediului, în parteneriat cu instituțiile de cercetare, consolidează baza științifică și analitică pentru reducerea riscurilor de dezastre naturale și biologico-sociale, prin promovarea cercetării aplicate și a parteneriatelor interinstituționale</w:t>
      </w:r>
    </w:p>
    <w:p w14:paraId="40934271" w14:textId="4A1F91BE" w:rsidR="00D66AD1" w:rsidRPr="008F1616" w:rsidRDefault="00FF72C9" w:rsidP="00765389">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 xml:space="preserve"> </w:t>
      </w:r>
      <w:r w:rsidR="00F53759" w:rsidRPr="008F1616">
        <w:rPr>
          <w:rFonts w:ascii="Times New Roman" w:hAnsi="Times New Roman" w:cs="Times New Roman"/>
          <w:color w:val="000000" w:themeColor="text1"/>
          <w:sz w:val="24"/>
          <w:szCs w:val="24"/>
        </w:rPr>
        <w:t xml:space="preserve">Cercetarea științifică joacă un rol crucial în înțelegerea riscurilor emergente și în formularea de politici </w:t>
      </w:r>
      <w:r w:rsidR="00DD5CB8" w:rsidRPr="008F1616">
        <w:rPr>
          <w:rFonts w:ascii="Times New Roman" w:hAnsi="Times New Roman" w:cs="Times New Roman"/>
          <w:color w:val="000000" w:themeColor="text1"/>
          <w:sz w:val="24"/>
          <w:szCs w:val="24"/>
        </w:rPr>
        <w:t>publice</w:t>
      </w:r>
      <w:r w:rsidR="00F53759" w:rsidRPr="008F1616">
        <w:rPr>
          <w:rFonts w:ascii="Times New Roman" w:hAnsi="Times New Roman" w:cs="Times New Roman"/>
          <w:color w:val="000000" w:themeColor="text1"/>
          <w:sz w:val="24"/>
          <w:szCs w:val="24"/>
        </w:rPr>
        <w:t xml:space="preserve">. Cu toate acestea, în </w:t>
      </w:r>
      <w:r w:rsidR="00D3618B" w:rsidRPr="008F1616">
        <w:rPr>
          <w:rFonts w:ascii="Times New Roman" w:hAnsi="Times New Roman" w:cs="Times New Roman"/>
          <w:color w:val="000000" w:themeColor="text1"/>
          <w:sz w:val="24"/>
          <w:szCs w:val="24"/>
        </w:rPr>
        <w:t xml:space="preserve">Republica </w:t>
      </w:r>
      <w:r w:rsidR="00F53759" w:rsidRPr="008F1616">
        <w:rPr>
          <w:rFonts w:ascii="Times New Roman" w:hAnsi="Times New Roman" w:cs="Times New Roman"/>
          <w:color w:val="000000" w:themeColor="text1"/>
          <w:sz w:val="24"/>
          <w:szCs w:val="24"/>
        </w:rPr>
        <w:t>Moldova, activitățile de cercetare aplicată în domeniul riscurilor climatice, geologice și hidrologice</w:t>
      </w:r>
      <w:r w:rsidR="00E051A9" w:rsidRPr="008F1616">
        <w:rPr>
          <w:rFonts w:ascii="Times New Roman" w:hAnsi="Times New Roman" w:cs="Times New Roman"/>
          <w:color w:val="000000" w:themeColor="text1"/>
          <w:sz w:val="24"/>
          <w:szCs w:val="24"/>
        </w:rPr>
        <w:t xml:space="preserve">, </w:t>
      </w:r>
      <w:r w:rsidR="00DD5CB8" w:rsidRPr="008F1616">
        <w:rPr>
          <w:rFonts w:ascii="Times New Roman" w:hAnsi="Times New Roman" w:cs="Times New Roman"/>
          <w:color w:val="000000" w:themeColor="text1"/>
          <w:sz w:val="24"/>
          <w:szCs w:val="24"/>
        </w:rPr>
        <w:t xml:space="preserve">biologico-sociale </w:t>
      </w:r>
      <w:r w:rsidR="00E051A9" w:rsidRPr="008F1616">
        <w:rPr>
          <w:rFonts w:ascii="Times New Roman" w:hAnsi="Times New Roman" w:cs="Times New Roman"/>
          <w:color w:val="000000" w:themeColor="text1"/>
          <w:sz w:val="24"/>
          <w:szCs w:val="24"/>
        </w:rPr>
        <w:t xml:space="preserve">precum </w:t>
      </w:r>
      <w:r w:rsidR="00D3618B" w:rsidRPr="008F1616">
        <w:rPr>
          <w:rFonts w:ascii="Times New Roman" w:hAnsi="Times New Roman" w:cs="Times New Roman"/>
          <w:color w:val="000000" w:themeColor="text1"/>
          <w:sz w:val="24"/>
          <w:szCs w:val="24"/>
        </w:rPr>
        <w:t>ș</w:t>
      </w:r>
      <w:r w:rsidR="00E051A9" w:rsidRPr="008F1616">
        <w:rPr>
          <w:rFonts w:ascii="Times New Roman" w:hAnsi="Times New Roman" w:cs="Times New Roman"/>
          <w:color w:val="000000" w:themeColor="text1"/>
          <w:sz w:val="24"/>
          <w:szCs w:val="24"/>
        </w:rPr>
        <w:t xml:space="preserve">i nexus-ului migrație, mediu </w:t>
      </w:r>
      <w:r w:rsidR="00D3618B" w:rsidRPr="008F1616">
        <w:rPr>
          <w:rFonts w:ascii="Times New Roman" w:hAnsi="Times New Roman" w:cs="Times New Roman"/>
          <w:color w:val="000000" w:themeColor="text1"/>
          <w:sz w:val="24"/>
          <w:szCs w:val="24"/>
        </w:rPr>
        <w:t>ș</w:t>
      </w:r>
      <w:r w:rsidR="00E051A9" w:rsidRPr="008F1616">
        <w:rPr>
          <w:rFonts w:ascii="Times New Roman" w:hAnsi="Times New Roman" w:cs="Times New Roman"/>
          <w:color w:val="000000" w:themeColor="text1"/>
          <w:sz w:val="24"/>
          <w:szCs w:val="24"/>
        </w:rPr>
        <w:t>i schimbări climatice</w:t>
      </w:r>
      <w:r w:rsidR="00F53759" w:rsidRPr="008F1616">
        <w:rPr>
          <w:rFonts w:ascii="Times New Roman" w:hAnsi="Times New Roman" w:cs="Times New Roman"/>
          <w:color w:val="000000" w:themeColor="text1"/>
          <w:sz w:val="24"/>
          <w:szCs w:val="24"/>
        </w:rPr>
        <w:t xml:space="preserve"> sunt fragmentate, iar parteneriatele instituționale între agențiile publice, mediul academic și sectorul privat sunt insuficient</w:t>
      </w:r>
      <w:r w:rsidR="00D66AD1" w:rsidRPr="008F1616">
        <w:rPr>
          <w:rFonts w:ascii="Times New Roman" w:hAnsi="Times New Roman" w:cs="Times New Roman"/>
          <w:color w:val="000000" w:themeColor="text1"/>
          <w:sz w:val="24"/>
          <w:szCs w:val="24"/>
        </w:rPr>
        <w:t xml:space="preserve"> valorificate</w:t>
      </w:r>
      <w:r w:rsidR="00F53759" w:rsidRPr="008F1616">
        <w:rPr>
          <w:rFonts w:ascii="Times New Roman" w:hAnsi="Times New Roman" w:cs="Times New Roman"/>
          <w:color w:val="000000" w:themeColor="text1"/>
          <w:sz w:val="24"/>
          <w:szCs w:val="24"/>
        </w:rPr>
        <w:t>.</w:t>
      </w:r>
    </w:p>
    <w:p w14:paraId="73334E5E" w14:textId="4C16A670" w:rsidR="00D66AD1" w:rsidRPr="008F1616" w:rsidRDefault="00D66AD1" w:rsidP="00765389">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Acest obiectiv specific urmărește crearea unui cadru consolidat pentru cercetare aplicată, inovare și transfer de cunoștințe în domeniul reducerii riscurilor de dezastre naturale si biologico-sociale, care sa sprijine</w:t>
      </w:r>
      <w:r w:rsidR="004547F4" w:rsidRPr="008F1616">
        <w:rPr>
          <w:rFonts w:ascii="Times New Roman" w:hAnsi="Times New Roman" w:cs="Times New Roman"/>
          <w:color w:val="000000" w:themeColor="text1"/>
          <w:sz w:val="24"/>
          <w:szCs w:val="24"/>
        </w:rPr>
        <w:t xml:space="preserve"> operaționalizarea art</w:t>
      </w:r>
      <w:r w:rsidR="00F864B5" w:rsidRPr="008F1616">
        <w:rPr>
          <w:rFonts w:ascii="Times New Roman" w:hAnsi="Times New Roman" w:cs="Times New Roman"/>
          <w:color w:val="000000" w:themeColor="text1"/>
          <w:sz w:val="24"/>
          <w:szCs w:val="24"/>
        </w:rPr>
        <w:t>.</w:t>
      </w:r>
      <w:r w:rsidR="004547F4" w:rsidRPr="008F1616">
        <w:rPr>
          <w:rFonts w:ascii="Times New Roman" w:hAnsi="Times New Roman" w:cs="Times New Roman"/>
          <w:color w:val="000000" w:themeColor="text1"/>
          <w:sz w:val="24"/>
          <w:szCs w:val="24"/>
        </w:rPr>
        <w:t xml:space="preserve"> </w:t>
      </w:r>
      <w:r w:rsidRPr="008F1616">
        <w:rPr>
          <w:rFonts w:ascii="Times New Roman" w:hAnsi="Times New Roman" w:cs="Times New Roman"/>
          <w:color w:val="000000" w:themeColor="text1"/>
          <w:sz w:val="24"/>
          <w:szCs w:val="24"/>
        </w:rPr>
        <w:t xml:space="preserve">6 </w:t>
      </w:r>
      <w:r w:rsidR="004547F4" w:rsidRPr="008F1616">
        <w:rPr>
          <w:rFonts w:ascii="Times New Roman" w:hAnsi="Times New Roman" w:cs="Times New Roman"/>
          <w:color w:val="000000" w:themeColor="text1"/>
          <w:sz w:val="24"/>
          <w:szCs w:val="24"/>
        </w:rPr>
        <w:t xml:space="preserve"> și </w:t>
      </w:r>
      <w:r w:rsidRPr="008F1616">
        <w:rPr>
          <w:rFonts w:ascii="Times New Roman" w:hAnsi="Times New Roman" w:cs="Times New Roman"/>
          <w:color w:val="000000" w:themeColor="text1"/>
          <w:sz w:val="24"/>
          <w:szCs w:val="24"/>
        </w:rPr>
        <w:t>7</w:t>
      </w:r>
      <w:r w:rsidR="004547F4" w:rsidRPr="008F1616">
        <w:rPr>
          <w:rFonts w:ascii="Times New Roman" w:hAnsi="Times New Roman" w:cs="Times New Roman"/>
          <w:color w:val="000000" w:themeColor="text1"/>
          <w:sz w:val="24"/>
          <w:szCs w:val="24"/>
        </w:rPr>
        <w:t xml:space="preserve"> din </w:t>
      </w:r>
      <w:r w:rsidR="00F864B5" w:rsidRPr="008F1616">
        <w:rPr>
          <w:rFonts w:ascii="Times New Roman" w:hAnsi="Times New Roman" w:cs="Times New Roman"/>
          <w:color w:val="000000" w:themeColor="text1"/>
          <w:sz w:val="24"/>
          <w:szCs w:val="24"/>
        </w:rPr>
        <w:t>l</w:t>
      </w:r>
      <w:r w:rsidR="004547F4" w:rsidRPr="008F1616">
        <w:rPr>
          <w:rFonts w:ascii="Times New Roman" w:hAnsi="Times New Roman" w:cs="Times New Roman"/>
          <w:color w:val="000000" w:themeColor="text1"/>
          <w:sz w:val="24"/>
          <w:szCs w:val="24"/>
        </w:rPr>
        <w:t>ege</w:t>
      </w:r>
      <w:r w:rsidRPr="008F1616">
        <w:rPr>
          <w:rFonts w:ascii="Times New Roman" w:hAnsi="Times New Roman" w:cs="Times New Roman"/>
          <w:color w:val="000000" w:themeColor="text1"/>
          <w:sz w:val="24"/>
          <w:szCs w:val="24"/>
        </w:rPr>
        <w:t>a</w:t>
      </w:r>
      <w:r w:rsidR="004547F4" w:rsidRPr="008F1616">
        <w:rPr>
          <w:rFonts w:ascii="Times New Roman" w:hAnsi="Times New Roman" w:cs="Times New Roman"/>
          <w:color w:val="000000" w:themeColor="text1"/>
          <w:sz w:val="24"/>
          <w:szCs w:val="24"/>
        </w:rPr>
        <w:t xml:space="preserve"> privind managementul situațiilor de criză , sprijinind elaborarea Evaluării Naționale a Riscurilor și a Planului Național de Management al Crizelor cu </w:t>
      </w:r>
      <w:r w:rsidRPr="008F1616">
        <w:rPr>
          <w:rFonts w:ascii="Times New Roman" w:hAnsi="Times New Roman" w:cs="Times New Roman"/>
          <w:color w:val="000000" w:themeColor="text1"/>
          <w:sz w:val="24"/>
          <w:szCs w:val="24"/>
        </w:rPr>
        <w:t xml:space="preserve">date </w:t>
      </w:r>
      <w:r w:rsidR="004547F4" w:rsidRPr="008F1616">
        <w:rPr>
          <w:rFonts w:ascii="Times New Roman" w:hAnsi="Times New Roman" w:cs="Times New Roman"/>
          <w:color w:val="000000" w:themeColor="text1"/>
          <w:sz w:val="24"/>
          <w:szCs w:val="24"/>
        </w:rPr>
        <w:t>științifice solide și analize adaptate contextului național.</w:t>
      </w:r>
    </w:p>
    <w:p w14:paraId="7E9E5C89" w14:textId="3B525B6C" w:rsidR="00D66AD1" w:rsidRPr="008F1616" w:rsidRDefault="00D66AD1" w:rsidP="00765389">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 xml:space="preserve">Până în 2030, Ministerul Mediului, în parteneriat cu Ministerul Educației și Cercetării, Academia de Științe a Moldovei și universitățile naționale, va promova cercetarea aplicată privind riscurile </w:t>
      </w:r>
      <w:r w:rsidR="00400B5B" w:rsidRPr="008F1616">
        <w:rPr>
          <w:rFonts w:ascii="Times New Roman" w:hAnsi="Times New Roman" w:cs="Times New Roman"/>
          <w:color w:val="000000" w:themeColor="text1"/>
          <w:sz w:val="24"/>
          <w:szCs w:val="24"/>
        </w:rPr>
        <w:t>naturale și biologico-sociale</w:t>
      </w:r>
      <w:r w:rsidRPr="008F1616">
        <w:rPr>
          <w:rFonts w:ascii="Times New Roman" w:hAnsi="Times New Roman" w:cs="Times New Roman"/>
          <w:color w:val="000000" w:themeColor="text1"/>
          <w:sz w:val="24"/>
          <w:szCs w:val="24"/>
        </w:rPr>
        <w:t xml:space="preserve"> prin parteneriate între instituții academice, autorități publice și parteneri de dezvoltare, utilizând mecanisme de finanțare și colaborare existente. Prioritățile de cercetare vor include: evaluarea riscurilor emergente și multisectoriale, degradarea ecosistemelor și soluții bazate pe natură, analiza nexus-ului migrație-mediu-schimbări climatice, precum și dezvoltarea de modele de impact în agricultură, silvicultură și </w:t>
      </w:r>
      <w:r w:rsidR="00A15B23" w:rsidRPr="008F1616">
        <w:rPr>
          <w:rFonts w:ascii="Times New Roman" w:hAnsi="Times New Roman" w:cs="Times New Roman"/>
          <w:color w:val="000000" w:themeColor="text1"/>
          <w:sz w:val="24"/>
          <w:szCs w:val="24"/>
        </w:rPr>
        <w:t xml:space="preserve">gestionarea durabila a resurselor de </w:t>
      </w:r>
      <w:r w:rsidRPr="008F1616">
        <w:rPr>
          <w:rFonts w:ascii="Times New Roman" w:hAnsi="Times New Roman" w:cs="Times New Roman"/>
          <w:color w:val="000000" w:themeColor="text1"/>
          <w:sz w:val="24"/>
          <w:szCs w:val="24"/>
        </w:rPr>
        <w:t>ap</w:t>
      </w:r>
      <w:r w:rsidR="00A15B23" w:rsidRPr="008F1616">
        <w:rPr>
          <w:rFonts w:ascii="Times New Roman" w:hAnsi="Times New Roman" w:cs="Times New Roman"/>
          <w:color w:val="000000" w:themeColor="text1"/>
          <w:sz w:val="24"/>
          <w:szCs w:val="24"/>
        </w:rPr>
        <w:t>a</w:t>
      </w:r>
      <w:r w:rsidRPr="008F1616">
        <w:rPr>
          <w:rFonts w:ascii="Times New Roman" w:hAnsi="Times New Roman" w:cs="Times New Roman"/>
          <w:color w:val="000000" w:themeColor="text1"/>
          <w:sz w:val="24"/>
          <w:szCs w:val="24"/>
        </w:rPr>
        <w:t>.</w:t>
      </w:r>
      <w:r w:rsidR="00400B5B" w:rsidRPr="008F1616">
        <w:rPr>
          <w:rFonts w:ascii="Times New Roman" w:hAnsi="Times New Roman" w:cs="Times New Roman"/>
          <w:color w:val="000000" w:themeColor="text1"/>
          <w:sz w:val="24"/>
          <w:szCs w:val="24"/>
        </w:rPr>
        <w:t xml:space="preserve"> </w:t>
      </w:r>
    </w:p>
    <w:p w14:paraId="6D141973" w14:textId="0AD594CB" w:rsidR="000D1CD4" w:rsidRPr="008F1616" w:rsidRDefault="008B31AB" w:rsidP="00765389">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Pentru stimularea colaborării între mediul științific și cel decizional, se va dezvolta o</w:t>
      </w:r>
      <w:r w:rsidRPr="008F1616" w:rsidDel="00D66AD1">
        <w:rPr>
          <w:rFonts w:ascii="Times New Roman" w:hAnsi="Times New Roman" w:cs="Times New Roman"/>
          <w:color w:val="000000" w:themeColor="text1"/>
          <w:sz w:val="24"/>
          <w:szCs w:val="24"/>
        </w:rPr>
        <w:t xml:space="preserve"> </w:t>
      </w:r>
      <w:r w:rsidR="008B48BC" w:rsidRPr="008F1616">
        <w:rPr>
          <w:rFonts w:ascii="Times New Roman" w:hAnsi="Times New Roman" w:cs="Times New Roman"/>
          <w:color w:val="000000" w:themeColor="text1"/>
          <w:sz w:val="24"/>
          <w:szCs w:val="24"/>
        </w:rPr>
        <w:t>platfor</w:t>
      </w:r>
      <w:r w:rsidRPr="008F1616">
        <w:rPr>
          <w:rFonts w:ascii="Times New Roman" w:hAnsi="Times New Roman" w:cs="Times New Roman"/>
          <w:color w:val="000000" w:themeColor="text1"/>
          <w:sz w:val="24"/>
          <w:szCs w:val="24"/>
        </w:rPr>
        <w:t xml:space="preserve">ma </w:t>
      </w:r>
      <w:r w:rsidR="008B48BC" w:rsidRPr="008F1616">
        <w:rPr>
          <w:rFonts w:ascii="Times New Roman" w:hAnsi="Times New Roman" w:cs="Times New Roman"/>
          <w:color w:val="000000" w:themeColor="text1"/>
          <w:sz w:val="24"/>
          <w:szCs w:val="24"/>
        </w:rPr>
        <w:t>național</w:t>
      </w:r>
      <w:r w:rsidRPr="008F1616">
        <w:rPr>
          <w:rFonts w:ascii="Times New Roman" w:hAnsi="Times New Roman" w:cs="Times New Roman"/>
          <w:color w:val="000000" w:themeColor="text1"/>
          <w:sz w:val="24"/>
          <w:szCs w:val="24"/>
        </w:rPr>
        <w:t>a</w:t>
      </w:r>
      <w:r w:rsidR="008B48BC" w:rsidRPr="008F1616">
        <w:rPr>
          <w:rFonts w:ascii="Times New Roman" w:hAnsi="Times New Roman" w:cs="Times New Roman"/>
          <w:color w:val="000000" w:themeColor="text1"/>
          <w:sz w:val="24"/>
          <w:szCs w:val="24"/>
        </w:rPr>
        <w:t xml:space="preserve"> de colaborare științifică pentru reducerea riscurilor de dezastr</w:t>
      </w:r>
      <w:r w:rsidR="002F7C32" w:rsidRPr="008F1616">
        <w:rPr>
          <w:rFonts w:ascii="Times New Roman" w:hAnsi="Times New Roman" w:cs="Times New Roman"/>
          <w:color w:val="000000" w:themeColor="text1"/>
          <w:sz w:val="24"/>
          <w:szCs w:val="24"/>
        </w:rPr>
        <w:t>e</w:t>
      </w:r>
      <w:r w:rsidR="00F34B28" w:rsidRPr="008F1616">
        <w:rPr>
          <w:rFonts w:ascii="Times New Roman" w:hAnsi="Times New Roman" w:cs="Times New Roman"/>
          <w:color w:val="000000" w:themeColor="text1"/>
          <w:sz w:val="24"/>
          <w:szCs w:val="24"/>
        </w:rPr>
        <w:t xml:space="preserve"> naturale</w:t>
      </w:r>
      <w:r w:rsidRPr="008F1616">
        <w:rPr>
          <w:rFonts w:ascii="Times New Roman" w:hAnsi="Times New Roman" w:cs="Times New Roman"/>
          <w:color w:val="000000" w:themeColor="text1"/>
          <w:sz w:val="24"/>
          <w:szCs w:val="24"/>
        </w:rPr>
        <w:t xml:space="preserve"> si biologico-sociale</w:t>
      </w:r>
      <w:r w:rsidR="008B48BC" w:rsidRPr="008F1616">
        <w:rPr>
          <w:rFonts w:ascii="Times New Roman" w:hAnsi="Times New Roman" w:cs="Times New Roman"/>
          <w:color w:val="000000" w:themeColor="text1"/>
          <w:sz w:val="24"/>
          <w:szCs w:val="24"/>
        </w:rPr>
        <w:t xml:space="preserve">. </w:t>
      </w:r>
      <w:r w:rsidR="00721BD5" w:rsidRPr="008F1616">
        <w:rPr>
          <w:rFonts w:ascii="Times New Roman" w:hAnsi="Times New Roman" w:cs="Times New Roman"/>
          <w:color w:val="000000" w:themeColor="text1"/>
          <w:sz w:val="24"/>
          <w:szCs w:val="24"/>
        </w:rPr>
        <w:t>Platforma va funcționa ca o rețea interinstituțională, găzduită de o universitate sau un consorțiu academic, și va facilita dialogul dintre instituții publice, mediul academic, organizații ale societății civile și decidenți, schimbul de date și bune practici, precum și dezvoltarea de metodologii și instrumente analitice comune. Aceasta va sprijini funcționarea Registrului Național al Riscurilor și activitatea grupurilor sectoriale din cadrul Platformei Naționale de Răspuns la Criză.</w:t>
      </w:r>
    </w:p>
    <w:p w14:paraId="13121263" w14:textId="09CC0972" w:rsidR="00D61B3A" w:rsidRPr="008F1616" w:rsidRDefault="008B31AB" w:rsidP="00765389">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Cercetarea orientată spre politici publice va fi încurajată prin elaborarea</w:t>
      </w:r>
      <w:r w:rsidR="008B48BC" w:rsidRPr="008F1616">
        <w:rPr>
          <w:rFonts w:ascii="Times New Roman" w:hAnsi="Times New Roman" w:cs="Times New Roman"/>
          <w:color w:val="000000" w:themeColor="text1"/>
          <w:sz w:val="24"/>
          <w:szCs w:val="24"/>
        </w:rPr>
        <w:t xml:space="preserve"> de scenarii climatice și de impact adaptate Moldovei, hărți de risc bazate pe modele științifice, analize cost-beneficiu ale măsurilor preventive și ale soluțiilor bazate pe natură</w:t>
      </w:r>
      <w:r w:rsidR="00B04E82" w:rsidRPr="008F1616">
        <w:rPr>
          <w:rFonts w:ascii="Times New Roman" w:hAnsi="Times New Roman" w:cs="Times New Roman"/>
          <w:color w:val="000000" w:themeColor="text1"/>
          <w:sz w:val="24"/>
          <w:szCs w:val="24"/>
        </w:rPr>
        <w:t>, nexus migrație-mediu-schimbări climatice</w:t>
      </w:r>
      <w:r w:rsidR="008B48BC" w:rsidRPr="008F1616">
        <w:rPr>
          <w:rFonts w:ascii="Times New Roman" w:hAnsi="Times New Roman" w:cs="Times New Roman"/>
          <w:color w:val="000000" w:themeColor="text1"/>
          <w:sz w:val="24"/>
          <w:szCs w:val="24"/>
        </w:rPr>
        <w:t>.</w:t>
      </w:r>
      <w:r w:rsidR="00B12DCD" w:rsidRPr="008F1616">
        <w:rPr>
          <w:rFonts w:ascii="Times New Roman" w:hAnsi="Times New Roman" w:cs="Times New Roman"/>
          <w:color w:val="000000" w:themeColor="text1"/>
          <w:sz w:val="24"/>
          <w:szCs w:val="24"/>
        </w:rPr>
        <w:t xml:space="preserve"> </w:t>
      </w:r>
      <w:r w:rsidR="008B48BC" w:rsidRPr="008F1616">
        <w:rPr>
          <w:rFonts w:ascii="Times New Roman" w:hAnsi="Times New Roman" w:cs="Times New Roman"/>
          <w:color w:val="000000" w:themeColor="text1"/>
          <w:sz w:val="24"/>
          <w:szCs w:val="24"/>
        </w:rPr>
        <w:t xml:space="preserve">Se va pune accent pe </w:t>
      </w:r>
      <w:r w:rsidR="00721BD5" w:rsidRPr="008F1616">
        <w:rPr>
          <w:rFonts w:ascii="Times New Roman" w:hAnsi="Times New Roman" w:cs="Times New Roman"/>
          <w:color w:val="000000" w:themeColor="text1"/>
          <w:sz w:val="24"/>
          <w:szCs w:val="24"/>
        </w:rPr>
        <w:t xml:space="preserve">integrarea </w:t>
      </w:r>
      <w:r w:rsidR="008B48BC" w:rsidRPr="008F1616">
        <w:rPr>
          <w:rFonts w:ascii="Times New Roman" w:hAnsi="Times New Roman" w:cs="Times New Roman"/>
          <w:color w:val="000000" w:themeColor="text1"/>
          <w:sz w:val="24"/>
          <w:szCs w:val="24"/>
        </w:rPr>
        <w:t>rezultatelor în politici și standarde tehnice, în colaborare cu instituțiile publice relevante.</w:t>
      </w:r>
      <w:r w:rsidR="00735167" w:rsidRPr="008F1616">
        <w:rPr>
          <w:rFonts w:ascii="Times New Roman" w:hAnsi="Times New Roman" w:cs="Times New Roman"/>
          <w:color w:val="000000" w:themeColor="text1"/>
          <w:sz w:val="24"/>
          <w:szCs w:val="24"/>
        </w:rPr>
        <w:t xml:space="preserve"> </w:t>
      </w:r>
      <w:r w:rsidR="007F051B" w:rsidRPr="008F1616">
        <w:rPr>
          <w:rFonts w:ascii="Times New Roman" w:hAnsi="Times New Roman" w:cs="Times New Roman"/>
          <w:color w:val="000000" w:themeColor="text1"/>
          <w:sz w:val="24"/>
          <w:szCs w:val="24"/>
        </w:rPr>
        <w:t xml:space="preserve">Se va </w:t>
      </w:r>
      <w:r w:rsidR="00721BD5" w:rsidRPr="008F1616">
        <w:rPr>
          <w:rFonts w:ascii="Times New Roman" w:hAnsi="Times New Roman" w:cs="Times New Roman"/>
          <w:color w:val="000000" w:themeColor="text1"/>
          <w:sz w:val="24"/>
          <w:szCs w:val="24"/>
        </w:rPr>
        <w:t xml:space="preserve">promova </w:t>
      </w:r>
      <w:r w:rsidR="007F051B" w:rsidRPr="008F1616">
        <w:rPr>
          <w:rFonts w:ascii="Times New Roman" w:hAnsi="Times New Roman" w:cs="Times New Roman"/>
          <w:color w:val="000000" w:themeColor="text1"/>
          <w:sz w:val="24"/>
          <w:szCs w:val="24"/>
        </w:rPr>
        <w:t xml:space="preserve">dezvoltarea de metodologii pentru cuantificarea pagubelor sociale și estimarea impactului asupra grupurilor vulnerabile, cu aplicabilitate directă în estimările naționale privind pierderile cauzate de dezastre. </w:t>
      </w:r>
    </w:p>
    <w:p w14:paraId="1FB289A3" w14:textId="77777777" w:rsidR="008F1616" w:rsidRPr="009067DC" w:rsidRDefault="008F1616" w:rsidP="009067DC">
      <w:pPr>
        <w:pStyle w:val="Heading2"/>
        <w:jc w:val="both"/>
        <w:rPr>
          <w:rFonts w:ascii="Times New Roman" w:hAnsi="Times New Roman" w:cs="Times New Roman"/>
          <w:color w:val="auto"/>
          <w:sz w:val="24"/>
          <w:szCs w:val="24"/>
        </w:rPr>
      </w:pPr>
      <w:r w:rsidRPr="009067DC">
        <w:rPr>
          <w:rFonts w:ascii="Times New Roman" w:hAnsi="Times New Roman" w:cs="Times New Roman"/>
          <w:color w:val="auto"/>
          <w:sz w:val="24"/>
          <w:szCs w:val="24"/>
        </w:rPr>
        <w:lastRenderedPageBreak/>
        <w:t>Obiectivul general 2: Consolidarea, până în 2030 a capacității de coordonare, cooperare și intervenție a autorităților publice centrale și locale pentru o gestionare integrată a riscurilor naturale si biologico-sociale inclusiv prin digitalizare și consolidarea parteneriatelor interinstituționale</w:t>
      </w:r>
    </w:p>
    <w:p w14:paraId="31315EA9" w14:textId="35B2E3B8" w:rsidR="008F1616" w:rsidRPr="008F1616" w:rsidRDefault="008F1616" w:rsidP="008F1616">
      <w:pPr>
        <w:spacing w:after="120"/>
        <w:jc w:val="both"/>
        <w:rPr>
          <w:b/>
          <w:bCs/>
          <w:color w:val="000000" w:themeColor="text1"/>
        </w:rPr>
      </w:pPr>
      <w:r w:rsidRPr="008F1616">
        <w:rPr>
          <w:i/>
          <w:iCs/>
          <w:u w:val="single"/>
        </w:rPr>
        <w:t>Contribuie la: ODD 1 -Ținta 1.5, ODD 3 -Ținta 3.d, ODD 9 - Ținta 9.1, ODD 11 - Ținta 11.5, ODD 13 - Ținta 13.1</w:t>
      </w:r>
    </w:p>
    <w:p w14:paraId="74EE8B0C" w14:textId="4D9870BF" w:rsidR="00F36726" w:rsidRPr="008F1616" w:rsidRDefault="00F36726" w:rsidP="00F36726">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 xml:space="preserve">Obiectivul general 2 urmărește trecerea de la o abordare fragmentată </w:t>
      </w:r>
      <w:r w:rsidR="00751AC2" w:rsidRPr="008F1616">
        <w:rPr>
          <w:rFonts w:ascii="Times New Roman" w:hAnsi="Times New Roman" w:cs="Times New Roman"/>
          <w:color w:val="000000" w:themeColor="text1"/>
          <w:sz w:val="24"/>
          <w:szCs w:val="24"/>
        </w:rPr>
        <w:t xml:space="preserve">a politicilor si a guvernantei </w:t>
      </w:r>
      <w:r w:rsidRPr="008F1616">
        <w:rPr>
          <w:rFonts w:ascii="Times New Roman" w:hAnsi="Times New Roman" w:cs="Times New Roman"/>
          <w:color w:val="000000" w:themeColor="text1"/>
          <w:sz w:val="24"/>
          <w:szCs w:val="24"/>
        </w:rPr>
        <w:t>la una coerentă și integrată a reducerii riscurilor de dezastre, în care autoritățile centrale și locale colaborează pe baza unor roluri clar definite, a unor proceduri comune și a unor mecanisme stabile de coordonare. Obiectivul se axează pe trei direcții complementare de acțiune.</w:t>
      </w:r>
    </w:p>
    <w:p w14:paraId="42C0248B" w14:textId="3576CAEC" w:rsidR="00F36726" w:rsidRPr="008F1616" w:rsidRDefault="00F36726" w:rsidP="00F36726">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Prima direcție vizează alinierea cadrului legislativ și instituțional din sectorul de mediu și domeniile conexe la principiile reducerii riscurilor de dezastre naturale si biologico-sociale și ale adaptării la schimbările climatice, inclusiv integrarea dimensiunii mobilității umane și a conexiunilor migrație–mediu</w:t>
      </w:r>
      <w:r w:rsidR="00C07FA9" w:rsidRPr="008F1616">
        <w:rPr>
          <w:rFonts w:ascii="Times New Roman" w:hAnsi="Times New Roman" w:cs="Times New Roman"/>
          <w:color w:val="000000" w:themeColor="text1"/>
          <w:sz w:val="24"/>
          <w:szCs w:val="24"/>
        </w:rPr>
        <w:t>-</w:t>
      </w:r>
      <w:r w:rsidRPr="008F1616">
        <w:rPr>
          <w:rFonts w:ascii="Times New Roman" w:hAnsi="Times New Roman" w:cs="Times New Roman"/>
          <w:color w:val="000000" w:themeColor="text1"/>
          <w:sz w:val="24"/>
          <w:szCs w:val="24"/>
        </w:rPr>
        <w:t>climă. Aceast</w:t>
      </w:r>
      <w:r w:rsidR="007E0D52" w:rsidRPr="008F1616">
        <w:rPr>
          <w:rFonts w:ascii="Times New Roman" w:hAnsi="Times New Roman" w:cs="Times New Roman"/>
          <w:color w:val="000000" w:themeColor="text1"/>
          <w:sz w:val="24"/>
          <w:szCs w:val="24"/>
        </w:rPr>
        <w:t>a</w:t>
      </w:r>
      <w:r w:rsidRPr="008F1616">
        <w:rPr>
          <w:rFonts w:ascii="Times New Roman" w:hAnsi="Times New Roman" w:cs="Times New Roman"/>
          <w:color w:val="000000" w:themeColor="text1"/>
          <w:sz w:val="24"/>
          <w:szCs w:val="24"/>
        </w:rPr>
        <w:t xml:space="preserve"> presupune evaluarea și armonizarea actelor normative relevante, consolidarea mandatelor instituționale și integrarea RRD în documentele strategice și instrumentele de planificare la nivel local (inclusiv PASEC)</w:t>
      </w:r>
      <w:r w:rsidR="007E0D52" w:rsidRPr="008F1616">
        <w:rPr>
          <w:rFonts w:ascii="Times New Roman" w:hAnsi="Times New Roman" w:cs="Times New Roman"/>
          <w:color w:val="000000" w:themeColor="text1"/>
          <w:sz w:val="24"/>
          <w:szCs w:val="24"/>
        </w:rPr>
        <w:t xml:space="preserve">. </w:t>
      </w:r>
    </w:p>
    <w:p w14:paraId="141EBFFD" w14:textId="3B484F8B" w:rsidR="00F36726" w:rsidRPr="008F1616" w:rsidRDefault="00F36726" w:rsidP="00F36726">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 xml:space="preserve">A doua direcție urmărește consolidarea coordonării interinstituționale și intersectoriale, prin participarea structurată a sectorului de mediu </w:t>
      </w:r>
      <w:r w:rsidR="00751AC2" w:rsidRPr="008F1616">
        <w:rPr>
          <w:rFonts w:ascii="Times New Roman" w:hAnsi="Times New Roman" w:cs="Times New Roman"/>
          <w:color w:val="000000" w:themeColor="text1"/>
          <w:sz w:val="24"/>
          <w:szCs w:val="24"/>
        </w:rPr>
        <w:t xml:space="preserve">si de </w:t>
      </w:r>
      <w:r w:rsidR="001F5FE9" w:rsidRPr="008F1616">
        <w:rPr>
          <w:rFonts w:ascii="Times New Roman" w:hAnsi="Times New Roman" w:cs="Times New Roman"/>
          <w:color w:val="000000" w:themeColor="text1"/>
          <w:sz w:val="24"/>
          <w:szCs w:val="24"/>
        </w:rPr>
        <w:t>sănătate</w:t>
      </w:r>
      <w:r w:rsidR="007E0D52" w:rsidRPr="008F1616">
        <w:rPr>
          <w:rFonts w:ascii="Times New Roman" w:hAnsi="Times New Roman" w:cs="Times New Roman"/>
          <w:color w:val="000000" w:themeColor="text1"/>
          <w:sz w:val="24"/>
          <w:szCs w:val="24"/>
        </w:rPr>
        <w:t xml:space="preserve"> </w:t>
      </w:r>
      <w:r w:rsidRPr="008F1616">
        <w:rPr>
          <w:rFonts w:ascii="Times New Roman" w:hAnsi="Times New Roman" w:cs="Times New Roman"/>
          <w:color w:val="000000" w:themeColor="text1"/>
          <w:sz w:val="24"/>
          <w:szCs w:val="24"/>
        </w:rPr>
        <w:t>la Platforma Națională de Răspuns la Crize și la grupurile tehnice de lucru, dezvoltarea parteneriatelor cu agențiile ONU, UE</w:t>
      </w:r>
      <w:r w:rsidR="00751AC2" w:rsidRPr="008F1616">
        <w:rPr>
          <w:rFonts w:ascii="Times New Roman" w:hAnsi="Times New Roman" w:cs="Times New Roman"/>
          <w:color w:val="000000" w:themeColor="text1"/>
          <w:sz w:val="24"/>
          <w:szCs w:val="24"/>
        </w:rPr>
        <w:t>,</w:t>
      </w:r>
      <w:r w:rsidR="001F5FE9" w:rsidRPr="008F1616">
        <w:rPr>
          <w:rFonts w:ascii="Times New Roman" w:hAnsi="Times New Roman" w:cs="Times New Roman"/>
          <w:color w:val="000000" w:themeColor="text1"/>
          <w:sz w:val="24"/>
          <w:szCs w:val="24"/>
        </w:rPr>
        <w:t xml:space="preserve"> </w:t>
      </w:r>
      <w:r w:rsidR="00751AC2" w:rsidRPr="008F1616">
        <w:rPr>
          <w:rFonts w:ascii="Times New Roman" w:hAnsi="Times New Roman" w:cs="Times New Roman"/>
          <w:color w:val="000000" w:themeColor="text1"/>
          <w:sz w:val="24"/>
          <w:szCs w:val="24"/>
        </w:rPr>
        <w:t>IFIs</w:t>
      </w:r>
      <w:r w:rsidRPr="008F1616">
        <w:rPr>
          <w:rFonts w:ascii="Times New Roman" w:hAnsi="Times New Roman" w:cs="Times New Roman"/>
          <w:color w:val="000000" w:themeColor="text1"/>
          <w:sz w:val="24"/>
          <w:szCs w:val="24"/>
        </w:rPr>
        <w:t xml:space="preserve"> și alți actori internaționali, precum și utilizarea instrumentelor digitale pentru schimbul de date și decizii bazate pe dovezi. Aceasta asigură coerența dintre politicile de mediu, climă, sănătate, agricultură, dezvoltare regională și protecție civilă.</w:t>
      </w:r>
    </w:p>
    <w:p w14:paraId="26F717E1" w14:textId="0329BCC4" w:rsidR="00B90C31" w:rsidRPr="008F1616" w:rsidRDefault="00F36726" w:rsidP="00F36726">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8F1616">
        <w:rPr>
          <w:rFonts w:ascii="Times New Roman" w:hAnsi="Times New Roman" w:cs="Times New Roman"/>
          <w:color w:val="000000" w:themeColor="text1"/>
          <w:sz w:val="24"/>
          <w:szCs w:val="24"/>
        </w:rPr>
        <w:t>A treia direcție se concentrează pe instituționalizarea reducerii riscurilor de dezastr</w:t>
      </w:r>
      <w:r w:rsidR="007E0D52" w:rsidRPr="008F1616">
        <w:rPr>
          <w:rFonts w:ascii="Times New Roman" w:hAnsi="Times New Roman" w:cs="Times New Roman"/>
          <w:color w:val="000000" w:themeColor="text1"/>
          <w:sz w:val="24"/>
          <w:szCs w:val="24"/>
        </w:rPr>
        <w:t>e</w:t>
      </w:r>
      <w:r w:rsidRPr="008F1616">
        <w:rPr>
          <w:rFonts w:ascii="Times New Roman" w:hAnsi="Times New Roman" w:cs="Times New Roman"/>
          <w:color w:val="000000" w:themeColor="text1"/>
          <w:sz w:val="24"/>
          <w:szCs w:val="24"/>
        </w:rPr>
        <w:t xml:space="preserve"> în structurile publice, prin desemnarea punctelor focale </w:t>
      </w:r>
      <w:r w:rsidR="007E0D52" w:rsidRPr="008F1616">
        <w:rPr>
          <w:rFonts w:ascii="Times New Roman" w:hAnsi="Times New Roman" w:cs="Times New Roman"/>
          <w:color w:val="000000" w:themeColor="text1"/>
          <w:sz w:val="24"/>
          <w:szCs w:val="24"/>
        </w:rPr>
        <w:t>în sânul</w:t>
      </w:r>
      <w:r w:rsidRPr="008F1616">
        <w:rPr>
          <w:rFonts w:ascii="Times New Roman" w:hAnsi="Times New Roman" w:cs="Times New Roman"/>
          <w:color w:val="000000" w:themeColor="text1"/>
          <w:sz w:val="24"/>
          <w:szCs w:val="24"/>
        </w:rPr>
        <w:t xml:space="preserve"> unităților RRD </w:t>
      </w:r>
      <w:r w:rsidR="007E0D52" w:rsidRPr="008F1616">
        <w:rPr>
          <w:rFonts w:ascii="Times New Roman" w:hAnsi="Times New Roman" w:cs="Times New Roman"/>
          <w:color w:val="000000" w:themeColor="text1"/>
          <w:sz w:val="24"/>
          <w:szCs w:val="24"/>
        </w:rPr>
        <w:t>ale</w:t>
      </w:r>
      <w:r w:rsidRPr="008F1616">
        <w:rPr>
          <w:rFonts w:ascii="Times New Roman" w:hAnsi="Times New Roman" w:cs="Times New Roman"/>
          <w:color w:val="000000" w:themeColor="text1"/>
          <w:sz w:val="24"/>
          <w:szCs w:val="24"/>
        </w:rPr>
        <w:t xml:space="preserve"> Ministerul</w:t>
      </w:r>
      <w:r w:rsidR="007E0D52" w:rsidRPr="008F1616">
        <w:rPr>
          <w:rFonts w:ascii="Times New Roman" w:hAnsi="Times New Roman" w:cs="Times New Roman"/>
          <w:color w:val="000000" w:themeColor="text1"/>
          <w:sz w:val="24"/>
          <w:szCs w:val="24"/>
        </w:rPr>
        <w:t>ui</w:t>
      </w:r>
      <w:r w:rsidRPr="008F1616">
        <w:rPr>
          <w:rFonts w:ascii="Times New Roman" w:hAnsi="Times New Roman" w:cs="Times New Roman"/>
          <w:color w:val="000000" w:themeColor="text1"/>
          <w:sz w:val="24"/>
          <w:szCs w:val="24"/>
        </w:rPr>
        <w:t xml:space="preserve"> Mediului și instituțiile subordonate</w:t>
      </w:r>
      <w:r w:rsidR="007E0D52" w:rsidRPr="008F1616">
        <w:rPr>
          <w:rFonts w:ascii="Times New Roman" w:hAnsi="Times New Roman" w:cs="Times New Roman"/>
          <w:color w:val="000000" w:themeColor="text1"/>
          <w:sz w:val="24"/>
          <w:szCs w:val="24"/>
        </w:rPr>
        <w:t xml:space="preserve"> acestuia</w:t>
      </w:r>
      <w:r w:rsidRPr="008F1616">
        <w:rPr>
          <w:rFonts w:ascii="Times New Roman" w:hAnsi="Times New Roman" w:cs="Times New Roman"/>
          <w:color w:val="000000" w:themeColor="text1"/>
          <w:sz w:val="24"/>
          <w:szCs w:val="24"/>
        </w:rPr>
        <w:t xml:space="preserve">, întărirea capacităților tehnice </w:t>
      </w:r>
      <w:r w:rsidR="007E0D52" w:rsidRPr="008F1616">
        <w:rPr>
          <w:rFonts w:ascii="Times New Roman" w:hAnsi="Times New Roman" w:cs="Times New Roman"/>
          <w:color w:val="000000" w:themeColor="text1"/>
          <w:sz w:val="24"/>
          <w:szCs w:val="24"/>
        </w:rPr>
        <w:t xml:space="preserve">de prevenire si </w:t>
      </w:r>
      <w:r w:rsidR="00AE38BD" w:rsidRPr="008F1616">
        <w:rPr>
          <w:rFonts w:ascii="Times New Roman" w:hAnsi="Times New Roman" w:cs="Times New Roman"/>
          <w:color w:val="000000" w:themeColor="text1"/>
          <w:sz w:val="24"/>
          <w:szCs w:val="24"/>
        </w:rPr>
        <w:t>pregătire</w:t>
      </w:r>
      <w:r w:rsidR="007E0D52" w:rsidRPr="008F1616">
        <w:rPr>
          <w:rFonts w:ascii="Times New Roman" w:hAnsi="Times New Roman" w:cs="Times New Roman"/>
          <w:color w:val="000000" w:themeColor="text1"/>
          <w:sz w:val="24"/>
          <w:szCs w:val="24"/>
        </w:rPr>
        <w:t xml:space="preserve"> </w:t>
      </w:r>
      <w:r w:rsidRPr="008F1616">
        <w:rPr>
          <w:rFonts w:ascii="Times New Roman" w:hAnsi="Times New Roman" w:cs="Times New Roman"/>
          <w:color w:val="000000" w:themeColor="text1"/>
          <w:sz w:val="24"/>
          <w:szCs w:val="24"/>
        </w:rPr>
        <w:t>la nivel central și teritorial și implementarea unui plan de dezvoltare a capacităților pentru perioada 202</w:t>
      </w:r>
      <w:r w:rsidR="007E0D52" w:rsidRPr="008F1616">
        <w:rPr>
          <w:rFonts w:ascii="Times New Roman" w:hAnsi="Times New Roman" w:cs="Times New Roman"/>
          <w:color w:val="000000" w:themeColor="text1"/>
          <w:sz w:val="24"/>
          <w:szCs w:val="24"/>
        </w:rPr>
        <w:t>6</w:t>
      </w:r>
      <w:r w:rsidR="00C07FA9" w:rsidRPr="008F1616">
        <w:rPr>
          <w:rFonts w:ascii="Times New Roman" w:hAnsi="Times New Roman" w:cs="Times New Roman"/>
          <w:color w:val="000000" w:themeColor="text1"/>
          <w:sz w:val="24"/>
          <w:szCs w:val="24"/>
        </w:rPr>
        <w:t>-</w:t>
      </w:r>
      <w:r w:rsidRPr="008F1616">
        <w:rPr>
          <w:rFonts w:ascii="Times New Roman" w:hAnsi="Times New Roman" w:cs="Times New Roman"/>
          <w:color w:val="000000" w:themeColor="text1"/>
          <w:sz w:val="24"/>
          <w:szCs w:val="24"/>
        </w:rPr>
        <w:t>2030. Astfel, responsabilitățile devin clare, continue și ancorate în fișe de post, proceduri și resurse.</w:t>
      </w:r>
    </w:p>
    <w:tbl>
      <w:tblPr>
        <w:tblStyle w:val="TableGrid"/>
        <w:tblW w:w="9631" w:type="dxa"/>
        <w:tblLook w:val="04A0" w:firstRow="1" w:lastRow="0" w:firstColumn="1" w:lastColumn="0" w:noHBand="0" w:noVBand="1"/>
      </w:tblPr>
      <w:tblGrid>
        <w:gridCol w:w="2711"/>
        <w:gridCol w:w="2202"/>
        <w:gridCol w:w="2429"/>
        <w:gridCol w:w="2289"/>
      </w:tblGrid>
      <w:tr w:rsidR="00B90C31" w:rsidRPr="00CD2ADD" w14:paraId="61BDB6F8" w14:textId="77777777" w:rsidTr="00A353F7">
        <w:trPr>
          <w:trHeight w:val="486"/>
        </w:trPr>
        <w:tc>
          <w:tcPr>
            <w:tcW w:w="2711" w:type="dxa"/>
            <w:tcBorders>
              <w:bottom w:val="single" w:sz="4" w:space="0" w:color="auto"/>
            </w:tcBorders>
          </w:tcPr>
          <w:p w14:paraId="755EEAD9" w14:textId="053C4BF1" w:rsidR="00B90C31" w:rsidRPr="00CD2ADD" w:rsidRDefault="00B90C31" w:rsidP="00731ADC">
            <w:pPr>
              <w:widowControl w:val="0"/>
              <w:autoSpaceDE w:val="0"/>
              <w:autoSpaceDN w:val="0"/>
              <w:spacing w:after="120"/>
              <w:ind w:right="459"/>
              <w:rPr>
                <w:b/>
                <w:bCs/>
                <w:color w:val="000000" w:themeColor="text1"/>
                <w:sz w:val="22"/>
                <w:szCs w:val="22"/>
              </w:rPr>
            </w:pPr>
            <w:r w:rsidRPr="00CD2ADD">
              <w:rPr>
                <w:b/>
                <w:bCs/>
                <w:color w:val="000000"/>
                <w:sz w:val="22"/>
                <w:szCs w:val="22"/>
              </w:rPr>
              <w:t>Indicator de impact</w:t>
            </w:r>
            <w:r w:rsidRPr="00CD2ADD">
              <w:rPr>
                <w:rStyle w:val="apple-converted-space"/>
                <w:rFonts w:eastAsiaTheme="majorEastAsia"/>
                <w:b/>
                <w:bCs/>
                <w:color w:val="000000"/>
                <w:sz w:val="22"/>
                <w:szCs w:val="22"/>
              </w:rPr>
              <w:t> </w:t>
            </w:r>
          </w:p>
        </w:tc>
        <w:tc>
          <w:tcPr>
            <w:tcW w:w="2202" w:type="dxa"/>
            <w:tcBorders>
              <w:bottom w:val="single" w:sz="4" w:space="0" w:color="auto"/>
            </w:tcBorders>
          </w:tcPr>
          <w:p w14:paraId="29A3E3C5" w14:textId="4CCE0D83" w:rsidR="00B90C31" w:rsidRPr="00CD2ADD" w:rsidRDefault="00B90C31" w:rsidP="00731ADC">
            <w:pPr>
              <w:widowControl w:val="0"/>
              <w:autoSpaceDE w:val="0"/>
              <w:autoSpaceDN w:val="0"/>
              <w:spacing w:after="120"/>
              <w:ind w:right="459"/>
              <w:rPr>
                <w:b/>
                <w:bCs/>
                <w:color w:val="000000" w:themeColor="text1"/>
                <w:sz w:val="22"/>
                <w:szCs w:val="22"/>
              </w:rPr>
            </w:pPr>
            <w:r w:rsidRPr="00CD2ADD">
              <w:rPr>
                <w:b/>
                <w:bCs/>
                <w:color w:val="000000" w:themeColor="text1"/>
                <w:sz w:val="22"/>
                <w:szCs w:val="22"/>
              </w:rPr>
              <w:t>Furnizor de date</w:t>
            </w:r>
          </w:p>
        </w:tc>
        <w:tc>
          <w:tcPr>
            <w:tcW w:w="2429" w:type="dxa"/>
            <w:tcBorders>
              <w:bottom w:val="single" w:sz="4" w:space="0" w:color="auto"/>
            </w:tcBorders>
          </w:tcPr>
          <w:p w14:paraId="5AAC6F5B" w14:textId="34AFCA18" w:rsidR="00B90C31" w:rsidRPr="00CD2ADD" w:rsidRDefault="00B90C31" w:rsidP="00731ADC">
            <w:pPr>
              <w:widowControl w:val="0"/>
              <w:autoSpaceDE w:val="0"/>
              <w:autoSpaceDN w:val="0"/>
              <w:spacing w:after="120"/>
              <w:ind w:right="459"/>
              <w:rPr>
                <w:b/>
                <w:bCs/>
                <w:color w:val="000000" w:themeColor="text1"/>
                <w:sz w:val="22"/>
                <w:szCs w:val="22"/>
              </w:rPr>
            </w:pPr>
            <w:r w:rsidRPr="00CD2ADD">
              <w:rPr>
                <w:b/>
                <w:bCs/>
                <w:color w:val="000000" w:themeColor="text1"/>
                <w:sz w:val="22"/>
                <w:szCs w:val="22"/>
              </w:rPr>
              <w:t>Valoare de referință 2025</w:t>
            </w:r>
          </w:p>
        </w:tc>
        <w:tc>
          <w:tcPr>
            <w:tcW w:w="2289" w:type="dxa"/>
            <w:tcBorders>
              <w:bottom w:val="single" w:sz="4" w:space="0" w:color="auto"/>
            </w:tcBorders>
          </w:tcPr>
          <w:p w14:paraId="2438E57B" w14:textId="19829E1E" w:rsidR="00B90C31" w:rsidRPr="00CD2ADD" w:rsidRDefault="00B90C31" w:rsidP="00731ADC">
            <w:pPr>
              <w:widowControl w:val="0"/>
              <w:autoSpaceDE w:val="0"/>
              <w:autoSpaceDN w:val="0"/>
              <w:spacing w:after="120"/>
              <w:ind w:right="459"/>
              <w:rPr>
                <w:b/>
                <w:bCs/>
                <w:color w:val="000000" w:themeColor="text1"/>
                <w:sz w:val="22"/>
                <w:szCs w:val="22"/>
              </w:rPr>
            </w:pPr>
            <w:r w:rsidRPr="00CD2ADD">
              <w:rPr>
                <w:b/>
                <w:bCs/>
                <w:color w:val="000000" w:themeColor="text1"/>
                <w:sz w:val="22"/>
                <w:szCs w:val="22"/>
              </w:rPr>
              <w:t>Ținta finală 2030</w:t>
            </w:r>
          </w:p>
        </w:tc>
      </w:tr>
      <w:tr w:rsidR="00B90C31" w:rsidRPr="00CD2ADD" w14:paraId="1563D622" w14:textId="77777777" w:rsidTr="00A353F7">
        <w:trPr>
          <w:trHeight w:val="1266"/>
        </w:trPr>
        <w:tc>
          <w:tcPr>
            <w:tcW w:w="2711" w:type="dxa"/>
            <w:tcBorders>
              <w:top w:val="single" w:sz="4" w:space="0" w:color="auto"/>
              <w:left w:val="single" w:sz="4" w:space="0" w:color="auto"/>
              <w:bottom w:val="single" w:sz="4" w:space="0" w:color="auto"/>
              <w:right w:val="single" w:sz="4" w:space="0" w:color="auto"/>
            </w:tcBorders>
          </w:tcPr>
          <w:p w14:paraId="0B6C83BA" w14:textId="1B4826B1" w:rsidR="00B90C31" w:rsidRPr="00CD2ADD" w:rsidRDefault="00B90C31" w:rsidP="00731ADC">
            <w:pPr>
              <w:widowControl w:val="0"/>
              <w:autoSpaceDE w:val="0"/>
              <w:autoSpaceDN w:val="0"/>
              <w:spacing w:after="120"/>
              <w:ind w:right="459"/>
              <w:rPr>
                <w:b/>
                <w:bCs/>
                <w:sz w:val="22"/>
                <w:szCs w:val="22"/>
              </w:rPr>
            </w:pPr>
            <w:r w:rsidRPr="00CD2ADD">
              <w:rPr>
                <w:b/>
                <w:bCs/>
                <w:sz w:val="22"/>
                <w:szCs w:val="22"/>
              </w:rPr>
              <w:t>Proporția instituțiilor centrale și locale din sectorul de mediu care utilizează mecanisme funcționale de coordonare RRD (platforme, proceduri, fluxuri de date și puncte focale operaționale)</w:t>
            </w:r>
          </w:p>
        </w:tc>
        <w:tc>
          <w:tcPr>
            <w:tcW w:w="2202" w:type="dxa"/>
            <w:tcBorders>
              <w:top w:val="single" w:sz="4" w:space="0" w:color="auto"/>
              <w:left w:val="single" w:sz="4" w:space="0" w:color="auto"/>
              <w:bottom w:val="single" w:sz="4" w:space="0" w:color="auto"/>
              <w:right w:val="single" w:sz="4" w:space="0" w:color="auto"/>
            </w:tcBorders>
          </w:tcPr>
          <w:p w14:paraId="4CFC9233" w14:textId="284034AC" w:rsidR="00B90C31" w:rsidRPr="00CD2ADD" w:rsidRDefault="00B90C31" w:rsidP="00731ADC">
            <w:pPr>
              <w:widowControl w:val="0"/>
              <w:autoSpaceDE w:val="0"/>
              <w:autoSpaceDN w:val="0"/>
              <w:spacing w:after="120"/>
              <w:ind w:right="459"/>
              <w:rPr>
                <w:sz w:val="22"/>
                <w:szCs w:val="22"/>
              </w:rPr>
            </w:pPr>
            <w:r w:rsidRPr="00CD2ADD">
              <w:rPr>
                <w:color w:val="000000" w:themeColor="text1"/>
                <w:sz w:val="22"/>
                <w:szCs w:val="22"/>
              </w:rPr>
              <w:t xml:space="preserve">Ministerul Mediului, </w:t>
            </w:r>
            <w:r w:rsidR="00ED3CD5" w:rsidRPr="00CD2ADD">
              <w:rPr>
                <w:color w:val="000000" w:themeColor="text1"/>
                <w:sz w:val="22"/>
                <w:szCs w:val="22"/>
              </w:rPr>
              <w:t xml:space="preserve">Ministerul Sănătății, </w:t>
            </w:r>
            <w:r w:rsidRPr="00CD2ADD">
              <w:rPr>
                <w:color w:val="000000" w:themeColor="text1"/>
                <w:sz w:val="22"/>
                <w:szCs w:val="22"/>
              </w:rPr>
              <w:t>MAIA, Cancelaria de Stat</w:t>
            </w:r>
          </w:p>
        </w:tc>
        <w:tc>
          <w:tcPr>
            <w:tcW w:w="2429" w:type="dxa"/>
            <w:tcBorders>
              <w:top w:val="single" w:sz="4" w:space="0" w:color="auto"/>
              <w:left w:val="single" w:sz="4" w:space="0" w:color="auto"/>
              <w:bottom w:val="single" w:sz="4" w:space="0" w:color="auto"/>
              <w:right w:val="single" w:sz="4" w:space="0" w:color="auto"/>
            </w:tcBorders>
          </w:tcPr>
          <w:p w14:paraId="030DDDBF" w14:textId="7745C924" w:rsidR="00B90C31" w:rsidRPr="00CD2ADD" w:rsidRDefault="00B90C31" w:rsidP="00731ADC">
            <w:pPr>
              <w:widowControl w:val="0"/>
              <w:autoSpaceDE w:val="0"/>
              <w:autoSpaceDN w:val="0"/>
              <w:spacing w:after="120"/>
              <w:ind w:right="459"/>
              <w:rPr>
                <w:color w:val="000000" w:themeColor="text1"/>
                <w:sz w:val="22"/>
                <w:szCs w:val="22"/>
              </w:rPr>
            </w:pPr>
            <w:r w:rsidRPr="00CD2ADD">
              <w:rPr>
                <w:sz w:val="22"/>
                <w:szCs w:val="22"/>
              </w:rPr>
              <w:t>Mecanisme de coordonare utilizate parțial; puncte focale neuniform desemnate</w:t>
            </w:r>
          </w:p>
        </w:tc>
        <w:tc>
          <w:tcPr>
            <w:tcW w:w="2289" w:type="dxa"/>
            <w:tcBorders>
              <w:top w:val="single" w:sz="4" w:space="0" w:color="auto"/>
              <w:left w:val="single" w:sz="4" w:space="0" w:color="auto"/>
              <w:bottom w:val="single" w:sz="4" w:space="0" w:color="auto"/>
              <w:right w:val="single" w:sz="4" w:space="0" w:color="auto"/>
            </w:tcBorders>
          </w:tcPr>
          <w:p w14:paraId="460099FD" w14:textId="09725912" w:rsidR="00B90C31" w:rsidRPr="00CD2ADD" w:rsidRDefault="00B90C31" w:rsidP="00731ADC">
            <w:pPr>
              <w:widowControl w:val="0"/>
              <w:autoSpaceDE w:val="0"/>
              <w:autoSpaceDN w:val="0"/>
              <w:spacing w:after="120"/>
              <w:ind w:right="459"/>
              <w:rPr>
                <w:color w:val="000000" w:themeColor="text1"/>
                <w:sz w:val="22"/>
                <w:szCs w:val="22"/>
              </w:rPr>
            </w:pPr>
            <w:r w:rsidRPr="00CD2ADD">
              <w:rPr>
                <w:color w:val="000000" w:themeColor="text1"/>
                <w:sz w:val="22"/>
                <w:szCs w:val="22"/>
              </w:rPr>
              <w:t>≥ 75% instituții cu mecanisme funcționale și raporta</w:t>
            </w:r>
            <w:r w:rsidR="00ED3CD5" w:rsidRPr="00CD2ADD">
              <w:rPr>
                <w:color w:val="000000" w:themeColor="text1"/>
                <w:sz w:val="22"/>
                <w:szCs w:val="22"/>
              </w:rPr>
              <w:t>re</w:t>
            </w:r>
            <w:r w:rsidRPr="00CD2ADD">
              <w:rPr>
                <w:color w:val="000000" w:themeColor="text1"/>
                <w:sz w:val="22"/>
                <w:szCs w:val="22"/>
              </w:rPr>
              <w:t xml:space="preserve"> anual</w:t>
            </w:r>
            <w:r w:rsidR="00ED3CD5" w:rsidRPr="00CD2ADD">
              <w:rPr>
                <w:color w:val="000000" w:themeColor="text1"/>
                <w:sz w:val="22"/>
                <w:szCs w:val="22"/>
              </w:rPr>
              <w:t>a</w:t>
            </w:r>
          </w:p>
        </w:tc>
      </w:tr>
    </w:tbl>
    <w:p w14:paraId="21073761" w14:textId="77777777" w:rsidR="00A353F7" w:rsidRPr="00CD2ADD" w:rsidRDefault="00A353F7" w:rsidP="00AF2DC4">
      <w:pPr>
        <w:spacing w:after="120"/>
        <w:jc w:val="both"/>
        <w:rPr>
          <w:b/>
          <w:bCs/>
          <w:color w:val="000000" w:themeColor="text1"/>
          <w:sz w:val="22"/>
        </w:rPr>
      </w:pPr>
    </w:p>
    <w:p w14:paraId="1F5BEBD1" w14:textId="345AF6DC" w:rsidR="00DC1B37" w:rsidRPr="009067DC" w:rsidRDefault="00C939AE" w:rsidP="009067DC">
      <w:pPr>
        <w:pStyle w:val="Heading3"/>
        <w:jc w:val="both"/>
        <w:rPr>
          <w:rFonts w:ascii="Times New Roman" w:hAnsi="Times New Roman" w:cs="Times New Roman"/>
          <w:b/>
          <w:bCs w:val="0"/>
          <w:color w:val="auto"/>
          <w:szCs w:val="24"/>
        </w:rPr>
      </w:pPr>
      <w:r w:rsidRPr="009067DC">
        <w:rPr>
          <w:rFonts w:ascii="Times New Roman" w:hAnsi="Times New Roman" w:cs="Times New Roman"/>
          <w:b/>
          <w:bCs w:val="0"/>
          <w:color w:val="auto"/>
          <w:szCs w:val="24"/>
        </w:rPr>
        <w:t xml:space="preserve">Obiectiv specific 2.1: </w:t>
      </w:r>
      <w:r w:rsidR="00D36547" w:rsidRPr="009067DC">
        <w:rPr>
          <w:rFonts w:ascii="Times New Roman" w:hAnsi="Times New Roman" w:cs="Times New Roman"/>
          <w:b/>
          <w:bCs w:val="0"/>
          <w:color w:val="auto"/>
          <w:szCs w:val="24"/>
        </w:rPr>
        <w:t>Până în 2030, cadrul legislativ din sectorul de mediu este armonizat și aliniat principiilor reducerii riscurilor de dezastre naturale</w:t>
      </w:r>
      <w:r w:rsidR="007E0D52" w:rsidRPr="009067DC">
        <w:rPr>
          <w:rFonts w:ascii="Times New Roman" w:hAnsi="Times New Roman" w:cs="Times New Roman"/>
          <w:b/>
          <w:bCs w:val="0"/>
          <w:color w:val="auto"/>
          <w:szCs w:val="24"/>
        </w:rPr>
        <w:t xml:space="preserve"> </w:t>
      </w:r>
      <w:r w:rsidR="00D36547" w:rsidRPr="009067DC">
        <w:rPr>
          <w:rFonts w:ascii="Times New Roman" w:hAnsi="Times New Roman" w:cs="Times New Roman"/>
          <w:b/>
          <w:bCs w:val="0"/>
          <w:color w:val="auto"/>
          <w:szCs w:val="24"/>
        </w:rPr>
        <w:t>și biologico-sociale, integrând dimensiunea mobilității umane și conexiunile migrație–mediu–climă</w:t>
      </w:r>
      <w:r w:rsidR="005958C8" w:rsidRPr="009067DC">
        <w:rPr>
          <w:rFonts w:ascii="Times New Roman" w:hAnsi="Times New Roman" w:cs="Times New Roman"/>
          <w:b/>
          <w:bCs w:val="0"/>
          <w:color w:val="auto"/>
          <w:szCs w:val="24"/>
        </w:rPr>
        <w:t xml:space="preserve">.  </w:t>
      </w:r>
    </w:p>
    <w:p w14:paraId="6F16E1C7" w14:textId="2F8BE494" w:rsidR="00AE38BD" w:rsidRPr="00CA63C8" w:rsidRDefault="00C939AE" w:rsidP="00CA63C8">
      <w:pPr>
        <w:pStyle w:val="ListParagraph"/>
        <w:numPr>
          <w:ilvl w:val="0"/>
          <w:numId w:val="53"/>
        </w:numPr>
        <w:spacing w:after="120"/>
        <w:ind w:left="0" w:firstLine="284"/>
        <w:jc w:val="both"/>
        <w:rPr>
          <w:rFonts w:ascii="Times New Roman" w:hAnsi="Times New Roman" w:cs="Times New Roman"/>
          <w:b/>
          <w:bCs/>
          <w:color w:val="000000" w:themeColor="text1"/>
          <w:sz w:val="24"/>
          <w:szCs w:val="24"/>
        </w:rPr>
      </w:pPr>
      <w:r w:rsidRPr="00CA63C8">
        <w:rPr>
          <w:rFonts w:ascii="Times New Roman" w:hAnsi="Times New Roman" w:cs="Times New Roman"/>
          <w:color w:val="000000" w:themeColor="text1"/>
          <w:sz w:val="24"/>
          <w:szCs w:val="24"/>
        </w:rPr>
        <w:t>Reducerea eficientă a riscurilor de dezastre naturale necesită un cadru juridic coerent, actualizat</w:t>
      </w:r>
      <w:r w:rsidR="000C2016" w:rsidRPr="00CA63C8">
        <w:rPr>
          <w:rFonts w:ascii="Times New Roman" w:hAnsi="Times New Roman" w:cs="Times New Roman"/>
          <w:color w:val="000000" w:themeColor="text1"/>
          <w:sz w:val="24"/>
          <w:szCs w:val="24"/>
        </w:rPr>
        <w:t xml:space="preserve">, și bine corelat între sectoare </w:t>
      </w:r>
      <w:r w:rsidRPr="00CA63C8">
        <w:rPr>
          <w:rFonts w:ascii="Times New Roman" w:hAnsi="Times New Roman" w:cs="Times New Roman"/>
          <w:color w:val="000000" w:themeColor="text1"/>
          <w:sz w:val="24"/>
          <w:szCs w:val="24"/>
        </w:rPr>
        <w:t xml:space="preserve">și aliniat cu bunele practici internaționale. </w:t>
      </w:r>
      <w:r w:rsidR="00961795" w:rsidRPr="00CA63C8">
        <w:rPr>
          <w:rFonts w:ascii="Times New Roman" w:hAnsi="Times New Roman" w:cs="Times New Roman"/>
          <w:color w:val="000000" w:themeColor="text1"/>
          <w:sz w:val="24"/>
          <w:szCs w:val="24"/>
        </w:rPr>
        <w:t>D</w:t>
      </w:r>
      <w:r w:rsidRPr="00CA63C8">
        <w:rPr>
          <w:rFonts w:ascii="Times New Roman" w:hAnsi="Times New Roman" w:cs="Times New Roman"/>
          <w:color w:val="000000" w:themeColor="text1"/>
          <w:sz w:val="24"/>
          <w:szCs w:val="24"/>
        </w:rPr>
        <w:t>eși Republica Moldova dispune de un c</w:t>
      </w:r>
      <w:r w:rsidR="00961795" w:rsidRPr="00CA63C8">
        <w:rPr>
          <w:rFonts w:ascii="Times New Roman" w:hAnsi="Times New Roman" w:cs="Times New Roman"/>
          <w:color w:val="000000" w:themeColor="text1"/>
          <w:sz w:val="24"/>
          <w:szCs w:val="24"/>
        </w:rPr>
        <w:t>adru</w:t>
      </w:r>
      <w:r w:rsidRPr="00CA63C8">
        <w:rPr>
          <w:rFonts w:ascii="Times New Roman" w:hAnsi="Times New Roman" w:cs="Times New Roman"/>
          <w:color w:val="000000" w:themeColor="text1"/>
          <w:sz w:val="24"/>
          <w:szCs w:val="24"/>
        </w:rPr>
        <w:t xml:space="preserve"> legislativ vast în domenii </w:t>
      </w:r>
      <w:r w:rsidR="00751AC2" w:rsidRPr="00CA63C8">
        <w:rPr>
          <w:rFonts w:ascii="Times New Roman" w:hAnsi="Times New Roman" w:cs="Times New Roman"/>
          <w:color w:val="000000" w:themeColor="text1"/>
          <w:sz w:val="24"/>
          <w:szCs w:val="24"/>
        </w:rPr>
        <w:t xml:space="preserve">sectoriale precum </w:t>
      </w:r>
      <w:r w:rsidRPr="00CA63C8">
        <w:rPr>
          <w:rFonts w:ascii="Times New Roman" w:hAnsi="Times New Roman" w:cs="Times New Roman"/>
          <w:color w:val="000000" w:themeColor="text1"/>
          <w:sz w:val="24"/>
          <w:szCs w:val="24"/>
        </w:rPr>
        <w:t xml:space="preserve">protecția civilă, sănătatea publică, protecția mediului, aceste acte sunt adesea fragmentate, uneori </w:t>
      </w:r>
      <w:r w:rsidR="00D7134A" w:rsidRPr="00CA63C8">
        <w:rPr>
          <w:rFonts w:ascii="Times New Roman" w:hAnsi="Times New Roman" w:cs="Times New Roman"/>
          <w:color w:val="000000" w:themeColor="text1"/>
          <w:sz w:val="24"/>
          <w:szCs w:val="24"/>
        </w:rPr>
        <w:t>neactualizate</w:t>
      </w:r>
      <w:r w:rsidRPr="00CA63C8">
        <w:rPr>
          <w:rFonts w:ascii="Times New Roman" w:hAnsi="Times New Roman" w:cs="Times New Roman"/>
          <w:color w:val="000000" w:themeColor="text1"/>
          <w:sz w:val="24"/>
          <w:szCs w:val="24"/>
        </w:rPr>
        <w:t xml:space="preserve"> și insuficient </w:t>
      </w:r>
      <w:r w:rsidRPr="00CA63C8">
        <w:rPr>
          <w:rFonts w:ascii="Times New Roman" w:hAnsi="Times New Roman" w:cs="Times New Roman"/>
          <w:color w:val="000000" w:themeColor="text1"/>
          <w:sz w:val="24"/>
          <w:szCs w:val="24"/>
        </w:rPr>
        <w:lastRenderedPageBreak/>
        <w:t xml:space="preserve">corelate cu principiile </w:t>
      </w:r>
      <w:r w:rsidR="00961795" w:rsidRPr="00CA63C8">
        <w:rPr>
          <w:rFonts w:ascii="Times New Roman" w:hAnsi="Times New Roman" w:cs="Times New Roman"/>
          <w:color w:val="000000" w:themeColor="text1"/>
          <w:sz w:val="24"/>
          <w:szCs w:val="24"/>
        </w:rPr>
        <w:t>actuale</w:t>
      </w:r>
      <w:r w:rsidRPr="00CA63C8">
        <w:rPr>
          <w:rFonts w:ascii="Times New Roman" w:hAnsi="Times New Roman" w:cs="Times New Roman"/>
          <w:color w:val="000000" w:themeColor="text1"/>
          <w:sz w:val="24"/>
          <w:szCs w:val="24"/>
        </w:rPr>
        <w:t xml:space="preserve"> de prevenire,</w:t>
      </w:r>
      <w:r w:rsidR="00A5251A" w:rsidRPr="00CA63C8">
        <w:rPr>
          <w:rFonts w:ascii="Times New Roman" w:hAnsi="Times New Roman" w:cs="Times New Roman"/>
          <w:color w:val="000000" w:themeColor="text1"/>
          <w:sz w:val="24"/>
          <w:szCs w:val="24"/>
        </w:rPr>
        <w:t xml:space="preserve"> pregătire, răspuns,</w:t>
      </w:r>
      <w:r w:rsidRPr="00CA63C8">
        <w:rPr>
          <w:rFonts w:ascii="Times New Roman" w:hAnsi="Times New Roman" w:cs="Times New Roman"/>
          <w:color w:val="000000" w:themeColor="text1"/>
          <w:sz w:val="24"/>
          <w:szCs w:val="24"/>
        </w:rPr>
        <w:t xml:space="preserve"> adaptare și reziliență</w:t>
      </w:r>
      <w:r w:rsidR="00D7134A" w:rsidRPr="00CA63C8">
        <w:rPr>
          <w:rFonts w:ascii="Times New Roman" w:hAnsi="Times New Roman" w:cs="Times New Roman"/>
          <w:color w:val="000000" w:themeColor="text1"/>
          <w:sz w:val="24"/>
          <w:szCs w:val="24"/>
        </w:rPr>
        <w:t>. De asemenea, acestea</w:t>
      </w:r>
      <w:r w:rsidR="004F2AE4" w:rsidRPr="00CA63C8">
        <w:rPr>
          <w:rFonts w:ascii="Times New Roman" w:hAnsi="Times New Roman" w:cs="Times New Roman"/>
          <w:color w:val="000000" w:themeColor="text1"/>
          <w:sz w:val="24"/>
          <w:szCs w:val="24"/>
        </w:rPr>
        <w:t xml:space="preserve"> nu integrează într-un mod clar dimensiunea mobilității umane si conexiunile dintre migrație, mediu si schimbări climatice</w:t>
      </w:r>
      <w:r w:rsidRPr="00CA63C8">
        <w:rPr>
          <w:rFonts w:ascii="Times New Roman" w:hAnsi="Times New Roman" w:cs="Times New Roman"/>
          <w:color w:val="000000" w:themeColor="text1"/>
          <w:sz w:val="24"/>
          <w:szCs w:val="24"/>
        </w:rPr>
        <w:t xml:space="preserve">. În sectorul de mediu, în special, normele legale rareori integrează explicit concepte legate de riscuri </w:t>
      </w:r>
      <w:r w:rsidR="000C2016" w:rsidRPr="00CA63C8">
        <w:rPr>
          <w:rFonts w:ascii="Times New Roman" w:hAnsi="Times New Roman" w:cs="Times New Roman"/>
          <w:color w:val="000000" w:themeColor="text1"/>
          <w:sz w:val="24"/>
          <w:szCs w:val="24"/>
        </w:rPr>
        <w:t xml:space="preserve">naturale, </w:t>
      </w:r>
      <w:r w:rsidRPr="00CA63C8">
        <w:rPr>
          <w:rFonts w:ascii="Times New Roman" w:hAnsi="Times New Roman" w:cs="Times New Roman"/>
          <w:color w:val="000000" w:themeColor="text1"/>
          <w:sz w:val="24"/>
          <w:szCs w:val="24"/>
        </w:rPr>
        <w:t>climatice</w:t>
      </w:r>
      <w:r w:rsidR="000C2016" w:rsidRPr="00CA63C8">
        <w:rPr>
          <w:rFonts w:ascii="Times New Roman" w:hAnsi="Times New Roman" w:cs="Times New Roman"/>
          <w:color w:val="000000" w:themeColor="text1"/>
          <w:sz w:val="24"/>
          <w:szCs w:val="24"/>
        </w:rPr>
        <w:t xml:space="preserve"> si</w:t>
      </w:r>
      <w:r w:rsidRPr="00CA63C8">
        <w:rPr>
          <w:rFonts w:ascii="Times New Roman" w:hAnsi="Times New Roman" w:cs="Times New Roman"/>
          <w:color w:val="000000" w:themeColor="text1"/>
          <w:sz w:val="24"/>
          <w:szCs w:val="24"/>
        </w:rPr>
        <w:t xml:space="preserve"> </w:t>
      </w:r>
      <w:r w:rsidR="000C2016" w:rsidRPr="00CA63C8">
        <w:rPr>
          <w:rFonts w:ascii="Times New Roman" w:hAnsi="Times New Roman" w:cs="Times New Roman"/>
          <w:color w:val="000000" w:themeColor="text1"/>
          <w:sz w:val="24"/>
          <w:szCs w:val="24"/>
        </w:rPr>
        <w:t xml:space="preserve">biologico-sociale </w:t>
      </w:r>
      <w:r w:rsidRPr="00CA63C8">
        <w:rPr>
          <w:rFonts w:ascii="Times New Roman" w:hAnsi="Times New Roman" w:cs="Times New Roman"/>
          <w:color w:val="000000" w:themeColor="text1"/>
          <w:sz w:val="24"/>
          <w:szCs w:val="24"/>
        </w:rPr>
        <w:t xml:space="preserve">iar măsurile de adaptare </w:t>
      </w:r>
      <w:r w:rsidR="00A5251A" w:rsidRPr="00CA63C8">
        <w:rPr>
          <w:rFonts w:ascii="Times New Roman" w:hAnsi="Times New Roman" w:cs="Times New Roman"/>
          <w:color w:val="000000" w:themeColor="text1"/>
          <w:sz w:val="24"/>
          <w:szCs w:val="24"/>
        </w:rPr>
        <w:t xml:space="preserve">si RRD </w:t>
      </w:r>
      <w:r w:rsidRPr="00CA63C8">
        <w:rPr>
          <w:rFonts w:ascii="Times New Roman" w:hAnsi="Times New Roman" w:cs="Times New Roman"/>
          <w:color w:val="000000" w:themeColor="text1"/>
          <w:sz w:val="24"/>
          <w:szCs w:val="24"/>
        </w:rPr>
        <w:t>sunt slab reflectate în reglementări de fond</w:t>
      </w:r>
      <w:r w:rsidR="00FC3C59" w:rsidRPr="00CA63C8">
        <w:rPr>
          <w:rFonts w:ascii="Times New Roman" w:hAnsi="Times New Roman" w:cs="Times New Roman"/>
          <w:color w:val="000000" w:themeColor="text1"/>
          <w:sz w:val="24"/>
          <w:szCs w:val="24"/>
        </w:rPr>
        <w:t>.</w:t>
      </w:r>
    </w:p>
    <w:p w14:paraId="6ACA4394" w14:textId="1464A8D9" w:rsidR="00B45966" w:rsidRPr="00CA63C8" w:rsidRDefault="00D36547" w:rsidP="00D36547">
      <w:pPr>
        <w:pStyle w:val="ListParagraph"/>
        <w:numPr>
          <w:ilvl w:val="0"/>
          <w:numId w:val="53"/>
        </w:numPr>
        <w:spacing w:after="120"/>
        <w:ind w:left="0" w:firstLine="284"/>
        <w:jc w:val="both"/>
        <w:rPr>
          <w:rFonts w:ascii="Times New Roman" w:hAnsi="Times New Roman" w:cs="Times New Roman"/>
          <w:b/>
          <w:bCs/>
          <w:color w:val="000000" w:themeColor="text1"/>
          <w:sz w:val="24"/>
          <w:szCs w:val="24"/>
        </w:rPr>
      </w:pPr>
      <w:r w:rsidRPr="00CA63C8">
        <w:rPr>
          <w:rFonts w:ascii="Times New Roman" w:hAnsi="Times New Roman" w:cs="Times New Roman"/>
          <w:color w:val="000000" w:themeColor="text1"/>
          <w:sz w:val="24"/>
          <w:szCs w:val="24"/>
        </w:rPr>
        <w:t xml:space="preserve">În acest context, până în 2030, acest obiectiv specific urmărește o evaluare sistematică a cadrului legislativ și normativ din domeniul mediului, inclusiv ape, păduri, sol și biodiversitate, din perspectiva reducerii riscurilor de dezastre </w:t>
      </w:r>
      <w:r w:rsidR="00B45966" w:rsidRPr="00CA63C8">
        <w:rPr>
          <w:rFonts w:ascii="Times New Roman" w:hAnsi="Times New Roman" w:cs="Times New Roman"/>
          <w:color w:val="000000" w:themeColor="text1"/>
          <w:sz w:val="24"/>
          <w:szCs w:val="24"/>
        </w:rPr>
        <w:t xml:space="preserve">naturale si biologico-sociale </w:t>
      </w:r>
      <w:r w:rsidRPr="00CA63C8">
        <w:rPr>
          <w:rFonts w:ascii="Times New Roman" w:hAnsi="Times New Roman" w:cs="Times New Roman"/>
          <w:color w:val="000000" w:themeColor="text1"/>
          <w:sz w:val="24"/>
          <w:szCs w:val="24"/>
        </w:rPr>
        <w:t>și a mobilității umane.</w:t>
      </w:r>
      <w:r w:rsidR="00BA1499" w:rsidRPr="00CA63C8">
        <w:rPr>
          <w:rFonts w:ascii="Times New Roman" w:hAnsi="Times New Roman" w:cs="Times New Roman"/>
          <w:color w:val="000000" w:themeColor="text1"/>
          <w:sz w:val="24"/>
          <w:szCs w:val="24"/>
        </w:rPr>
        <w:t xml:space="preserve"> </w:t>
      </w:r>
      <w:r w:rsidRPr="00CA63C8">
        <w:rPr>
          <w:rFonts w:ascii="Times New Roman" w:hAnsi="Times New Roman" w:cs="Times New Roman"/>
          <w:color w:val="000000" w:themeColor="text1"/>
          <w:sz w:val="24"/>
          <w:szCs w:val="24"/>
        </w:rPr>
        <w:t xml:space="preserve"> </w:t>
      </w:r>
      <w:r w:rsidR="00420E0F" w:rsidRPr="00CA63C8">
        <w:rPr>
          <w:rFonts w:ascii="Times New Roman" w:hAnsi="Times New Roman" w:cs="Times New Roman"/>
          <w:color w:val="000000" w:themeColor="text1"/>
          <w:sz w:val="24"/>
          <w:szCs w:val="24"/>
        </w:rPr>
        <w:t>Aceasta va permite identificarea</w:t>
      </w:r>
      <w:r w:rsidR="00BA1499" w:rsidRPr="00CA63C8">
        <w:rPr>
          <w:rFonts w:ascii="Times New Roman" w:hAnsi="Times New Roman" w:cs="Times New Roman"/>
          <w:color w:val="000000" w:themeColor="text1"/>
          <w:sz w:val="24"/>
          <w:szCs w:val="24"/>
        </w:rPr>
        <w:t xml:space="preserve"> lacunel</w:t>
      </w:r>
      <w:r w:rsidR="00420E0F" w:rsidRPr="00CA63C8">
        <w:rPr>
          <w:rFonts w:ascii="Times New Roman" w:hAnsi="Times New Roman" w:cs="Times New Roman"/>
          <w:color w:val="000000" w:themeColor="text1"/>
          <w:sz w:val="24"/>
          <w:szCs w:val="24"/>
        </w:rPr>
        <w:t>or</w:t>
      </w:r>
      <w:r w:rsidR="00BA1499" w:rsidRPr="00CA63C8">
        <w:rPr>
          <w:rFonts w:ascii="Times New Roman" w:hAnsi="Times New Roman" w:cs="Times New Roman"/>
          <w:color w:val="000000" w:themeColor="text1"/>
          <w:sz w:val="24"/>
          <w:szCs w:val="24"/>
        </w:rPr>
        <w:t>, suprapuneril</w:t>
      </w:r>
      <w:r w:rsidR="00420E0F" w:rsidRPr="00CA63C8">
        <w:rPr>
          <w:rFonts w:ascii="Times New Roman" w:hAnsi="Times New Roman" w:cs="Times New Roman"/>
          <w:color w:val="000000" w:themeColor="text1"/>
          <w:sz w:val="24"/>
          <w:szCs w:val="24"/>
        </w:rPr>
        <w:t>or</w:t>
      </w:r>
      <w:r w:rsidR="00BA1499" w:rsidRPr="00CA63C8">
        <w:rPr>
          <w:rFonts w:ascii="Times New Roman" w:hAnsi="Times New Roman" w:cs="Times New Roman"/>
          <w:color w:val="000000" w:themeColor="text1"/>
          <w:sz w:val="24"/>
          <w:szCs w:val="24"/>
        </w:rPr>
        <w:t xml:space="preserve"> și necorelăril</w:t>
      </w:r>
      <w:r w:rsidR="00420E0F" w:rsidRPr="00CA63C8">
        <w:rPr>
          <w:rFonts w:ascii="Times New Roman" w:hAnsi="Times New Roman" w:cs="Times New Roman"/>
          <w:color w:val="000000" w:themeColor="text1"/>
          <w:sz w:val="24"/>
          <w:szCs w:val="24"/>
        </w:rPr>
        <w:t>or</w:t>
      </w:r>
      <w:r w:rsidR="00BA1499" w:rsidRPr="00CA63C8">
        <w:rPr>
          <w:rFonts w:ascii="Times New Roman" w:hAnsi="Times New Roman" w:cs="Times New Roman"/>
          <w:color w:val="000000" w:themeColor="text1"/>
          <w:sz w:val="24"/>
          <w:szCs w:val="24"/>
        </w:rPr>
        <w:t xml:space="preserve"> dintre acte normative și atribuții instituționale, gradul de integrare a principiilor RRD și alinierea cu Cadrul de la Sendai, Pactul Verde European și acquis-ul UE, modul în care este (sau nu este) abordată dimensiunea mobilității umane (migrație, strămutare, relocare preventivă/post-dezastru) în reglementările de mediu și planificare teritorială</w:t>
      </w:r>
      <w:r w:rsidR="005958C8" w:rsidRPr="00CA63C8">
        <w:rPr>
          <w:rFonts w:ascii="Times New Roman" w:hAnsi="Times New Roman" w:cs="Times New Roman"/>
          <w:color w:val="000000" w:themeColor="text1"/>
          <w:sz w:val="24"/>
          <w:szCs w:val="24"/>
        </w:rPr>
        <w:t>.</w:t>
      </w:r>
    </w:p>
    <w:p w14:paraId="043B1CB2" w14:textId="19ABB1A2" w:rsidR="00D36547" w:rsidRPr="00CA63C8" w:rsidRDefault="00D36547" w:rsidP="00D36547">
      <w:pPr>
        <w:pStyle w:val="ListParagraph"/>
        <w:numPr>
          <w:ilvl w:val="0"/>
          <w:numId w:val="53"/>
        </w:numPr>
        <w:spacing w:after="120"/>
        <w:ind w:left="0" w:firstLine="284"/>
        <w:jc w:val="both"/>
        <w:rPr>
          <w:rFonts w:ascii="Times New Roman" w:hAnsi="Times New Roman" w:cs="Times New Roman"/>
          <w:b/>
          <w:bCs/>
          <w:color w:val="000000" w:themeColor="text1"/>
          <w:sz w:val="24"/>
          <w:szCs w:val="24"/>
        </w:rPr>
      </w:pPr>
      <w:r w:rsidRPr="00CA63C8">
        <w:rPr>
          <w:rFonts w:ascii="Times New Roman" w:hAnsi="Times New Roman" w:cs="Times New Roman"/>
          <w:color w:val="000000" w:themeColor="text1"/>
          <w:sz w:val="24"/>
          <w:szCs w:val="24"/>
        </w:rPr>
        <w:t xml:space="preserve">Totodată, se va promova integrarea dimensiunii reducerii riscurilor de dezastre și a nexusului migrație–mediu–climă în strategiile și rapoartele naționale transmise convențiilor internaționale relevante (UNFCCC, UNCCD, CBD), contribuind astfel la consolidarea profilului internațional al Republicii Moldova în domeniul </w:t>
      </w:r>
      <w:r w:rsidR="00BA1499" w:rsidRPr="00CA63C8">
        <w:rPr>
          <w:rFonts w:ascii="Times New Roman" w:hAnsi="Times New Roman" w:cs="Times New Roman"/>
          <w:color w:val="000000" w:themeColor="text1"/>
          <w:sz w:val="24"/>
          <w:szCs w:val="24"/>
        </w:rPr>
        <w:t xml:space="preserve">RRD, </w:t>
      </w:r>
      <w:r w:rsidRPr="00CA63C8">
        <w:rPr>
          <w:rFonts w:ascii="Times New Roman" w:hAnsi="Times New Roman" w:cs="Times New Roman"/>
          <w:color w:val="000000" w:themeColor="text1"/>
          <w:sz w:val="24"/>
          <w:szCs w:val="24"/>
        </w:rPr>
        <w:t>adaptării și rezilienței.</w:t>
      </w:r>
      <w:r w:rsidR="00BA1499" w:rsidRPr="00CA63C8">
        <w:rPr>
          <w:rFonts w:ascii="Times New Roman" w:hAnsi="Times New Roman" w:cs="Times New Roman"/>
          <w:color w:val="000000" w:themeColor="text1"/>
          <w:sz w:val="24"/>
          <w:szCs w:val="24"/>
        </w:rPr>
        <w:t xml:space="preserve"> </w:t>
      </w:r>
    </w:p>
    <w:p w14:paraId="3E3C30E0" w14:textId="56831BF2" w:rsidR="00D36547" w:rsidRPr="00CA63C8" w:rsidRDefault="00D36547" w:rsidP="00D36547">
      <w:pPr>
        <w:pStyle w:val="ListParagraph"/>
        <w:numPr>
          <w:ilvl w:val="0"/>
          <w:numId w:val="53"/>
        </w:numPr>
        <w:spacing w:after="120"/>
        <w:ind w:left="0" w:firstLine="284"/>
        <w:jc w:val="both"/>
        <w:rPr>
          <w:rFonts w:ascii="Times New Roman" w:hAnsi="Times New Roman" w:cs="Times New Roman"/>
          <w:b/>
          <w:bCs/>
          <w:color w:val="000000" w:themeColor="text1"/>
          <w:sz w:val="24"/>
          <w:szCs w:val="24"/>
        </w:rPr>
      </w:pPr>
      <w:r w:rsidRPr="00CA63C8">
        <w:rPr>
          <w:rFonts w:ascii="Times New Roman" w:hAnsi="Times New Roman" w:cs="Times New Roman"/>
          <w:color w:val="000000" w:themeColor="text1"/>
          <w:sz w:val="24"/>
          <w:szCs w:val="24"/>
        </w:rPr>
        <w:t xml:space="preserve">În paralel, </w:t>
      </w:r>
      <w:r w:rsidR="00B45966" w:rsidRPr="00CA63C8">
        <w:rPr>
          <w:rFonts w:ascii="Times New Roman" w:hAnsi="Times New Roman" w:cs="Times New Roman"/>
          <w:color w:val="000000" w:themeColor="text1"/>
          <w:sz w:val="24"/>
          <w:szCs w:val="24"/>
        </w:rPr>
        <w:t xml:space="preserve">Ministerul mediului va sprijini </w:t>
      </w:r>
      <w:r w:rsidRPr="00CA63C8">
        <w:rPr>
          <w:rFonts w:ascii="Times New Roman" w:hAnsi="Times New Roman" w:cs="Times New Roman"/>
          <w:color w:val="000000" w:themeColor="text1"/>
          <w:sz w:val="24"/>
          <w:szCs w:val="24"/>
        </w:rPr>
        <w:t>autoritățile publice locale</w:t>
      </w:r>
      <w:r w:rsidR="00BA1499" w:rsidRPr="00CA63C8">
        <w:rPr>
          <w:rFonts w:ascii="Times New Roman" w:hAnsi="Times New Roman" w:cs="Times New Roman"/>
          <w:color w:val="000000" w:themeColor="text1"/>
          <w:sz w:val="24"/>
          <w:szCs w:val="24"/>
        </w:rPr>
        <w:t xml:space="preserve"> pentru elaborarea unor strategii sau planuri de acțiuni RRD locale</w:t>
      </w:r>
      <w:r w:rsidR="00B45966" w:rsidRPr="00CA63C8">
        <w:rPr>
          <w:rFonts w:ascii="Times New Roman" w:hAnsi="Times New Roman" w:cs="Times New Roman"/>
          <w:color w:val="000000" w:themeColor="text1"/>
          <w:sz w:val="24"/>
          <w:szCs w:val="24"/>
        </w:rPr>
        <w:t xml:space="preserve"> prin </w:t>
      </w:r>
      <w:r w:rsidR="0080215B" w:rsidRPr="00CA63C8">
        <w:rPr>
          <w:rFonts w:ascii="Times New Roman" w:hAnsi="Times New Roman" w:cs="Times New Roman"/>
          <w:color w:val="000000" w:themeColor="text1"/>
          <w:sz w:val="24"/>
          <w:szCs w:val="24"/>
        </w:rPr>
        <w:t>redactarea</w:t>
      </w:r>
      <w:r w:rsidR="00B45966" w:rsidRPr="00CA63C8">
        <w:rPr>
          <w:rFonts w:ascii="Times New Roman" w:hAnsi="Times New Roman" w:cs="Times New Roman"/>
          <w:color w:val="000000" w:themeColor="text1"/>
          <w:sz w:val="24"/>
          <w:szCs w:val="24"/>
        </w:rPr>
        <w:t xml:space="preserve"> de ghiduri tematice</w:t>
      </w:r>
      <w:r w:rsidR="00BA1499" w:rsidRPr="00CA63C8">
        <w:rPr>
          <w:rFonts w:ascii="Times New Roman" w:hAnsi="Times New Roman" w:cs="Times New Roman"/>
          <w:color w:val="000000" w:themeColor="text1"/>
          <w:sz w:val="24"/>
          <w:szCs w:val="24"/>
        </w:rPr>
        <w:t>,</w:t>
      </w:r>
      <w:r w:rsidR="0080215B" w:rsidRPr="00CA63C8">
        <w:rPr>
          <w:rFonts w:ascii="Times New Roman" w:hAnsi="Times New Roman" w:cs="Times New Roman"/>
          <w:color w:val="000000" w:themeColor="text1"/>
          <w:sz w:val="24"/>
          <w:szCs w:val="24"/>
        </w:rPr>
        <w:t xml:space="preserve"> si va oferi suport </w:t>
      </w:r>
      <w:r w:rsidR="00B45966" w:rsidRPr="00CA63C8">
        <w:rPr>
          <w:rFonts w:ascii="Times New Roman" w:hAnsi="Times New Roman" w:cs="Times New Roman"/>
          <w:color w:val="000000" w:themeColor="text1"/>
          <w:sz w:val="24"/>
          <w:szCs w:val="24"/>
        </w:rPr>
        <w:t xml:space="preserve"> pentru</w:t>
      </w:r>
      <w:r w:rsidRPr="00CA63C8">
        <w:rPr>
          <w:rFonts w:ascii="Times New Roman" w:hAnsi="Times New Roman" w:cs="Times New Roman"/>
          <w:color w:val="000000" w:themeColor="text1"/>
          <w:sz w:val="24"/>
          <w:szCs w:val="24"/>
        </w:rPr>
        <w:t xml:space="preserve"> integrarea riscurilor de dezastre </w:t>
      </w:r>
      <w:r w:rsidR="00B45966" w:rsidRPr="00CA63C8">
        <w:rPr>
          <w:rFonts w:ascii="Times New Roman" w:hAnsi="Times New Roman" w:cs="Times New Roman"/>
          <w:color w:val="000000" w:themeColor="text1"/>
          <w:sz w:val="24"/>
          <w:szCs w:val="24"/>
        </w:rPr>
        <w:t xml:space="preserve">naturale si biologico-sociale precum </w:t>
      </w:r>
      <w:r w:rsidRPr="00CA63C8">
        <w:rPr>
          <w:rFonts w:ascii="Times New Roman" w:hAnsi="Times New Roman" w:cs="Times New Roman"/>
          <w:color w:val="000000" w:themeColor="text1"/>
          <w:sz w:val="24"/>
          <w:szCs w:val="24"/>
        </w:rPr>
        <w:t>și a măsurilor de adaptare în Planurile de Acțiuni Sustenabile pentru Energie și Climă (PASEC)</w:t>
      </w:r>
      <w:r w:rsidR="0080215B" w:rsidRPr="00CA63C8">
        <w:rPr>
          <w:rFonts w:ascii="Times New Roman" w:hAnsi="Times New Roman" w:cs="Times New Roman"/>
          <w:color w:val="000000" w:themeColor="text1"/>
          <w:sz w:val="24"/>
          <w:szCs w:val="24"/>
        </w:rPr>
        <w:t xml:space="preserve">.  </w:t>
      </w:r>
      <w:r w:rsidR="00B45966" w:rsidRPr="00CA63C8">
        <w:rPr>
          <w:rFonts w:ascii="Times New Roman" w:hAnsi="Times New Roman" w:cs="Times New Roman"/>
          <w:color w:val="000000" w:themeColor="text1"/>
          <w:sz w:val="24"/>
          <w:szCs w:val="24"/>
        </w:rPr>
        <w:t>Conform</w:t>
      </w:r>
      <w:r w:rsidRPr="00CA63C8">
        <w:rPr>
          <w:rFonts w:ascii="Times New Roman" w:hAnsi="Times New Roman" w:cs="Times New Roman"/>
          <w:color w:val="000000" w:themeColor="text1"/>
          <w:sz w:val="24"/>
          <w:szCs w:val="24"/>
        </w:rPr>
        <w:t xml:space="preserve"> </w:t>
      </w:r>
      <w:r w:rsidR="0080215B" w:rsidRPr="00CA63C8">
        <w:rPr>
          <w:rFonts w:ascii="Times New Roman" w:hAnsi="Times New Roman" w:cs="Times New Roman"/>
          <w:color w:val="000000" w:themeColor="text1"/>
          <w:sz w:val="24"/>
          <w:szCs w:val="24"/>
        </w:rPr>
        <w:t>art. 35 din Legea 74/2024, care prevede elaborarea și aprobarea PASEC până la 1 ianuarie 2026, și susține complementaritatea între politicile climatice și cele de gestionare a riscurilor de dezastru</w:t>
      </w:r>
      <w:r w:rsidRPr="00CA63C8">
        <w:rPr>
          <w:rFonts w:ascii="Times New Roman" w:hAnsi="Times New Roman" w:cs="Times New Roman"/>
          <w:color w:val="000000" w:themeColor="text1"/>
          <w:sz w:val="24"/>
          <w:szCs w:val="24"/>
        </w:rPr>
        <w:t>. Prin aceste acțiuni, cadrul juridic și strategic național va deveni mai coerent și mai eficient, facilitând aplicarea măsurilor de prevenire, adaptare și reacție la riscurile naturale și climatice, în conformitate cu obiectivele Agendei 2030 pentru Dezvoltare Durabilă.</w:t>
      </w:r>
    </w:p>
    <w:p w14:paraId="15AAF38F" w14:textId="6BC8BFBC" w:rsidR="00CA63C8" w:rsidRPr="009067DC" w:rsidRDefault="00CA63C8" w:rsidP="009067DC">
      <w:pPr>
        <w:pStyle w:val="Heading3"/>
        <w:jc w:val="both"/>
        <w:rPr>
          <w:rFonts w:ascii="Times New Roman" w:hAnsi="Times New Roman" w:cs="Times New Roman"/>
          <w:b/>
          <w:bCs w:val="0"/>
          <w:color w:val="auto"/>
        </w:rPr>
      </w:pPr>
      <w:r w:rsidRPr="009067DC">
        <w:rPr>
          <w:rFonts w:ascii="Times New Roman" w:hAnsi="Times New Roman" w:cs="Times New Roman"/>
          <w:b/>
          <w:bCs w:val="0"/>
          <w:color w:val="auto"/>
        </w:rPr>
        <w:t>Obiectiv specific 2.2: Până în 2030, mecanismele de coordonare interinstituțională și intersectorială pentru reducerea riscurilor de dezastre naturale și biologico-sociale sunt consolidate prin participarea structurată a sectorului de mediu și prin dezvoltarea de parteneriate strategice la nivel internațional</w:t>
      </w:r>
    </w:p>
    <w:p w14:paraId="44A079D5" w14:textId="7AC8F615" w:rsidR="008D24BF" w:rsidRPr="00CA63C8" w:rsidRDefault="008D24BF" w:rsidP="00E1490B">
      <w:pPr>
        <w:pStyle w:val="ListParagraph"/>
        <w:numPr>
          <w:ilvl w:val="0"/>
          <w:numId w:val="53"/>
        </w:numPr>
        <w:spacing w:after="120"/>
        <w:ind w:left="0" w:firstLine="284"/>
        <w:jc w:val="both"/>
        <w:rPr>
          <w:rFonts w:ascii="Times New Roman" w:hAnsi="Times New Roman" w:cs="Times New Roman"/>
          <w:b/>
          <w:bCs/>
          <w:color w:val="000000" w:themeColor="text1"/>
          <w:sz w:val="24"/>
          <w:szCs w:val="24"/>
        </w:rPr>
      </w:pPr>
      <w:r w:rsidRPr="00CA63C8">
        <w:rPr>
          <w:rFonts w:ascii="Times New Roman" w:hAnsi="Times New Roman" w:cs="Times New Roman"/>
          <w:color w:val="000000" w:themeColor="text1"/>
          <w:sz w:val="24"/>
          <w:szCs w:val="24"/>
        </w:rPr>
        <w:t>Gestionarea eficientă a riscurilor de dezastre presupune o cooperare coerentă și funcțională între instituțiile cu mandate complementare. În prezent, fragmentarea responsabilităților, lipsa unei platforme clare de dialog permanent și slaba formalizare a proceselor de colaborare reduc semnificativ eficacitatea eforturilor de prevenire</w:t>
      </w:r>
      <w:r w:rsidR="00720068" w:rsidRPr="00CA63C8">
        <w:rPr>
          <w:rFonts w:ascii="Times New Roman" w:hAnsi="Times New Roman" w:cs="Times New Roman"/>
          <w:color w:val="000000" w:themeColor="text1"/>
          <w:sz w:val="24"/>
          <w:szCs w:val="24"/>
        </w:rPr>
        <w:t xml:space="preserve">, </w:t>
      </w:r>
      <w:r w:rsidR="002D37D5" w:rsidRPr="00CA63C8">
        <w:rPr>
          <w:rFonts w:ascii="Times New Roman" w:hAnsi="Times New Roman" w:cs="Times New Roman"/>
          <w:color w:val="000000" w:themeColor="text1"/>
          <w:sz w:val="24"/>
          <w:szCs w:val="24"/>
        </w:rPr>
        <w:t>pregătire</w:t>
      </w:r>
      <w:r w:rsidR="00152FFB" w:rsidRPr="00CA63C8">
        <w:rPr>
          <w:rFonts w:ascii="Times New Roman" w:hAnsi="Times New Roman" w:cs="Times New Roman"/>
          <w:color w:val="000000" w:themeColor="text1"/>
          <w:sz w:val="24"/>
          <w:szCs w:val="24"/>
        </w:rPr>
        <w:t xml:space="preserve"> și </w:t>
      </w:r>
      <w:r w:rsidR="002D37D5" w:rsidRPr="00CA63C8">
        <w:rPr>
          <w:rFonts w:ascii="Times New Roman" w:hAnsi="Times New Roman" w:cs="Times New Roman"/>
          <w:color w:val="000000" w:themeColor="text1"/>
          <w:sz w:val="24"/>
          <w:szCs w:val="24"/>
        </w:rPr>
        <w:t>răspuns</w:t>
      </w:r>
      <w:r w:rsidRPr="00CA63C8">
        <w:rPr>
          <w:rFonts w:ascii="Times New Roman" w:hAnsi="Times New Roman" w:cs="Times New Roman"/>
          <w:color w:val="000000" w:themeColor="text1"/>
          <w:sz w:val="24"/>
          <w:szCs w:val="24"/>
        </w:rPr>
        <w:t>. În sectorul de mediu, în special, integrarea riscurilor în procesele de planificare, reglementare și investiții este încă limitată</w:t>
      </w:r>
      <w:r w:rsidR="0080215B" w:rsidRPr="00CA63C8">
        <w:rPr>
          <w:rFonts w:ascii="Times New Roman" w:hAnsi="Times New Roman" w:cs="Times New Roman"/>
          <w:color w:val="000000" w:themeColor="text1"/>
          <w:sz w:val="24"/>
          <w:szCs w:val="24"/>
        </w:rPr>
        <w:t xml:space="preserve">, </w:t>
      </w:r>
      <w:r w:rsidR="00EC4A93" w:rsidRPr="00CA63C8">
        <w:rPr>
          <w:rFonts w:ascii="Times New Roman" w:hAnsi="Times New Roman" w:cs="Times New Roman"/>
          <w:color w:val="000000" w:themeColor="text1"/>
          <w:sz w:val="24"/>
          <w:szCs w:val="24"/>
        </w:rPr>
        <w:t xml:space="preserve">de exemplu </w:t>
      </w:r>
      <w:r w:rsidR="00BD3680" w:rsidRPr="00CA63C8">
        <w:rPr>
          <w:rFonts w:ascii="Times New Roman" w:hAnsi="Times New Roman" w:cs="Times New Roman"/>
          <w:color w:val="000000" w:themeColor="text1"/>
          <w:sz w:val="24"/>
          <w:szCs w:val="24"/>
        </w:rPr>
        <w:t xml:space="preserve">deșii </w:t>
      </w:r>
      <w:r w:rsidR="00EC4A93" w:rsidRPr="00CA63C8">
        <w:rPr>
          <w:rFonts w:ascii="Times New Roman" w:hAnsi="Times New Roman" w:cs="Times New Roman"/>
          <w:color w:val="000000" w:themeColor="text1"/>
          <w:sz w:val="24"/>
          <w:szCs w:val="24"/>
        </w:rPr>
        <w:t>Comisia Națională privind Schimbările Climatice (CNSC), creată prin Hotărârea Guvernului nr. 425/2024</w:t>
      </w:r>
      <w:r w:rsidR="00BD3680" w:rsidRPr="00CA63C8">
        <w:rPr>
          <w:rFonts w:ascii="Times New Roman" w:hAnsi="Times New Roman" w:cs="Times New Roman"/>
          <w:color w:val="000000" w:themeColor="text1"/>
          <w:sz w:val="24"/>
          <w:szCs w:val="24"/>
        </w:rPr>
        <w:t>,</w:t>
      </w:r>
      <w:r w:rsidR="00EC4A93" w:rsidRPr="00CA63C8">
        <w:rPr>
          <w:rFonts w:ascii="Times New Roman" w:hAnsi="Times New Roman" w:cs="Times New Roman"/>
          <w:color w:val="000000" w:themeColor="text1"/>
          <w:sz w:val="24"/>
          <w:szCs w:val="24"/>
        </w:rPr>
        <w:t xml:space="preserve"> are </w:t>
      </w:r>
      <w:r w:rsidR="00BD3680" w:rsidRPr="00CA63C8">
        <w:rPr>
          <w:rFonts w:ascii="Times New Roman" w:hAnsi="Times New Roman" w:cs="Times New Roman"/>
          <w:color w:val="000000" w:themeColor="text1"/>
          <w:sz w:val="24"/>
          <w:szCs w:val="24"/>
        </w:rPr>
        <w:t>rolul</w:t>
      </w:r>
      <w:r w:rsidR="00EC4A93" w:rsidRPr="00CA63C8">
        <w:rPr>
          <w:rFonts w:ascii="Times New Roman" w:hAnsi="Times New Roman" w:cs="Times New Roman"/>
          <w:color w:val="000000" w:themeColor="text1"/>
          <w:sz w:val="24"/>
          <w:szCs w:val="24"/>
        </w:rPr>
        <w:t xml:space="preserve"> de </w:t>
      </w:r>
      <w:r w:rsidR="00BD3680" w:rsidRPr="00CA63C8">
        <w:rPr>
          <w:rFonts w:ascii="Times New Roman" w:hAnsi="Times New Roman" w:cs="Times New Roman"/>
          <w:color w:val="000000" w:themeColor="text1"/>
          <w:sz w:val="24"/>
          <w:szCs w:val="24"/>
        </w:rPr>
        <w:t xml:space="preserve">a </w:t>
      </w:r>
      <w:r w:rsidR="00EC4A93" w:rsidRPr="00CA63C8">
        <w:rPr>
          <w:rFonts w:ascii="Times New Roman" w:hAnsi="Times New Roman" w:cs="Times New Roman"/>
          <w:color w:val="000000" w:themeColor="text1"/>
          <w:sz w:val="24"/>
          <w:szCs w:val="24"/>
        </w:rPr>
        <w:t>coordona politicil</w:t>
      </w:r>
      <w:r w:rsidR="00BD3680" w:rsidRPr="00CA63C8">
        <w:rPr>
          <w:rFonts w:ascii="Times New Roman" w:hAnsi="Times New Roman" w:cs="Times New Roman"/>
          <w:color w:val="000000" w:themeColor="text1"/>
          <w:sz w:val="24"/>
          <w:szCs w:val="24"/>
        </w:rPr>
        <w:t xml:space="preserve">e </w:t>
      </w:r>
      <w:r w:rsidR="00EC4A93" w:rsidRPr="00CA63C8">
        <w:rPr>
          <w:rFonts w:ascii="Times New Roman" w:hAnsi="Times New Roman" w:cs="Times New Roman"/>
          <w:color w:val="000000" w:themeColor="text1"/>
          <w:sz w:val="24"/>
          <w:szCs w:val="24"/>
        </w:rPr>
        <w:t xml:space="preserve"> în domeniul schimbărilor climatice, a proiectelor de investiții publice în contextul atenuării și adaptării la schimbările climatice, și al managementului riscurilor de dezastre naturale</w:t>
      </w:r>
      <w:r w:rsidR="00BD3680" w:rsidRPr="00CA63C8">
        <w:rPr>
          <w:rFonts w:ascii="Times New Roman" w:hAnsi="Times New Roman" w:cs="Times New Roman"/>
          <w:color w:val="000000" w:themeColor="text1"/>
          <w:sz w:val="24"/>
          <w:szCs w:val="24"/>
        </w:rPr>
        <w:t>, funcționarea sa regulată și utilizarea ca platformă de lucru interinstituțională necesită întărire și clarificare a mecanismelor de operare.</w:t>
      </w:r>
      <w:r w:rsidR="00EC4A93" w:rsidRPr="00CA63C8">
        <w:rPr>
          <w:rFonts w:ascii="Times New Roman" w:hAnsi="Times New Roman" w:cs="Times New Roman"/>
          <w:color w:val="000000" w:themeColor="text1"/>
          <w:sz w:val="24"/>
          <w:szCs w:val="24"/>
        </w:rPr>
        <w:t xml:space="preserve"> Este prezidată </w:t>
      </w:r>
      <w:r w:rsidR="00BD3680" w:rsidRPr="00CA63C8">
        <w:rPr>
          <w:rFonts w:ascii="Times New Roman" w:hAnsi="Times New Roman" w:cs="Times New Roman"/>
          <w:color w:val="000000" w:themeColor="text1"/>
          <w:sz w:val="24"/>
          <w:szCs w:val="24"/>
        </w:rPr>
        <w:t xml:space="preserve">în prezent </w:t>
      </w:r>
      <w:r w:rsidR="00EC4A93" w:rsidRPr="00CA63C8">
        <w:rPr>
          <w:rFonts w:ascii="Times New Roman" w:hAnsi="Times New Roman" w:cs="Times New Roman"/>
          <w:color w:val="000000" w:themeColor="text1"/>
          <w:sz w:val="24"/>
          <w:szCs w:val="24"/>
        </w:rPr>
        <w:t xml:space="preserve">de Prim-ministru și include reprezentanți din administrația publică centrală, cercetare, ONG-uri și sectorul privat. </w:t>
      </w:r>
    </w:p>
    <w:p w14:paraId="1987D1A6" w14:textId="4C993626" w:rsidR="003A7C04" w:rsidRPr="00CA63C8" w:rsidRDefault="003A7C04" w:rsidP="00E1490B">
      <w:pPr>
        <w:pStyle w:val="ListParagraph"/>
        <w:numPr>
          <w:ilvl w:val="0"/>
          <w:numId w:val="53"/>
        </w:numPr>
        <w:spacing w:after="120"/>
        <w:ind w:left="0" w:firstLine="284"/>
        <w:jc w:val="both"/>
        <w:rPr>
          <w:rFonts w:ascii="Times New Roman" w:hAnsi="Times New Roman" w:cs="Times New Roman"/>
          <w:b/>
          <w:bCs/>
          <w:color w:val="000000" w:themeColor="text1"/>
          <w:sz w:val="24"/>
          <w:szCs w:val="24"/>
        </w:rPr>
      </w:pPr>
      <w:r w:rsidRPr="00CA63C8">
        <w:rPr>
          <w:rFonts w:ascii="Times New Roman" w:hAnsi="Times New Roman" w:cs="Times New Roman"/>
          <w:color w:val="000000" w:themeColor="text1"/>
          <w:sz w:val="24"/>
          <w:szCs w:val="24"/>
        </w:rPr>
        <w:t>Conform Leg</w:t>
      </w:r>
      <w:r w:rsidR="0009115E" w:rsidRPr="00CA63C8">
        <w:rPr>
          <w:rFonts w:ascii="Times New Roman" w:hAnsi="Times New Roman" w:cs="Times New Roman"/>
          <w:color w:val="000000" w:themeColor="text1"/>
          <w:sz w:val="24"/>
          <w:szCs w:val="24"/>
        </w:rPr>
        <w:t>ii</w:t>
      </w:r>
      <w:r w:rsidRPr="00CA63C8">
        <w:rPr>
          <w:rFonts w:ascii="Times New Roman" w:hAnsi="Times New Roman" w:cs="Times New Roman"/>
          <w:color w:val="000000" w:themeColor="text1"/>
          <w:sz w:val="24"/>
          <w:szCs w:val="24"/>
        </w:rPr>
        <w:t xml:space="preserve"> nr. </w:t>
      </w:r>
      <w:r w:rsidR="00C873C9" w:rsidRPr="00CA63C8">
        <w:rPr>
          <w:rFonts w:ascii="Times New Roman" w:hAnsi="Times New Roman" w:cs="Times New Roman"/>
          <w:color w:val="000000" w:themeColor="text1"/>
          <w:sz w:val="24"/>
          <w:szCs w:val="24"/>
        </w:rPr>
        <w:t>248</w:t>
      </w:r>
      <w:r w:rsidRPr="00CA63C8">
        <w:rPr>
          <w:rFonts w:ascii="Times New Roman" w:hAnsi="Times New Roman" w:cs="Times New Roman"/>
          <w:color w:val="000000" w:themeColor="text1"/>
          <w:sz w:val="24"/>
          <w:szCs w:val="24"/>
        </w:rPr>
        <w:t>/2025</w:t>
      </w:r>
      <w:r w:rsidR="00BD3680" w:rsidRPr="00CA63C8">
        <w:rPr>
          <w:rFonts w:ascii="Times New Roman" w:hAnsi="Times New Roman" w:cs="Times New Roman"/>
          <w:color w:val="000000" w:themeColor="text1"/>
          <w:sz w:val="24"/>
          <w:szCs w:val="24"/>
        </w:rPr>
        <w:t xml:space="preserve"> privind managementul situațiilor de criză</w:t>
      </w:r>
      <w:r w:rsidRPr="00CA63C8">
        <w:rPr>
          <w:rFonts w:ascii="Times New Roman" w:hAnsi="Times New Roman" w:cs="Times New Roman"/>
          <w:color w:val="000000" w:themeColor="text1"/>
          <w:sz w:val="24"/>
          <w:szCs w:val="24"/>
        </w:rPr>
        <w:t xml:space="preserve">, va fi instituită o Platformă Națională de Răspuns la Crize, cu rol de coordonare strategică interinstituțională </w:t>
      </w:r>
      <w:r w:rsidR="00BD3680" w:rsidRPr="00CA63C8">
        <w:rPr>
          <w:rFonts w:ascii="Times New Roman" w:hAnsi="Times New Roman" w:cs="Times New Roman"/>
          <w:color w:val="000000" w:themeColor="text1"/>
          <w:sz w:val="24"/>
          <w:szCs w:val="24"/>
        </w:rPr>
        <w:t>pe</w:t>
      </w:r>
      <w:r w:rsidRPr="00CA63C8">
        <w:rPr>
          <w:rFonts w:ascii="Times New Roman" w:hAnsi="Times New Roman" w:cs="Times New Roman"/>
          <w:color w:val="000000" w:themeColor="text1"/>
          <w:sz w:val="24"/>
          <w:szCs w:val="24"/>
        </w:rPr>
        <w:t xml:space="preserve"> toate fazele ciclului de criză</w:t>
      </w:r>
      <w:r w:rsidR="00BD3680" w:rsidRPr="00CA63C8">
        <w:rPr>
          <w:rFonts w:ascii="Times New Roman" w:hAnsi="Times New Roman" w:cs="Times New Roman"/>
          <w:color w:val="000000" w:themeColor="text1"/>
          <w:sz w:val="24"/>
          <w:szCs w:val="24"/>
        </w:rPr>
        <w:t xml:space="preserve">: </w:t>
      </w:r>
      <w:r w:rsidRPr="00CA63C8">
        <w:rPr>
          <w:rFonts w:ascii="Times New Roman" w:hAnsi="Times New Roman" w:cs="Times New Roman"/>
          <w:color w:val="000000" w:themeColor="text1"/>
          <w:sz w:val="24"/>
          <w:szCs w:val="24"/>
        </w:rPr>
        <w:t>prevenire, pregătire, răspuns și recuperare</w:t>
      </w:r>
      <w:r w:rsidR="00BD3680" w:rsidRPr="00CA63C8">
        <w:rPr>
          <w:rFonts w:ascii="Times New Roman" w:hAnsi="Times New Roman" w:cs="Times New Roman"/>
          <w:color w:val="000000" w:themeColor="text1"/>
          <w:sz w:val="24"/>
          <w:szCs w:val="24"/>
        </w:rPr>
        <w:t>.</w:t>
      </w:r>
      <w:r w:rsidRPr="00CA63C8">
        <w:rPr>
          <w:rFonts w:ascii="Times New Roman" w:hAnsi="Times New Roman" w:cs="Times New Roman"/>
          <w:color w:val="000000" w:themeColor="text1"/>
          <w:sz w:val="24"/>
          <w:szCs w:val="24"/>
        </w:rPr>
        <w:t xml:space="preserve"> </w:t>
      </w:r>
      <w:r w:rsidR="00BD3680" w:rsidRPr="00CA63C8">
        <w:rPr>
          <w:rFonts w:ascii="Times New Roman" w:hAnsi="Times New Roman" w:cs="Times New Roman"/>
          <w:color w:val="000000" w:themeColor="text1"/>
          <w:sz w:val="24"/>
          <w:szCs w:val="24"/>
        </w:rPr>
        <w:t>În acest context, Programul va sprijini consolidarea participării sectorului de mediu în mecanismele naționale de coordonare, prin instituirea unui grup tehnic sectorial „sub coordonarea Ministerului Mediului. Acesta va asigura o cooperare sistematică între instituțiile publice relevante și va contribui la analiza riscurilor, formularea de recomandări tehnice, armonizarea planificării sectoriale cu metodologia națională de evaluare a riscurilor și promovarea schimbului de date și bune practici.</w:t>
      </w:r>
    </w:p>
    <w:p w14:paraId="13BE4D07" w14:textId="0DA6A030" w:rsidR="00BD3680" w:rsidRPr="00CA63C8" w:rsidRDefault="00BD3680" w:rsidP="00E1490B">
      <w:pPr>
        <w:pStyle w:val="ListParagraph"/>
        <w:numPr>
          <w:ilvl w:val="0"/>
          <w:numId w:val="53"/>
        </w:numPr>
        <w:spacing w:after="120"/>
        <w:ind w:left="0" w:firstLine="284"/>
        <w:jc w:val="both"/>
        <w:rPr>
          <w:rFonts w:ascii="Times New Roman" w:hAnsi="Times New Roman" w:cs="Times New Roman"/>
          <w:b/>
          <w:bCs/>
          <w:color w:val="000000" w:themeColor="text1"/>
          <w:sz w:val="24"/>
          <w:szCs w:val="24"/>
        </w:rPr>
      </w:pPr>
      <w:r w:rsidRPr="00CA63C8">
        <w:rPr>
          <w:rFonts w:ascii="Times New Roman" w:hAnsi="Times New Roman" w:cs="Times New Roman"/>
          <w:color w:val="000000" w:themeColor="text1"/>
          <w:sz w:val="24"/>
          <w:szCs w:val="24"/>
        </w:rPr>
        <w:lastRenderedPageBreak/>
        <w:t>Mecanismul va sprijini, totodată, corelarea inițiativelor sectoriale cu alte acțiuni din Program, cum ar fi standardizarea hărților climatice, validarea metodologiilor sectoriale de evaluare a riscurilor</w:t>
      </w:r>
      <w:r w:rsidR="00543512" w:rsidRPr="00CA63C8">
        <w:rPr>
          <w:rFonts w:ascii="Times New Roman" w:hAnsi="Times New Roman" w:cs="Times New Roman"/>
          <w:color w:val="000000" w:themeColor="text1"/>
          <w:sz w:val="24"/>
          <w:szCs w:val="24"/>
        </w:rPr>
        <w:t>, a pagubelor</w:t>
      </w:r>
      <w:r w:rsidRPr="00CA63C8">
        <w:rPr>
          <w:rFonts w:ascii="Times New Roman" w:hAnsi="Times New Roman" w:cs="Times New Roman"/>
          <w:color w:val="000000" w:themeColor="text1"/>
          <w:sz w:val="24"/>
          <w:szCs w:val="24"/>
        </w:rPr>
        <w:t xml:space="preserve"> și integrarea cercetării aplicate în procesul decizional. Într-o primă etapă, se recomandă implementarea acestui grup tehnic </w:t>
      </w:r>
      <w:r w:rsidR="00397FE8" w:rsidRPr="00CA63C8">
        <w:rPr>
          <w:rFonts w:ascii="Times New Roman" w:hAnsi="Times New Roman" w:cs="Times New Roman"/>
          <w:b/>
          <w:bCs/>
          <w:i/>
          <w:iCs/>
          <w:color w:val="000000" w:themeColor="text1"/>
          <w:sz w:val="24"/>
          <w:szCs w:val="24"/>
          <w:u w:val="single"/>
        </w:rPr>
        <w:t>Managementul riscurilor de dezastre naturale in cadrul CNSC</w:t>
      </w:r>
      <w:r w:rsidR="00397FE8" w:rsidRPr="00CA63C8">
        <w:rPr>
          <w:rFonts w:ascii="Times New Roman" w:hAnsi="Times New Roman" w:cs="Times New Roman"/>
          <w:color w:val="000000" w:themeColor="text1"/>
          <w:sz w:val="24"/>
          <w:szCs w:val="24"/>
        </w:rPr>
        <w:t xml:space="preserve">  </w:t>
      </w:r>
      <w:r w:rsidRPr="00CA63C8">
        <w:rPr>
          <w:rFonts w:ascii="Times New Roman" w:hAnsi="Times New Roman" w:cs="Times New Roman"/>
          <w:color w:val="000000" w:themeColor="text1"/>
          <w:sz w:val="24"/>
          <w:szCs w:val="24"/>
        </w:rPr>
        <w:t xml:space="preserve">cu sprijinul partenerilor de dezvoltare, valorificând bunele practici internaționale, inclusiv </w:t>
      </w:r>
      <w:r w:rsidR="00397FE8" w:rsidRPr="00CA63C8">
        <w:rPr>
          <w:rFonts w:ascii="Times New Roman" w:hAnsi="Times New Roman" w:cs="Times New Roman"/>
          <w:color w:val="000000" w:themeColor="text1"/>
          <w:sz w:val="24"/>
          <w:szCs w:val="24"/>
        </w:rPr>
        <w:t>lecții învățate din modelul</w:t>
      </w:r>
      <w:r w:rsidRPr="00CA63C8">
        <w:rPr>
          <w:rFonts w:ascii="Times New Roman" w:hAnsi="Times New Roman" w:cs="Times New Roman"/>
          <w:color w:val="000000" w:themeColor="text1"/>
          <w:sz w:val="24"/>
          <w:szCs w:val="24"/>
        </w:rPr>
        <w:t xml:space="preserve"> Platformei Naționale RRD Croația, structură cu comitet de nivel înalt și grupuri de lucru focalizate pe riscuri și o guvernanță participativă, conform priorității 2 a Cadrului Sendai.</w:t>
      </w:r>
    </w:p>
    <w:p w14:paraId="13105875" w14:textId="49C631D6" w:rsidR="00543512" w:rsidRPr="002D07BC" w:rsidRDefault="00543512" w:rsidP="00E1490B">
      <w:pPr>
        <w:pStyle w:val="ListParagraph"/>
        <w:numPr>
          <w:ilvl w:val="0"/>
          <w:numId w:val="53"/>
        </w:numPr>
        <w:spacing w:after="120"/>
        <w:ind w:left="0" w:firstLine="284"/>
        <w:jc w:val="both"/>
        <w:rPr>
          <w:rFonts w:ascii="Times New Roman" w:hAnsi="Times New Roman" w:cs="Times New Roman"/>
          <w:b/>
          <w:bCs/>
          <w:color w:val="000000" w:themeColor="text1"/>
          <w:sz w:val="24"/>
          <w:szCs w:val="24"/>
        </w:rPr>
      </w:pPr>
      <w:r w:rsidRPr="00CA63C8">
        <w:rPr>
          <w:rFonts w:ascii="Times New Roman" w:hAnsi="Times New Roman" w:cs="Times New Roman"/>
          <w:color w:val="000000" w:themeColor="text1"/>
          <w:sz w:val="24"/>
          <w:szCs w:val="24"/>
        </w:rPr>
        <w:t xml:space="preserve">În paralel, Programul va susține dezvoltarea de parteneriate strategice cu agenții ale ONU (UNDP, UNEP, FAO, IOM), UE și alte instituții internaționale relevante, pentru schimb de expertiză, </w:t>
      </w:r>
      <w:r w:rsidRPr="002D07BC">
        <w:rPr>
          <w:rFonts w:ascii="Times New Roman" w:hAnsi="Times New Roman" w:cs="Times New Roman"/>
          <w:color w:val="000000" w:themeColor="text1"/>
          <w:sz w:val="24"/>
          <w:szCs w:val="24"/>
        </w:rPr>
        <w:t>asistență tehnică și promovarea soluțiilor inovatoare în domeniile reducerii riscurilor de dezastre, adaptării la schimbările climatice, restaurării ecologice post-dezastru și integrării mobilității umane în planificarea RRD. Consolidarea acestor mecanisme și parteneriate va permite sectorului de mediu să participe activ și coordonat la implementarea obiectivelor naționale de reducere a riscurilor și de creștere a rezilienței instituționale și comunitare.</w:t>
      </w:r>
    </w:p>
    <w:p w14:paraId="65AC3311" w14:textId="541E1C4A" w:rsidR="002D07BC" w:rsidRPr="009067DC" w:rsidRDefault="002D07BC" w:rsidP="009067DC">
      <w:pPr>
        <w:pStyle w:val="Heading3"/>
        <w:jc w:val="both"/>
        <w:rPr>
          <w:rFonts w:ascii="Times New Roman" w:hAnsi="Times New Roman" w:cs="Times New Roman"/>
          <w:b/>
          <w:bCs w:val="0"/>
          <w:color w:val="auto"/>
        </w:rPr>
      </w:pPr>
      <w:r w:rsidRPr="009067DC">
        <w:rPr>
          <w:rFonts w:ascii="Times New Roman" w:hAnsi="Times New Roman" w:cs="Times New Roman"/>
          <w:b/>
          <w:bCs w:val="0"/>
          <w:color w:val="auto"/>
        </w:rPr>
        <w:t>Obiectiv specific 2.3: Până în 2030, reducerea riscurilor de dezastre este pe deplin instituționalizată în cadrul structurilor publice din sectorul de mediu si al sănătății, prin clarificarea responsabilităților, desemnarea punctelor focale și consolidarea capacităților operaționale la nivel central și teritorial</w:t>
      </w:r>
    </w:p>
    <w:p w14:paraId="65DBB3E3" w14:textId="61EC7FB0" w:rsidR="003051FE" w:rsidRPr="002D07BC" w:rsidRDefault="003051FE" w:rsidP="009067DC">
      <w:pPr>
        <w:pStyle w:val="ListParagraph"/>
        <w:numPr>
          <w:ilvl w:val="0"/>
          <w:numId w:val="53"/>
        </w:numPr>
        <w:spacing w:before="240" w:after="120"/>
        <w:ind w:left="0" w:firstLine="284"/>
        <w:jc w:val="both"/>
        <w:rPr>
          <w:rFonts w:ascii="Times New Roman" w:hAnsi="Times New Roman" w:cs="Times New Roman"/>
          <w:b/>
          <w:bCs/>
          <w:color w:val="000000" w:themeColor="text1"/>
          <w:sz w:val="24"/>
          <w:szCs w:val="24"/>
        </w:rPr>
      </w:pPr>
      <w:r w:rsidRPr="002D07BC">
        <w:rPr>
          <w:rFonts w:ascii="Times New Roman" w:hAnsi="Times New Roman" w:cs="Times New Roman"/>
          <w:color w:val="000000" w:themeColor="text1"/>
          <w:sz w:val="24"/>
          <w:szCs w:val="24"/>
        </w:rPr>
        <w:t>Reducerea riscurilor de dezastru nu poate fi eficientă fără ancorarea clară a responsabilităților în arhitectura instituțională a statului. În prezent, atribuțiile în domeniul RRD sunt dispersate, iar structurile existente,  inclusiv cele din sectorul de mediu,</w:t>
      </w:r>
      <w:r w:rsidR="00543512" w:rsidRPr="002D07BC">
        <w:rPr>
          <w:rFonts w:ascii="Times New Roman" w:hAnsi="Times New Roman" w:cs="Times New Roman"/>
          <w:color w:val="000000" w:themeColor="text1"/>
          <w:sz w:val="24"/>
          <w:szCs w:val="24"/>
        </w:rPr>
        <w:t xml:space="preserve"> </w:t>
      </w:r>
      <w:r w:rsidRPr="002D07BC">
        <w:rPr>
          <w:rFonts w:ascii="Times New Roman" w:hAnsi="Times New Roman" w:cs="Times New Roman"/>
          <w:color w:val="000000" w:themeColor="text1"/>
          <w:sz w:val="24"/>
          <w:szCs w:val="24"/>
        </w:rPr>
        <w:t xml:space="preserve"> dispun de </w:t>
      </w:r>
      <w:r w:rsidR="00543512" w:rsidRPr="002D07BC">
        <w:rPr>
          <w:rFonts w:ascii="Times New Roman" w:hAnsi="Times New Roman" w:cs="Times New Roman"/>
          <w:color w:val="000000" w:themeColor="text1"/>
          <w:sz w:val="24"/>
          <w:szCs w:val="24"/>
        </w:rPr>
        <w:t>capacități limitate</w:t>
      </w:r>
      <w:r w:rsidRPr="002D07BC">
        <w:rPr>
          <w:rFonts w:ascii="Times New Roman" w:hAnsi="Times New Roman" w:cs="Times New Roman"/>
          <w:color w:val="000000" w:themeColor="text1"/>
          <w:sz w:val="24"/>
          <w:szCs w:val="24"/>
        </w:rPr>
        <w:t xml:space="preserve">, </w:t>
      </w:r>
      <w:r w:rsidR="00543512" w:rsidRPr="002D07BC">
        <w:rPr>
          <w:rFonts w:ascii="Times New Roman" w:hAnsi="Times New Roman" w:cs="Times New Roman"/>
          <w:color w:val="000000" w:themeColor="text1"/>
          <w:sz w:val="24"/>
          <w:szCs w:val="24"/>
        </w:rPr>
        <w:t>și de mandate adesea insuficient definite pentru a acționa într-un mod strategic, intersectorial și anticipativ</w:t>
      </w:r>
      <w:r w:rsidRPr="002D07BC">
        <w:rPr>
          <w:rFonts w:ascii="Times New Roman" w:hAnsi="Times New Roman" w:cs="Times New Roman"/>
          <w:color w:val="000000" w:themeColor="text1"/>
          <w:sz w:val="24"/>
          <w:szCs w:val="24"/>
        </w:rPr>
        <w:t>.</w:t>
      </w:r>
    </w:p>
    <w:p w14:paraId="133166D2" w14:textId="3798B7F4" w:rsidR="00543512" w:rsidRPr="002D07BC" w:rsidRDefault="00543512" w:rsidP="00B339C7">
      <w:pPr>
        <w:pStyle w:val="ListParagraph"/>
        <w:numPr>
          <w:ilvl w:val="0"/>
          <w:numId w:val="53"/>
        </w:numPr>
        <w:spacing w:after="120"/>
        <w:ind w:left="0" w:firstLine="284"/>
        <w:jc w:val="both"/>
        <w:rPr>
          <w:rFonts w:ascii="Times New Roman" w:hAnsi="Times New Roman" w:cs="Times New Roman"/>
          <w:b/>
          <w:bCs/>
          <w:color w:val="000000" w:themeColor="text1"/>
          <w:sz w:val="24"/>
          <w:szCs w:val="24"/>
        </w:rPr>
      </w:pPr>
      <w:r w:rsidRPr="002D07BC">
        <w:rPr>
          <w:rFonts w:ascii="Times New Roman" w:hAnsi="Times New Roman" w:cs="Times New Roman"/>
          <w:color w:val="000000" w:themeColor="text1"/>
          <w:sz w:val="24"/>
          <w:szCs w:val="24"/>
        </w:rPr>
        <w:t>În acest context, obiectivul specific 2.3 urmărește ancorarea reducerii riscurilor de dezastr</w:t>
      </w:r>
      <w:r w:rsidR="009023EE" w:rsidRPr="002D07BC">
        <w:rPr>
          <w:rFonts w:ascii="Times New Roman" w:hAnsi="Times New Roman" w:cs="Times New Roman"/>
          <w:color w:val="000000" w:themeColor="text1"/>
          <w:sz w:val="24"/>
          <w:szCs w:val="24"/>
        </w:rPr>
        <w:t xml:space="preserve">e naturale si biologico-sociale </w:t>
      </w:r>
      <w:r w:rsidRPr="002D07BC">
        <w:rPr>
          <w:rFonts w:ascii="Times New Roman" w:hAnsi="Times New Roman" w:cs="Times New Roman"/>
          <w:color w:val="000000" w:themeColor="text1"/>
          <w:sz w:val="24"/>
          <w:szCs w:val="24"/>
        </w:rPr>
        <w:t>în structurile instituționale ale sectorului de mediu, prin desemnarea de puncte focale, clarificarea responsabilităților și dezvoltarea competențelor necesare pentru prevenire, pregătire</w:t>
      </w:r>
      <w:r w:rsidR="009023EE" w:rsidRPr="002D07BC">
        <w:rPr>
          <w:rFonts w:ascii="Times New Roman" w:hAnsi="Times New Roman" w:cs="Times New Roman"/>
          <w:color w:val="000000" w:themeColor="text1"/>
          <w:sz w:val="24"/>
          <w:szCs w:val="24"/>
        </w:rPr>
        <w:t xml:space="preserve">, </w:t>
      </w:r>
      <w:r w:rsidRPr="002D07BC">
        <w:rPr>
          <w:rFonts w:ascii="Times New Roman" w:hAnsi="Times New Roman" w:cs="Times New Roman"/>
          <w:color w:val="000000" w:themeColor="text1"/>
          <w:sz w:val="24"/>
          <w:szCs w:val="24"/>
        </w:rPr>
        <w:t>răspuns la dezastre</w:t>
      </w:r>
      <w:r w:rsidR="009023EE" w:rsidRPr="002D07BC">
        <w:rPr>
          <w:rFonts w:ascii="Times New Roman" w:hAnsi="Times New Roman" w:cs="Times New Roman"/>
          <w:color w:val="000000" w:themeColor="text1"/>
          <w:sz w:val="24"/>
          <w:szCs w:val="24"/>
        </w:rPr>
        <w:t xml:space="preserve"> și recuperare post-dezastru</w:t>
      </w:r>
      <w:r w:rsidRPr="002D07BC">
        <w:rPr>
          <w:rFonts w:ascii="Times New Roman" w:hAnsi="Times New Roman" w:cs="Times New Roman"/>
          <w:color w:val="000000" w:themeColor="text1"/>
          <w:sz w:val="24"/>
          <w:szCs w:val="24"/>
        </w:rPr>
        <w:t>.</w:t>
      </w:r>
    </w:p>
    <w:p w14:paraId="0BC3E95B" w14:textId="66B3E357" w:rsidR="009023EE" w:rsidRPr="002D07BC" w:rsidRDefault="009023EE" w:rsidP="009023EE">
      <w:pPr>
        <w:pStyle w:val="ListParagraph"/>
        <w:numPr>
          <w:ilvl w:val="0"/>
          <w:numId w:val="53"/>
        </w:numPr>
        <w:spacing w:after="120"/>
        <w:ind w:left="0" w:firstLine="284"/>
        <w:jc w:val="both"/>
        <w:rPr>
          <w:rFonts w:ascii="Times New Roman" w:hAnsi="Times New Roman" w:cs="Times New Roman"/>
          <w:b/>
          <w:bCs/>
          <w:color w:val="000000" w:themeColor="text1"/>
          <w:sz w:val="24"/>
          <w:szCs w:val="24"/>
        </w:rPr>
      </w:pPr>
      <w:r w:rsidRPr="002D07BC">
        <w:rPr>
          <w:rFonts w:ascii="Times New Roman" w:hAnsi="Times New Roman" w:cs="Times New Roman"/>
          <w:color w:val="000000" w:themeColor="text1"/>
          <w:sz w:val="24"/>
          <w:szCs w:val="24"/>
        </w:rPr>
        <w:t xml:space="preserve">Ministerul Mediului va desemna un punct focal RRD cu rol de coordonare sectorială, responsabil de integrarea principiilor reducerii riscurilor de dezastre în politicile, strategiile și programele de mediu, precum și de colaborarea cu instituțiile subordonate: Serviciul Hidrometeorologic de Stat, </w:t>
      </w:r>
      <w:r w:rsidR="00FB35A4" w:rsidRPr="002D07BC">
        <w:rPr>
          <w:rFonts w:ascii="Times New Roman" w:hAnsi="Times New Roman" w:cs="Times New Roman"/>
          <w:color w:val="000000" w:themeColor="text1"/>
          <w:sz w:val="24"/>
          <w:szCs w:val="24"/>
        </w:rPr>
        <w:t xml:space="preserve">IP AN </w:t>
      </w:r>
      <w:r w:rsidRPr="002D07BC">
        <w:rPr>
          <w:rFonts w:ascii="Times New Roman" w:hAnsi="Times New Roman" w:cs="Times New Roman"/>
          <w:color w:val="000000" w:themeColor="text1"/>
          <w:sz w:val="24"/>
          <w:szCs w:val="24"/>
        </w:rPr>
        <w:t>Apele Moldovei, Agenția de Mediu și Agenția „Moldsilva”. Acest punct focal va reprezenta sectorul de mediu în grupurile de lucru și platformele naționale relevante, asigurând coerența între politicile de mediu, climă și gestionarea riscurilor.</w:t>
      </w:r>
    </w:p>
    <w:p w14:paraId="12B24F6E" w14:textId="4701A93D" w:rsidR="009023EE" w:rsidRPr="002D07BC" w:rsidRDefault="009023EE" w:rsidP="009023EE">
      <w:pPr>
        <w:pStyle w:val="ListParagraph"/>
        <w:numPr>
          <w:ilvl w:val="0"/>
          <w:numId w:val="53"/>
        </w:numPr>
        <w:spacing w:after="120"/>
        <w:ind w:left="0" w:firstLine="284"/>
        <w:jc w:val="both"/>
        <w:rPr>
          <w:rFonts w:ascii="Times New Roman" w:hAnsi="Times New Roman" w:cs="Times New Roman"/>
          <w:b/>
          <w:bCs/>
          <w:color w:val="000000" w:themeColor="text1"/>
          <w:sz w:val="24"/>
          <w:szCs w:val="24"/>
        </w:rPr>
      </w:pPr>
      <w:r w:rsidRPr="002D07BC">
        <w:rPr>
          <w:rFonts w:ascii="Times New Roman" w:hAnsi="Times New Roman" w:cs="Times New Roman"/>
          <w:color w:val="000000" w:themeColor="text1"/>
          <w:sz w:val="24"/>
          <w:szCs w:val="24"/>
        </w:rPr>
        <w:t>În paralel, instituțiile subordonate Ministerului Mediului vor fi sprijinite să desemneze responsabili proprii pentru RRD și să integreze această dimensiune în activitatea lor curentă. Procesul va fi susținut de un plan de dezvoltare a capacităților instituționale pentru perioada 2026–2030, care va identifica nevoile de instruire</w:t>
      </w:r>
      <w:r w:rsidR="00EB2B15" w:rsidRPr="002D07BC">
        <w:rPr>
          <w:rFonts w:ascii="Times New Roman" w:hAnsi="Times New Roman" w:cs="Times New Roman"/>
          <w:color w:val="000000" w:themeColor="text1"/>
          <w:sz w:val="24"/>
          <w:szCs w:val="24"/>
        </w:rPr>
        <w:t xml:space="preserve"> și</w:t>
      </w:r>
      <w:r w:rsidRPr="002D07BC">
        <w:rPr>
          <w:rFonts w:ascii="Times New Roman" w:hAnsi="Times New Roman" w:cs="Times New Roman"/>
          <w:color w:val="000000" w:themeColor="text1"/>
          <w:sz w:val="24"/>
          <w:szCs w:val="24"/>
        </w:rPr>
        <w:t xml:space="preserve"> va defini programe de formare periodică. Acest plan va servi drept instrument de coordonare a eforturilor de formare profesională și de consolidare a competențelor instituționale.</w:t>
      </w:r>
    </w:p>
    <w:p w14:paraId="6A58325B" w14:textId="0A47BEE7" w:rsidR="00543512" w:rsidRPr="002D07BC" w:rsidRDefault="009023EE" w:rsidP="009023EE">
      <w:pPr>
        <w:pStyle w:val="ListParagraph"/>
        <w:numPr>
          <w:ilvl w:val="0"/>
          <w:numId w:val="53"/>
        </w:numPr>
        <w:spacing w:after="120"/>
        <w:ind w:left="0" w:firstLine="284"/>
        <w:jc w:val="both"/>
        <w:rPr>
          <w:rFonts w:ascii="Times New Roman" w:hAnsi="Times New Roman" w:cs="Times New Roman"/>
          <w:b/>
          <w:bCs/>
          <w:color w:val="000000" w:themeColor="text1"/>
          <w:sz w:val="24"/>
          <w:szCs w:val="24"/>
        </w:rPr>
      </w:pPr>
      <w:r w:rsidRPr="002D07BC">
        <w:rPr>
          <w:rFonts w:ascii="Times New Roman" w:hAnsi="Times New Roman" w:cs="Times New Roman"/>
          <w:color w:val="000000" w:themeColor="text1"/>
          <w:sz w:val="24"/>
          <w:szCs w:val="24"/>
        </w:rPr>
        <w:t>Prin aceste măsuri, sectorul de mediu va dispune până în 2030 de o structură instituțională consolidată, clar definită și funcțională, capabilă să asigure integrarea sistematică a reducerii riscurilor de dezastr</w:t>
      </w:r>
      <w:r w:rsidR="00EB2B15" w:rsidRPr="002D07BC">
        <w:rPr>
          <w:rFonts w:ascii="Times New Roman" w:hAnsi="Times New Roman" w:cs="Times New Roman"/>
          <w:color w:val="000000" w:themeColor="text1"/>
          <w:sz w:val="24"/>
          <w:szCs w:val="24"/>
        </w:rPr>
        <w:t>e</w:t>
      </w:r>
      <w:r w:rsidRPr="002D07BC">
        <w:rPr>
          <w:rFonts w:ascii="Times New Roman" w:hAnsi="Times New Roman" w:cs="Times New Roman"/>
          <w:color w:val="000000" w:themeColor="text1"/>
          <w:sz w:val="24"/>
          <w:szCs w:val="24"/>
        </w:rPr>
        <w:t xml:space="preserve"> în activitățile sale curente și să contribuie activ la reziliența națională și locală</w:t>
      </w:r>
      <w:r w:rsidR="00EB2B15" w:rsidRPr="002D07BC">
        <w:rPr>
          <w:rFonts w:ascii="Times New Roman" w:hAnsi="Times New Roman" w:cs="Times New Roman"/>
          <w:color w:val="000000" w:themeColor="text1"/>
          <w:sz w:val="24"/>
          <w:szCs w:val="24"/>
        </w:rPr>
        <w:t xml:space="preserve">. </w:t>
      </w:r>
    </w:p>
    <w:p w14:paraId="626A8EB0" w14:textId="77777777" w:rsidR="002D07BC" w:rsidRPr="009067DC" w:rsidRDefault="002D07BC" w:rsidP="009067DC">
      <w:pPr>
        <w:pStyle w:val="Heading2"/>
        <w:jc w:val="both"/>
        <w:rPr>
          <w:rFonts w:ascii="Times New Roman" w:hAnsi="Times New Roman" w:cs="Times New Roman"/>
          <w:color w:val="auto"/>
          <w:sz w:val="24"/>
          <w:szCs w:val="24"/>
        </w:rPr>
      </w:pPr>
      <w:r w:rsidRPr="009067DC">
        <w:rPr>
          <w:rFonts w:ascii="Times New Roman" w:hAnsi="Times New Roman" w:cs="Times New Roman"/>
          <w:color w:val="auto"/>
          <w:sz w:val="24"/>
          <w:szCs w:val="24"/>
        </w:rPr>
        <w:t>Obiectivul general 3: Investiții în reducerea riscurilor și consolidarea rezilienței ecosistemelor și infrastructurii de mediu, prin integrarea acestor dimensiuni în politicile sectoriale, inclusiv în agricultură, silvicultură, apă, biodiversitate și soluri, precum și în domenii relevante pentru gestionarea mobilității umane generate de riscuri climatice</w:t>
      </w:r>
    </w:p>
    <w:p w14:paraId="2CF0D7DF" w14:textId="77777777" w:rsidR="002D07BC" w:rsidRPr="002D07BC" w:rsidRDefault="002D07BC" w:rsidP="002D07BC">
      <w:pPr>
        <w:spacing w:after="120"/>
        <w:jc w:val="both"/>
        <w:rPr>
          <w:color w:val="000000" w:themeColor="text1"/>
        </w:rPr>
      </w:pPr>
      <w:r w:rsidRPr="002D07BC">
        <w:rPr>
          <w:i/>
          <w:iCs/>
          <w:color w:val="000000" w:themeColor="text1"/>
          <w:u w:val="single"/>
        </w:rPr>
        <w:t>Contribuie la: ODD 6 - Țintele 6.3, 6.4, 6.5, 6.6, 6.a, ODD 12 - Ținta 12.2, ODD 13 - Ținta 13.1, ODD 15 - Țintele 15.1, 15.2, 15.3, 15.5, 15.8, 15.9</w:t>
      </w:r>
    </w:p>
    <w:p w14:paraId="71D32681" w14:textId="77777777" w:rsidR="002D07BC" w:rsidRPr="002D07BC" w:rsidRDefault="002D07BC" w:rsidP="002D07BC">
      <w:pPr>
        <w:pStyle w:val="ListParagraph"/>
        <w:spacing w:after="120"/>
        <w:ind w:left="284" w:firstLine="0"/>
        <w:jc w:val="both"/>
        <w:rPr>
          <w:rFonts w:ascii="Times New Roman" w:hAnsi="Times New Roman" w:cs="Times New Roman"/>
          <w:b/>
          <w:bCs/>
          <w:color w:val="000000" w:themeColor="text1"/>
          <w:sz w:val="24"/>
          <w:szCs w:val="24"/>
        </w:rPr>
      </w:pPr>
    </w:p>
    <w:p w14:paraId="5926984A" w14:textId="01CA26CE" w:rsidR="0087146E" w:rsidRPr="002D07BC" w:rsidRDefault="0087146E" w:rsidP="004F7314">
      <w:pPr>
        <w:pStyle w:val="ListParagraph"/>
        <w:numPr>
          <w:ilvl w:val="0"/>
          <w:numId w:val="53"/>
        </w:numPr>
        <w:spacing w:after="120"/>
        <w:ind w:left="0" w:firstLine="284"/>
        <w:jc w:val="both"/>
        <w:rPr>
          <w:rFonts w:ascii="Times New Roman" w:hAnsi="Times New Roman" w:cs="Times New Roman"/>
          <w:b/>
          <w:bCs/>
          <w:color w:val="000000" w:themeColor="text1"/>
          <w:sz w:val="24"/>
          <w:szCs w:val="24"/>
        </w:rPr>
      </w:pPr>
      <w:r w:rsidRPr="002D07BC">
        <w:rPr>
          <w:rFonts w:ascii="Times New Roman" w:hAnsi="Times New Roman" w:cs="Times New Roman"/>
          <w:color w:val="000000" w:themeColor="text1"/>
          <w:sz w:val="24"/>
          <w:szCs w:val="24"/>
        </w:rPr>
        <w:lastRenderedPageBreak/>
        <w:t>Ecosistemele naturale și infrastructura verde reprezintă prima linie de apărare a Republicii Moldova în fața riscurilor de dezastre naturale si biologico-sociale. Seceta, inundațiile, eroziunea și alunecările de teren afectează tot mai frecvent comunitățile și infrastructura, în condițiile unei degradări accentuate a terenurilor, a pierderii biodiversității și a gestionării insuficiente a resurselor de apă. În acest context, restaurarea ecosistemelor, împădurirea, protejarea zonelor umede, conservarea biodiversității și adoptarea practicilor agricole sustenabile devin piloni strategici pentru prevenirea și atenuarea dezastrelor</w:t>
      </w:r>
      <w:r w:rsidR="00BD7E9A" w:rsidRPr="002D07BC">
        <w:rPr>
          <w:rFonts w:ascii="Times New Roman" w:hAnsi="Times New Roman" w:cs="Times New Roman"/>
          <w:color w:val="000000" w:themeColor="text1"/>
          <w:sz w:val="24"/>
          <w:szCs w:val="24"/>
        </w:rPr>
        <w:t>.</w:t>
      </w:r>
    </w:p>
    <w:p w14:paraId="0E9FB82D" w14:textId="26CD33B4" w:rsidR="00D1375B" w:rsidRPr="002D07BC" w:rsidRDefault="00D1375B" w:rsidP="00B339C7">
      <w:pPr>
        <w:pStyle w:val="ListParagraph"/>
        <w:numPr>
          <w:ilvl w:val="0"/>
          <w:numId w:val="53"/>
        </w:numPr>
        <w:spacing w:after="120"/>
        <w:ind w:left="0" w:firstLine="284"/>
        <w:jc w:val="both"/>
        <w:rPr>
          <w:rFonts w:ascii="Times New Roman" w:hAnsi="Times New Roman" w:cs="Times New Roman"/>
          <w:b/>
          <w:bCs/>
          <w:color w:val="000000" w:themeColor="text1"/>
          <w:sz w:val="24"/>
          <w:szCs w:val="24"/>
        </w:rPr>
      </w:pPr>
      <w:r w:rsidRPr="002D07BC">
        <w:rPr>
          <w:rFonts w:ascii="Times New Roman" w:hAnsi="Times New Roman" w:cs="Times New Roman"/>
          <w:color w:val="000000" w:themeColor="text1"/>
          <w:sz w:val="24"/>
          <w:szCs w:val="24"/>
        </w:rPr>
        <w:t>Obiectivul urmărește să valorifice cadrul strategic existent,  inclusiv Programul Național de Extindere și Reabilitare a Pădurilor (HG nr. 55/2023), Programul Național pentru Adaptare la Schimbările Climatice (HG nr. 624/2023), Legea nr. 74/2024 privind acțiunile climatice, Programul de îmbunătățiri funciare și de management durabil al solului (HG nr. 864/2020), Planul pentru gestionarea secetei (HG nr. 21/2024</w:t>
      </w:r>
      <w:r w:rsidR="00BD7E9A" w:rsidRPr="002D07BC">
        <w:rPr>
          <w:rFonts w:ascii="Times New Roman" w:hAnsi="Times New Roman" w:cs="Times New Roman"/>
          <w:color w:val="000000" w:themeColor="text1"/>
          <w:sz w:val="24"/>
          <w:szCs w:val="24"/>
        </w:rPr>
        <w:t xml:space="preserve"> care modifica HG nr. 779/2013</w:t>
      </w:r>
      <w:r w:rsidRPr="002D07BC">
        <w:rPr>
          <w:rFonts w:ascii="Times New Roman" w:hAnsi="Times New Roman" w:cs="Times New Roman"/>
          <w:color w:val="000000" w:themeColor="text1"/>
          <w:sz w:val="24"/>
          <w:szCs w:val="24"/>
        </w:rPr>
        <w:t>) și planurile de management al riscului de inundații (HG nr. 562/2020), asigurând coerența acestora cu obiectivele reducerii riscurilor de dezastre.</w:t>
      </w:r>
    </w:p>
    <w:p w14:paraId="21865EB2" w14:textId="7365AD8D" w:rsidR="00D1375B" w:rsidRPr="002D07BC" w:rsidRDefault="00D1375B" w:rsidP="00B339C7">
      <w:pPr>
        <w:pStyle w:val="ListParagraph"/>
        <w:numPr>
          <w:ilvl w:val="0"/>
          <w:numId w:val="53"/>
        </w:numPr>
        <w:spacing w:after="120"/>
        <w:ind w:left="0" w:firstLine="284"/>
        <w:jc w:val="both"/>
        <w:rPr>
          <w:rFonts w:ascii="Times New Roman" w:hAnsi="Times New Roman" w:cs="Times New Roman"/>
          <w:b/>
          <w:bCs/>
          <w:color w:val="000000" w:themeColor="text1"/>
          <w:sz w:val="24"/>
          <w:szCs w:val="24"/>
        </w:rPr>
      </w:pPr>
      <w:r w:rsidRPr="002D07BC">
        <w:rPr>
          <w:rFonts w:ascii="Times New Roman" w:hAnsi="Times New Roman" w:cs="Times New Roman"/>
          <w:color w:val="000000" w:themeColor="text1"/>
          <w:sz w:val="24"/>
          <w:szCs w:val="24"/>
        </w:rPr>
        <w:t>Programul se concentrează pe trei direcții strategice complementare:</w:t>
      </w:r>
      <w:r w:rsidR="00BD7E9A" w:rsidRPr="002D07BC">
        <w:rPr>
          <w:rFonts w:ascii="Times New Roman" w:hAnsi="Times New Roman" w:cs="Times New Roman"/>
          <w:color w:val="000000" w:themeColor="text1"/>
          <w:sz w:val="24"/>
          <w:szCs w:val="24"/>
        </w:rPr>
        <w:t xml:space="preserve"> i) î</w:t>
      </w:r>
      <w:r w:rsidRPr="002D07BC">
        <w:rPr>
          <w:rFonts w:ascii="Times New Roman" w:hAnsi="Times New Roman" w:cs="Times New Roman"/>
          <w:color w:val="000000" w:themeColor="text1"/>
          <w:sz w:val="24"/>
          <w:szCs w:val="24"/>
        </w:rPr>
        <w:t>mpădurirea, restaurarea ecosistemelor forestiere și consolidarea infrastructurii naturale de protecție, inclusiv perdele forestiere și fâșii riverane, pentru reducerea riscurilor de secetă, eroziune și alunecări de teren, în corelare cu țintele și instrumentele PNERP</w:t>
      </w:r>
      <w:r w:rsidR="00BD7E9A" w:rsidRPr="002D07BC">
        <w:rPr>
          <w:rFonts w:ascii="Times New Roman" w:hAnsi="Times New Roman" w:cs="Times New Roman"/>
          <w:color w:val="000000" w:themeColor="text1"/>
          <w:sz w:val="24"/>
          <w:szCs w:val="24"/>
        </w:rPr>
        <w:t xml:space="preserve">; ii) </w:t>
      </w:r>
      <w:r w:rsidRPr="002D07BC">
        <w:rPr>
          <w:rFonts w:ascii="Times New Roman" w:hAnsi="Times New Roman" w:cs="Times New Roman"/>
          <w:color w:val="000000" w:themeColor="text1"/>
          <w:sz w:val="24"/>
          <w:szCs w:val="24"/>
        </w:rPr>
        <w:t>Conservarea și restaurarea ecosistemelor acvatice și a zonelor umede, prin soluții bazate pe natură, pentru reducerea riscului de inundații, îmbunătățirea retenției apei, refacerea funcțiilor hidrologice și creșterea biodiversității, în cadrul planurilor de management hidrologic pentru bazinele Prut și Nistru</w:t>
      </w:r>
      <w:r w:rsidR="00BD7E9A" w:rsidRPr="002D07BC">
        <w:rPr>
          <w:rFonts w:ascii="Times New Roman" w:hAnsi="Times New Roman" w:cs="Times New Roman"/>
          <w:color w:val="000000" w:themeColor="text1"/>
          <w:sz w:val="24"/>
          <w:szCs w:val="24"/>
        </w:rPr>
        <w:t xml:space="preserve">. </w:t>
      </w:r>
      <w:r w:rsidR="00971672" w:rsidRPr="002D07BC">
        <w:rPr>
          <w:rFonts w:ascii="Times New Roman" w:hAnsi="Times New Roman" w:cs="Times New Roman"/>
          <w:color w:val="000000" w:themeColor="text1"/>
          <w:sz w:val="24"/>
          <w:szCs w:val="24"/>
        </w:rPr>
        <w:t>i</w:t>
      </w:r>
      <w:r w:rsidR="00BD7E9A" w:rsidRPr="002D07BC">
        <w:rPr>
          <w:rFonts w:ascii="Times New Roman" w:hAnsi="Times New Roman" w:cs="Times New Roman"/>
          <w:color w:val="000000" w:themeColor="text1"/>
          <w:sz w:val="24"/>
          <w:szCs w:val="24"/>
        </w:rPr>
        <w:t>ii) p</w:t>
      </w:r>
      <w:r w:rsidRPr="002D07BC">
        <w:rPr>
          <w:rFonts w:ascii="Times New Roman" w:hAnsi="Times New Roman" w:cs="Times New Roman"/>
          <w:color w:val="000000" w:themeColor="text1"/>
          <w:sz w:val="24"/>
          <w:szCs w:val="24"/>
        </w:rPr>
        <w:t>romovarea practicilor agricole și silvo-pastorale sustenabile, care reduc vulnerabilitatea terenurilor la riscurile climatice și pedologice, în complementaritate cu instrumentele prevăzute de HG nr. 864/2020, HG nr. 779/2013 (modificat prin HG nr. 21/2024) și Legea nr. 284/2025 privind managementul riscurilor și al situațiilor de criză.</w:t>
      </w:r>
    </w:p>
    <w:p w14:paraId="1D13F136" w14:textId="290C050F" w:rsidR="00772702" w:rsidRPr="002D07BC" w:rsidRDefault="00D1375B" w:rsidP="004F7314">
      <w:pPr>
        <w:pStyle w:val="ListParagraph"/>
        <w:numPr>
          <w:ilvl w:val="0"/>
          <w:numId w:val="53"/>
        </w:numPr>
        <w:spacing w:after="120"/>
        <w:ind w:left="0" w:firstLine="284"/>
        <w:jc w:val="both"/>
        <w:rPr>
          <w:rFonts w:ascii="Times New Roman" w:hAnsi="Times New Roman" w:cs="Times New Roman"/>
          <w:b/>
          <w:bCs/>
          <w:color w:val="000000" w:themeColor="text1"/>
          <w:sz w:val="24"/>
          <w:szCs w:val="24"/>
        </w:rPr>
      </w:pPr>
      <w:r w:rsidRPr="002D07BC">
        <w:rPr>
          <w:rFonts w:ascii="Times New Roman" w:hAnsi="Times New Roman" w:cs="Times New Roman"/>
          <w:color w:val="000000" w:themeColor="text1"/>
          <w:sz w:val="24"/>
          <w:szCs w:val="24"/>
        </w:rPr>
        <w:t>Împreună, aceste direcții vor permite valorificarea capitalului natural al țării, reducerea vulnerabilității comunităților și infrastructurii și integrarea coerentă a principiilor reducerii riscurilor în politicile sectoriale, în conformitate cu Cadrul de la Sendai și Agenda 2030 pentru Dezvoltare Durabilă.</w:t>
      </w:r>
    </w:p>
    <w:tbl>
      <w:tblPr>
        <w:tblStyle w:val="TableGrid"/>
        <w:tblW w:w="9782" w:type="dxa"/>
        <w:tblLayout w:type="fixed"/>
        <w:tblLook w:val="04A0" w:firstRow="1" w:lastRow="0" w:firstColumn="1" w:lastColumn="0" w:noHBand="0" w:noVBand="1"/>
      </w:tblPr>
      <w:tblGrid>
        <w:gridCol w:w="2812"/>
        <w:gridCol w:w="2208"/>
        <w:gridCol w:w="2409"/>
        <w:gridCol w:w="2353"/>
      </w:tblGrid>
      <w:tr w:rsidR="00B90C31" w:rsidRPr="002D07BC" w14:paraId="6F1FCC32" w14:textId="77777777" w:rsidTr="008F2208">
        <w:trPr>
          <w:trHeight w:val="699"/>
        </w:trPr>
        <w:tc>
          <w:tcPr>
            <w:tcW w:w="2812" w:type="dxa"/>
          </w:tcPr>
          <w:p w14:paraId="115A7FD3" w14:textId="3A35328F" w:rsidR="00B90C31" w:rsidRPr="002D07BC" w:rsidRDefault="00B90C31" w:rsidP="000E61F1">
            <w:pPr>
              <w:pStyle w:val="p1"/>
              <w:rPr>
                <w:b/>
                <w:bCs/>
                <w:sz w:val="24"/>
                <w:szCs w:val="24"/>
              </w:rPr>
            </w:pPr>
            <w:r w:rsidRPr="002D07BC">
              <w:rPr>
                <w:b/>
                <w:bCs/>
                <w:sz w:val="24"/>
                <w:szCs w:val="24"/>
              </w:rPr>
              <w:t>Indicator de impact</w:t>
            </w:r>
            <w:r w:rsidRPr="002D07BC">
              <w:rPr>
                <w:rStyle w:val="apple-converted-space"/>
                <w:rFonts w:eastAsiaTheme="majorEastAsia"/>
                <w:b/>
                <w:bCs/>
                <w:sz w:val="24"/>
                <w:szCs w:val="24"/>
              </w:rPr>
              <w:t> </w:t>
            </w:r>
          </w:p>
        </w:tc>
        <w:tc>
          <w:tcPr>
            <w:tcW w:w="2208" w:type="dxa"/>
          </w:tcPr>
          <w:p w14:paraId="57E67D5E" w14:textId="55CE58EE" w:rsidR="00B90C31" w:rsidRPr="002D07BC" w:rsidRDefault="00B90C31" w:rsidP="000E61F1">
            <w:pPr>
              <w:widowControl w:val="0"/>
              <w:autoSpaceDE w:val="0"/>
              <w:autoSpaceDN w:val="0"/>
              <w:spacing w:after="120"/>
              <w:ind w:right="459"/>
              <w:rPr>
                <w:b/>
                <w:bCs/>
                <w:color w:val="000000" w:themeColor="text1"/>
              </w:rPr>
            </w:pPr>
            <w:r w:rsidRPr="002D07BC">
              <w:rPr>
                <w:b/>
                <w:bCs/>
                <w:color w:val="000000" w:themeColor="text1"/>
              </w:rPr>
              <w:t>Furnizor de date</w:t>
            </w:r>
          </w:p>
        </w:tc>
        <w:tc>
          <w:tcPr>
            <w:tcW w:w="2409" w:type="dxa"/>
          </w:tcPr>
          <w:p w14:paraId="4064766F" w14:textId="119B35FD" w:rsidR="00B90C31" w:rsidRPr="002D07BC" w:rsidRDefault="00B90C31" w:rsidP="000E61F1">
            <w:pPr>
              <w:widowControl w:val="0"/>
              <w:autoSpaceDE w:val="0"/>
              <w:autoSpaceDN w:val="0"/>
              <w:spacing w:after="120"/>
              <w:ind w:right="459"/>
              <w:rPr>
                <w:b/>
                <w:bCs/>
                <w:color w:val="000000" w:themeColor="text1"/>
              </w:rPr>
            </w:pPr>
            <w:r w:rsidRPr="002D07BC">
              <w:rPr>
                <w:b/>
                <w:bCs/>
                <w:color w:val="000000" w:themeColor="text1"/>
              </w:rPr>
              <w:t>Valoarea de referință 2025</w:t>
            </w:r>
          </w:p>
        </w:tc>
        <w:tc>
          <w:tcPr>
            <w:tcW w:w="2353" w:type="dxa"/>
          </w:tcPr>
          <w:p w14:paraId="692060C1" w14:textId="72491EF7" w:rsidR="00B90C31" w:rsidRPr="002D07BC" w:rsidRDefault="00B90C31" w:rsidP="000E61F1">
            <w:pPr>
              <w:widowControl w:val="0"/>
              <w:autoSpaceDE w:val="0"/>
              <w:autoSpaceDN w:val="0"/>
              <w:spacing w:after="120"/>
              <w:ind w:right="459"/>
              <w:rPr>
                <w:b/>
                <w:bCs/>
                <w:color w:val="000000" w:themeColor="text1"/>
              </w:rPr>
            </w:pPr>
            <w:r w:rsidRPr="002D07BC">
              <w:rPr>
                <w:b/>
                <w:bCs/>
                <w:color w:val="000000" w:themeColor="text1"/>
              </w:rPr>
              <w:t>Ținta finală 2030</w:t>
            </w:r>
          </w:p>
        </w:tc>
      </w:tr>
      <w:tr w:rsidR="00B90C31" w:rsidRPr="002D07BC" w14:paraId="583203F0" w14:textId="77777777" w:rsidTr="00B90C31">
        <w:trPr>
          <w:trHeight w:val="2570"/>
        </w:trPr>
        <w:tc>
          <w:tcPr>
            <w:tcW w:w="2812" w:type="dxa"/>
          </w:tcPr>
          <w:p w14:paraId="4256C03B" w14:textId="1A859E02" w:rsidR="00B90C31" w:rsidRPr="002D07BC" w:rsidRDefault="00B90C31" w:rsidP="004267F5">
            <w:pPr>
              <w:widowControl w:val="0"/>
              <w:autoSpaceDE w:val="0"/>
              <w:autoSpaceDN w:val="0"/>
              <w:spacing w:after="120"/>
              <w:ind w:right="459"/>
              <w:rPr>
                <w:b/>
                <w:bCs/>
                <w:color w:val="000000" w:themeColor="text1"/>
              </w:rPr>
            </w:pPr>
            <w:r w:rsidRPr="002D07BC">
              <w:rPr>
                <w:b/>
                <w:bCs/>
              </w:rPr>
              <w:t>Proporția suprafețelor de ecosisteme terestre și acvatice gestionate sau restaurate pentru reducerea riscurilor naturale și biologico-sociale</w:t>
            </w:r>
          </w:p>
        </w:tc>
        <w:tc>
          <w:tcPr>
            <w:tcW w:w="2208" w:type="dxa"/>
          </w:tcPr>
          <w:tbl>
            <w:tblPr>
              <w:tblW w:w="0" w:type="auto"/>
              <w:tblCellSpacing w:w="15" w:type="dxa"/>
              <w:tblInd w:w="6" w:type="dxa"/>
              <w:tblLayout w:type="fixed"/>
              <w:tblCellMar>
                <w:top w:w="15" w:type="dxa"/>
                <w:left w:w="15" w:type="dxa"/>
                <w:bottom w:w="15" w:type="dxa"/>
                <w:right w:w="15" w:type="dxa"/>
              </w:tblCellMar>
              <w:tblLook w:val="04A0" w:firstRow="1" w:lastRow="0" w:firstColumn="1" w:lastColumn="0" w:noHBand="0" w:noVBand="1"/>
            </w:tblPr>
            <w:tblGrid>
              <w:gridCol w:w="155"/>
            </w:tblGrid>
            <w:tr w:rsidR="00B90C31" w:rsidRPr="002D07BC" w14:paraId="26B9228B" w14:textId="77777777" w:rsidTr="00B90C31">
              <w:trPr>
                <w:trHeight w:val="35"/>
                <w:tblCellSpacing w:w="15" w:type="dxa"/>
              </w:trPr>
              <w:tc>
                <w:tcPr>
                  <w:tcW w:w="95" w:type="dxa"/>
                  <w:vAlign w:val="center"/>
                  <w:hideMark/>
                </w:tcPr>
                <w:p w14:paraId="76689F6D" w14:textId="5967896D" w:rsidR="00B90C31" w:rsidRPr="002D07BC" w:rsidRDefault="00B90C31" w:rsidP="00B339C7">
                  <w:pPr>
                    <w:widowControl w:val="0"/>
                    <w:autoSpaceDE w:val="0"/>
                    <w:autoSpaceDN w:val="0"/>
                    <w:spacing w:after="120"/>
                    <w:ind w:right="459"/>
                    <w:rPr>
                      <w:color w:val="000000" w:themeColor="text1"/>
                    </w:rPr>
                  </w:pPr>
                </w:p>
              </w:tc>
            </w:tr>
          </w:tbl>
          <w:p w14:paraId="15196044" w14:textId="2848E5EF" w:rsidR="00B90C31" w:rsidRPr="002D07BC" w:rsidRDefault="00B90C31" w:rsidP="004267F5">
            <w:pPr>
              <w:widowControl w:val="0"/>
              <w:autoSpaceDE w:val="0"/>
              <w:autoSpaceDN w:val="0"/>
              <w:spacing w:after="120"/>
              <w:ind w:right="459"/>
              <w:rPr>
                <w:color w:val="000000" w:themeColor="text1"/>
              </w:rPr>
            </w:pPr>
            <w:r w:rsidRPr="002D07BC">
              <w:rPr>
                <w:color w:val="000000" w:themeColor="text1"/>
              </w:rPr>
              <w:t xml:space="preserve">Ministerul Mediului, Moldsilva, IP </w:t>
            </w:r>
            <w:r w:rsidR="00E37493" w:rsidRPr="002D07BC">
              <w:rPr>
                <w:color w:val="000000" w:themeColor="text1"/>
              </w:rPr>
              <w:t xml:space="preserve">AN </w:t>
            </w:r>
            <w:r w:rsidRPr="002D07BC">
              <w:rPr>
                <w:color w:val="000000" w:themeColor="text1"/>
              </w:rPr>
              <w:t>Apele Moldovei, Agenția de Mediu, MAIA</w:t>
            </w:r>
          </w:p>
        </w:tc>
        <w:tc>
          <w:tcPr>
            <w:tcW w:w="2409" w:type="dxa"/>
          </w:tcPr>
          <w:p w14:paraId="098ED976" w14:textId="72733955" w:rsidR="00B90C31" w:rsidRPr="002D07BC" w:rsidRDefault="00B90C31" w:rsidP="005C20C8">
            <w:pPr>
              <w:widowControl w:val="0"/>
              <w:autoSpaceDE w:val="0"/>
              <w:autoSpaceDN w:val="0"/>
              <w:spacing w:after="120"/>
              <w:ind w:right="459"/>
              <w:rPr>
                <w:color w:val="000000" w:themeColor="text1"/>
              </w:rPr>
            </w:pPr>
            <w:r w:rsidRPr="002D07BC">
              <w:rPr>
                <w:color w:val="000000" w:themeColor="text1"/>
              </w:rPr>
              <w:t>Lipsă evidență consolidată acțiuni de restaurare neclasificate după criteriul RRD</w:t>
            </w:r>
          </w:p>
        </w:tc>
        <w:tc>
          <w:tcPr>
            <w:tcW w:w="2353" w:type="dxa"/>
          </w:tcPr>
          <w:p w14:paraId="483945A7" w14:textId="7F8C0F10" w:rsidR="00B90C31" w:rsidRPr="002D07BC" w:rsidRDefault="00B90C31" w:rsidP="004267F5">
            <w:pPr>
              <w:widowControl w:val="0"/>
              <w:autoSpaceDE w:val="0"/>
              <w:autoSpaceDN w:val="0"/>
              <w:spacing w:after="120"/>
              <w:ind w:right="459"/>
              <w:rPr>
                <w:color w:val="000000" w:themeColor="text1"/>
              </w:rPr>
            </w:pPr>
            <w:r w:rsidRPr="002D07BC">
              <w:rPr>
                <w:color w:val="000000" w:themeColor="text1"/>
              </w:rPr>
              <w:t>≥ 30% din intervențiile naționale de împădurire restaurare ecologică și ameliorare realizate cu obiectiv explicit RRD</w:t>
            </w:r>
          </w:p>
        </w:tc>
      </w:tr>
    </w:tbl>
    <w:p w14:paraId="3319B113" w14:textId="77777777" w:rsidR="005D5585" w:rsidRPr="002D07BC" w:rsidRDefault="005D5585" w:rsidP="0087146E">
      <w:pPr>
        <w:spacing w:after="120"/>
        <w:jc w:val="both"/>
        <w:rPr>
          <w:color w:val="000000" w:themeColor="text1"/>
        </w:rPr>
      </w:pPr>
    </w:p>
    <w:p w14:paraId="7AEE0D0C" w14:textId="0E35861F" w:rsidR="004F7314" w:rsidRPr="009067DC" w:rsidRDefault="004F7314" w:rsidP="009067DC">
      <w:pPr>
        <w:pStyle w:val="Heading3"/>
        <w:jc w:val="both"/>
        <w:rPr>
          <w:rFonts w:ascii="Times New Roman" w:hAnsi="Times New Roman" w:cs="Times New Roman"/>
          <w:b/>
          <w:bCs w:val="0"/>
          <w:color w:val="auto"/>
        </w:rPr>
      </w:pPr>
      <w:r w:rsidRPr="009067DC">
        <w:rPr>
          <w:rFonts w:ascii="Times New Roman" w:hAnsi="Times New Roman" w:cs="Times New Roman"/>
          <w:b/>
          <w:bCs w:val="0"/>
          <w:color w:val="auto"/>
        </w:rPr>
        <w:t xml:space="preserve">Obiectiv specific 3.1: </w:t>
      </w:r>
      <w:r w:rsidR="008A15C2" w:rsidRPr="009067DC">
        <w:rPr>
          <w:rFonts w:ascii="Times New Roman" w:hAnsi="Times New Roman" w:cs="Times New Roman"/>
          <w:b/>
          <w:bCs w:val="0"/>
          <w:color w:val="auto"/>
        </w:rPr>
        <w:t>Până în 2030, suprafețele împădurite și terenurile cu vegetație forestieră degradată sunt extinse și restaurate în scopul reducerii riscurilor naturale si biologico-sociale și al consolidării rezilienței ecosistemelor și comunităților.</w:t>
      </w:r>
    </w:p>
    <w:p w14:paraId="0C044FB5" w14:textId="73A08A63" w:rsidR="00150473" w:rsidRPr="002D07BC" w:rsidRDefault="00150473" w:rsidP="002D07BC">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2D07BC">
        <w:rPr>
          <w:rFonts w:ascii="Times New Roman" w:hAnsi="Times New Roman" w:cs="Times New Roman"/>
          <w:color w:val="000000" w:themeColor="text1"/>
          <w:sz w:val="24"/>
          <w:szCs w:val="24"/>
        </w:rPr>
        <w:t xml:space="preserve">Extinderea și refacerea fondului forestier constituie una dintre cele mai eficiente măsuri naturale de reducere a riscurilor climatice, contribuind la diminuarea efectelor secetei, eroziunii solului, alunecărilor de teren și pierderii biodiversității. Pădurile oferă beneficii multiple, de la captarea </w:t>
      </w:r>
      <w:r w:rsidRPr="002D07BC">
        <w:rPr>
          <w:rFonts w:ascii="Times New Roman" w:hAnsi="Times New Roman" w:cs="Times New Roman"/>
          <w:color w:val="000000" w:themeColor="text1"/>
          <w:sz w:val="24"/>
          <w:szCs w:val="24"/>
        </w:rPr>
        <w:lastRenderedPageBreak/>
        <w:t>carbonului și reglarea regimului hidrologic, până la protejarea infrastructurii rurale și a comunităților vulnerabile.</w:t>
      </w:r>
    </w:p>
    <w:p w14:paraId="6F526596" w14:textId="4C757697" w:rsidR="00150473" w:rsidRPr="002D07BC" w:rsidRDefault="00150473" w:rsidP="00150473">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2D07BC">
        <w:rPr>
          <w:rFonts w:ascii="Times New Roman" w:hAnsi="Times New Roman" w:cs="Times New Roman"/>
          <w:color w:val="000000" w:themeColor="text1"/>
          <w:sz w:val="24"/>
          <w:szCs w:val="24"/>
        </w:rPr>
        <w:t xml:space="preserve">Obiectivul urmărește valorificarea potențialului Programului Național de Extindere și Reabilitare a Pădurilor (PNERP) prin orientarea acestuia către reducerea riscurilor climatice și de mediu, în special în zonele expuse la secetă, eroziune și inundații. Țintele programului implica extinderea a circa 70.000 ha până în 2032 (dintre care 41.000 ha până în 2027), vor fi corelate anual cu progresele realizate ținând cont că în perioada 2022–2024 au fost deja împădurite 8.591 ha. Țintele vor fi reevaluate anual si din prisma constrângerilor operaționale, tehnice și bugetare, Se vor explora posibilități de implicare a societății civile, a diasporei și a sectorului privat, inclusiv prin dezvoltarea de mecanisme inovative de mobilizare a resurselor (ex. crowdfunding, sponsorizări comunitare), în măsura în care cadrul legal și instituțional va permite. </w:t>
      </w:r>
    </w:p>
    <w:p w14:paraId="5285DC1E" w14:textId="6775EBFA" w:rsidR="00150473" w:rsidRPr="002D07BC" w:rsidRDefault="00150473" w:rsidP="00150473">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2D07BC">
        <w:rPr>
          <w:rFonts w:ascii="Times New Roman" w:hAnsi="Times New Roman" w:cs="Times New Roman"/>
          <w:color w:val="000000" w:themeColor="text1"/>
          <w:sz w:val="24"/>
          <w:szCs w:val="24"/>
        </w:rPr>
        <w:t>Pentru o planificare mai eficientă și bazată pe date, până în 2027 va fi elaborat un studiu național de restaurare a peisajului forestier (FLR), conform metodologiilor IUCN–WRI</w:t>
      </w:r>
      <w:r w:rsidR="00532DD5" w:rsidRPr="002D07BC">
        <w:rPr>
          <w:rFonts w:ascii="Times New Roman" w:hAnsi="Times New Roman" w:cs="Times New Roman"/>
          <w:color w:val="000000" w:themeColor="text1"/>
          <w:sz w:val="24"/>
          <w:szCs w:val="24"/>
        </w:rPr>
        <w:t xml:space="preserve"> sau alte metodologii internaționale</w:t>
      </w:r>
      <w:r w:rsidRPr="002D07BC">
        <w:rPr>
          <w:rFonts w:ascii="Times New Roman" w:hAnsi="Times New Roman" w:cs="Times New Roman"/>
          <w:color w:val="000000" w:themeColor="text1"/>
          <w:sz w:val="24"/>
          <w:szCs w:val="24"/>
        </w:rPr>
        <w:t>, care va evalua potențialul de restaurare și va identifica zonele prioritare de intervenție</w:t>
      </w:r>
      <w:r w:rsidR="00532DD5" w:rsidRPr="002D07BC">
        <w:rPr>
          <w:rFonts w:ascii="Times New Roman" w:hAnsi="Times New Roman" w:cs="Times New Roman"/>
          <w:color w:val="000000" w:themeColor="text1"/>
          <w:sz w:val="24"/>
          <w:szCs w:val="24"/>
        </w:rPr>
        <w:t xml:space="preserve"> și ținte clare pentru fiecare obiectiv, de exemplu împădurirea terenurilor degradate, restaurarea ecosistemelor existente, plantații forestiere cu scop energetic și dezvoltarea pădurilor urbane și periurbane. </w:t>
      </w:r>
      <w:r w:rsidRPr="002D07BC">
        <w:rPr>
          <w:rFonts w:ascii="Times New Roman" w:hAnsi="Times New Roman" w:cs="Times New Roman"/>
          <w:color w:val="000000" w:themeColor="text1"/>
          <w:sz w:val="24"/>
          <w:szCs w:val="24"/>
        </w:rPr>
        <w:t xml:space="preserve">Până în 2030, un studiu de evaluare a impactului RRD va fi realizat în cel puțin trei situri pilot, pentru a măsura efectele împăduririlor </w:t>
      </w:r>
      <w:r w:rsidR="00532DD5" w:rsidRPr="002D07BC">
        <w:rPr>
          <w:rFonts w:ascii="Times New Roman" w:hAnsi="Times New Roman" w:cs="Times New Roman"/>
          <w:color w:val="000000" w:themeColor="text1"/>
          <w:sz w:val="24"/>
          <w:szCs w:val="24"/>
        </w:rPr>
        <w:t xml:space="preserve">pe terenurile degradate </w:t>
      </w:r>
      <w:r w:rsidRPr="002D07BC">
        <w:rPr>
          <w:rFonts w:ascii="Times New Roman" w:hAnsi="Times New Roman" w:cs="Times New Roman"/>
          <w:color w:val="000000" w:themeColor="text1"/>
          <w:sz w:val="24"/>
          <w:szCs w:val="24"/>
        </w:rPr>
        <w:t xml:space="preserve">asupra scurgerilor de suprafață, retenției apei, eroziunii </w:t>
      </w:r>
      <w:r w:rsidR="00532DD5" w:rsidRPr="002D07BC">
        <w:rPr>
          <w:rFonts w:ascii="Times New Roman" w:hAnsi="Times New Roman" w:cs="Times New Roman"/>
          <w:color w:val="000000" w:themeColor="text1"/>
          <w:sz w:val="24"/>
          <w:szCs w:val="24"/>
        </w:rPr>
        <w:t xml:space="preserve">solului </w:t>
      </w:r>
      <w:r w:rsidRPr="002D07BC">
        <w:rPr>
          <w:rFonts w:ascii="Times New Roman" w:hAnsi="Times New Roman" w:cs="Times New Roman"/>
          <w:color w:val="000000" w:themeColor="text1"/>
          <w:sz w:val="24"/>
          <w:szCs w:val="24"/>
        </w:rPr>
        <w:t>și bunăstării comunităților.</w:t>
      </w:r>
    </w:p>
    <w:p w14:paraId="4698B1FF" w14:textId="2C674286" w:rsidR="00150473" w:rsidRPr="002D07BC" w:rsidRDefault="00150473" w:rsidP="00150473">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2D07BC">
        <w:rPr>
          <w:rFonts w:ascii="Times New Roman" w:hAnsi="Times New Roman" w:cs="Times New Roman"/>
          <w:color w:val="000000" w:themeColor="text1"/>
          <w:sz w:val="24"/>
          <w:szCs w:val="24"/>
        </w:rPr>
        <w:t xml:space="preserve">În paralel, se va promova restaurarea activă a pădurilor degradate din zone vulnerabile la secetă, eroziune și incendii, prin soluții bazate pe natură și metode de regenerare ecologică cu specii autohtone adaptate stresului climatic. Conform PNERP,  până în 2030, se urmărește restaurarea a cel puțin 16.920 ha de ecosisteme forestiere degradate, obiectivul specific 3.1 </w:t>
      </w:r>
      <w:r w:rsidR="000D7B5C" w:rsidRPr="002D07BC">
        <w:rPr>
          <w:rFonts w:ascii="Times New Roman" w:hAnsi="Times New Roman" w:cs="Times New Roman"/>
          <w:color w:val="000000" w:themeColor="text1"/>
          <w:sz w:val="24"/>
          <w:szCs w:val="24"/>
        </w:rPr>
        <w:t>urmărește</w:t>
      </w:r>
      <w:r w:rsidRPr="002D07BC">
        <w:rPr>
          <w:rFonts w:ascii="Times New Roman" w:hAnsi="Times New Roman" w:cs="Times New Roman"/>
          <w:color w:val="000000" w:themeColor="text1"/>
          <w:sz w:val="24"/>
          <w:szCs w:val="24"/>
        </w:rPr>
        <w:t xml:space="preserve"> inclusiv realizarea unei analize de valorizare economică a serviciilor ecosistemice în 1–2 raioane pilot, pentru a documenta contribuția pădurilor la stabilizarea versanților, prevenirea incendiilor și îmbunătățirea mijloacelor de trai</w:t>
      </w:r>
      <w:r w:rsidR="000D7B5C" w:rsidRPr="002D07BC">
        <w:rPr>
          <w:rFonts w:ascii="Times New Roman" w:hAnsi="Times New Roman" w:cs="Times New Roman"/>
          <w:color w:val="000000" w:themeColor="text1"/>
          <w:sz w:val="24"/>
          <w:szCs w:val="24"/>
        </w:rPr>
        <w:t xml:space="preserve">. </w:t>
      </w:r>
    </w:p>
    <w:p w14:paraId="47097519" w14:textId="1EC007E1" w:rsidR="00150473" w:rsidRPr="002D07BC" w:rsidRDefault="00150473" w:rsidP="00150473">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2D07BC">
        <w:rPr>
          <w:rFonts w:ascii="Times New Roman" w:hAnsi="Times New Roman" w:cs="Times New Roman"/>
          <w:color w:val="000000" w:themeColor="text1"/>
          <w:sz w:val="24"/>
          <w:szCs w:val="24"/>
        </w:rPr>
        <w:t xml:space="preserve">Totodată, perdelele forestiere și fâșiile riverane vor fi consolidate ca infrastructuri naturale de protecție, contribuind la reducerea riscurilor climatice și la protejarea terenurilor agricole, a drumurilor și surselor de apă. Intervențiile vor fi orientate prioritar spre bazinele Prut și Nistru și zonele afectate de secetă severă, eroziune sau inundații locale, vizând restaurarea a minimum 12.000 ha până în 2030. Până </w:t>
      </w:r>
      <w:r w:rsidR="000D7B5C" w:rsidRPr="002D07BC">
        <w:rPr>
          <w:rFonts w:ascii="Times New Roman" w:hAnsi="Times New Roman" w:cs="Times New Roman"/>
          <w:color w:val="000000" w:themeColor="text1"/>
          <w:sz w:val="24"/>
          <w:szCs w:val="24"/>
        </w:rPr>
        <w:t xml:space="preserve">la finalul anului </w:t>
      </w:r>
      <w:r w:rsidRPr="002D07BC">
        <w:rPr>
          <w:rFonts w:ascii="Times New Roman" w:hAnsi="Times New Roman" w:cs="Times New Roman"/>
          <w:color w:val="000000" w:themeColor="text1"/>
          <w:sz w:val="24"/>
          <w:szCs w:val="24"/>
        </w:rPr>
        <w:t xml:space="preserve"> 2026, va fi elaborat un plan național de restaurare a perdelelor forestiere și fâșiilor riverane, care va defini zonele prioritare și obiectivele anuale de reabilitare</w:t>
      </w:r>
      <w:r w:rsidR="000D7B5C" w:rsidRPr="002D07BC">
        <w:rPr>
          <w:rFonts w:ascii="Times New Roman" w:hAnsi="Times New Roman" w:cs="Times New Roman"/>
          <w:color w:val="000000" w:themeColor="text1"/>
          <w:sz w:val="24"/>
          <w:szCs w:val="24"/>
        </w:rPr>
        <w:t xml:space="preserve"> precum si obiectivele pentru perioada 2027-2032. </w:t>
      </w:r>
    </w:p>
    <w:p w14:paraId="09B19986" w14:textId="0F288E08" w:rsidR="00501576" w:rsidRDefault="00BA6CE3" w:rsidP="00E81FAA">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2D07BC">
        <w:rPr>
          <w:rFonts w:ascii="Times New Roman" w:hAnsi="Times New Roman" w:cs="Times New Roman"/>
          <w:color w:val="000000" w:themeColor="text1"/>
          <w:sz w:val="24"/>
          <w:szCs w:val="24"/>
        </w:rPr>
        <w:t xml:space="preserve">În concluzie, </w:t>
      </w:r>
      <w:r w:rsidR="00150473" w:rsidRPr="002D07BC">
        <w:rPr>
          <w:rFonts w:ascii="Times New Roman" w:hAnsi="Times New Roman" w:cs="Times New Roman"/>
          <w:color w:val="000000" w:themeColor="text1"/>
          <w:sz w:val="24"/>
          <w:szCs w:val="24"/>
        </w:rPr>
        <w:t>pădurile și ecosistemele degradate vor fi transformate într-o infrastructură naturală de protecție, consolidând reziliența teritorială și contribuind la atingerea obiectivelor Agendei 2030 privind combaterea schimbărilor climatice și protejarea ecosistemelor terestre.</w:t>
      </w:r>
      <w:r w:rsidR="000A5591" w:rsidRPr="002D07BC">
        <w:rPr>
          <w:rFonts w:ascii="Times New Roman" w:hAnsi="Times New Roman" w:cs="Times New Roman"/>
          <w:color w:val="000000" w:themeColor="text1"/>
          <w:sz w:val="24"/>
          <w:szCs w:val="24"/>
        </w:rPr>
        <w:t xml:space="preserve"> Dar si atingerii obiectivelor de la Sendai. </w:t>
      </w:r>
    </w:p>
    <w:p w14:paraId="608D75C0" w14:textId="1F797170" w:rsidR="002D07BC" w:rsidRPr="009067DC" w:rsidRDefault="002D07BC" w:rsidP="009067DC">
      <w:pPr>
        <w:pStyle w:val="Heading3"/>
        <w:jc w:val="both"/>
        <w:rPr>
          <w:rFonts w:ascii="Times New Roman" w:hAnsi="Times New Roman" w:cs="Times New Roman"/>
          <w:b/>
          <w:bCs w:val="0"/>
          <w:i/>
          <w:iCs/>
          <w:color w:val="auto"/>
        </w:rPr>
      </w:pPr>
      <w:r w:rsidRPr="009067DC">
        <w:rPr>
          <w:rFonts w:ascii="Times New Roman" w:hAnsi="Times New Roman" w:cs="Times New Roman"/>
          <w:b/>
          <w:bCs w:val="0"/>
          <w:color w:val="auto"/>
        </w:rPr>
        <w:t>Obiectiv specific 3.2: Până în 2030, ecosistemele acvatice și zonele umede sunt conservate și restaurate pentru reducerea riscurilor de inundații și consolidarea rezilienței teritoriale.</w:t>
      </w:r>
    </w:p>
    <w:p w14:paraId="6A00E3EE" w14:textId="14D43E47" w:rsidR="004F7314" w:rsidRPr="002D07BC" w:rsidRDefault="00876687" w:rsidP="004F7314">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2D07BC">
        <w:rPr>
          <w:rFonts w:ascii="Times New Roman" w:hAnsi="Times New Roman" w:cs="Times New Roman"/>
          <w:color w:val="000000" w:themeColor="text1"/>
          <w:sz w:val="24"/>
          <w:szCs w:val="24"/>
        </w:rPr>
        <w:t xml:space="preserve">Restaurarea ecosistemelor acvatice și </w:t>
      </w:r>
      <w:r w:rsidR="00E25CA4" w:rsidRPr="002D07BC">
        <w:rPr>
          <w:rFonts w:ascii="Times New Roman" w:hAnsi="Times New Roman" w:cs="Times New Roman"/>
          <w:i/>
          <w:iCs/>
          <w:color w:val="000000" w:themeColor="text1"/>
          <w:sz w:val="24"/>
          <w:szCs w:val="24"/>
        </w:rPr>
        <w:t xml:space="preserve">a zonelor umede </w:t>
      </w:r>
      <w:r w:rsidRPr="002D07BC">
        <w:rPr>
          <w:rFonts w:ascii="Times New Roman" w:hAnsi="Times New Roman" w:cs="Times New Roman"/>
          <w:color w:val="000000" w:themeColor="text1"/>
          <w:sz w:val="24"/>
          <w:szCs w:val="24"/>
        </w:rPr>
        <w:t>reprezintă o măsură-cheie pentru reducerea vulnerabilității Republicii Moldova la riscuri naturale, în special inundații. Aceste ecosisteme funcționează ca bariere naturale împotriva fenomenelor extreme, reducând viteza scurgerilor, prevenind eroziunea solului și contribuind la retenția apei. În condițiile intensificării hazardelor climatice, măsurile de refacere ecologică oferă o alternativă sustenabilă și eficientă din punct de vedere economic la infrastructura gri</w:t>
      </w:r>
      <w:r w:rsidR="00E25CA4" w:rsidRPr="002D07BC">
        <w:rPr>
          <w:rFonts w:ascii="Times New Roman" w:hAnsi="Times New Roman" w:cs="Times New Roman"/>
          <w:color w:val="000000" w:themeColor="text1"/>
          <w:sz w:val="24"/>
          <w:szCs w:val="24"/>
        </w:rPr>
        <w:t xml:space="preserve"> sau pot fi folosite ca soluții complementare</w:t>
      </w:r>
      <w:r w:rsidRPr="002D07BC">
        <w:rPr>
          <w:rFonts w:ascii="Times New Roman" w:hAnsi="Times New Roman" w:cs="Times New Roman"/>
          <w:color w:val="000000" w:themeColor="text1"/>
          <w:sz w:val="24"/>
          <w:szCs w:val="24"/>
        </w:rPr>
        <w:t>, având în același timp beneficii multiple pentru biodiversitate, calitatea apei și coeziunea socială.</w:t>
      </w:r>
      <w:r w:rsidR="00855E8A" w:rsidRPr="002D07BC">
        <w:rPr>
          <w:rFonts w:ascii="Times New Roman" w:hAnsi="Times New Roman" w:cs="Times New Roman"/>
          <w:color w:val="000000" w:themeColor="text1"/>
          <w:sz w:val="24"/>
          <w:szCs w:val="24"/>
        </w:rPr>
        <w:t xml:space="preserve"> Restaurarea acestor ecosisteme oferă co-beneficii critice pentru reziliența teritorială și poate reduce presiunea asupra infrastructurii critice, contribuind la obiectivele de prevenire și adaptare prevăzute în legislația națională privind riscurile </w:t>
      </w:r>
      <w:r w:rsidR="00DE0BE2" w:rsidRPr="002D07BC">
        <w:rPr>
          <w:rFonts w:ascii="Times New Roman" w:hAnsi="Times New Roman" w:cs="Times New Roman"/>
          <w:color w:val="000000" w:themeColor="text1"/>
          <w:sz w:val="24"/>
          <w:szCs w:val="24"/>
        </w:rPr>
        <w:t>naturale si biologico-sociale</w:t>
      </w:r>
      <w:r w:rsidR="00855E8A" w:rsidRPr="002D07BC">
        <w:rPr>
          <w:rFonts w:ascii="Times New Roman" w:hAnsi="Times New Roman" w:cs="Times New Roman"/>
          <w:color w:val="000000" w:themeColor="text1"/>
          <w:sz w:val="24"/>
          <w:szCs w:val="24"/>
        </w:rPr>
        <w:t xml:space="preserve">. </w:t>
      </w:r>
      <w:r w:rsidR="006865E2" w:rsidRPr="002D07BC">
        <w:rPr>
          <w:rFonts w:ascii="Times New Roman" w:hAnsi="Times New Roman" w:cs="Times New Roman"/>
          <w:color w:val="000000" w:themeColor="text1"/>
          <w:sz w:val="24"/>
          <w:szCs w:val="24"/>
        </w:rPr>
        <w:t xml:space="preserve">Se vor integra co-beneficii de atenuare (ex. </w:t>
      </w:r>
      <w:r w:rsidR="006865E2" w:rsidRPr="002D07BC">
        <w:rPr>
          <w:rFonts w:ascii="Times New Roman" w:hAnsi="Times New Roman" w:cs="Times New Roman"/>
          <w:color w:val="000000" w:themeColor="text1"/>
          <w:sz w:val="24"/>
          <w:szCs w:val="24"/>
        </w:rPr>
        <w:lastRenderedPageBreak/>
        <w:t>captarea carbonului, reducerea emisiilor) în proiectarea infrastructurii reziliente și a soluțiilor bazate pe natură, pentru a consolida impactul transformator al Programului.</w:t>
      </w:r>
    </w:p>
    <w:p w14:paraId="003A3EB9" w14:textId="4BEF1E40" w:rsidR="00DE0BE2" w:rsidRPr="002D07BC" w:rsidRDefault="00DE0BE2" w:rsidP="00DE0BE2">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2D07BC">
        <w:rPr>
          <w:rFonts w:ascii="Times New Roman" w:hAnsi="Times New Roman" w:cs="Times New Roman"/>
          <w:color w:val="000000" w:themeColor="text1"/>
          <w:sz w:val="24"/>
          <w:szCs w:val="24"/>
        </w:rPr>
        <w:t>Până în 2027, se prevede elaborarea unui studiu național de restaurare ecologică a ecosistemelor acvatice și a zonelor umede, bazat pe metodologii internaționale recunoscute (Ramsar, IUCN, WWF). Acest studiu va evalua starea actuală a acestor ecosisteme, va identifica regiunile prioritare pentru intervenții și va defini tipurile de soluții bazate pe natură adecvate pentru atenuarea riscurilor de inundații și pentru protejarea biodiversității.</w:t>
      </w:r>
    </w:p>
    <w:p w14:paraId="68A11245" w14:textId="68537F57" w:rsidR="00DE0BE2" w:rsidRPr="002D07BC" w:rsidRDefault="00DE0BE2" w:rsidP="00DE0BE2">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2D07BC">
        <w:rPr>
          <w:rFonts w:ascii="Times New Roman" w:hAnsi="Times New Roman" w:cs="Times New Roman"/>
          <w:color w:val="000000" w:themeColor="text1"/>
          <w:sz w:val="24"/>
          <w:szCs w:val="24"/>
        </w:rPr>
        <w:t>În perioada 2028–2030, rezultatele acestui studiu vor fi testate prin intervenții pilot în cel puțin două situri demonstrative, care vor permite evaluarea eficienței soluțiilor propuse din punct de vedere hidrologic, ecologic și socio-economic. Aceste acțiuni vor sprijini integrarea principiilor de restaurare ecologică în politicile naționale privind gestionarea apelor și vor contribui la atingerea obiectivelor</w:t>
      </w:r>
      <w:r w:rsidR="007351B1" w:rsidRPr="002D07BC">
        <w:rPr>
          <w:rFonts w:ascii="Times New Roman" w:hAnsi="Times New Roman" w:cs="Times New Roman"/>
          <w:color w:val="000000" w:themeColor="text1"/>
          <w:sz w:val="24"/>
          <w:szCs w:val="24"/>
        </w:rPr>
        <w:t xml:space="preserve"> </w:t>
      </w:r>
      <w:r w:rsidRPr="002D07BC">
        <w:rPr>
          <w:rFonts w:ascii="Times New Roman" w:hAnsi="Times New Roman" w:cs="Times New Roman"/>
          <w:color w:val="000000" w:themeColor="text1"/>
          <w:sz w:val="24"/>
          <w:szCs w:val="24"/>
        </w:rPr>
        <w:t>de adaptare la schimbările climatice și de reducere a riscurilor de dezastre.</w:t>
      </w:r>
    </w:p>
    <w:p w14:paraId="71233583" w14:textId="3165CB76" w:rsidR="00E81FAA" w:rsidRPr="002D07BC" w:rsidRDefault="007351B1" w:rsidP="00B339C7">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2D07BC">
        <w:rPr>
          <w:rFonts w:ascii="Times New Roman" w:hAnsi="Times New Roman" w:cs="Times New Roman"/>
          <w:color w:val="000000" w:themeColor="text1"/>
          <w:sz w:val="24"/>
          <w:szCs w:val="24"/>
        </w:rPr>
        <w:t>Astfel</w:t>
      </w:r>
      <w:r w:rsidR="00DE0BE2" w:rsidRPr="002D07BC">
        <w:rPr>
          <w:rFonts w:ascii="Times New Roman" w:hAnsi="Times New Roman" w:cs="Times New Roman"/>
          <w:color w:val="000000" w:themeColor="text1"/>
          <w:sz w:val="24"/>
          <w:szCs w:val="24"/>
        </w:rPr>
        <w:t xml:space="preserve">, ecosistemele acvatice și zonele umede vor deveni un element central al rezilienței teritoriale, sprijinind tranziția Republicii Moldova către o abordare integrată a managementului </w:t>
      </w:r>
      <w:r w:rsidRPr="002D07BC">
        <w:rPr>
          <w:rFonts w:ascii="Times New Roman" w:hAnsi="Times New Roman" w:cs="Times New Roman"/>
          <w:color w:val="000000" w:themeColor="text1"/>
          <w:sz w:val="24"/>
          <w:szCs w:val="24"/>
        </w:rPr>
        <w:t>bazinul</w:t>
      </w:r>
      <w:r w:rsidR="00DE0BE2" w:rsidRPr="002D07BC">
        <w:rPr>
          <w:rFonts w:ascii="Times New Roman" w:hAnsi="Times New Roman" w:cs="Times New Roman"/>
          <w:color w:val="000000" w:themeColor="text1"/>
          <w:sz w:val="24"/>
          <w:szCs w:val="24"/>
        </w:rPr>
        <w:t>, bazată pe conservarea capitalului natural și pe soluți</w:t>
      </w:r>
      <w:r w:rsidR="009903D4" w:rsidRPr="002D07BC">
        <w:rPr>
          <w:rFonts w:ascii="Times New Roman" w:hAnsi="Times New Roman" w:cs="Times New Roman"/>
          <w:color w:val="000000" w:themeColor="text1"/>
          <w:sz w:val="24"/>
          <w:szCs w:val="24"/>
        </w:rPr>
        <w:t xml:space="preserve">i </w:t>
      </w:r>
      <w:r w:rsidR="00DE0BE2" w:rsidRPr="002D07BC">
        <w:rPr>
          <w:rFonts w:ascii="Times New Roman" w:hAnsi="Times New Roman" w:cs="Times New Roman"/>
          <w:color w:val="000000" w:themeColor="text1"/>
          <w:sz w:val="24"/>
          <w:szCs w:val="24"/>
        </w:rPr>
        <w:t>durabile pentru prevenirea riscurilor.</w:t>
      </w:r>
    </w:p>
    <w:p w14:paraId="64F83F97" w14:textId="09FC40DE" w:rsidR="002D07BC" w:rsidRPr="009067DC" w:rsidRDefault="002D07BC" w:rsidP="009067DC">
      <w:pPr>
        <w:pStyle w:val="Heading3"/>
        <w:jc w:val="both"/>
        <w:rPr>
          <w:rFonts w:ascii="Times New Roman" w:hAnsi="Times New Roman" w:cs="Times New Roman"/>
          <w:b/>
          <w:bCs w:val="0"/>
          <w:color w:val="auto"/>
        </w:rPr>
      </w:pPr>
      <w:r w:rsidRPr="009067DC">
        <w:rPr>
          <w:rFonts w:ascii="Times New Roman" w:hAnsi="Times New Roman" w:cs="Times New Roman"/>
          <w:b/>
          <w:bCs w:val="0"/>
          <w:color w:val="auto"/>
        </w:rPr>
        <w:t>Obiectiv specific 3.3: Până în 2030, practicile agricole și silvo-pastorale sustenabile sunt extinse pentru reducerea vulnerabilității terenurilor la riscuri naturale, biologico-sociale și la consolidarea adaptării în sectorul agricol.</w:t>
      </w:r>
    </w:p>
    <w:p w14:paraId="2D0B6E87" w14:textId="37AF6EB0" w:rsidR="004F7314" w:rsidRPr="002D07BC" w:rsidRDefault="004F7314" w:rsidP="004F7314">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2D07BC">
        <w:rPr>
          <w:rFonts w:ascii="Times New Roman" w:hAnsi="Times New Roman" w:cs="Times New Roman"/>
          <w:color w:val="000000" w:themeColor="text1"/>
          <w:sz w:val="24"/>
          <w:szCs w:val="24"/>
        </w:rPr>
        <w:t xml:space="preserve">Agricultura durabilă și gestionarea terenurilor prin practici adaptative reprezintă investiții-cheie pentru reducerea vulnerabilității în fața riscurilor </w:t>
      </w:r>
      <w:r w:rsidR="001706A9" w:rsidRPr="002D07BC">
        <w:rPr>
          <w:rFonts w:ascii="Times New Roman" w:hAnsi="Times New Roman" w:cs="Times New Roman"/>
          <w:color w:val="000000" w:themeColor="text1"/>
          <w:sz w:val="24"/>
          <w:szCs w:val="24"/>
        </w:rPr>
        <w:t xml:space="preserve">naturale </w:t>
      </w:r>
      <w:r w:rsidRPr="002D07BC">
        <w:rPr>
          <w:rFonts w:ascii="Times New Roman" w:hAnsi="Times New Roman" w:cs="Times New Roman"/>
          <w:color w:val="000000" w:themeColor="text1"/>
          <w:sz w:val="24"/>
          <w:szCs w:val="24"/>
        </w:rPr>
        <w:t>precum eroziunea, seceta, inundațiile și alunecările de teren.</w:t>
      </w:r>
      <w:r w:rsidR="004F32C0" w:rsidRPr="002D07BC">
        <w:rPr>
          <w:rFonts w:ascii="Times New Roman" w:hAnsi="Times New Roman" w:cs="Times New Roman"/>
          <w:color w:val="000000" w:themeColor="text1"/>
          <w:sz w:val="24"/>
          <w:szCs w:val="24"/>
        </w:rPr>
        <w:t xml:space="preserve"> </w:t>
      </w:r>
      <w:r w:rsidR="00F072BD" w:rsidRPr="002D07BC">
        <w:rPr>
          <w:rFonts w:ascii="Times New Roman" w:hAnsi="Times New Roman" w:cs="Times New Roman"/>
          <w:color w:val="000000" w:themeColor="text1"/>
          <w:sz w:val="24"/>
          <w:szCs w:val="24"/>
        </w:rPr>
        <w:t xml:space="preserve">În condițiile schimbărilor climatice, integrarea principiilor reducerii riscurilor de dezastre în practicile agricole și silvo-pastorale devine o prioritate strategică pentru protejarea resurselor de sol și apă, menținerea productivității și prevenirea degradării ecosistemelor rurale. </w:t>
      </w:r>
    </w:p>
    <w:p w14:paraId="470F24BE" w14:textId="6036358B" w:rsidR="00F072BD" w:rsidRPr="002D07BC" w:rsidRDefault="00F072BD" w:rsidP="001706A9">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2D07BC">
        <w:rPr>
          <w:rFonts w:ascii="Times New Roman" w:hAnsi="Times New Roman" w:cs="Times New Roman"/>
          <w:color w:val="000000" w:themeColor="text1"/>
          <w:sz w:val="24"/>
          <w:szCs w:val="24"/>
        </w:rPr>
        <w:t>Obiectivul urmărește valorificarea cadrului normativ existent, în special Hotărârea Guvernului nr. 864/2020 privind aprobarea Programului de îmbunătățiri funciare în scopul asigurării managementului durabil al resurselor de sol pentru anii 2021–2025 și a Planului de acțiuni pentru anii 2021–2023 privind implementarea acestuia, precum și Hotărârea Guvernului nr. 21/2024, care modifică Regulamentul cu privire la planificarea gestionării secetei (HG nr. 779/2013). Prin aceste acte se stabilește cadrul pentru intervențiile de protecție și ameliorare a solurilor, care vor fi consolidate prin integrarea dimensiunii RRD.</w:t>
      </w:r>
    </w:p>
    <w:p w14:paraId="35E9DE9C" w14:textId="44247CAE" w:rsidR="001706A9" w:rsidRPr="002D07BC" w:rsidRDefault="008A6D56" w:rsidP="00B339C7">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2D07BC">
        <w:rPr>
          <w:rFonts w:ascii="Times New Roman" w:hAnsi="Times New Roman" w:cs="Times New Roman"/>
          <w:color w:val="000000" w:themeColor="text1"/>
          <w:sz w:val="24"/>
          <w:szCs w:val="24"/>
        </w:rPr>
        <w:t xml:space="preserve">Astfel, în perioada de implementare a Programului se va promova includerea criteriilor de vulnerabilitate climatică (secetă, eroziune, alunecări de teren) în procesul de selecție a suprafețelor de intervenție și în planificarea lucrărilor de conservare a solului. Criteriile respective vor fi corelate cu hărțile multi-hazard și datele integrate dezvoltate în cadrul obiectivelor 1.1–1.4, contribuind la fundamentarea Registrului Național al Riscurilor și a Evaluării Naționale a Riscurilor, prevăzute în Legea nr. 284/2025 privind managementul </w:t>
      </w:r>
      <w:r w:rsidR="000B5C8D" w:rsidRPr="002D07BC">
        <w:rPr>
          <w:rFonts w:ascii="Times New Roman" w:hAnsi="Times New Roman" w:cs="Times New Roman"/>
          <w:color w:val="000000" w:themeColor="text1"/>
          <w:sz w:val="24"/>
          <w:szCs w:val="24"/>
        </w:rPr>
        <w:t xml:space="preserve">situațiilor de </w:t>
      </w:r>
      <w:r w:rsidRPr="002D07BC">
        <w:rPr>
          <w:rFonts w:ascii="Times New Roman" w:hAnsi="Times New Roman" w:cs="Times New Roman"/>
          <w:color w:val="000000" w:themeColor="text1"/>
          <w:sz w:val="24"/>
          <w:szCs w:val="24"/>
        </w:rPr>
        <w:t>criz</w:t>
      </w:r>
      <w:r w:rsidR="000B5C8D" w:rsidRPr="002D07BC">
        <w:rPr>
          <w:rFonts w:ascii="Times New Roman" w:hAnsi="Times New Roman" w:cs="Times New Roman"/>
          <w:color w:val="000000" w:themeColor="text1"/>
          <w:sz w:val="24"/>
          <w:szCs w:val="24"/>
        </w:rPr>
        <w:t>a</w:t>
      </w:r>
      <w:r w:rsidRPr="002D07BC">
        <w:rPr>
          <w:rFonts w:ascii="Times New Roman" w:hAnsi="Times New Roman" w:cs="Times New Roman"/>
          <w:color w:val="000000" w:themeColor="text1"/>
          <w:sz w:val="24"/>
          <w:szCs w:val="24"/>
        </w:rPr>
        <w:t xml:space="preserve"> și riscurilor de dezastre.</w:t>
      </w:r>
      <w:r w:rsidRPr="002D07BC">
        <w:rPr>
          <w:rFonts w:ascii="Times New Roman" w:hAnsi="Times New Roman" w:cs="Times New Roman"/>
          <w:b/>
          <w:bCs/>
          <w:i/>
          <w:iCs/>
          <w:color w:val="000000" w:themeColor="text1"/>
          <w:sz w:val="24"/>
          <w:szCs w:val="24"/>
        </w:rPr>
        <w:t xml:space="preserve"> </w:t>
      </w:r>
    </w:p>
    <w:p w14:paraId="7ABF236B" w14:textId="3CD7830C" w:rsidR="001706A9" w:rsidRPr="002D07BC" w:rsidRDefault="005C6BAD" w:rsidP="00B339C7">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2D07BC">
        <w:rPr>
          <w:rFonts w:ascii="Times New Roman" w:hAnsi="Times New Roman" w:cs="Times New Roman"/>
          <w:color w:val="000000" w:themeColor="text1"/>
          <w:sz w:val="24"/>
          <w:szCs w:val="24"/>
        </w:rPr>
        <w:t xml:space="preserve">Programul va include </w:t>
      </w:r>
      <w:r w:rsidR="008A6D56" w:rsidRPr="002D07BC">
        <w:rPr>
          <w:rFonts w:ascii="Times New Roman" w:hAnsi="Times New Roman" w:cs="Times New Roman"/>
          <w:color w:val="000000" w:themeColor="text1"/>
          <w:sz w:val="24"/>
          <w:szCs w:val="24"/>
        </w:rPr>
        <w:t xml:space="preserve">elaborarea unui modul sectorial RRD integrat în noul ciclu de  programare referitoare </w:t>
      </w:r>
      <w:r w:rsidR="00285089" w:rsidRPr="002D07BC">
        <w:rPr>
          <w:rFonts w:ascii="Times New Roman" w:hAnsi="Times New Roman" w:cs="Times New Roman"/>
          <w:color w:val="000000" w:themeColor="text1"/>
          <w:sz w:val="24"/>
          <w:szCs w:val="24"/>
        </w:rPr>
        <w:t xml:space="preserve">a </w:t>
      </w:r>
      <w:r w:rsidR="008A6D56" w:rsidRPr="002D07BC">
        <w:rPr>
          <w:rFonts w:ascii="Times New Roman" w:hAnsi="Times New Roman" w:cs="Times New Roman"/>
          <w:color w:val="000000" w:themeColor="text1"/>
          <w:sz w:val="24"/>
          <w:szCs w:val="24"/>
        </w:rPr>
        <w:t>îmbunătățiri</w:t>
      </w:r>
      <w:r w:rsidR="00285089" w:rsidRPr="002D07BC">
        <w:rPr>
          <w:rFonts w:ascii="Times New Roman" w:hAnsi="Times New Roman" w:cs="Times New Roman"/>
          <w:color w:val="000000" w:themeColor="text1"/>
          <w:sz w:val="24"/>
          <w:szCs w:val="24"/>
        </w:rPr>
        <w:t>lor</w:t>
      </w:r>
      <w:r w:rsidR="008A6D56" w:rsidRPr="002D07BC">
        <w:rPr>
          <w:rFonts w:ascii="Times New Roman" w:hAnsi="Times New Roman" w:cs="Times New Roman"/>
          <w:color w:val="000000" w:themeColor="text1"/>
          <w:sz w:val="24"/>
          <w:szCs w:val="24"/>
        </w:rPr>
        <w:t xml:space="preserve"> funciare, care va include criterii de vulnerabilitate climatică, o hartă interactivă a zonelor de risc pedologic și un sistem de monitorizare a impactului RRD al lucrărilor de ameliorare, testat în cel puțin trei raioane pilot. Acest demers va permite valorificarea experienței acumulate în prima perioadă de implementare (2021–2025) și adaptarea intervențiilor viitoare într-un mod mai eficient și bazat pe dovezi.</w:t>
      </w:r>
    </w:p>
    <w:p w14:paraId="67A6F041" w14:textId="2BA8EB9D" w:rsidR="00A452C2" w:rsidRPr="002D07BC" w:rsidRDefault="00B62CA2" w:rsidP="00B62CA2">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2D07BC">
        <w:rPr>
          <w:rFonts w:ascii="Times New Roman" w:hAnsi="Times New Roman" w:cs="Times New Roman"/>
          <w:color w:val="000000" w:themeColor="text1"/>
          <w:sz w:val="24"/>
          <w:szCs w:val="24"/>
        </w:rPr>
        <w:t>În paralel, se va sprijini dezvoltarea sistemelor agroforestiere ca soluție integrată pentru reducerea riscurilor natural, biologico-sociale și conservarea resurselor de sol și apă,</w:t>
      </w:r>
      <w:r w:rsidR="00A452C2" w:rsidRPr="002D07BC">
        <w:rPr>
          <w:rFonts w:ascii="Times New Roman" w:hAnsi="Times New Roman" w:cs="Times New Roman"/>
          <w:sz w:val="24"/>
          <w:szCs w:val="24"/>
        </w:rPr>
        <w:t xml:space="preserve"> </w:t>
      </w:r>
      <w:r w:rsidR="00A452C2" w:rsidRPr="002D07BC">
        <w:rPr>
          <w:rFonts w:ascii="Times New Roman" w:hAnsi="Times New Roman" w:cs="Times New Roman"/>
          <w:color w:val="000000" w:themeColor="text1"/>
          <w:sz w:val="24"/>
          <w:szCs w:val="24"/>
        </w:rPr>
        <w:t xml:space="preserve">în special în regiunile colinare și sudice ale Republicii Moldova, unde degradarea terenurilor, seceta și pierderea biodiversității sunt </w:t>
      </w:r>
      <w:r w:rsidRPr="002D07BC">
        <w:rPr>
          <w:rFonts w:ascii="Times New Roman" w:hAnsi="Times New Roman" w:cs="Times New Roman"/>
          <w:color w:val="000000" w:themeColor="text1"/>
          <w:sz w:val="24"/>
          <w:szCs w:val="24"/>
        </w:rPr>
        <w:t>accentuate</w:t>
      </w:r>
      <w:r w:rsidR="00A452C2" w:rsidRPr="002D07BC">
        <w:rPr>
          <w:rFonts w:ascii="Times New Roman" w:hAnsi="Times New Roman" w:cs="Times New Roman"/>
          <w:color w:val="000000" w:themeColor="text1"/>
          <w:sz w:val="24"/>
          <w:szCs w:val="24"/>
        </w:rPr>
        <w:t>. Sistemele agroforestiere care combină cultura plantelor</w:t>
      </w:r>
      <w:r w:rsidR="001E76E6" w:rsidRPr="002D07BC">
        <w:rPr>
          <w:rFonts w:ascii="Times New Roman" w:hAnsi="Times New Roman" w:cs="Times New Roman"/>
          <w:color w:val="000000" w:themeColor="text1"/>
          <w:sz w:val="24"/>
          <w:szCs w:val="24"/>
        </w:rPr>
        <w:t xml:space="preserve"> cu cea a </w:t>
      </w:r>
      <w:r w:rsidR="00094ED8" w:rsidRPr="002D07BC">
        <w:rPr>
          <w:rFonts w:ascii="Times New Roman" w:hAnsi="Times New Roman" w:cs="Times New Roman"/>
          <w:color w:val="000000" w:themeColor="text1"/>
          <w:sz w:val="24"/>
          <w:szCs w:val="24"/>
        </w:rPr>
        <w:t>arborilor</w:t>
      </w:r>
      <w:r w:rsidR="00A452C2" w:rsidRPr="002D07BC">
        <w:rPr>
          <w:rFonts w:ascii="Times New Roman" w:hAnsi="Times New Roman" w:cs="Times New Roman"/>
          <w:color w:val="000000" w:themeColor="text1"/>
          <w:sz w:val="24"/>
          <w:szCs w:val="24"/>
        </w:rPr>
        <w:t xml:space="preserve"> și/sau pășunatul într-un mod integrat contribui la reducerea evaporării, îmbunătățirea infiltrării apei în sol și protejarea terenurilor împotriva eroziunii.</w:t>
      </w:r>
      <w:r w:rsidR="00B93683" w:rsidRPr="002D07BC">
        <w:rPr>
          <w:rFonts w:ascii="Times New Roman" w:hAnsi="Times New Roman" w:cs="Times New Roman"/>
          <w:color w:val="000000" w:themeColor="text1"/>
          <w:sz w:val="24"/>
          <w:szCs w:val="24"/>
        </w:rPr>
        <w:t xml:space="preserve"> Aceste masuri pot </w:t>
      </w:r>
      <w:r w:rsidR="002625D9" w:rsidRPr="002D07BC">
        <w:rPr>
          <w:rFonts w:ascii="Times New Roman" w:hAnsi="Times New Roman" w:cs="Times New Roman"/>
          <w:color w:val="000000" w:themeColor="text1"/>
          <w:sz w:val="24"/>
          <w:szCs w:val="24"/>
        </w:rPr>
        <w:t>juca de asemenea</w:t>
      </w:r>
      <w:r w:rsidR="00B93683" w:rsidRPr="002D07BC">
        <w:rPr>
          <w:rFonts w:ascii="Times New Roman" w:hAnsi="Times New Roman" w:cs="Times New Roman"/>
          <w:color w:val="000000" w:themeColor="text1"/>
          <w:sz w:val="24"/>
          <w:szCs w:val="24"/>
        </w:rPr>
        <w:t xml:space="preserve"> </w:t>
      </w:r>
      <w:r w:rsidR="002625D9" w:rsidRPr="002D07BC">
        <w:rPr>
          <w:rFonts w:ascii="Times New Roman" w:hAnsi="Times New Roman" w:cs="Times New Roman"/>
          <w:color w:val="000000" w:themeColor="text1"/>
          <w:sz w:val="24"/>
          <w:szCs w:val="24"/>
        </w:rPr>
        <w:t xml:space="preserve">și </w:t>
      </w:r>
      <w:r w:rsidR="00B93683" w:rsidRPr="002D07BC">
        <w:rPr>
          <w:rFonts w:ascii="Times New Roman" w:hAnsi="Times New Roman" w:cs="Times New Roman"/>
          <w:color w:val="000000" w:themeColor="text1"/>
          <w:sz w:val="24"/>
          <w:szCs w:val="24"/>
        </w:rPr>
        <w:t>rolul de a sechestra carbonul</w:t>
      </w:r>
      <w:r w:rsidR="001E76E6" w:rsidRPr="002D07BC">
        <w:rPr>
          <w:rFonts w:ascii="Times New Roman" w:hAnsi="Times New Roman" w:cs="Times New Roman"/>
          <w:color w:val="000000" w:themeColor="text1"/>
          <w:sz w:val="24"/>
          <w:szCs w:val="24"/>
        </w:rPr>
        <w:t xml:space="preserve"> în sol</w:t>
      </w:r>
      <w:r w:rsidR="00B93683" w:rsidRPr="002D07BC">
        <w:rPr>
          <w:rFonts w:ascii="Times New Roman" w:hAnsi="Times New Roman" w:cs="Times New Roman"/>
          <w:color w:val="000000" w:themeColor="text1"/>
          <w:sz w:val="24"/>
          <w:szCs w:val="24"/>
        </w:rPr>
        <w:t>,</w:t>
      </w:r>
      <w:r w:rsidR="00094ED8" w:rsidRPr="002D07BC">
        <w:rPr>
          <w:rFonts w:ascii="Times New Roman" w:hAnsi="Times New Roman" w:cs="Times New Roman"/>
          <w:color w:val="000000" w:themeColor="text1"/>
          <w:sz w:val="24"/>
          <w:szCs w:val="24"/>
        </w:rPr>
        <w:t xml:space="preserve"> de a conserva biodiversitatea, și de a preveni degradării terenurilor și a pierderii solului,</w:t>
      </w:r>
      <w:r w:rsidR="00B93683" w:rsidRPr="002D07BC">
        <w:rPr>
          <w:rFonts w:ascii="Times New Roman" w:hAnsi="Times New Roman" w:cs="Times New Roman"/>
          <w:color w:val="000000" w:themeColor="text1"/>
          <w:sz w:val="24"/>
          <w:szCs w:val="24"/>
        </w:rPr>
        <w:t xml:space="preserve"> aliniindu-se</w:t>
      </w:r>
      <w:r w:rsidR="001E76E6" w:rsidRPr="002D07BC">
        <w:rPr>
          <w:rFonts w:ascii="Times New Roman" w:hAnsi="Times New Roman" w:cs="Times New Roman"/>
          <w:color w:val="000000" w:themeColor="text1"/>
          <w:sz w:val="24"/>
          <w:szCs w:val="24"/>
        </w:rPr>
        <w:t xml:space="preserve"> astfel</w:t>
      </w:r>
      <w:r w:rsidR="00B93683" w:rsidRPr="002D07BC">
        <w:rPr>
          <w:rFonts w:ascii="Times New Roman" w:hAnsi="Times New Roman" w:cs="Times New Roman"/>
          <w:color w:val="000000" w:themeColor="text1"/>
          <w:sz w:val="24"/>
          <w:szCs w:val="24"/>
        </w:rPr>
        <w:t xml:space="preserve"> și cu prevederile Pactului Verde European.</w:t>
      </w:r>
      <w:r w:rsidR="00A452C2" w:rsidRPr="002D07BC">
        <w:rPr>
          <w:rFonts w:ascii="Times New Roman" w:hAnsi="Times New Roman" w:cs="Times New Roman"/>
          <w:color w:val="000000" w:themeColor="text1"/>
          <w:sz w:val="24"/>
          <w:szCs w:val="24"/>
        </w:rPr>
        <w:t xml:space="preserve"> </w:t>
      </w:r>
      <w:r w:rsidR="00C378C0" w:rsidRPr="002D07BC">
        <w:rPr>
          <w:rFonts w:ascii="Times New Roman" w:hAnsi="Times New Roman" w:cs="Times New Roman"/>
          <w:color w:val="000000" w:themeColor="text1"/>
          <w:sz w:val="24"/>
          <w:szCs w:val="24"/>
        </w:rPr>
        <w:lastRenderedPageBreak/>
        <w:t xml:space="preserve">Modelele agroforestiere vor fi evaluate și din perspectiva capacității lor de a reduce expunerea </w:t>
      </w:r>
      <w:r w:rsidRPr="002D07BC">
        <w:rPr>
          <w:rFonts w:ascii="Times New Roman" w:hAnsi="Times New Roman" w:cs="Times New Roman"/>
          <w:color w:val="000000" w:themeColor="text1"/>
          <w:sz w:val="24"/>
          <w:szCs w:val="24"/>
        </w:rPr>
        <w:t xml:space="preserve">populației si </w:t>
      </w:r>
      <w:r w:rsidR="00C378C0" w:rsidRPr="002D07BC">
        <w:rPr>
          <w:rFonts w:ascii="Times New Roman" w:hAnsi="Times New Roman" w:cs="Times New Roman"/>
          <w:color w:val="000000" w:themeColor="text1"/>
          <w:sz w:val="24"/>
          <w:szCs w:val="24"/>
        </w:rPr>
        <w:t>infrastructurii rurale la riscuri, contribuind astfel la măsurile de adaptare prevăzute în Legea nr. 74/2024</w:t>
      </w:r>
      <w:r w:rsidRPr="002D07BC">
        <w:rPr>
          <w:rFonts w:ascii="Times New Roman" w:hAnsi="Times New Roman" w:cs="Times New Roman"/>
          <w:color w:val="000000" w:themeColor="text1"/>
          <w:sz w:val="24"/>
          <w:szCs w:val="24"/>
        </w:rPr>
        <w:t>privind acțiunile climatice</w:t>
      </w:r>
      <w:r w:rsidR="00C378C0" w:rsidRPr="002D07BC">
        <w:rPr>
          <w:rFonts w:ascii="Times New Roman" w:hAnsi="Times New Roman" w:cs="Times New Roman"/>
          <w:color w:val="000000" w:themeColor="text1"/>
          <w:sz w:val="24"/>
          <w:szCs w:val="24"/>
        </w:rPr>
        <w:t xml:space="preserve"> și în documentele strategice naționale de RRD. </w:t>
      </w:r>
      <w:r w:rsidR="00A452C2" w:rsidRPr="002D07BC">
        <w:rPr>
          <w:rFonts w:ascii="Times New Roman" w:hAnsi="Times New Roman" w:cs="Times New Roman"/>
          <w:color w:val="000000" w:themeColor="text1"/>
          <w:sz w:val="24"/>
          <w:szCs w:val="24"/>
        </w:rPr>
        <w:t xml:space="preserve">Se va urmări integrarea acestor sisteme în politicile agricole și de mediu prin măsuri de sprijin tehnic și demonstrativ. </w:t>
      </w:r>
      <w:r w:rsidRPr="002D07BC">
        <w:rPr>
          <w:rFonts w:ascii="Times New Roman" w:hAnsi="Times New Roman" w:cs="Times New Roman"/>
          <w:color w:val="000000" w:themeColor="text1"/>
          <w:sz w:val="24"/>
          <w:szCs w:val="24"/>
        </w:rPr>
        <w:t>Până în 2027, se preconizează elaborarea unui</w:t>
      </w:r>
      <w:r w:rsidR="001706A9" w:rsidRPr="002D07BC">
        <w:rPr>
          <w:rFonts w:ascii="Times New Roman" w:hAnsi="Times New Roman" w:cs="Times New Roman"/>
          <w:color w:val="000000" w:themeColor="text1"/>
          <w:sz w:val="24"/>
          <w:szCs w:val="24"/>
        </w:rPr>
        <w:t xml:space="preserve"> </w:t>
      </w:r>
      <w:r w:rsidR="00A452C2" w:rsidRPr="002D07BC">
        <w:rPr>
          <w:rFonts w:ascii="Times New Roman" w:hAnsi="Times New Roman" w:cs="Times New Roman"/>
          <w:color w:val="000000" w:themeColor="text1"/>
          <w:sz w:val="24"/>
          <w:szCs w:val="24"/>
        </w:rPr>
        <w:t>pachet demonstrativ de intervenții agroforestiere în cel puțin 3 localități pilot, însoțit de un ghid tehnic validat, care va include criterii RRD pentru selecția terenurilor, specii recomandate pentru reziliență climatică, modele de integrare în ferme familiale și indicatori de impact asupra retenției de apă, stabilizării solurilor și productivității agroecologice.</w:t>
      </w:r>
      <w:r w:rsidR="00285089" w:rsidRPr="002D07BC">
        <w:rPr>
          <w:rFonts w:ascii="Times New Roman" w:hAnsi="Times New Roman" w:cs="Times New Roman"/>
          <w:color w:val="000000" w:themeColor="text1"/>
          <w:sz w:val="24"/>
          <w:szCs w:val="24"/>
        </w:rPr>
        <w:t xml:space="preserve"> </w:t>
      </w:r>
    </w:p>
    <w:p w14:paraId="1A6BEB29" w14:textId="57B628B5" w:rsidR="00923E73" w:rsidRPr="002D07BC" w:rsidRDefault="00923E73" w:rsidP="00923E73">
      <w:pPr>
        <w:pStyle w:val="ListParagraph"/>
        <w:numPr>
          <w:ilvl w:val="0"/>
          <w:numId w:val="53"/>
        </w:numPr>
        <w:spacing w:after="120"/>
        <w:ind w:left="0" w:firstLine="284"/>
        <w:jc w:val="both"/>
        <w:rPr>
          <w:rFonts w:ascii="Times New Roman" w:hAnsi="Times New Roman" w:cs="Times New Roman"/>
          <w:color w:val="000000" w:themeColor="text1"/>
          <w:sz w:val="24"/>
          <w:szCs w:val="24"/>
        </w:rPr>
      </w:pPr>
      <w:r w:rsidRPr="002D07BC">
        <w:rPr>
          <w:rFonts w:ascii="Times New Roman" w:hAnsi="Times New Roman" w:cs="Times New Roman"/>
          <w:color w:val="000000" w:themeColor="text1"/>
          <w:sz w:val="24"/>
          <w:szCs w:val="24"/>
        </w:rPr>
        <w:t>Totodată, obiectivul prevede refacerea și gestionarea sustenabilă a pășunilor naturale, ca măsură de adaptare la riscurile naturale si biologico-sociale precum și de prevenire a degradări si deșertificării. În baza Programului menționat prin HG nr. 864/2020, vor fi promovate practici de pășunat controlat și prin rotație, menite să reducă supraexploatarea, să favorizeze refacerea vegetației și să mențină biodiversitatea agro-pastorală. Până în 2027, va fi elaborat un plan-cadru național pentru managementul durabil al pășunilor în condiții de risc climatic, testat în cel puțin două raioane pilot, care va include cartarea pășunilor vulnerabile, modele de pășunat adaptativ și indicatori de monitorizare a impactului ecologic și socio-economic.</w:t>
      </w:r>
    </w:p>
    <w:p w14:paraId="7B47A13F" w14:textId="4680D1EC" w:rsidR="00285089" w:rsidRPr="00A96789" w:rsidRDefault="00923E73" w:rsidP="00B339C7">
      <w:pPr>
        <w:pStyle w:val="ListParagraph"/>
        <w:numPr>
          <w:ilvl w:val="0"/>
          <w:numId w:val="53"/>
        </w:numPr>
        <w:spacing w:after="120"/>
        <w:ind w:left="0" w:firstLine="284"/>
        <w:jc w:val="both"/>
        <w:rPr>
          <w:rFonts w:ascii="Times New Roman" w:hAnsi="Times New Roman" w:cs="Times New Roman"/>
          <w:color w:val="auto"/>
          <w:sz w:val="24"/>
          <w:szCs w:val="24"/>
        </w:rPr>
      </w:pPr>
      <w:r w:rsidRPr="002D07BC">
        <w:rPr>
          <w:rFonts w:ascii="Times New Roman" w:hAnsi="Times New Roman" w:cs="Times New Roman"/>
          <w:color w:val="000000" w:themeColor="text1"/>
          <w:sz w:val="24"/>
          <w:szCs w:val="24"/>
        </w:rPr>
        <w:t xml:space="preserve">Prin aceste intervenții, agricultura și silvopastoralismul vor deveni componente strategice ale rezilienței rurale, contribuind la reducerea riscurilor </w:t>
      </w:r>
      <w:r w:rsidR="00BE4337" w:rsidRPr="002D07BC">
        <w:rPr>
          <w:rFonts w:ascii="Times New Roman" w:hAnsi="Times New Roman" w:cs="Times New Roman"/>
          <w:color w:val="000000" w:themeColor="text1"/>
          <w:sz w:val="24"/>
          <w:szCs w:val="24"/>
        </w:rPr>
        <w:t>naturale si biologico-sociale</w:t>
      </w:r>
      <w:r w:rsidRPr="002D07BC">
        <w:rPr>
          <w:rFonts w:ascii="Times New Roman" w:hAnsi="Times New Roman" w:cs="Times New Roman"/>
          <w:color w:val="000000" w:themeColor="text1"/>
          <w:sz w:val="24"/>
          <w:szCs w:val="24"/>
        </w:rPr>
        <w:t>, la conservarea capitalului natural și la tranziția Republicii Moldova către o economie verde</w:t>
      </w:r>
      <w:r w:rsidR="00BE4337" w:rsidRPr="002D07BC">
        <w:rPr>
          <w:rFonts w:ascii="Times New Roman" w:hAnsi="Times New Roman" w:cs="Times New Roman"/>
          <w:color w:val="000000" w:themeColor="text1"/>
          <w:sz w:val="24"/>
          <w:szCs w:val="24"/>
        </w:rPr>
        <w:t>,</w:t>
      </w:r>
      <w:r w:rsidRPr="002D07BC">
        <w:rPr>
          <w:rFonts w:ascii="Times New Roman" w:hAnsi="Times New Roman" w:cs="Times New Roman"/>
          <w:color w:val="000000" w:themeColor="text1"/>
          <w:sz w:val="24"/>
          <w:szCs w:val="24"/>
        </w:rPr>
        <w:t xml:space="preserve"> sustenabilă</w:t>
      </w:r>
      <w:r w:rsidR="00BE4337" w:rsidRPr="002D07BC">
        <w:rPr>
          <w:rFonts w:ascii="Times New Roman" w:hAnsi="Times New Roman" w:cs="Times New Roman"/>
          <w:color w:val="000000" w:themeColor="text1"/>
          <w:sz w:val="24"/>
          <w:szCs w:val="24"/>
        </w:rPr>
        <w:t xml:space="preserve"> și prospera </w:t>
      </w:r>
      <w:r w:rsidRPr="00A96789">
        <w:rPr>
          <w:rFonts w:ascii="Times New Roman" w:hAnsi="Times New Roman" w:cs="Times New Roman"/>
          <w:color w:val="auto"/>
          <w:sz w:val="24"/>
          <w:szCs w:val="24"/>
        </w:rPr>
        <w:t>în concordanță cu Cadrul de la Sendai și Agenda 2030 pentru Dezvoltare Durabilă.</w:t>
      </w:r>
    </w:p>
    <w:p w14:paraId="2EFC2288" w14:textId="75326524" w:rsidR="00F13820" w:rsidRPr="009067DC" w:rsidRDefault="00F13820" w:rsidP="009067DC">
      <w:pPr>
        <w:pStyle w:val="Heading2"/>
        <w:jc w:val="both"/>
        <w:rPr>
          <w:rFonts w:ascii="Times New Roman" w:hAnsi="Times New Roman" w:cs="Times New Roman"/>
          <w:color w:val="auto"/>
          <w:sz w:val="24"/>
          <w:szCs w:val="24"/>
        </w:rPr>
      </w:pPr>
      <w:r w:rsidRPr="009067DC">
        <w:rPr>
          <w:rFonts w:ascii="Times New Roman" w:hAnsi="Times New Roman" w:cs="Times New Roman"/>
          <w:color w:val="auto"/>
          <w:sz w:val="24"/>
          <w:szCs w:val="24"/>
        </w:rPr>
        <w:t xml:space="preserve">Obiectivul general 4: </w:t>
      </w:r>
      <w:r w:rsidR="00CB7E84" w:rsidRPr="009067DC">
        <w:rPr>
          <w:rFonts w:ascii="Times New Roman" w:hAnsi="Times New Roman" w:cs="Times New Roman"/>
          <w:color w:val="auto"/>
          <w:sz w:val="24"/>
          <w:szCs w:val="24"/>
        </w:rPr>
        <w:t>Consolidarea pregătirii și capacității de răspuns în situații de dezastre naturale si biologico-sociale, urmată de o restabilire eficientă și durabilă.</w:t>
      </w:r>
    </w:p>
    <w:p w14:paraId="69687177" w14:textId="1365D681" w:rsidR="000C44CC" w:rsidRPr="00A96789" w:rsidRDefault="000C44CC" w:rsidP="00CB7E84">
      <w:pPr>
        <w:spacing w:after="120"/>
        <w:jc w:val="both"/>
        <w:rPr>
          <w:bCs/>
          <w:i/>
          <w:iCs/>
          <w:u w:val="single"/>
        </w:rPr>
      </w:pPr>
      <w:r w:rsidRPr="00A96789">
        <w:rPr>
          <w:bCs/>
          <w:i/>
          <w:iCs/>
          <w:u w:val="single"/>
        </w:rPr>
        <w:t>Contribuie la: ODD 1 -Ținta 1.5, ODD 3 -Ținta 3.d, ODD 9 - Ținta 9.1, ODD 11 - Ținta 11.5, ODD 13 - Ținta 13.1</w:t>
      </w:r>
    </w:p>
    <w:p w14:paraId="58FBDEB7" w14:textId="725A190F" w:rsidR="00A4589B" w:rsidRPr="00A96789" w:rsidRDefault="00A71455" w:rsidP="00A96789">
      <w:pPr>
        <w:pStyle w:val="ListParagraph"/>
        <w:numPr>
          <w:ilvl w:val="0"/>
          <w:numId w:val="53"/>
        </w:numPr>
        <w:spacing w:after="120"/>
        <w:ind w:left="0" w:firstLine="284"/>
        <w:jc w:val="both"/>
        <w:rPr>
          <w:rFonts w:ascii="Times New Roman" w:hAnsi="Times New Roman" w:cs="Times New Roman"/>
          <w:color w:val="auto"/>
          <w:sz w:val="24"/>
          <w:szCs w:val="24"/>
        </w:rPr>
      </w:pPr>
      <w:r w:rsidRPr="00A96789">
        <w:rPr>
          <w:rFonts w:ascii="Times New Roman" w:hAnsi="Times New Roman" w:cs="Times New Roman"/>
          <w:color w:val="auto"/>
          <w:sz w:val="24"/>
          <w:szCs w:val="24"/>
        </w:rPr>
        <w:t>Creșterea constantă a riscu</w:t>
      </w:r>
      <w:r w:rsidR="00D168CB" w:rsidRPr="00A96789">
        <w:rPr>
          <w:rFonts w:ascii="Times New Roman" w:hAnsi="Times New Roman" w:cs="Times New Roman"/>
          <w:color w:val="auto"/>
          <w:sz w:val="24"/>
          <w:szCs w:val="24"/>
        </w:rPr>
        <w:t xml:space="preserve">rilor </w:t>
      </w:r>
      <w:r w:rsidRPr="00A96789">
        <w:rPr>
          <w:rFonts w:ascii="Times New Roman" w:hAnsi="Times New Roman" w:cs="Times New Roman"/>
          <w:color w:val="auto"/>
          <w:sz w:val="24"/>
          <w:szCs w:val="24"/>
        </w:rPr>
        <w:t xml:space="preserve">de dezastre naturale </w:t>
      </w:r>
      <w:r w:rsidR="005122EA" w:rsidRPr="00A96789">
        <w:rPr>
          <w:rFonts w:ascii="Times New Roman" w:hAnsi="Times New Roman" w:cs="Times New Roman"/>
          <w:color w:val="auto"/>
          <w:sz w:val="24"/>
          <w:szCs w:val="24"/>
        </w:rPr>
        <w:t xml:space="preserve">si biologico-sociale </w:t>
      </w:r>
      <w:r w:rsidRPr="00A96789">
        <w:rPr>
          <w:rFonts w:ascii="Times New Roman" w:hAnsi="Times New Roman" w:cs="Times New Roman"/>
          <w:color w:val="auto"/>
          <w:sz w:val="24"/>
          <w:szCs w:val="24"/>
        </w:rPr>
        <w:t>impun</w:t>
      </w:r>
      <w:r w:rsidR="00D168CB" w:rsidRPr="00A96789">
        <w:rPr>
          <w:rFonts w:ascii="Times New Roman" w:hAnsi="Times New Roman" w:cs="Times New Roman"/>
          <w:color w:val="auto"/>
          <w:sz w:val="24"/>
          <w:szCs w:val="24"/>
        </w:rPr>
        <w:t>e o abordare integrată, în care sectorul de mediu joacă un rol central atât în anticiparea și avertizarea timpurie, cât și în gestionarea consecințelor, restaurarea ecosistemelor și menținerea funcțiilor critice ale mediului. Obiectivul general urmărește dezvoltarea capacităților instituționale, tehnice și operaționale necesare pentru prevenire, pregătire, intervenție rapidă și restabilire durabilă, în conformitate cu prevederile Legii nr. 284/2025 privind managementul situațiilor de criză și riscurilor de dezastre, inclusiv Art. 21 privind digitalizarea proceselor și sistemelor de avertizare.</w:t>
      </w:r>
    </w:p>
    <w:tbl>
      <w:tblPr>
        <w:tblStyle w:val="TableGrid"/>
        <w:tblW w:w="9825" w:type="dxa"/>
        <w:tblLayout w:type="fixed"/>
        <w:tblLook w:val="04A0" w:firstRow="1" w:lastRow="0" w:firstColumn="1" w:lastColumn="0" w:noHBand="0" w:noVBand="1"/>
      </w:tblPr>
      <w:tblGrid>
        <w:gridCol w:w="2325"/>
        <w:gridCol w:w="2325"/>
        <w:gridCol w:w="2621"/>
        <w:gridCol w:w="2554"/>
      </w:tblGrid>
      <w:tr w:rsidR="00BB65FD" w:rsidRPr="00CD2ADD" w14:paraId="6CDE4DE7" w14:textId="77777777" w:rsidTr="00B339C7">
        <w:trPr>
          <w:trHeight w:val="464"/>
        </w:trPr>
        <w:tc>
          <w:tcPr>
            <w:tcW w:w="2325" w:type="dxa"/>
          </w:tcPr>
          <w:p w14:paraId="36CF91BF" w14:textId="77777777" w:rsidR="00BB65FD" w:rsidRPr="00A96789" w:rsidRDefault="00BB65FD" w:rsidP="002C4956">
            <w:pPr>
              <w:pStyle w:val="p1"/>
              <w:rPr>
                <w:b/>
                <w:bCs/>
                <w:sz w:val="24"/>
                <w:szCs w:val="24"/>
              </w:rPr>
            </w:pPr>
            <w:r w:rsidRPr="00A96789">
              <w:rPr>
                <w:b/>
                <w:bCs/>
                <w:sz w:val="24"/>
                <w:szCs w:val="24"/>
              </w:rPr>
              <w:t>Indicator de impact</w:t>
            </w:r>
            <w:r w:rsidRPr="00A96789">
              <w:rPr>
                <w:rStyle w:val="apple-converted-space"/>
                <w:rFonts w:eastAsiaTheme="majorEastAsia"/>
                <w:b/>
                <w:bCs/>
                <w:sz w:val="24"/>
                <w:szCs w:val="24"/>
              </w:rPr>
              <w:t> </w:t>
            </w:r>
          </w:p>
        </w:tc>
        <w:tc>
          <w:tcPr>
            <w:tcW w:w="2325" w:type="dxa"/>
          </w:tcPr>
          <w:p w14:paraId="54170FBF" w14:textId="77777777" w:rsidR="00BB65FD" w:rsidRPr="00A96789" w:rsidRDefault="00BB65FD" w:rsidP="002C4956">
            <w:pPr>
              <w:widowControl w:val="0"/>
              <w:autoSpaceDE w:val="0"/>
              <w:autoSpaceDN w:val="0"/>
              <w:spacing w:after="120"/>
              <w:ind w:right="459"/>
              <w:rPr>
                <w:b/>
                <w:bCs/>
                <w:color w:val="000000" w:themeColor="text1"/>
              </w:rPr>
            </w:pPr>
            <w:r w:rsidRPr="00A96789">
              <w:rPr>
                <w:b/>
                <w:bCs/>
                <w:color w:val="000000" w:themeColor="text1"/>
              </w:rPr>
              <w:t>Furnizor de date</w:t>
            </w:r>
          </w:p>
        </w:tc>
        <w:tc>
          <w:tcPr>
            <w:tcW w:w="2621" w:type="dxa"/>
          </w:tcPr>
          <w:p w14:paraId="13C3F78B" w14:textId="77777777" w:rsidR="00BB65FD" w:rsidRPr="00A96789" w:rsidRDefault="00BB65FD" w:rsidP="002C4956">
            <w:pPr>
              <w:widowControl w:val="0"/>
              <w:autoSpaceDE w:val="0"/>
              <w:autoSpaceDN w:val="0"/>
              <w:spacing w:after="120"/>
              <w:ind w:right="459"/>
              <w:rPr>
                <w:b/>
                <w:bCs/>
                <w:color w:val="000000" w:themeColor="text1"/>
              </w:rPr>
            </w:pPr>
            <w:r w:rsidRPr="00A96789">
              <w:rPr>
                <w:b/>
                <w:bCs/>
                <w:color w:val="000000" w:themeColor="text1"/>
              </w:rPr>
              <w:t>Valoarea de referință 2025</w:t>
            </w:r>
          </w:p>
        </w:tc>
        <w:tc>
          <w:tcPr>
            <w:tcW w:w="2554" w:type="dxa"/>
          </w:tcPr>
          <w:p w14:paraId="5FFC4B36" w14:textId="77777777" w:rsidR="00BB65FD" w:rsidRPr="00A96789" w:rsidRDefault="00BB65FD" w:rsidP="002C4956">
            <w:pPr>
              <w:widowControl w:val="0"/>
              <w:autoSpaceDE w:val="0"/>
              <w:autoSpaceDN w:val="0"/>
              <w:spacing w:after="120"/>
              <w:ind w:right="459"/>
              <w:rPr>
                <w:b/>
                <w:bCs/>
                <w:color w:val="000000" w:themeColor="text1"/>
              </w:rPr>
            </w:pPr>
            <w:r w:rsidRPr="00A96789">
              <w:rPr>
                <w:b/>
                <w:bCs/>
                <w:color w:val="000000" w:themeColor="text1"/>
              </w:rPr>
              <w:t>Ținta finală 2030</w:t>
            </w:r>
          </w:p>
        </w:tc>
      </w:tr>
      <w:tr w:rsidR="00BB65FD" w:rsidRPr="00CD2ADD" w14:paraId="44087CB5" w14:textId="77777777" w:rsidTr="00A96789">
        <w:trPr>
          <w:trHeight w:val="1266"/>
        </w:trPr>
        <w:tc>
          <w:tcPr>
            <w:tcW w:w="2325" w:type="dxa"/>
          </w:tcPr>
          <w:p w14:paraId="147288D8" w14:textId="718EEE07" w:rsidR="00BB65FD" w:rsidRPr="00A96789" w:rsidRDefault="00BB65FD" w:rsidP="002C4956">
            <w:pPr>
              <w:widowControl w:val="0"/>
              <w:autoSpaceDE w:val="0"/>
              <w:autoSpaceDN w:val="0"/>
              <w:spacing w:after="120"/>
              <w:ind w:right="459"/>
              <w:rPr>
                <w:b/>
                <w:bCs/>
                <w:color w:val="000000" w:themeColor="text1"/>
              </w:rPr>
            </w:pPr>
            <w:r w:rsidRPr="00A96789">
              <w:rPr>
                <w:b/>
                <w:bCs/>
              </w:rPr>
              <w:t>Gradul de modernizare și operaționalizare a sistemului național de monitorizare și prognoză climatică și hidrologică (SHS &amp; Agenția de Mediu)</w:t>
            </w:r>
          </w:p>
        </w:tc>
        <w:tc>
          <w:tcPr>
            <w:tcW w:w="2325" w:type="dxa"/>
          </w:tcPr>
          <w:tbl>
            <w:tblPr>
              <w:tblW w:w="0" w:type="auto"/>
              <w:tblCellSpacing w:w="15" w:type="dxa"/>
              <w:tblInd w:w="6" w:type="dxa"/>
              <w:tblLayout w:type="fixed"/>
              <w:tblCellMar>
                <w:top w:w="15" w:type="dxa"/>
                <w:left w:w="15" w:type="dxa"/>
                <w:bottom w:w="15" w:type="dxa"/>
                <w:right w:w="15" w:type="dxa"/>
              </w:tblCellMar>
              <w:tblLook w:val="04A0" w:firstRow="1" w:lastRow="0" w:firstColumn="1" w:lastColumn="0" w:noHBand="0" w:noVBand="1"/>
            </w:tblPr>
            <w:tblGrid>
              <w:gridCol w:w="150"/>
            </w:tblGrid>
            <w:tr w:rsidR="00BB65FD" w:rsidRPr="00A96789" w14:paraId="4389FB20" w14:textId="77777777" w:rsidTr="00BB65FD">
              <w:trPr>
                <w:trHeight w:val="17"/>
                <w:tblCellSpacing w:w="15" w:type="dxa"/>
              </w:trPr>
              <w:tc>
                <w:tcPr>
                  <w:tcW w:w="90" w:type="dxa"/>
                  <w:vAlign w:val="center"/>
                  <w:hideMark/>
                </w:tcPr>
                <w:p w14:paraId="08F89572" w14:textId="77777777" w:rsidR="00BB65FD" w:rsidRPr="00A96789" w:rsidRDefault="00BB65FD" w:rsidP="002C4956">
                  <w:pPr>
                    <w:widowControl w:val="0"/>
                    <w:autoSpaceDE w:val="0"/>
                    <w:autoSpaceDN w:val="0"/>
                    <w:spacing w:after="120"/>
                    <w:ind w:right="459"/>
                    <w:rPr>
                      <w:color w:val="000000" w:themeColor="text1"/>
                    </w:rPr>
                  </w:pPr>
                </w:p>
              </w:tc>
            </w:tr>
          </w:tbl>
          <w:p w14:paraId="1F73C3C2" w14:textId="0F37D9B8" w:rsidR="00BB65FD" w:rsidRPr="00A96789" w:rsidRDefault="00BB65FD" w:rsidP="002C4956">
            <w:pPr>
              <w:widowControl w:val="0"/>
              <w:autoSpaceDE w:val="0"/>
              <w:autoSpaceDN w:val="0"/>
              <w:spacing w:after="120"/>
              <w:ind w:right="459"/>
              <w:rPr>
                <w:color w:val="000000" w:themeColor="text1"/>
              </w:rPr>
            </w:pPr>
            <w:r w:rsidRPr="00A96789">
              <w:rPr>
                <w:color w:val="000000" w:themeColor="text1"/>
              </w:rPr>
              <w:t>SHS, Agenția de Mediu, Ministerul Mediului.</w:t>
            </w:r>
          </w:p>
        </w:tc>
        <w:tc>
          <w:tcPr>
            <w:tcW w:w="2621" w:type="dxa"/>
          </w:tcPr>
          <w:p w14:paraId="3729A7BE" w14:textId="4DC2B33F" w:rsidR="00BB65FD" w:rsidRPr="00A96789" w:rsidRDefault="00BB65FD" w:rsidP="002C4956">
            <w:pPr>
              <w:widowControl w:val="0"/>
              <w:autoSpaceDE w:val="0"/>
              <w:autoSpaceDN w:val="0"/>
              <w:spacing w:after="120"/>
              <w:ind w:right="459"/>
              <w:rPr>
                <w:color w:val="000000" w:themeColor="text1"/>
              </w:rPr>
            </w:pPr>
            <w:r w:rsidRPr="00A96789">
              <w:t>Sub 50% din rețeaua națională este modernizată, majoritatea stațiilor și echipamentelor au depășit durata de viață, iar sistemele digitale sunt fragmentate</w:t>
            </w:r>
          </w:p>
        </w:tc>
        <w:tc>
          <w:tcPr>
            <w:tcW w:w="2554" w:type="dxa"/>
          </w:tcPr>
          <w:p w14:paraId="5414FBB0" w14:textId="095010F3" w:rsidR="00BB65FD" w:rsidRPr="00A96789" w:rsidRDefault="00BB65FD" w:rsidP="002C4956">
            <w:pPr>
              <w:widowControl w:val="0"/>
              <w:autoSpaceDE w:val="0"/>
              <w:autoSpaceDN w:val="0"/>
              <w:spacing w:after="120"/>
              <w:ind w:right="459"/>
              <w:rPr>
                <w:color w:val="000000" w:themeColor="text1"/>
              </w:rPr>
            </w:pPr>
            <w:r w:rsidRPr="00A96789">
              <w:rPr>
                <w:color w:val="000000" w:themeColor="text1"/>
              </w:rPr>
              <w:t xml:space="preserve">≥ 75% din rețeaua națională modernizată, digitalizată și operațională, cu date transmise automat către ME, SHS, Agenția de Mediu, ANSP și Platforma Națională de Răspuns la Crize. </w:t>
            </w:r>
          </w:p>
        </w:tc>
      </w:tr>
    </w:tbl>
    <w:p w14:paraId="2C04FD27" w14:textId="7A1A19A4" w:rsidR="00A71455" w:rsidRPr="00A96789" w:rsidRDefault="00F37EE2" w:rsidP="009067DC">
      <w:pPr>
        <w:pStyle w:val="Heading3"/>
        <w:jc w:val="both"/>
        <w:rPr>
          <w:rFonts w:ascii="Times New Roman" w:hAnsi="Times New Roman" w:cs="Times New Roman"/>
          <w:color w:val="auto"/>
          <w:szCs w:val="24"/>
        </w:rPr>
      </w:pPr>
      <w:r w:rsidRPr="00A96789">
        <w:rPr>
          <w:rFonts w:ascii="Times New Roman" w:hAnsi="Times New Roman" w:cs="Times New Roman"/>
          <w:b/>
          <w:color w:val="auto"/>
          <w:szCs w:val="24"/>
        </w:rPr>
        <w:lastRenderedPageBreak/>
        <w:t xml:space="preserve">Obiectivul specific </w:t>
      </w:r>
      <w:r w:rsidR="00A71455" w:rsidRPr="00A96789">
        <w:rPr>
          <w:rFonts w:ascii="Times New Roman" w:hAnsi="Times New Roman" w:cs="Times New Roman"/>
          <w:b/>
          <w:color w:val="auto"/>
          <w:szCs w:val="24"/>
        </w:rPr>
        <w:t>4.</w:t>
      </w:r>
      <w:r w:rsidR="00700700" w:rsidRPr="00A96789">
        <w:rPr>
          <w:rFonts w:ascii="Times New Roman" w:hAnsi="Times New Roman" w:cs="Times New Roman"/>
          <w:b/>
          <w:color w:val="auto"/>
          <w:szCs w:val="24"/>
        </w:rPr>
        <w:t>1</w:t>
      </w:r>
      <w:r w:rsidR="00A71455" w:rsidRPr="00A96789">
        <w:rPr>
          <w:rFonts w:ascii="Times New Roman" w:hAnsi="Times New Roman" w:cs="Times New Roman"/>
          <w:color w:val="auto"/>
          <w:szCs w:val="24"/>
        </w:rPr>
        <w:t xml:space="preserve">: </w:t>
      </w:r>
      <w:r w:rsidR="00616482" w:rsidRPr="00A96789">
        <w:rPr>
          <w:rFonts w:ascii="Times New Roman" w:hAnsi="Times New Roman" w:cs="Times New Roman"/>
          <w:b/>
          <w:color w:val="auto"/>
          <w:szCs w:val="24"/>
        </w:rPr>
        <w:t>C</w:t>
      </w:r>
      <w:r w:rsidR="008F0B55" w:rsidRPr="00A96789">
        <w:rPr>
          <w:rFonts w:ascii="Times New Roman" w:hAnsi="Times New Roman" w:cs="Times New Roman"/>
          <w:b/>
          <w:color w:val="auto"/>
          <w:szCs w:val="24"/>
        </w:rPr>
        <w:t>onsolidarea</w:t>
      </w:r>
      <w:r w:rsidR="00616482" w:rsidRPr="00A96789">
        <w:rPr>
          <w:rFonts w:ascii="Times New Roman" w:hAnsi="Times New Roman" w:cs="Times New Roman"/>
          <w:b/>
          <w:color w:val="auto"/>
          <w:szCs w:val="24"/>
        </w:rPr>
        <w:t xml:space="preserve">, până în 2030, </w:t>
      </w:r>
      <w:r w:rsidR="008F0B55" w:rsidRPr="00A96789">
        <w:rPr>
          <w:rFonts w:ascii="Times New Roman" w:hAnsi="Times New Roman" w:cs="Times New Roman"/>
          <w:b/>
          <w:color w:val="auto"/>
          <w:szCs w:val="24"/>
        </w:rPr>
        <w:t xml:space="preserve"> </w:t>
      </w:r>
      <w:r w:rsidR="00616482" w:rsidRPr="00A96789">
        <w:rPr>
          <w:rFonts w:ascii="Times New Roman" w:hAnsi="Times New Roman" w:cs="Times New Roman"/>
          <w:b/>
          <w:color w:val="auto"/>
          <w:szCs w:val="24"/>
        </w:rPr>
        <w:t xml:space="preserve">a </w:t>
      </w:r>
      <w:r w:rsidR="00D168CB" w:rsidRPr="00A96789">
        <w:rPr>
          <w:rFonts w:ascii="Times New Roman" w:hAnsi="Times New Roman" w:cs="Times New Roman"/>
          <w:b/>
          <w:color w:val="auto"/>
          <w:szCs w:val="24"/>
        </w:rPr>
        <w:t xml:space="preserve">anticipării, avertizării timpurii și a răspunsului rapid </w:t>
      </w:r>
      <w:r w:rsidR="008F0B55" w:rsidRPr="00A96789">
        <w:rPr>
          <w:rFonts w:ascii="Times New Roman" w:hAnsi="Times New Roman" w:cs="Times New Roman"/>
          <w:b/>
          <w:color w:val="auto"/>
          <w:szCs w:val="24"/>
        </w:rPr>
        <w:t xml:space="preserve">la dezastre </w:t>
      </w:r>
      <w:r w:rsidR="000C17E0" w:rsidRPr="00A96789">
        <w:rPr>
          <w:rFonts w:ascii="Times New Roman" w:hAnsi="Times New Roman" w:cs="Times New Roman"/>
          <w:b/>
          <w:color w:val="auto"/>
          <w:szCs w:val="24"/>
        </w:rPr>
        <w:t>naturale si biologico-sociale</w:t>
      </w:r>
      <w:r w:rsidR="00D168CB" w:rsidRPr="00A96789">
        <w:rPr>
          <w:rFonts w:ascii="Times New Roman" w:hAnsi="Times New Roman" w:cs="Times New Roman"/>
          <w:b/>
          <w:color w:val="auto"/>
          <w:szCs w:val="24"/>
        </w:rPr>
        <w:t>.</w:t>
      </w:r>
    </w:p>
    <w:p w14:paraId="5A5E0C93" w14:textId="56DFE9C4" w:rsidR="008A689F" w:rsidRPr="00A96789" w:rsidRDefault="00616482" w:rsidP="00A96789">
      <w:pPr>
        <w:pStyle w:val="ListParagraph"/>
        <w:numPr>
          <w:ilvl w:val="0"/>
          <w:numId w:val="53"/>
        </w:numPr>
        <w:spacing w:after="120"/>
        <w:ind w:left="0" w:firstLine="284"/>
        <w:jc w:val="both"/>
        <w:rPr>
          <w:rFonts w:ascii="Times New Roman" w:hAnsi="Times New Roman" w:cs="Times New Roman"/>
          <w:color w:val="auto"/>
          <w:sz w:val="24"/>
          <w:szCs w:val="24"/>
        </w:rPr>
      </w:pPr>
      <w:r w:rsidRPr="00A96789">
        <w:rPr>
          <w:rFonts w:ascii="Times New Roman" w:hAnsi="Times New Roman" w:cs="Times New Roman"/>
          <w:color w:val="auto"/>
          <w:sz w:val="24"/>
          <w:szCs w:val="24"/>
        </w:rPr>
        <w:t xml:space="preserve">Prevenirea, </w:t>
      </w:r>
      <w:r w:rsidR="000D236B" w:rsidRPr="00A96789">
        <w:rPr>
          <w:rFonts w:ascii="Times New Roman" w:hAnsi="Times New Roman" w:cs="Times New Roman"/>
          <w:color w:val="auto"/>
          <w:sz w:val="24"/>
          <w:szCs w:val="24"/>
        </w:rPr>
        <w:t>pregătirea</w:t>
      </w:r>
      <w:r w:rsidRPr="00A96789">
        <w:rPr>
          <w:rFonts w:ascii="Times New Roman" w:hAnsi="Times New Roman" w:cs="Times New Roman"/>
          <w:color w:val="auto"/>
          <w:sz w:val="24"/>
          <w:szCs w:val="24"/>
        </w:rPr>
        <w:t xml:space="preserve"> si </w:t>
      </w:r>
      <w:r w:rsidR="000D236B" w:rsidRPr="00A96789">
        <w:rPr>
          <w:rFonts w:ascii="Times New Roman" w:hAnsi="Times New Roman" w:cs="Times New Roman"/>
          <w:color w:val="auto"/>
          <w:sz w:val="24"/>
          <w:szCs w:val="24"/>
        </w:rPr>
        <w:t>asigurarea</w:t>
      </w:r>
      <w:r w:rsidRPr="00A96789">
        <w:rPr>
          <w:rFonts w:ascii="Times New Roman" w:hAnsi="Times New Roman" w:cs="Times New Roman"/>
          <w:color w:val="auto"/>
          <w:sz w:val="24"/>
          <w:szCs w:val="24"/>
        </w:rPr>
        <w:t xml:space="preserve"> unei intervenții eficiente si rapide</w:t>
      </w:r>
      <w:r w:rsidR="008A689F" w:rsidRPr="00A96789">
        <w:rPr>
          <w:rFonts w:ascii="Times New Roman" w:hAnsi="Times New Roman" w:cs="Times New Roman"/>
          <w:color w:val="auto"/>
          <w:sz w:val="24"/>
          <w:szCs w:val="24"/>
        </w:rPr>
        <w:t xml:space="preserve"> </w:t>
      </w:r>
      <w:r w:rsidRPr="00A96789">
        <w:rPr>
          <w:rFonts w:ascii="Times New Roman" w:hAnsi="Times New Roman" w:cs="Times New Roman"/>
          <w:color w:val="auto"/>
          <w:sz w:val="24"/>
          <w:szCs w:val="24"/>
        </w:rPr>
        <w:t xml:space="preserve">precum </w:t>
      </w:r>
      <w:r w:rsidR="008A689F" w:rsidRPr="00A96789">
        <w:rPr>
          <w:rFonts w:ascii="Times New Roman" w:hAnsi="Times New Roman" w:cs="Times New Roman"/>
          <w:color w:val="auto"/>
          <w:sz w:val="24"/>
          <w:szCs w:val="24"/>
        </w:rPr>
        <w:t xml:space="preserve">și îmbunătățirea calității deciziei în caz de dezastre </w:t>
      </w:r>
      <w:r w:rsidR="000C17E0" w:rsidRPr="00A96789">
        <w:rPr>
          <w:rFonts w:ascii="Times New Roman" w:hAnsi="Times New Roman" w:cs="Times New Roman"/>
          <w:color w:val="auto"/>
          <w:sz w:val="24"/>
          <w:szCs w:val="24"/>
        </w:rPr>
        <w:t>naturale si biologico-sociale</w:t>
      </w:r>
      <w:r w:rsidR="008A689F" w:rsidRPr="00A96789">
        <w:rPr>
          <w:rFonts w:ascii="Times New Roman" w:hAnsi="Times New Roman" w:cs="Times New Roman"/>
          <w:color w:val="auto"/>
          <w:sz w:val="24"/>
          <w:szCs w:val="24"/>
        </w:rPr>
        <w:t xml:space="preserve"> depinde esențial de capacitatea instituțiilor de mediu de a furniza prognoze fiabile, în timp real, adaptate sectorial.</w:t>
      </w:r>
      <w:r w:rsidR="000C17E0" w:rsidRPr="00A96789">
        <w:rPr>
          <w:rFonts w:ascii="Times New Roman" w:hAnsi="Times New Roman" w:cs="Times New Roman"/>
          <w:color w:val="auto"/>
          <w:sz w:val="24"/>
          <w:szCs w:val="24"/>
        </w:rPr>
        <w:t xml:space="preserve"> </w:t>
      </w:r>
      <w:r w:rsidR="008A689F" w:rsidRPr="00A96789">
        <w:rPr>
          <w:rFonts w:ascii="Times New Roman" w:hAnsi="Times New Roman" w:cs="Times New Roman"/>
          <w:color w:val="auto"/>
          <w:sz w:val="24"/>
          <w:szCs w:val="24"/>
        </w:rPr>
        <w:t>Serviciul Hidrometeorologic de Stat joacă un rol-cheie în infrastructura națională de avertizare timpurie și anticipare a riscurilor, însă echipamentele, rețeaua de observație și sistemele de procesare a datelor necesită modernizare.</w:t>
      </w:r>
      <w:r w:rsidR="00794513" w:rsidRPr="00A96789">
        <w:rPr>
          <w:rFonts w:ascii="Times New Roman" w:hAnsi="Times New Roman" w:cs="Times New Roman"/>
          <w:color w:val="auto"/>
          <w:sz w:val="24"/>
          <w:szCs w:val="24"/>
        </w:rPr>
        <w:t xml:space="preserve"> Acest</w:t>
      </w:r>
      <w:r w:rsidR="00BD06D6" w:rsidRPr="00A96789">
        <w:rPr>
          <w:rFonts w:ascii="Times New Roman" w:hAnsi="Times New Roman" w:cs="Times New Roman"/>
          <w:color w:val="auto"/>
          <w:sz w:val="24"/>
          <w:szCs w:val="24"/>
        </w:rPr>
        <w:t xml:space="preserve"> obiectiv specific va </w:t>
      </w:r>
      <w:r w:rsidR="00974385" w:rsidRPr="00A96789">
        <w:rPr>
          <w:rFonts w:ascii="Times New Roman" w:hAnsi="Times New Roman" w:cs="Times New Roman"/>
          <w:color w:val="auto"/>
          <w:sz w:val="24"/>
          <w:szCs w:val="24"/>
        </w:rPr>
        <w:t>susține</w:t>
      </w:r>
      <w:r w:rsidR="00794513" w:rsidRPr="00A96789">
        <w:rPr>
          <w:rFonts w:ascii="Times New Roman" w:hAnsi="Times New Roman" w:cs="Times New Roman"/>
          <w:color w:val="auto"/>
          <w:sz w:val="24"/>
          <w:szCs w:val="24"/>
        </w:rPr>
        <w:t xml:space="preserve"> modernizare</w:t>
      </w:r>
      <w:r w:rsidR="00BD06D6" w:rsidRPr="00A96789">
        <w:rPr>
          <w:rFonts w:ascii="Times New Roman" w:hAnsi="Times New Roman" w:cs="Times New Roman"/>
          <w:color w:val="auto"/>
          <w:sz w:val="24"/>
          <w:szCs w:val="24"/>
        </w:rPr>
        <w:t>a și</w:t>
      </w:r>
      <w:r w:rsidR="00794513" w:rsidRPr="00A96789">
        <w:rPr>
          <w:rFonts w:ascii="Times New Roman" w:hAnsi="Times New Roman" w:cs="Times New Roman"/>
          <w:color w:val="auto"/>
          <w:sz w:val="24"/>
          <w:szCs w:val="24"/>
        </w:rPr>
        <w:t xml:space="preserve"> </w:t>
      </w:r>
      <w:r w:rsidR="00700700" w:rsidRPr="00A96789">
        <w:rPr>
          <w:rFonts w:ascii="Times New Roman" w:hAnsi="Times New Roman" w:cs="Times New Roman"/>
          <w:color w:val="auto"/>
          <w:sz w:val="24"/>
          <w:szCs w:val="24"/>
        </w:rPr>
        <w:t>digitalizarea sistemelor de observație și prognoză ale SHS , inclusiv extinderea rețelei de stații de observație climatologică și hidrologică, reabilitarea stațiilor existente cu instalarea de senzori noi și telemetrie, înlocuirea infrastructurii fizice în locațiile depășite, precum și instituirea unui sistem de observare a aerului superior. De asemenea, este prevăzută modernizarea radarului meteorologic, instalarea unui sistem de detecție a fulgerelor, îmbunătățirea monitorizării hidrologice și automatizarea procesării datelor prin dezvoltarea unui Sistem de Management al Datelor Climatice. Pe partea de prognoză, acțiunea include introducerea prognozei sectoriale, dezvoltarea prognozei hidrologice, îmbunătățirea utilizării modelelor hidrometeorologice regionale și globale, precum și furnizarea de produse climatologice standard adaptate domeniilor cheie (agricultură, apă, silvicultură, protecția mediului etc.)</w:t>
      </w:r>
      <w:r w:rsidR="003E1DD8" w:rsidRPr="00A96789">
        <w:rPr>
          <w:rFonts w:ascii="Times New Roman" w:hAnsi="Times New Roman" w:cs="Times New Roman"/>
          <w:color w:val="auto"/>
          <w:sz w:val="24"/>
          <w:szCs w:val="24"/>
        </w:rPr>
        <w:t xml:space="preserve">. </w:t>
      </w:r>
    </w:p>
    <w:p w14:paraId="40A9F054" w14:textId="6C892A11" w:rsidR="00616482" w:rsidRPr="00A96789" w:rsidRDefault="000C17E0" w:rsidP="008A689F">
      <w:pPr>
        <w:pStyle w:val="ListParagraph"/>
        <w:numPr>
          <w:ilvl w:val="0"/>
          <w:numId w:val="53"/>
        </w:numPr>
        <w:spacing w:after="120"/>
        <w:ind w:left="0" w:firstLine="284"/>
        <w:jc w:val="both"/>
        <w:rPr>
          <w:rFonts w:ascii="Times New Roman" w:hAnsi="Times New Roman" w:cs="Times New Roman"/>
          <w:color w:val="auto"/>
          <w:sz w:val="24"/>
          <w:szCs w:val="24"/>
        </w:rPr>
      </w:pPr>
      <w:r w:rsidRPr="00A96789">
        <w:rPr>
          <w:rFonts w:ascii="Times New Roman" w:hAnsi="Times New Roman" w:cs="Times New Roman"/>
          <w:color w:val="auto"/>
          <w:sz w:val="24"/>
          <w:szCs w:val="24"/>
        </w:rPr>
        <w:t xml:space="preserve">Acest obiectiv specific </w:t>
      </w:r>
      <w:r w:rsidR="008A689F" w:rsidRPr="00A96789">
        <w:rPr>
          <w:rFonts w:ascii="Times New Roman" w:hAnsi="Times New Roman" w:cs="Times New Roman"/>
          <w:color w:val="auto"/>
          <w:sz w:val="24"/>
          <w:szCs w:val="24"/>
        </w:rPr>
        <w:t xml:space="preserve"> va </w:t>
      </w:r>
      <w:r w:rsidR="005E7189" w:rsidRPr="00A96789">
        <w:rPr>
          <w:rFonts w:ascii="Times New Roman" w:hAnsi="Times New Roman" w:cs="Times New Roman"/>
          <w:color w:val="auto"/>
          <w:sz w:val="24"/>
          <w:szCs w:val="24"/>
        </w:rPr>
        <w:t>fi realizat cu sprijin financiar din asistenta externa, prin</w:t>
      </w:r>
      <w:r w:rsidR="008A689F" w:rsidRPr="00A96789">
        <w:rPr>
          <w:rFonts w:ascii="Times New Roman" w:hAnsi="Times New Roman" w:cs="Times New Roman"/>
          <w:color w:val="auto"/>
          <w:sz w:val="24"/>
          <w:szCs w:val="24"/>
        </w:rPr>
        <w:t xml:space="preserve"> implementarea Subcomponentei 1.2 – Îmbunătățirea serviciilor hidrometeorologice din cadrul proiectului Băncii Mondiale „Consolidarea Managementului Riscului de Dezastre și a Rezilienței la Climă în Moldova</w:t>
      </w:r>
      <w:r w:rsidR="00237E44" w:rsidRPr="00A96789">
        <w:rPr>
          <w:rFonts w:ascii="Times New Roman" w:hAnsi="Times New Roman" w:cs="Times New Roman"/>
          <w:color w:val="auto"/>
          <w:sz w:val="24"/>
          <w:szCs w:val="24"/>
        </w:rPr>
        <w:t>”</w:t>
      </w:r>
      <w:r w:rsidR="008A689F" w:rsidRPr="00A96789">
        <w:rPr>
          <w:rFonts w:ascii="Times New Roman" w:hAnsi="Times New Roman" w:cs="Times New Roman"/>
          <w:color w:val="auto"/>
          <w:sz w:val="24"/>
          <w:szCs w:val="24"/>
        </w:rPr>
        <w:t xml:space="preserve"> precum și acțiunile prevăzute de Cadrul Național pentru Servicii Climatice (NFCS).</w:t>
      </w:r>
    </w:p>
    <w:p w14:paraId="7F25961B" w14:textId="20ABC92F" w:rsidR="000D236B" w:rsidRPr="00A96789" w:rsidRDefault="000D236B" w:rsidP="000D236B">
      <w:pPr>
        <w:pStyle w:val="ListParagraph"/>
        <w:numPr>
          <w:ilvl w:val="0"/>
          <w:numId w:val="53"/>
        </w:numPr>
        <w:spacing w:after="120"/>
        <w:ind w:left="0" w:firstLine="284"/>
        <w:jc w:val="both"/>
        <w:rPr>
          <w:rFonts w:ascii="Times New Roman" w:hAnsi="Times New Roman" w:cs="Times New Roman"/>
          <w:color w:val="auto"/>
          <w:sz w:val="24"/>
          <w:szCs w:val="24"/>
        </w:rPr>
      </w:pPr>
      <w:r w:rsidRPr="00A96789">
        <w:rPr>
          <w:rFonts w:ascii="Times New Roman" w:hAnsi="Times New Roman" w:cs="Times New Roman"/>
          <w:color w:val="auto"/>
          <w:sz w:val="24"/>
          <w:szCs w:val="24"/>
        </w:rPr>
        <w:t xml:space="preserve">Un alt actor cheie în anticiparea și atenuarea riscurilor naturale și biologico-sociale este Agenția de Mediu  , care joacă un rol esențial prin activitatea Laboratorului de Referință de Mediu, acreditat conform ISO/IEC 17025. Prin monitorizarea continuă a calității aerului, apei, solului, deșeurilor și radioactivității mediului, Agenția asigură detectarea timpurie a poluărilor, a contaminărilor sau a situațiilor excepționale care pot evolua în riscuri pentru sănătatea populației sau în incidente ecologice majore. </w:t>
      </w:r>
      <w:r w:rsidR="007D19FC" w:rsidRPr="00A96789">
        <w:rPr>
          <w:rFonts w:ascii="Times New Roman" w:hAnsi="Times New Roman" w:cs="Times New Roman"/>
          <w:color w:val="auto"/>
          <w:sz w:val="24"/>
          <w:szCs w:val="24"/>
        </w:rPr>
        <w:t>Această funcție de monitorizare continuă constituie o componentă esențială a sistemului național de avertizare și sprijină atât protecția sănătății publice, cât și identificarea timpurie a amenințărilor asupra ecosistemelor.</w:t>
      </w:r>
    </w:p>
    <w:p w14:paraId="0BC64A6C" w14:textId="77B45836" w:rsidR="001F541F" w:rsidRPr="00A96789" w:rsidRDefault="00BD2791" w:rsidP="00BD2791">
      <w:pPr>
        <w:pStyle w:val="ListParagraph"/>
        <w:numPr>
          <w:ilvl w:val="0"/>
          <w:numId w:val="53"/>
        </w:numPr>
        <w:spacing w:after="120"/>
        <w:ind w:left="0" w:firstLine="284"/>
        <w:jc w:val="both"/>
        <w:rPr>
          <w:rFonts w:ascii="Times New Roman" w:hAnsi="Times New Roman" w:cs="Times New Roman"/>
          <w:color w:val="auto"/>
          <w:sz w:val="24"/>
          <w:szCs w:val="24"/>
        </w:rPr>
      </w:pPr>
      <w:r w:rsidRPr="00A96789">
        <w:rPr>
          <w:rFonts w:ascii="Times New Roman" w:hAnsi="Times New Roman" w:cs="Times New Roman"/>
          <w:color w:val="auto"/>
          <w:sz w:val="24"/>
          <w:szCs w:val="24"/>
        </w:rPr>
        <w:t>În acest sens, u</w:t>
      </w:r>
      <w:r w:rsidR="001F541F" w:rsidRPr="00A96789">
        <w:rPr>
          <w:rFonts w:ascii="Times New Roman" w:hAnsi="Times New Roman" w:cs="Times New Roman"/>
          <w:color w:val="auto"/>
          <w:sz w:val="24"/>
          <w:szCs w:val="24"/>
        </w:rPr>
        <w:t xml:space="preserve">n element critic în consolidarea anticipării și avertizării timpurii îl constituie monitorizarea calității apei și a apelor uzate, domeniu în care Agenția de Mediu are un rol central. Conform cerințelor Directivei Cadru Apă 2000/60/CE, Directivei privind apa potabilă 98/83/CE și Directivei 91/271/CEE privind epurarea apelor uzate urbane, </w:t>
      </w:r>
      <w:r w:rsidRPr="00A96789">
        <w:rPr>
          <w:rFonts w:ascii="Times New Roman" w:hAnsi="Times New Roman" w:cs="Times New Roman"/>
          <w:color w:val="auto"/>
          <w:sz w:val="24"/>
          <w:szCs w:val="24"/>
        </w:rPr>
        <w:t>Moldova</w:t>
      </w:r>
      <w:r w:rsidR="001F541F" w:rsidRPr="00A96789">
        <w:rPr>
          <w:rFonts w:ascii="Times New Roman" w:hAnsi="Times New Roman" w:cs="Times New Roman"/>
          <w:color w:val="auto"/>
          <w:sz w:val="24"/>
          <w:szCs w:val="24"/>
        </w:rPr>
        <w:t xml:space="preserve"> trebuie să dispună de capacități analitice moderne care să permită identificarea rapidă a contaminanților chimici, biologici și microbiologici. În prezent, laboratorul Agenției de Mediu operează însă cu echipamente parțial uzate, metode analitice limitate și capacitate insuficientă de a detecta poluanți emergenți precum metale grele, pesticide, PFAS, produse petroliere, compuși azotați sau agenți patogeni. Această situație reduce capacitatea națională de identificare rapidă a contaminării surselor de apă potabilă, de investigare a poluărilor accidentale și de corelare în timp real a calității apei cu riscurile epidemiologice, în special în anii caracterizați de secetă severă, precipitații extreme sau suprasarcină asupra sistemelor de canalizare.</w:t>
      </w:r>
    </w:p>
    <w:p w14:paraId="5121B9EB" w14:textId="3A031152" w:rsidR="001F541F" w:rsidRPr="00A96789" w:rsidRDefault="001F541F" w:rsidP="00BD2791">
      <w:pPr>
        <w:pStyle w:val="ListParagraph"/>
        <w:numPr>
          <w:ilvl w:val="0"/>
          <w:numId w:val="53"/>
        </w:numPr>
        <w:spacing w:after="120"/>
        <w:ind w:left="0" w:firstLine="284"/>
        <w:jc w:val="both"/>
        <w:rPr>
          <w:rFonts w:ascii="Times New Roman" w:hAnsi="Times New Roman" w:cs="Times New Roman"/>
          <w:color w:val="auto"/>
          <w:sz w:val="24"/>
          <w:szCs w:val="24"/>
        </w:rPr>
      </w:pPr>
      <w:r w:rsidRPr="00A96789">
        <w:rPr>
          <w:rFonts w:ascii="Times New Roman" w:hAnsi="Times New Roman" w:cs="Times New Roman"/>
          <w:color w:val="auto"/>
          <w:sz w:val="24"/>
          <w:szCs w:val="24"/>
        </w:rPr>
        <w:t xml:space="preserve">Modernizarea sistemelor de monitorizare a apei reprezintă astfel o prioritate strategică pentru reducerea riscurilor naturale și biologico-sociale. Este necesară dotarea laboratorului cu </w:t>
      </w:r>
      <w:r w:rsidR="00BD2791" w:rsidRPr="00A96789">
        <w:rPr>
          <w:rFonts w:ascii="Times New Roman" w:hAnsi="Times New Roman" w:cs="Times New Roman"/>
          <w:color w:val="auto"/>
          <w:sz w:val="24"/>
          <w:szCs w:val="24"/>
        </w:rPr>
        <w:t>echipamente de hidrochimie, de exemplu analizator discret de apa, centrifuga de laborator, baie ultrasonica de laborator, agitator magnetic. Echipamentele de laborator pentru determinări hidrobiologice avansate , pentru determinarea nevertebratelor si algelor</w:t>
      </w:r>
      <w:r w:rsidR="00F2772E" w:rsidRPr="00A96789">
        <w:rPr>
          <w:rFonts w:ascii="Times New Roman" w:hAnsi="Times New Roman" w:cs="Times New Roman"/>
          <w:color w:val="auto"/>
          <w:sz w:val="24"/>
          <w:szCs w:val="24"/>
        </w:rPr>
        <w:t xml:space="preserve"> si pentru determinări si analize avansate a fitoplanctonului, cu utilizarea corecta a metodei Utermohl</w:t>
      </w:r>
      <w:r w:rsidRPr="00A96789">
        <w:rPr>
          <w:rFonts w:ascii="Times New Roman" w:hAnsi="Times New Roman" w:cs="Times New Roman"/>
          <w:color w:val="auto"/>
          <w:sz w:val="24"/>
          <w:szCs w:val="24"/>
        </w:rPr>
        <w:t xml:space="preserve">. În paralel, dezvoltarea unei platforme digitale integrate pentru colectarea și transmiterea datelor </w:t>
      </w:r>
      <w:r w:rsidR="00F2772E" w:rsidRPr="00A96789">
        <w:rPr>
          <w:rFonts w:ascii="Times New Roman" w:hAnsi="Times New Roman" w:cs="Times New Roman"/>
          <w:color w:val="auto"/>
          <w:sz w:val="24"/>
          <w:szCs w:val="24"/>
        </w:rPr>
        <w:t xml:space="preserve">către instituții relevante </w:t>
      </w:r>
      <w:r w:rsidRPr="00A96789">
        <w:rPr>
          <w:rFonts w:ascii="Times New Roman" w:hAnsi="Times New Roman" w:cs="Times New Roman"/>
          <w:color w:val="auto"/>
          <w:sz w:val="24"/>
          <w:szCs w:val="24"/>
        </w:rPr>
        <w:t xml:space="preserve">va permite generarea de alerte rapide privind riscurile de contaminare, poluările transfrontaliere sau pericolul izbucnirii unor </w:t>
      </w:r>
      <w:r w:rsidRPr="00A96789">
        <w:rPr>
          <w:rFonts w:ascii="Times New Roman" w:hAnsi="Times New Roman" w:cs="Times New Roman"/>
          <w:color w:val="auto"/>
          <w:sz w:val="24"/>
          <w:szCs w:val="24"/>
        </w:rPr>
        <w:lastRenderedPageBreak/>
        <w:t xml:space="preserve">focare </w:t>
      </w:r>
      <w:r w:rsidR="00F2772E" w:rsidRPr="00A96789">
        <w:rPr>
          <w:rFonts w:ascii="Times New Roman" w:hAnsi="Times New Roman" w:cs="Times New Roman"/>
          <w:color w:val="auto"/>
          <w:sz w:val="24"/>
          <w:szCs w:val="24"/>
        </w:rPr>
        <w:t>de infecții prin vectori hidrici.</w:t>
      </w:r>
      <w:r w:rsidRPr="00A96789">
        <w:rPr>
          <w:rFonts w:ascii="Times New Roman" w:hAnsi="Times New Roman" w:cs="Times New Roman"/>
          <w:color w:val="auto"/>
          <w:sz w:val="24"/>
          <w:szCs w:val="24"/>
        </w:rPr>
        <w:t xml:space="preserve"> Aceste investiții vor facilita trecerea la un sistem național modern de supraveghere a apei, aliniat standardelor UE și esențial pentru protecția sănătății publice.</w:t>
      </w:r>
    </w:p>
    <w:p w14:paraId="2E7C3601" w14:textId="07ED430F" w:rsidR="00F2772E" w:rsidRPr="00A96789" w:rsidRDefault="00D233A4" w:rsidP="00BD2791">
      <w:pPr>
        <w:pStyle w:val="ListParagraph"/>
        <w:numPr>
          <w:ilvl w:val="0"/>
          <w:numId w:val="53"/>
        </w:numPr>
        <w:spacing w:after="120"/>
        <w:ind w:left="0" w:firstLine="284"/>
        <w:jc w:val="both"/>
        <w:rPr>
          <w:rFonts w:ascii="Times New Roman" w:hAnsi="Times New Roman" w:cs="Times New Roman"/>
          <w:color w:val="auto"/>
          <w:sz w:val="24"/>
          <w:szCs w:val="24"/>
        </w:rPr>
      </w:pPr>
      <w:r w:rsidRPr="00A96789">
        <w:rPr>
          <w:rFonts w:ascii="Times New Roman" w:hAnsi="Times New Roman" w:cs="Times New Roman"/>
          <w:color w:val="auto"/>
          <w:sz w:val="24"/>
          <w:szCs w:val="24"/>
        </w:rPr>
        <w:t xml:space="preserve">Similar, </w:t>
      </w:r>
      <w:r w:rsidR="004F5F7D" w:rsidRPr="00A96789">
        <w:rPr>
          <w:rFonts w:ascii="Times New Roman" w:hAnsi="Times New Roman" w:cs="Times New Roman"/>
          <w:color w:val="auto"/>
          <w:sz w:val="24"/>
          <w:szCs w:val="24"/>
        </w:rPr>
        <w:t>m</w:t>
      </w:r>
      <w:r w:rsidRPr="00A96789">
        <w:rPr>
          <w:rFonts w:ascii="Times New Roman" w:hAnsi="Times New Roman" w:cs="Times New Roman"/>
          <w:color w:val="auto"/>
          <w:sz w:val="24"/>
          <w:szCs w:val="24"/>
        </w:rPr>
        <w:t>onitorizarea calității aerului nu este pe deplin conformă cu Directivele UE 2008/50/CE (calitatea aerului) și 2004/107/CE (poluanți toxici), nici cu standardele EN/ISO pentru determinarea particulelor și compușilor organici volatili. Stațiile existente sunt insuficiente, parțial funcționale și necalibrate, iar laboratorul nu dispune de echipamente pentru analizarea completă a PM2.5</w:t>
      </w:r>
      <w:r w:rsidR="00AF4AA5" w:rsidRPr="00A96789">
        <w:rPr>
          <w:rFonts w:ascii="Times New Roman" w:hAnsi="Times New Roman" w:cs="Times New Roman"/>
          <w:color w:val="auto"/>
          <w:sz w:val="24"/>
          <w:szCs w:val="24"/>
        </w:rPr>
        <w:t xml:space="preserve"> si PM₁₀</w:t>
      </w:r>
      <w:r w:rsidRPr="00A96789">
        <w:rPr>
          <w:rFonts w:ascii="Times New Roman" w:hAnsi="Times New Roman" w:cs="Times New Roman"/>
          <w:color w:val="auto"/>
          <w:sz w:val="24"/>
          <w:szCs w:val="24"/>
        </w:rPr>
        <w:t xml:space="preserve">, </w:t>
      </w:r>
      <w:r w:rsidR="00AF4AA5" w:rsidRPr="00A96789">
        <w:rPr>
          <w:rFonts w:ascii="Times New Roman" w:hAnsi="Times New Roman" w:cs="Times New Roman"/>
          <w:color w:val="auto"/>
          <w:sz w:val="24"/>
          <w:szCs w:val="24"/>
        </w:rPr>
        <w:t>metalelor grele (As, Cd, Hg, Ni), cationilor și anionilor din aerul înconjurător</w:t>
      </w:r>
      <w:r w:rsidRPr="00A96789">
        <w:rPr>
          <w:rFonts w:ascii="Times New Roman" w:hAnsi="Times New Roman" w:cs="Times New Roman"/>
          <w:color w:val="auto"/>
          <w:sz w:val="24"/>
          <w:szCs w:val="24"/>
        </w:rPr>
        <w:t>. Lipsa analizatoarelor automate, a calibratoarelor de referință și a sistemelor continue de monitorizare reduce capacitatea de a emite avertizări rapide pentru episoade de poluare și de a corela calitatea aerului cu efectele asupra sănătății publice (boli respiratorii, alergii, efecte</w:t>
      </w:r>
      <w:r w:rsidR="004F5F7D" w:rsidRPr="00A96789">
        <w:rPr>
          <w:rFonts w:ascii="Times New Roman" w:hAnsi="Times New Roman" w:cs="Times New Roman"/>
          <w:color w:val="auto"/>
          <w:sz w:val="24"/>
          <w:szCs w:val="24"/>
        </w:rPr>
        <w:t xml:space="preserve"> accentuate</w:t>
      </w:r>
      <w:r w:rsidRPr="00A96789">
        <w:rPr>
          <w:rFonts w:ascii="Times New Roman" w:hAnsi="Times New Roman" w:cs="Times New Roman"/>
          <w:color w:val="auto"/>
          <w:sz w:val="24"/>
          <w:szCs w:val="24"/>
        </w:rPr>
        <w:t xml:space="preserve"> în timpul valurilor de căldură).</w:t>
      </w:r>
      <w:r w:rsidR="004F5F7D" w:rsidRPr="00A96789">
        <w:rPr>
          <w:rFonts w:ascii="Times New Roman" w:hAnsi="Times New Roman" w:cs="Times New Roman"/>
          <w:color w:val="auto"/>
          <w:sz w:val="24"/>
          <w:szCs w:val="24"/>
        </w:rPr>
        <w:t xml:space="preserve"> De aceea, pentru îmbunătățirea </w:t>
      </w:r>
      <w:r w:rsidR="008F2208" w:rsidRPr="00A96789">
        <w:rPr>
          <w:rFonts w:ascii="Times New Roman" w:hAnsi="Times New Roman" w:cs="Times New Roman"/>
          <w:color w:val="auto"/>
          <w:sz w:val="24"/>
          <w:szCs w:val="24"/>
        </w:rPr>
        <w:t>monitorizării</w:t>
      </w:r>
      <w:r w:rsidR="004F5F7D" w:rsidRPr="00A96789">
        <w:rPr>
          <w:rFonts w:ascii="Times New Roman" w:hAnsi="Times New Roman" w:cs="Times New Roman"/>
          <w:color w:val="auto"/>
          <w:sz w:val="24"/>
          <w:szCs w:val="24"/>
        </w:rPr>
        <w:t xml:space="preserve"> calității aerului achiziționarea următoarelor echipamente este necesara: un prelevator secvențial de particule PM2,5 sau PM10, prelevator de precipitații zilnice, spectrofotometru UV-Vis, debitmetru pentru verificarea fluxului de aer la stații, ion-cromatograf cu auto sampler, analizor de carbon elemental, carbon organic și carbon total de laborator cu detector FID, analiza aerosolilor, cu calculator inclus și gaze necesare. </w:t>
      </w:r>
    </w:p>
    <w:p w14:paraId="6CCB84CC" w14:textId="055AC7C7" w:rsidR="001F541F" w:rsidRPr="00A96789" w:rsidRDefault="00BD2791" w:rsidP="001F541F">
      <w:pPr>
        <w:pStyle w:val="ListParagraph"/>
        <w:numPr>
          <w:ilvl w:val="0"/>
          <w:numId w:val="53"/>
        </w:numPr>
        <w:spacing w:after="120"/>
        <w:ind w:left="0" w:firstLine="284"/>
        <w:jc w:val="both"/>
        <w:rPr>
          <w:rFonts w:ascii="Times New Roman" w:hAnsi="Times New Roman" w:cs="Times New Roman"/>
          <w:color w:val="auto"/>
          <w:sz w:val="24"/>
          <w:szCs w:val="24"/>
        </w:rPr>
      </w:pPr>
      <w:r w:rsidRPr="00A96789">
        <w:rPr>
          <w:rFonts w:ascii="Times New Roman" w:hAnsi="Times New Roman" w:cs="Times New Roman"/>
          <w:color w:val="auto"/>
          <w:sz w:val="24"/>
          <w:szCs w:val="24"/>
        </w:rPr>
        <w:t>Obiectivul 4.1 urmărește consolidarea capacităților tehnice, operaționale și instituționale ale laboratorului de referință de mediu</w:t>
      </w:r>
      <w:r w:rsidR="00C26AA0" w:rsidRPr="00A96789">
        <w:rPr>
          <w:rFonts w:ascii="Times New Roman" w:hAnsi="Times New Roman" w:cs="Times New Roman"/>
          <w:color w:val="auto"/>
          <w:sz w:val="24"/>
          <w:szCs w:val="24"/>
        </w:rPr>
        <w:t xml:space="preserve"> si a laboratoarelor din domeniul  sănătății</w:t>
      </w:r>
      <w:r w:rsidRPr="00A96789">
        <w:rPr>
          <w:rFonts w:ascii="Times New Roman" w:hAnsi="Times New Roman" w:cs="Times New Roman"/>
          <w:color w:val="auto"/>
          <w:sz w:val="24"/>
          <w:szCs w:val="24"/>
        </w:rPr>
        <w:t xml:space="preserve">, atât prin modernizarea echipamentelor și extinderea capabilităților analitice, cât și prin instruirea personalului și digitalizarea sistemelor de date pentru a permite un răspuns mai rapid și mai bine fundamentat. </w:t>
      </w:r>
    </w:p>
    <w:p w14:paraId="5D765B2C" w14:textId="3D9F5376" w:rsidR="00616482" w:rsidRPr="00A96789" w:rsidRDefault="00A71455" w:rsidP="00A71455">
      <w:pPr>
        <w:pStyle w:val="ListParagraph"/>
        <w:numPr>
          <w:ilvl w:val="0"/>
          <w:numId w:val="53"/>
        </w:numPr>
        <w:spacing w:after="120"/>
        <w:ind w:left="0" w:firstLine="284"/>
        <w:jc w:val="both"/>
        <w:rPr>
          <w:rFonts w:ascii="Times New Roman" w:hAnsi="Times New Roman" w:cs="Times New Roman"/>
          <w:color w:val="auto"/>
          <w:sz w:val="24"/>
          <w:szCs w:val="24"/>
        </w:rPr>
      </w:pPr>
      <w:r w:rsidRPr="00A96789">
        <w:rPr>
          <w:rFonts w:ascii="Times New Roman" w:hAnsi="Times New Roman" w:cs="Times New Roman"/>
          <w:color w:val="auto"/>
          <w:sz w:val="24"/>
          <w:szCs w:val="24"/>
        </w:rPr>
        <w:t xml:space="preserve">Sectorul de mediu necesită sisteme robuste de monitorizare specializate în detectarea precoce a riscurilor climatice </w:t>
      </w:r>
      <w:r w:rsidR="005E7189" w:rsidRPr="00A96789">
        <w:rPr>
          <w:rFonts w:ascii="Times New Roman" w:hAnsi="Times New Roman" w:cs="Times New Roman"/>
          <w:color w:val="auto"/>
          <w:sz w:val="24"/>
          <w:szCs w:val="24"/>
        </w:rPr>
        <w:t xml:space="preserve">, </w:t>
      </w:r>
      <w:r w:rsidRPr="00A96789">
        <w:rPr>
          <w:rFonts w:ascii="Times New Roman" w:hAnsi="Times New Roman" w:cs="Times New Roman"/>
          <w:color w:val="auto"/>
          <w:sz w:val="24"/>
          <w:szCs w:val="24"/>
        </w:rPr>
        <w:t>naturale</w:t>
      </w:r>
      <w:r w:rsidR="005E7189" w:rsidRPr="00A96789">
        <w:rPr>
          <w:rFonts w:ascii="Times New Roman" w:hAnsi="Times New Roman" w:cs="Times New Roman"/>
          <w:color w:val="auto"/>
          <w:sz w:val="24"/>
          <w:szCs w:val="24"/>
        </w:rPr>
        <w:t xml:space="preserve"> și biologico-sociale</w:t>
      </w:r>
      <w:r w:rsidRPr="00A96789">
        <w:rPr>
          <w:rFonts w:ascii="Times New Roman" w:hAnsi="Times New Roman" w:cs="Times New Roman"/>
          <w:color w:val="auto"/>
          <w:sz w:val="24"/>
          <w:szCs w:val="24"/>
        </w:rPr>
        <w:t>, esențiale pentru prevenire</w:t>
      </w:r>
      <w:r w:rsidR="004D7EDA" w:rsidRPr="00A96789">
        <w:rPr>
          <w:rFonts w:ascii="Times New Roman" w:hAnsi="Times New Roman" w:cs="Times New Roman"/>
          <w:color w:val="auto"/>
          <w:sz w:val="24"/>
          <w:szCs w:val="24"/>
        </w:rPr>
        <w:t>, pregătire și</w:t>
      </w:r>
      <w:r w:rsidRPr="00A96789">
        <w:rPr>
          <w:rFonts w:ascii="Times New Roman" w:hAnsi="Times New Roman" w:cs="Times New Roman"/>
          <w:color w:val="auto"/>
          <w:sz w:val="24"/>
          <w:szCs w:val="24"/>
        </w:rPr>
        <w:t xml:space="preserve"> intervenție rapidă</w:t>
      </w:r>
      <w:r w:rsidR="00BD06D6" w:rsidRPr="00A96789">
        <w:rPr>
          <w:rFonts w:ascii="Times New Roman" w:hAnsi="Times New Roman" w:cs="Times New Roman"/>
          <w:color w:val="auto"/>
          <w:sz w:val="24"/>
          <w:szCs w:val="24"/>
        </w:rPr>
        <w:t xml:space="preserve">, iar acest obiectiv specific sprijină aceasta abordare integrata. </w:t>
      </w:r>
    </w:p>
    <w:p w14:paraId="3AE98F86" w14:textId="752E988A" w:rsidR="00700700" w:rsidRPr="009067DC" w:rsidRDefault="0029027B" w:rsidP="009067DC">
      <w:pPr>
        <w:pStyle w:val="Heading3"/>
        <w:jc w:val="both"/>
        <w:rPr>
          <w:rFonts w:ascii="Times New Roman" w:hAnsi="Times New Roman" w:cs="Times New Roman"/>
          <w:b/>
          <w:bCs w:val="0"/>
          <w:color w:val="auto"/>
        </w:rPr>
      </w:pPr>
      <w:r w:rsidRPr="009067DC">
        <w:rPr>
          <w:rFonts w:ascii="Times New Roman" w:hAnsi="Times New Roman" w:cs="Times New Roman"/>
          <w:b/>
          <w:bCs w:val="0"/>
          <w:color w:val="auto"/>
        </w:rPr>
        <w:t xml:space="preserve">Obiectivul specific </w:t>
      </w:r>
      <w:r w:rsidR="003C5B6D" w:rsidRPr="009067DC">
        <w:rPr>
          <w:rFonts w:ascii="Times New Roman" w:hAnsi="Times New Roman" w:cs="Times New Roman"/>
          <w:b/>
          <w:bCs w:val="0"/>
          <w:color w:val="auto"/>
        </w:rPr>
        <w:t>4.</w:t>
      </w:r>
      <w:r w:rsidR="00616482" w:rsidRPr="009067DC">
        <w:rPr>
          <w:rFonts w:ascii="Times New Roman" w:hAnsi="Times New Roman" w:cs="Times New Roman"/>
          <w:b/>
          <w:bCs w:val="0"/>
          <w:color w:val="auto"/>
        </w:rPr>
        <w:t>2</w:t>
      </w:r>
      <w:r w:rsidR="003C5B6D" w:rsidRPr="009067DC">
        <w:rPr>
          <w:rFonts w:ascii="Times New Roman" w:hAnsi="Times New Roman" w:cs="Times New Roman"/>
          <w:b/>
          <w:bCs w:val="0"/>
          <w:color w:val="auto"/>
        </w:rPr>
        <w:t xml:space="preserve">: </w:t>
      </w:r>
      <w:r w:rsidR="00F31006" w:rsidRPr="009067DC">
        <w:rPr>
          <w:rFonts w:ascii="Times New Roman" w:hAnsi="Times New Roman" w:cs="Times New Roman"/>
          <w:b/>
          <w:bCs w:val="0"/>
          <w:color w:val="auto"/>
        </w:rPr>
        <w:t>Până în 2030, sunt consolidate pregătirea tehnică și capacitatea sectorului de mediu de a gestiona consecințele dezastrelor naturale și biologico-sociale, asigurând o restabilire eficientă și durabilă a ecosistemelor și infrastructurii afectate.</w:t>
      </w:r>
    </w:p>
    <w:p w14:paraId="063AD5B3" w14:textId="4FD52133" w:rsidR="0007507A" w:rsidRPr="00A96789" w:rsidRDefault="0007507A" w:rsidP="00A96789">
      <w:pPr>
        <w:pStyle w:val="ListParagraph"/>
        <w:numPr>
          <w:ilvl w:val="0"/>
          <w:numId w:val="53"/>
        </w:numPr>
        <w:spacing w:after="120"/>
        <w:ind w:left="0" w:firstLine="284"/>
        <w:jc w:val="both"/>
        <w:rPr>
          <w:rFonts w:ascii="Times New Roman" w:hAnsi="Times New Roman" w:cs="Times New Roman"/>
          <w:color w:val="auto"/>
          <w:sz w:val="24"/>
          <w:szCs w:val="24"/>
        </w:rPr>
      </w:pPr>
      <w:r w:rsidRPr="00A96789">
        <w:rPr>
          <w:rFonts w:ascii="Times New Roman" w:hAnsi="Times New Roman" w:cs="Times New Roman"/>
          <w:color w:val="auto"/>
          <w:sz w:val="24"/>
          <w:szCs w:val="24"/>
        </w:rPr>
        <w:t>Creșterea frecvenței și intensității fenomenelor extreme evidențiază necesitatea ca sectorul de mediu să dispună de instrumente robuste pentru pregătirea și gestionarea consecințelor dezastrelor asupra ecosistemelor, resurselor naturale și serviciilor publice esențiale. În acest sens, obiectivul specific 4.2 promovează trecerea de la reacție punctuală la planificare anticipativă, punând accent pe refacerea durabilă a ecosistemelor, reducerea vulnerabilităților și integrarea nevoilor grupurilor vulnerabile, inclusiv migrați sau persoane strămutate din cauza riscurilor climatice.</w:t>
      </w:r>
    </w:p>
    <w:p w14:paraId="1214B118" w14:textId="3B2EEDDF" w:rsidR="0007507A" w:rsidRPr="00A96789" w:rsidRDefault="0007507A" w:rsidP="0007507A">
      <w:pPr>
        <w:pStyle w:val="ListParagraph"/>
        <w:numPr>
          <w:ilvl w:val="0"/>
          <w:numId w:val="53"/>
        </w:numPr>
        <w:spacing w:after="120"/>
        <w:ind w:left="0" w:firstLine="284"/>
        <w:jc w:val="both"/>
        <w:rPr>
          <w:rFonts w:ascii="Times New Roman" w:hAnsi="Times New Roman" w:cs="Times New Roman"/>
          <w:color w:val="auto"/>
          <w:sz w:val="24"/>
          <w:szCs w:val="24"/>
        </w:rPr>
      </w:pPr>
      <w:r w:rsidRPr="00A96789">
        <w:rPr>
          <w:rFonts w:ascii="Times New Roman" w:hAnsi="Times New Roman" w:cs="Times New Roman"/>
          <w:color w:val="auto"/>
          <w:sz w:val="24"/>
          <w:szCs w:val="24"/>
        </w:rPr>
        <w:t>Principiul „restabilirii eficiente și durabile” reprezintă axa centrală a acestui obiectiv: reconstruirea nu doar a infrastructurii afectate, ci și a ecosistemelor, la un nivel mai rezilient decât înainte de evenimentul dezastruos, prin soluții bazate pe natură, utilizarea materialelor durabile, precum și integrarea recomandărilor privind sănătatea publică și reziliența infrastructurii sociale. În sectorul sănătății, acest obiectiv urmărește valorificarea recomandărilor UNFPA privind modernizarea sistemelor HVAC și extinderea utilizării energiei regenerabile în instituțiile medicale, pentru a asigura continuitatea serviciilor vitale, inclusiv în sănătatea maternă și reproductivă, în situații de stres climatic sau hazard biologic.</w:t>
      </w:r>
    </w:p>
    <w:p w14:paraId="4F22102E" w14:textId="3E6779A5" w:rsidR="00D168CB" w:rsidRPr="00A96789" w:rsidRDefault="0007507A" w:rsidP="0007507A">
      <w:pPr>
        <w:pStyle w:val="ListParagraph"/>
        <w:numPr>
          <w:ilvl w:val="0"/>
          <w:numId w:val="53"/>
        </w:numPr>
        <w:spacing w:after="120"/>
        <w:ind w:left="0" w:firstLine="284"/>
        <w:jc w:val="both"/>
        <w:rPr>
          <w:rFonts w:ascii="Times New Roman" w:hAnsi="Times New Roman" w:cs="Times New Roman"/>
          <w:color w:val="auto"/>
          <w:sz w:val="24"/>
          <w:szCs w:val="24"/>
        </w:rPr>
      </w:pPr>
      <w:r w:rsidRPr="00A96789">
        <w:rPr>
          <w:rFonts w:ascii="Times New Roman" w:hAnsi="Times New Roman" w:cs="Times New Roman"/>
          <w:color w:val="auto"/>
          <w:sz w:val="24"/>
          <w:szCs w:val="24"/>
        </w:rPr>
        <w:t>Pentru a sprijini aceste procese, până în 2030 Programul va dezvolta un set de metodologii rapide de evaluare post-dezastru aplicabile ecosistemelor și infrastructurii de mediu, adaptate diferitelor tipuri de riscuri naturale și biologico-sociale relevante pentru Republica Moldova, precum secetă, inundații, alunecări de teren, incendii de vegetație, episoade de caniculă severă sau contaminări accidentale. Aceste metodologii vor include indicatorii standard de evaluare a daunelor, sursele de date necesare, proceduri de colectare și validare, parametrii hidrologici, ecologici și pedologici, precum și formatele documentelor de raportare. Ele vor contribui la o reacție rapidă, coerentă și bazată pe dovezi, facilitând deciziile privind măsurile de reabilitare, alocarea resurselor și prevenirea deteriorării suplimentare a capitalului natural.</w:t>
      </w:r>
    </w:p>
    <w:p w14:paraId="65DE5E3A" w14:textId="34B8132D" w:rsidR="00D168CB" w:rsidRPr="00A96789" w:rsidRDefault="00D168CB" w:rsidP="0007507A">
      <w:pPr>
        <w:pStyle w:val="ListParagraph"/>
        <w:numPr>
          <w:ilvl w:val="0"/>
          <w:numId w:val="53"/>
        </w:numPr>
        <w:spacing w:after="120"/>
        <w:ind w:left="0" w:firstLine="284"/>
        <w:jc w:val="both"/>
        <w:rPr>
          <w:rFonts w:ascii="Times New Roman" w:hAnsi="Times New Roman" w:cs="Times New Roman"/>
          <w:color w:val="auto"/>
          <w:sz w:val="24"/>
          <w:szCs w:val="24"/>
        </w:rPr>
      </w:pPr>
      <w:r w:rsidRPr="00A96789">
        <w:rPr>
          <w:rFonts w:ascii="Times New Roman" w:hAnsi="Times New Roman" w:cs="Times New Roman"/>
          <w:color w:val="auto"/>
          <w:sz w:val="24"/>
          <w:szCs w:val="24"/>
        </w:rPr>
        <w:lastRenderedPageBreak/>
        <w:t>În sprijinul pregătirii și gestionării consecințelor, obiectivul susține elaborarea unor instrumente tehnice necesare autorităților centrale și locale, inclusiv:</w:t>
      </w:r>
    </w:p>
    <w:p w14:paraId="38A2259A" w14:textId="77A5C8E1" w:rsidR="0007507A" w:rsidRPr="00A96789" w:rsidRDefault="0007507A" w:rsidP="00A96789">
      <w:pPr>
        <w:spacing w:after="120"/>
        <w:ind w:firstLine="426"/>
        <w:jc w:val="both"/>
      </w:pPr>
      <w:r w:rsidRPr="00A96789">
        <w:t>1) Metodologia privind managementul apelor pluviale: Elaborarea și aprobarea unei metodologii privind managementul apelor pluviale, axată pe colectarea, valorificarea și reutilizarea acestora pentru irigații, uz industrial și alte utilizări productive, în condiții de risc climatic.</w:t>
      </w:r>
    </w:p>
    <w:p w14:paraId="1927DFF6" w14:textId="1A1E482E" w:rsidR="0007507A" w:rsidRPr="00A96789" w:rsidRDefault="0007507A" w:rsidP="00A96789">
      <w:pPr>
        <w:spacing w:after="120"/>
        <w:ind w:firstLine="426"/>
        <w:jc w:val="both"/>
      </w:pPr>
      <w:r w:rsidRPr="00A96789">
        <w:t>2) Metodologia sectorială de gestionare a riscului de caniculă: Elaborarea unei metodologii sectoriale de gestionare a riscului de caniculă, cu accent pe protecția mediului, reducerea impactului asupra ecosistemelor și prevenirea efectelor asupra sănătății umane.</w:t>
      </w:r>
    </w:p>
    <w:p w14:paraId="0EB1160D" w14:textId="409257C0" w:rsidR="0007507A" w:rsidRPr="00A96789" w:rsidRDefault="0007507A" w:rsidP="00A96789">
      <w:pPr>
        <w:spacing w:after="120"/>
        <w:ind w:firstLine="426"/>
        <w:jc w:val="both"/>
      </w:pPr>
      <w:r w:rsidRPr="00A96789">
        <w:t>3) Ghid tehnic pentru obiective cu risc înalt de poluare în caz de inundații: Elaborarea unui ghid tehnic pentru identificarea, evaluarea și clasificarea obiectivelor cu risc înalt de poluare în caz de inundații, incluzând criterii de vulnerabilitate, proceduri de verificare și măsuri de reducere a riscului.</w:t>
      </w:r>
    </w:p>
    <w:p w14:paraId="13A99A1D" w14:textId="42BF32C8" w:rsidR="0007507A" w:rsidRPr="00A96789" w:rsidRDefault="0007507A" w:rsidP="00A96789">
      <w:pPr>
        <w:spacing w:after="120"/>
        <w:ind w:firstLine="426"/>
        <w:jc w:val="both"/>
      </w:pPr>
      <w:r w:rsidRPr="00A96789">
        <w:t xml:space="preserve">4) Template/model pentru planul de continuitate a activităților critice: Elaborarea unui model pentru planul de continuitate a activităților critice în situații de inundații și secetă, aplicabil instituțiilor și operatorilor economici care gestionează resurse de mediu și infrastructuri esențiale </w:t>
      </w:r>
    </w:p>
    <w:p w14:paraId="6F6C204E" w14:textId="4508A821" w:rsidR="00FE07FD" w:rsidRPr="00A96789" w:rsidRDefault="00D168CB" w:rsidP="00A96789">
      <w:pPr>
        <w:pStyle w:val="ListParagraph"/>
        <w:numPr>
          <w:ilvl w:val="0"/>
          <w:numId w:val="53"/>
        </w:numPr>
        <w:spacing w:after="120"/>
        <w:ind w:left="0" w:firstLine="284"/>
        <w:jc w:val="both"/>
        <w:rPr>
          <w:rFonts w:ascii="Times New Roman" w:hAnsi="Times New Roman" w:cs="Times New Roman"/>
          <w:color w:val="auto"/>
          <w:sz w:val="24"/>
          <w:szCs w:val="24"/>
        </w:rPr>
      </w:pPr>
      <w:r w:rsidRPr="00A96789">
        <w:rPr>
          <w:rFonts w:ascii="Times New Roman" w:hAnsi="Times New Roman" w:cs="Times New Roman"/>
          <w:color w:val="auto"/>
          <w:sz w:val="24"/>
          <w:szCs w:val="24"/>
        </w:rPr>
        <w:t xml:space="preserve">Implementarea acestor instrumente va consolida capacitatea instituțiilor de mediu de a evalua, prioritiza și planifica intervențiile post-dezastru, contribuind la restaurarea ecologică, la menținerea serviciilor ecosistemice și la reziliența comunităților afectate. </w:t>
      </w:r>
    </w:p>
    <w:p w14:paraId="069EF41A" w14:textId="3999F541" w:rsidR="00703E31" w:rsidRPr="00995B26" w:rsidRDefault="006C2FD3" w:rsidP="00995B26">
      <w:pPr>
        <w:pStyle w:val="Heading2"/>
        <w:jc w:val="both"/>
        <w:rPr>
          <w:rFonts w:ascii="Times New Roman" w:hAnsi="Times New Roman" w:cs="Times New Roman"/>
          <w:b w:val="0"/>
          <w:bCs w:val="0"/>
          <w:color w:val="auto"/>
          <w:sz w:val="24"/>
          <w:szCs w:val="24"/>
        </w:rPr>
      </w:pPr>
      <w:r w:rsidRPr="00995B26">
        <w:rPr>
          <w:rStyle w:val="Heading2Char"/>
          <w:rFonts w:ascii="Times New Roman" w:hAnsi="Times New Roman" w:cs="Times New Roman"/>
          <w:b/>
          <w:bCs/>
          <w:color w:val="auto"/>
          <w:sz w:val="24"/>
          <w:szCs w:val="24"/>
        </w:rPr>
        <w:t>Obiectiv general 5: Dezvoltarea cooperării internaționale și regionale în domeniul reducerii riscurilor naturale si biologico-sociale, prin participarea la programe și mecanisme europene, schimb de date și bune practici, precum și armonizarea cadrului normativ național cu standardele UE și ONU</w:t>
      </w:r>
      <w:r w:rsidRPr="00995B26">
        <w:rPr>
          <w:rFonts w:ascii="Times New Roman" w:hAnsi="Times New Roman" w:cs="Times New Roman"/>
          <w:b w:val="0"/>
          <w:bCs w:val="0"/>
          <w:color w:val="auto"/>
          <w:sz w:val="24"/>
          <w:szCs w:val="24"/>
        </w:rPr>
        <w:t>.</w:t>
      </w:r>
      <w:r w:rsidR="00823797" w:rsidRPr="00995B26">
        <w:rPr>
          <w:rFonts w:ascii="Times New Roman" w:hAnsi="Times New Roman" w:cs="Times New Roman"/>
          <w:b w:val="0"/>
          <w:bCs w:val="0"/>
          <w:color w:val="auto"/>
          <w:sz w:val="24"/>
          <w:szCs w:val="24"/>
        </w:rPr>
        <w:t xml:space="preserve"> </w:t>
      </w:r>
    </w:p>
    <w:p w14:paraId="2F7BE1F9" w14:textId="200201C2" w:rsidR="00FE07FD" w:rsidRPr="00A96789" w:rsidRDefault="00FE07FD" w:rsidP="00E81FAA">
      <w:pPr>
        <w:jc w:val="both"/>
        <w:rPr>
          <w:lang w:eastAsia="en-US"/>
        </w:rPr>
      </w:pPr>
      <w:r w:rsidRPr="00A96789">
        <w:rPr>
          <w:i/>
          <w:iCs/>
          <w:u w:val="single"/>
          <w:lang w:eastAsia="en-US"/>
        </w:rPr>
        <w:t>Contribuie la: ODD 1 -Ținta 1.5, ODD 6 - Ținta 6.a, ODD 9 - Ținta 9.1, ODD 11 - Ținta 11.5, ODD 13 - Ținta 13.1 si 13.a, ODD 15 - Țintele 15.1 și 15.2</w:t>
      </w:r>
    </w:p>
    <w:p w14:paraId="21608E70" w14:textId="77777777" w:rsidR="004B4112" w:rsidRPr="00A96789" w:rsidRDefault="004B4112" w:rsidP="00E81FAA">
      <w:pPr>
        <w:jc w:val="both"/>
        <w:rPr>
          <w:b/>
          <w:bCs/>
          <w:lang w:eastAsia="en-US"/>
        </w:rPr>
      </w:pPr>
    </w:p>
    <w:p w14:paraId="3ED5EB11" w14:textId="14AFDC0F" w:rsidR="00703E31" w:rsidRPr="00A96789" w:rsidRDefault="00703E31" w:rsidP="00A96789">
      <w:pPr>
        <w:pStyle w:val="ListParagraph"/>
        <w:numPr>
          <w:ilvl w:val="0"/>
          <w:numId w:val="53"/>
        </w:numPr>
        <w:spacing w:after="120"/>
        <w:ind w:left="0" w:firstLine="284"/>
        <w:jc w:val="both"/>
        <w:rPr>
          <w:rFonts w:ascii="Times New Roman" w:hAnsi="Times New Roman" w:cs="Times New Roman"/>
          <w:color w:val="auto"/>
          <w:sz w:val="24"/>
          <w:szCs w:val="24"/>
        </w:rPr>
      </w:pPr>
      <w:r w:rsidRPr="00A96789">
        <w:rPr>
          <w:rFonts w:ascii="Times New Roman" w:hAnsi="Times New Roman" w:cs="Times New Roman"/>
          <w:color w:val="auto"/>
          <w:sz w:val="24"/>
          <w:szCs w:val="24"/>
        </w:rPr>
        <w:t>Într-un context marcat de intensificarea riscurilor naturale și biologico-sociale, Republica Moldova are nevoie de o integrare mai puternică în sistemele internaționale de cooperare, finanțare și coordonare dedicate reducerii riscurilor de dezastre și adaptării la schimbările climatice. Cooperarea internațională devine astfel un pilon strategic pentru consolidarea capacităților naționale, mobilizarea resurselor tehnice și financiare, accesul la date, cercetare și expertiză, precum și pentru alinierea la angajamentele asumate în conformitate cu Convențiile ONU și standardele Uniunii Europene.</w:t>
      </w:r>
    </w:p>
    <w:p w14:paraId="5260B4F4" w14:textId="49C95D3A" w:rsidR="00A4589B" w:rsidRPr="00A96789" w:rsidRDefault="00703E31" w:rsidP="00E81FAA">
      <w:pPr>
        <w:pStyle w:val="ListParagraph"/>
        <w:numPr>
          <w:ilvl w:val="0"/>
          <w:numId w:val="53"/>
        </w:numPr>
        <w:spacing w:after="120"/>
        <w:ind w:left="0" w:firstLine="284"/>
        <w:jc w:val="both"/>
        <w:rPr>
          <w:rFonts w:ascii="Times New Roman" w:hAnsi="Times New Roman" w:cs="Times New Roman"/>
          <w:color w:val="auto"/>
          <w:sz w:val="24"/>
          <w:szCs w:val="24"/>
        </w:rPr>
      </w:pPr>
      <w:r w:rsidRPr="00A96789">
        <w:rPr>
          <w:rFonts w:ascii="Times New Roman" w:hAnsi="Times New Roman" w:cs="Times New Roman"/>
          <w:color w:val="auto"/>
          <w:sz w:val="24"/>
          <w:szCs w:val="24"/>
        </w:rPr>
        <w:t xml:space="preserve">Obiectivul urmărește extinderea participării Republicii Moldova la programe, platforme și inițiative regionale și globale, promovarea unei diplomații climatice proactive și valorificarea oportunităților de finanțare internațională în sprijinul măsurilor de prevenire, </w:t>
      </w:r>
      <w:r w:rsidR="00EF3DE4" w:rsidRPr="00A96789">
        <w:rPr>
          <w:rFonts w:ascii="Times New Roman" w:hAnsi="Times New Roman" w:cs="Times New Roman"/>
          <w:color w:val="auto"/>
          <w:sz w:val="24"/>
          <w:szCs w:val="24"/>
        </w:rPr>
        <w:t xml:space="preserve">pregătire, </w:t>
      </w:r>
      <w:r w:rsidRPr="00A96789">
        <w:rPr>
          <w:rFonts w:ascii="Times New Roman" w:hAnsi="Times New Roman" w:cs="Times New Roman"/>
          <w:color w:val="auto"/>
          <w:sz w:val="24"/>
          <w:szCs w:val="24"/>
        </w:rPr>
        <w:t xml:space="preserve">adaptare, reconstrucție post-dezastru și gestionare durabilă a resurselor naturale. De asemenea, el vizează integrarea mobilității umane și a dimensiunilor </w:t>
      </w:r>
      <w:r w:rsidR="00E81FAA" w:rsidRPr="00A96789">
        <w:rPr>
          <w:rFonts w:ascii="Times New Roman" w:hAnsi="Times New Roman" w:cs="Times New Roman"/>
          <w:color w:val="auto"/>
          <w:sz w:val="24"/>
          <w:szCs w:val="24"/>
        </w:rPr>
        <w:t>migrațiune-</w:t>
      </w:r>
      <w:r w:rsidRPr="00A96789">
        <w:rPr>
          <w:rFonts w:ascii="Times New Roman" w:hAnsi="Times New Roman" w:cs="Times New Roman"/>
          <w:color w:val="auto"/>
          <w:sz w:val="24"/>
          <w:szCs w:val="24"/>
        </w:rPr>
        <w:t>mediu</w:t>
      </w:r>
      <w:r w:rsidR="00E81FAA" w:rsidRPr="00A96789">
        <w:rPr>
          <w:rFonts w:ascii="Times New Roman" w:hAnsi="Times New Roman" w:cs="Times New Roman"/>
          <w:color w:val="auto"/>
          <w:sz w:val="24"/>
          <w:szCs w:val="24"/>
        </w:rPr>
        <w:t>-</w:t>
      </w:r>
      <w:r w:rsidRPr="00A96789">
        <w:rPr>
          <w:rFonts w:ascii="Times New Roman" w:hAnsi="Times New Roman" w:cs="Times New Roman"/>
          <w:color w:val="auto"/>
          <w:sz w:val="24"/>
          <w:szCs w:val="24"/>
        </w:rPr>
        <w:t>climă în raportarea internațională și în proiectele de cooperare, precum și consolidarea parteneriatelor strategice cu agențiile ONU, UE, instituții financiare internaționale și platforme regionale relevante pentru RRD.</w:t>
      </w:r>
    </w:p>
    <w:tbl>
      <w:tblPr>
        <w:tblStyle w:val="TableGrid"/>
        <w:tblW w:w="9776" w:type="dxa"/>
        <w:tblLayout w:type="fixed"/>
        <w:tblLook w:val="04A0" w:firstRow="1" w:lastRow="0" w:firstColumn="1" w:lastColumn="0" w:noHBand="0" w:noVBand="1"/>
      </w:tblPr>
      <w:tblGrid>
        <w:gridCol w:w="3256"/>
        <w:gridCol w:w="2409"/>
        <w:gridCol w:w="2127"/>
        <w:gridCol w:w="1984"/>
      </w:tblGrid>
      <w:tr w:rsidR="00A96789" w:rsidRPr="00A96789" w14:paraId="2A1E3483" w14:textId="77777777" w:rsidTr="00C75217">
        <w:trPr>
          <w:trHeight w:val="482"/>
        </w:trPr>
        <w:tc>
          <w:tcPr>
            <w:tcW w:w="3256" w:type="dxa"/>
          </w:tcPr>
          <w:p w14:paraId="62AB0611" w14:textId="77777777" w:rsidR="00C75217" w:rsidRPr="00A96789" w:rsidRDefault="00C75217" w:rsidP="002C4956">
            <w:pPr>
              <w:pStyle w:val="p1"/>
              <w:rPr>
                <w:b/>
                <w:bCs/>
                <w:color w:val="auto"/>
                <w:sz w:val="24"/>
                <w:szCs w:val="24"/>
              </w:rPr>
            </w:pPr>
            <w:r w:rsidRPr="00A96789">
              <w:rPr>
                <w:b/>
                <w:bCs/>
                <w:color w:val="auto"/>
                <w:sz w:val="24"/>
                <w:szCs w:val="24"/>
              </w:rPr>
              <w:t>Indicator de impact</w:t>
            </w:r>
            <w:r w:rsidRPr="00A96789">
              <w:rPr>
                <w:rStyle w:val="apple-converted-space"/>
                <w:rFonts w:eastAsiaTheme="majorEastAsia"/>
                <w:b/>
                <w:bCs/>
                <w:color w:val="auto"/>
                <w:sz w:val="24"/>
                <w:szCs w:val="24"/>
              </w:rPr>
              <w:t> </w:t>
            </w:r>
          </w:p>
        </w:tc>
        <w:tc>
          <w:tcPr>
            <w:tcW w:w="2409" w:type="dxa"/>
          </w:tcPr>
          <w:p w14:paraId="5614B355" w14:textId="77777777" w:rsidR="00C75217" w:rsidRPr="00A96789" w:rsidRDefault="00C75217" w:rsidP="002C4956">
            <w:pPr>
              <w:widowControl w:val="0"/>
              <w:autoSpaceDE w:val="0"/>
              <w:autoSpaceDN w:val="0"/>
              <w:spacing w:after="120"/>
              <w:ind w:right="459"/>
              <w:rPr>
                <w:b/>
                <w:bCs/>
              </w:rPr>
            </w:pPr>
            <w:r w:rsidRPr="00A96789">
              <w:rPr>
                <w:b/>
                <w:bCs/>
              </w:rPr>
              <w:t>Furnizor de date</w:t>
            </w:r>
          </w:p>
        </w:tc>
        <w:tc>
          <w:tcPr>
            <w:tcW w:w="2127" w:type="dxa"/>
          </w:tcPr>
          <w:p w14:paraId="7330B910" w14:textId="77777777" w:rsidR="00C75217" w:rsidRPr="00A96789" w:rsidRDefault="00C75217" w:rsidP="002C4956">
            <w:pPr>
              <w:widowControl w:val="0"/>
              <w:autoSpaceDE w:val="0"/>
              <w:autoSpaceDN w:val="0"/>
              <w:spacing w:after="120"/>
              <w:ind w:right="459"/>
              <w:rPr>
                <w:b/>
                <w:bCs/>
              </w:rPr>
            </w:pPr>
            <w:r w:rsidRPr="00A96789">
              <w:rPr>
                <w:b/>
                <w:bCs/>
              </w:rPr>
              <w:t>Valoarea de referință 2025</w:t>
            </w:r>
          </w:p>
        </w:tc>
        <w:tc>
          <w:tcPr>
            <w:tcW w:w="1984" w:type="dxa"/>
          </w:tcPr>
          <w:p w14:paraId="2F389E50" w14:textId="77777777" w:rsidR="00C75217" w:rsidRPr="00A96789" w:rsidRDefault="00C75217" w:rsidP="002C4956">
            <w:pPr>
              <w:widowControl w:val="0"/>
              <w:autoSpaceDE w:val="0"/>
              <w:autoSpaceDN w:val="0"/>
              <w:spacing w:after="120"/>
              <w:ind w:right="459"/>
              <w:rPr>
                <w:b/>
                <w:bCs/>
              </w:rPr>
            </w:pPr>
            <w:r w:rsidRPr="00A96789">
              <w:rPr>
                <w:b/>
                <w:bCs/>
              </w:rPr>
              <w:t>Ținta finală 2030</w:t>
            </w:r>
          </w:p>
        </w:tc>
      </w:tr>
      <w:tr w:rsidR="00A96789" w:rsidRPr="00A96789" w14:paraId="47AC23FF" w14:textId="77777777" w:rsidTr="00902959">
        <w:trPr>
          <w:trHeight w:val="699"/>
        </w:trPr>
        <w:tc>
          <w:tcPr>
            <w:tcW w:w="3256" w:type="dxa"/>
          </w:tcPr>
          <w:p w14:paraId="6F13957D" w14:textId="18D6C2CC" w:rsidR="00C75217" w:rsidRPr="00A96789" w:rsidRDefault="00C75217" w:rsidP="002C4956">
            <w:pPr>
              <w:widowControl w:val="0"/>
              <w:autoSpaceDE w:val="0"/>
              <w:autoSpaceDN w:val="0"/>
              <w:spacing w:after="120"/>
              <w:ind w:right="459"/>
              <w:rPr>
                <w:b/>
                <w:bCs/>
              </w:rPr>
            </w:pPr>
            <w:r w:rsidRPr="00A96789">
              <w:rPr>
                <w:b/>
                <w:bCs/>
              </w:rPr>
              <w:t>N</w:t>
            </w:r>
            <w:r w:rsidR="00334BBB" w:rsidRPr="00A96789">
              <w:rPr>
                <w:b/>
                <w:bCs/>
              </w:rPr>
              <w:t>r.</w:t>
            </w:r>
            <w:r w:rsidRPr="00A96789">
              <w:rPr>
                <w:b/>
                <w:bCs/>
              </w:rPr>
              <w:t xml:space="preserve"> proiectelor noi de RRD/adaptare finanțate din fonduri internaționale și numărul raportărilor internaționale majore (UNFCCC, UNDRR, </w:t>
            </w:r>
            <w:r w:rsidRPr="00A96789">
              <w:rPr>
                <w:b/>
                <w:bCs/>
              </w:rPr>
              <w:lastRenderedPageBreak/>
              <w:t>UNCCD, CBD) care includ integrarea riscurilor naturale și biologico-sociale.</w:t>
            </w:r>
          </w:p>
        </w:tc>
        <w:tc>
          <w:tcPr>
            <w:tcW w:w="2409"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A96789" w:rsidRPr="00A96789" w14:paraId="250E6E8D" w14:textId="77777777" w:rsidTr="002C4956">
              <w:trPr>
                <w:tblCellSpacing w:w="15" w:type="dxa"/>
              </w:trPr>
              <w:tc>
                <w:tcPr>
                  <w:tcW w:w="36" w:type="dxa"/>
                  <w:vAlign w:val="center"/>
                  <w:hideMark/>
                </w:tcPr>
                <w:p w14:paraId="5D5ACD67" w14:textId="77777777" w:rsidR="00C75217" w:rsidRPr="00A96789" w:rsidRDefault="00C75217" w:rsidP="002C4956">
                  <w:pPr>
                    <w:widowControl w:val="0"/>
                    <w:autoSpaceDE w:val="0"/>
                    <w:autoSpaceDN w:val="0"/>
                    <w:spacing w:after="120"/>
                    <w:ind w:right="459"/>
                  </w:pPr>
                </w:p>
              </w:tc>
            </w:tr>
          </w:tbl>
          <w:p w14:paraId="3C2DD97B" w14:textId="77777777" w:rsidR="00C75217" w:rsidRPr="00A96789" w:rsidRDefault="00C75217" w:rsidP="002C4956">
            <w:pPr>
              <w:widowControl w:val="0"/>
              <w:autoSpaceDE w:val="0"/>
              <w:autoSpaceDN w:val="0"/>
              <w:spacing w:after="120"/>
              <w:ind w:right="459"/>
            </w:pPr>
          </w:p>
          <w:p w14:paraId="1B6523B7" w14:textId="77777777" w:rsidR="00C75217" w:rsidRPr="00A96789" w:rsidRDefault="00C75217" w:rsidP="00B339C7"/>
          <w:p w14:paraId="3975B178" w14:textId="77777777" w:rsidR="00C75217" w:rsidRPr="00A96789" w:rsidRDefault="00C75217" w:rsidP="00B339C7"/>
          <w:p w14:paraId="156637A4" w14:textId="2530E959" w:rsidR="00C75217" w:rsidRPr="00A96789" w:rsidRDefault="00C75217" w:rsidP="00B339C7">
            <w:r w:rsidRPr="00A96789">
              <w:t>Ministerul Mediului, MAEIE, Cancelaria de Stat</w:t>
            </w:r>
          </w:p>
          <w:p w14:paraId="6F58B556" w14:textId="134ED2F4" w:rsidR="00C75217" w:rsidRPr="00A96789" w:rsidRDefault="00C75217" w:rsidP="00B339C7"/>
        </w:tc>
        <w:tc>
          <w:tcPr>
            <w:tcW w:w="2127" w:type="dxa"/>
          </w:tcPr>
          <w:p w14:paraId="393199A8" w14:textId="3E3CCFFC" w:rsidR="00C75217" w:rsidRPr="00A96789" w:rsidRDefault="00C75217" w:rsidP="002C4956">
            <w:pPr>
              <w:widowControl w:val="0"/>
              <w:autoSpaceDE w:val="0"/>
              <w:autoSpaceDN w:val="0"/>
              <w:spacing w:after="120"/>
              <w:ind w:right="459"/>
            </w:pPr>
            <w:r w:rsidRPr="00A96789">
              <w:t>Finanțări RRD: 0</w:t>
            </w:r>
            <w:r w:rsidR="0060212E" w:rsidRPr="00A96789">
              <w:t xml:space="preserve"> -</w:t>
            </w:r>
            <w:r w:rsidRPr="00A96789">
              <w:t>1 proiecte; Raportări internaționale cu integrarea RRD: 1 din 4</w:t>
            </w:r>
          </w:p>
        </w:tc>
        <w:tc>
          <w:tcPr>
            <w:tcW w:w="1984" w:type="dxa"/>
          </w:tcPr>
          <w:p w14:paraId="3EE08DC9" w14:textId="184D54CC" w:rsidR="00C75217" w:rsidRPr="00A96789" w:rsidRDefault="00C75217" w:rsidP="002C4956">
            <w:pPr>
              <w:widowControl w:val="0"/>
              <w:autoSpaceDE w:val="0"/>
              <w:autoSpaceDN w:val="0"/>
              <w:spacing w:after="120"/>
              <w:ind w:right="459"/>
            </w:pPr>
            <w:r w:rsidRPr="00A96789">
              <w:t>≥ 3</w:t>
            </w:r>
            <w:r w:rsidR="006F3BD5" w:rsidRPr="00A96789">
              <w:t xml:space="preserve"> </w:t>
            </w:r>
            <w:r w:rsidRPr="00A96789">
              <w:t>proiecte noi</w:t>
            </w:r>
            <w:r w:rsidR="006F3BD5" w:rsidRPr="00A96789">
              <w:t xml:space="preserve"> RRD</w:t>
            </w:r>
            <w:r w:rsidRPr="00A96789">
              <w:t xml:space="preserve"> finanțate și ≥ 4 raportări internaționale care includ integrarea </w:t>
            </w:r>
            <w:r w:rsidR="006F3BD5" w:rsidRPr="00A96789">
              <w:lastRenderedPageBreak/>
              <w:t xml:space="preserve">principiilor si bunelor practici </w:t>
            </w:r>
            <w:r w:rsidRPr="00A96789">
              <w:t>RRD</w:t>
            </w:r>
          </w:p>
        </w:tc>
      </w:tr>
    </w:tbl>
    <w:p w14:paraId="54B61ACC" w14:textId="01FBDE03" w:rsidR="00703E31" w:rsidRPr="00A96789" w:rsidRDefault="00334BBB" w:rsidP="00703E31">
      <w:pPr>
        <w:jc w:val="both"/>
        <w:rPr>
          <w:lang w:eastAsia="en-US"/>
        </w:rPr>
      </w:pPr>
      <w:r w:rsidRPr="00A96789">
        <w:rPr>
          <w:lang w:eastAsia="en-US"/>
        </w:rPr>
        <w:lastRenderedPageBreak/>
        <w:t>Astfel, până în 2030, Moldova își va consolida profilul internațional în domeniul rezilienței climatice și reducerii riscurilor, își va diversifica portofoliul de finanțare externă, va contribui activ la schimbul de bune practici și va avansa alinierea cadrului național la politicile europene și la Cadrul de la Sendai, consolidând tranziția către o guvernanță modernă, deschisă și multidimensională a riscurilor naturale și biologico-sociale.</w:t>
      </w:r>
    </w:p>
    <w:p w14:paraId="0385A743" w14:textId="77777777" w:rsidR="00334BBB" w:rsidRPr="00A96789" w:rsidRDefault="00334BBB" w:rsidP="00703E31">
      <w:pPr>
        <w:jc w:val="both"/>
        <w:rPr>
          <w:lang w:eastAsia="en-US"/>
        </w:rPr>
      </w:pPr>
    </w:p>
    <w:p w14:paraId="7AA9B7DD" w14:textId="5BFF96CA" w:rsidR="00A96789" w:rsidRPr="009067DC" w:rsidRDefault="00703E31" w:rsidP="009067DC">
      <w:pPr>
        <w:pStyle w:val="Heading3"/>
        <w:jc w:val="both"/>
        <w:rPr>
          <w:rFonts w:ascii="Times New Roman" w:hAnsi="Times New Roman" w:cs="Times New Roman"/>
          <w:b/>
          <w:bCs w:val="0"/>
          <w:color w:val="auto"/>
        </w:rPr>
      </w:pPr>
      <w:r w:rsidRPr="009067DC">
        <w:rPr>
          <w:rFonts w:ascii="Times New Roman" w:hAnsi="Times New Roman" w:cs="Times New Roman"/>
          <w:b/>
          <w:bCs w:val="0"/>
          <w:color w:val="auto"/>
        </w:rPr>
        <w:t>O</w:t>
      </w:r>
      <w:r w:rsidR="00FE07FD" w:rsidRPr="009067DC">
        <w:rPr>
          <w:rFonts w:ascii="Times New Roman" w:hAnsi="Times New Roman" w:cs="Times New Roman"/>
          <w:b/>
          <w:bCs w:val="0"/>
          <w:color w:val="auto"/>
        </w:rPr>
        <w:t xml:space="preserve">biectivul specific 5.1: </w:t>
      </w:r>
      <w:r w:rsidRPr="009067DC">
        <w:rPr>
          <w:rFonts w:ascii="Times New Roman" w:hAnsi="Times New Roman" w:cs="Times New Roman"/>
          <w:b/>
          <w:bCs w:val="0"/>
          <w:color w:val="auto"/>
        </w:rPr>
        <w:t>Mobilizarea resurselor externe și accesul la fonduri internaționale pentru prevenire și adaptare</w:t>
      </w:r>
    </w:p>
    <w:p w14:paraId="1199A2AD" w14:textId="26E0E21E" w:rsidR="00703E31" w:rsidRPr="00A96789" w:rsidRDefault="00703E31" w:rsidP="00A96789">
      <w:pPr>
        <w:pStyle w:val="ListParagraph"/>
        <w:numPr>
          <w:ilvl w:val="0"/>
          <w:numId w:val="53"/>
        </w:numPr>
        <w:spacing w:after="120"/>
        <w:ind w:left="0" w:firstLine="284"/>
        <w:jc w:val="both"/>
        <w:rPr>
          <w:rFonts w:ascii="Times New Roman" w:hAnsi="Times New Roman" w:cs="Times New Roman"/>
          <w:color w:val="auto"/>
          <w:sz w:val="24"/>
          <w:szCs w:val="24"/>
        </w:rPr>
      </w:pPr>
      <w:r w:rsidRPr="00A96789">
        <w:rPr>
          <w:rFonts w:ascii="Times New Roman" w:hAnsi="Times New Roman" w:cs="Times New Roman"/>
          <w:color w:val="auto"/>
          <w:sz w:val="24"/>
          <w:szCs w:val="24"/>
        </w:rPr>
        <w:t>Acest obiectiv specific urmărește întărirea capacității Republicii Moldova de a accesa și utiliza eficient fonduri internaționale dedicate reducerii riscurilor și adaptării la schimbările climatice, inclusiv fondurile</w:t>
      </w:r>
      <w:r w:rsidR="00EF3DE4" w:rsidRPr="00A96789">
        <w:rPr>
          <w:rFonts w:ascii="Times New Roman" w:hAnsi="Times New Roman" w:cs="Times New Roman"/>
          <w:color w:val="auto"/>
          <w:sz w:val="24"/>
          <w:szCs w:val="24"/>
        </w:rPr>
        <w:t xml:space="preserve"> </w:t>
      </w:r>
      <w:r w:rsidRPr="00A96789">
        <w:rPr>
          <w:rFonts w:ascii="Times New Roman" w:hAnsi="Times New Roman" w:cs="Times New Roman"/>
          <w:color w:val="auto"/>
          <w:sz w:val="24"/>
          <w:szCs w:val="24"/>
        </w:rPr>
        <w:t>GCF, GEF, Adaptation Fund, instrumentele UE, precum și programe de cercetare, inovare și investiții (Horizon Europe, LIFE, Interreg). În același timp, obiectivul promovează valorificarea Programului Național DAR 1+3 ca mecanism de co-finanțare comunitară, implicând diaspora, autoritățile locale și sectorul privat în proiecte verzi de prevenire și adaptare.</w:t>
      </w:r>
    </w:p>
    <w:p w14:paraId="5365CDEE" w14:textId="3EA9B243" w:rsidR="00703E31" w:rsidRPr="00A96789" w:rsidRDefault="00703E31" w:rsidP="00E81FAA">
      <w:pPr>
        <w:pStyle w:val="ListParagraph"/>
        <w:numPr>
          <w:ilvl w:val="0"/>
          <w:numId w:val="53"/>
        </w:numPr>
        <w:spacing w:after="120"/>
        <w:ind w:left="0" w:firstLine="284"/>
        <w:jc w:val="both"/>
        <w:rPr>
          <w:rFonts w:ascii="Times New Roman" w:hAnsi="Times New Roman" w:cs="Times New Roman"/>
          <w:color w:val="auto"/>
          <w:sz w:val="24"/>
          <w:szCs w:val="24"/>
        </w:rPr>
      </w:pPr>
      <w:r w:rsidRPr="00A96789">
        <w:rPr>
          <w:rFonts w:ascii="Times New Roman" w:hAnsi="Times New Roman" w:cs="Times New Roman"/>
          <w:color w:val="auto"/>
          <w:sz w:val="24"/>
          <w:szCs w:val="24"/>
        </w:rPr>
        <w:t>Până în 2030, se urmărește dezvoltarea de propuneri de proiect eligibile pentru fonduri internaționale, consolidarea portofoliului național de proiecte RRD și pilotarea unor modele locale de finanțare participativă și mobilizare comunitară.</w:t>
      </w:r>
    </w:p>
    <w:p w14:paraId="488B42A2" w14:textId="034B7150" w:rsidR="00703E31" w:rsidRPr="009067DC" w:rsidRDefault="00FE07FD" w:rsidP="009067DC">
      <w:pPr>
        <w:pStyle w:val="Heading3"/>
        <w:jc w:val="both"/>
        <w:rPr>
          <w:rFonts w:ascii="Times New Roman" w:hAnsi="Times New Roman" w:cs="Times New Roman"/>
          <w:b/>
          <w:bCs w:val="0"/>
          <w:color w:val="auto"/>
        </w:rPr>
      </w:pPr>
      <w:r w:rsidRPr="009067DC">
        <w:rPr>
          <w:rFonts w:ascii="Times New Roman" w:hAnsi="Times New Roman" w:cs="Times New Roman"/>
          <w:b/>
          <w:bCs w:val="0"/>
          <w:color w:val="auto"/>
        </w:rPr>
        <w:t>Obiectivul specific</w:t>
      </w:r>
      <w:r w:rsidR="00703E31" w:rsidRPr="009067DC">
        <w:rPr>
          <w:rFonts w:ascii="Times New Roman" w:hAnsi="Times New Roman" w:cs="Times New Roman"/>
          <w:b/>
          <w:bCs w:val="0"/>
          <w:color w:val="auto"/>
        </w:rPr>
        <w:t xml:space="preserve"> 5.2</w:t>
      </w:r>
      <w:r w:rsidRPr="009067DC">
        <w:rPr>
          <w:rFonts w:ascii="Times New Roman" w:hAnsi="Times New Roman" w:cs="Times New Roman"/>
          <w:b/>
          <w:bCs w:val="0"/>
          <w:color w:val="auto"/>
        </w:rPr>
        <w:t xml:space="preserve">: </w:t>
      </w:r>
      <w:r w:rsidR="00703E31" w:rsidRPr="009067DC">
        <w:rPr>
          <w:rFonts w:ascii="Times New Roman" w:hAnsi="Times New Roman" w:cs="Times New Roman"/>
          <w:b/>
          <w:bCs w:val="0"/>
          <w:color w:val="auto"/>
        </w:rPr>
        <w:t>Participarea activă la convențiile internaționale și integrarea riscurilor naturale în raportările și angajamentele Republicii Moldova</w:t>
      </w:r>
    </w:p>
    <w:p w14:paraId="7BF0BB6E" w14:textId="5FC37B75" w:rsidR="00703E31" w:rsidRPr="00A96789" w:rsidRDefault="00703E31" w:rsidP="00A96789">
      <w:pPr>
        <w:pStyle w:val="ListParagraph"/>
        <w:numPr>
          <w:ilvl w:val="0"/>
          <w:numId w:val="53"/>
        </w:numPr>
        <w:spacing w:after="120"/>
        <w:ind w:left="0" w:firstLine="284"/>
        <w:jc w:val="both"/>
        <w:rPr>
          <w:rFonts w:ascii="Times New Roman" w:hAnsi="Times New Roman" w:cs="Times New Roman"/>
          <w:color w:val="auto"/>
          <w:sz w:val="24"/>
          <w:szCs w:val="24"/>
        </w:rPr>
      </w:pPr>
      <w:r w:rsidRPr="00A96789">
        <w:rPr>
          <w:rFonts w:ascii="Times New Roman" w:hAnsi="Times New Roman" w:cs="Times New Roman"/>
          <w:color w:val="auto"/>
          <w:sz w:val="24"/>
          <w:szCs w:val="24"/>
        </w:rPr>
        <w:t>Obiectivul specific vizează o participare mai activă și mai coerentă a Republicii Moldova în cadrul convențiilor relevante</w:t>
      </w:r>
      <w:r w:rsidR="00EF3DE4" w:rsidRPr="00A96789">
        <w:rPr>
          <w:rFonts w:ascii="Times New Roman" w:hAnsi="Times New Roman" w:cs="Times New Roman"/>
          <w:color w:val="auto"/>
          <w:sz w:val="24"/>
          <w:szCs w:val="24"/>
        </w:rPr>
        <w:t>,</w:t>
      </w:r>
      <w:r w:rsidRPr="00A96789">
        <w:rPr>
          <w:rFonts w:ascii="Times New Roman" w:hAnsi="Times New Roman" w:cs="Times New Roman"/>
          <w:color w:val="auto"/>
          <w:sz w:val="24"/>
          <w:szCs w:val="24"/>
        </w:rPr>
        <w:t xml:space="preserve"> UNFCCC, UNDRR, UNCCD, CBD</w:t>
      </w:r>
      <w:r w:rsidR="00EF3DE4" w:rsidRPr="00A96789">
        <w:rPr>
          <w:rFonts w:ascii="Times New Roman" w:hAnsi="Times New Roman" w:cs="Times New Roman"/>
          <w:color w:val="auto"/>
          <w:sz w:val="24"/>
          <w:szCs w:val="24"/>
        </w:rPr>
        <w:t xml:space="preserve">, </w:t>
      </w:r>
      <w:r w:rsidRPr="00A96789">
        <w:rPr>
          <w:rFonts w:ascii="Times New Roman" w:hAnsi="Times New Roman" w:cs="Times New Roman"/>
          <w:color w:val="auto"/>
          <w:sz w:val="24"/>
          <w:szCs w:val="24"/>
        </w:rPr>
        <w:t>precum și integrarea principiilor RRD în planurile, NDC-urile, rapoartele și documentele transmise în cadrul mecanismelor ONU. În acest cadru, accentul va fi pus pe reflectarea riscurilor naturale, climatice și biologico-sociale în raportările internaționale, integrarea aspectelor privind mobilitatea umană și strămutarea legată de dezastre, precum și corelarea angajamentelor naționale cu prioritățile europene în domeniul mediului, climei și dezastrelor.</w:t>
      </w:r>
    </w:p>
    <w:p w14:paraId="6154BDD5" w14:textId="25788C2B" w:rsidR="00703E31" w:rsidRPr="009067DC" w:rsidRDefault="00EC5984" w:rsidP="009067DC">
      <w:pPr>
        <w:pStyle w:val="Heading3"/>
        <w:jc w:val="both"/>
        <w:rPr>
          <w:rFonts w:ascii="Times New Roman" w:hAnsi="Times New Roman" w:cs="Times New Roman"/>
          <w:b/>
          <w:bCs w:val="0"/>
          <w:color w:val="auto"/>
        </w:rPr>
      </w:pPr>
      <w:r w:rsidRPr="009067DC">
        <w:rPr>
          <w:rFonts w:ascii="Times New Roman" w:hAnsi="Times New Roman" w:cs="Times New Roman"/>
          <w:b/>
          <w:bCs w:val="0"/>
          <w:color w:val="auto"/>
        </w:rPr>
        <w:t>Obiectivul specific</w:t>
      </w:r>
      <w:r w:rsidR="00703E31" w:rsidRPr="009067DC">
        <w:rPr>
          <w:rFonts w:ascii="Times New Roman" w:hAnsi="Times New Roman" w:cs="Times New Roman"/>
          <w:b/>
          <w:bCs w:val="0"/>
          <w:color w:val="auto"/>
        </w:rPr>
        <w:t xml:space="preserve"> 5.3</w:t>
      </w:r>
      <w:r w:rsidRPr="009067DC">
        <w:rPr>
          <w:rFonts w:ascii="Times New Roman" w:hAnsi="Times New Roman" w:cs="Times New Roman"/>
          <w:b/>
          <w:bCs w:val="0"/>
          <w:color w:val="auto"/>
        </w:rPr>
        <w:t>:</w:t>
      </w:r>
      <w:r w:rsidR="00703E31" w:rsidRPr="009067DC">
        <w:rPr>
          <w:rFonts w:ascii="Times New Roman" w:hAnsi="Times New Roman" w:cs="Times New Roman"/>
          <w:b/>
          <w:bCs w:val="0"/>
          <w:color w:val="auto"/>
        </w:rPr>
        <w:t xml:space="preserve"> Consolidarea parteneriatelor strategice internaționale și regionale în domeniul reducerii riscurilor de dezastre</w:t>
      </w:r>
    </w:p>
    <w:p w14:paraId="0B037D22" w14:textId="2C51B4B2" w:rsidR="00703E31" w:rsidRPr="00A96789" w:rsidRDefault="00703E31" w:rsidP="00A96789">
      <w:pPr>
        <w:pStyle w:val="ListParagraph"/>
        <w:numPr>
          <w:ilvl w:val="0"/>
          <w:numId w:val="53"/>
        </w:numPr>
        <w:spacing w:after="120"/>
        <w:ind w:left="0" w:firstLine="284"/>
        <w:jc w:val="both"/>
        <w:rPr>
          <w:rFonts w:ascii="Times New Roman" w:hAnsi="Times New Roman" w:cs="Times New Roman"/>
          <w:color w:val="auto"/>
          <w:sz w:val="24"/>
          <w:szCs w:val="24"/>
        </w:rPr>
      </w:pPr>
      <w:r w:rsidRPr="00A96789">
        <w:rPr>
          <w:rFonts w:ascii="Times New Roman" w:hAnsi="Times New Roman" w:cs="Times New Roman"/>
          <w:color w:val="auto"/>
          <w:sz w:val="24"/>
          <w:szCs w:val="24"/>
        </w:rPr>
        <w:t xml:space="preserve">Acest obiectiv specific urmărește extinderea și aprofundarea parteneriatelor strategice cu agențiile ONU (UNDP, UNEP, FAO, IOM), Uniunea Europeană, </w:t>
      </w:r>
      <w:r w:rsidR="006E7A83" w:rsidRPr="00A96789">
        <w:rPr>
          <w:rFonts w:ascii="Times New Roman" w:hAnsi="Times New Roman" w:cs="Times New Roman"/>
          <w:color w:val="auto"/>
          <w:sz w:val="24"/>
          <w:szCs w:val="24"/>
        </w:rPr>
        <w:t xml:space="preserve">actori bilaterali, </w:t>
      </w:r>
      <w:r w:rsidRPr="00A96789">
        <w:rPr>
          <w:rFonts w:ascii="Times New Roman" w:hAnsi="Times New Roman" w:cs="Times New Roman"/>
          <w:color w:val="auto"/>
          <w:sz w:val="24"/>
          <w:szCs w:val="24"/>
        </w:rPr>
        <w:t>instituții financiare internaționale și alte organizații regionale implicate în gestionarea riscurilor, climă, apă, sol, silvicultură și mobilitate umană. Cooperarea va facilita transferul de expertiză, implementarea de proiecte pilot, dezvoltarea soluțiilor bazate pe natură, restaurarea ecologică post-dezastru, digitalizarea sistemelor de monitorizare și integrarea mecanismelor de mobilitate și migrație în planificarea RRD.</w:t>
      </w:r>
      <w:r w:rsidR="006F3BD5" w:rsidRPr="00A96789">
        <w:rPr>
          <w:rFonts w:ascii="Times New Roman" w:hAnsi="Times New Roman" w:cs="Times New Roman"/>
          <w:color w:val="auto"/>
          <w:sz w:val="24"/>
          <w:szCs w:val="24"/>
        </w:rPr>
        <w:t xml:space="preserve">    </w:t>
      </w:r>
    </w:p>
    <w:p w14:paraId="6ABF30F5" w14:textId="30998C90" w:rsidR="00F76C8A" w:rsidRDefault="00703E31" w:rsidP="009067DC">
      <w:pPr>
        <w:spacing w:after="120"/>
        <w:ind w:firstLine="284"/>
        <w:jc w:val="both"/>
        <w:rPr>
          <w:lang w:eastAsia="en-US"/>
        </w:rPr>
      </w:pPr>
      <w:r w:rsidRPr="00A96789">
        <w:rPr>
          <w:lang w:eastAsia="en-US"/>
        </w:rPr>
        <w:t>Prin aceste colaborări, Moldova va beneficia de cunoștințe, tehnologii, modele operaționale și practici internaționale aplicabile proceselor naționale de prevenire, pregătire, răspuns și restabilire durabilă.</w:t>
      </w:r>
    </w:p>
    <w:p w14:paraId="52CF4113" w14:textId="514D4632" w:rsidR="004325A0" w:rsidRPr="00CD2ADD" w:rsidRDefault="004325A0" w:rsidP="00E5345D">
      <w:pPr>
        <w:pStyle w:val="Heading1"/>
        <w:spacing w:before="0"/>
        <w:jc w:val="center"/>
        <w:rPr>
          <w:rFonts w:ascii="Times New Roman" w:hAnsi="Times New Roman" w:cs="Times New Roman"/>
          <w:b/>
          <w:bCs w:val="0"/>
          <w:color w:val="000000" w:themeColor="text1"/>
          <w:sz w:val="24"/>
          <w:szCs w:val="24"/>
        </w:rPr>
      </w:pPr>
      <w:r w:rsidRPr="00CD2ADD">
        <w:rPr>
          <w:rFonts w:ascii="Times New Roman" w:hAnsi="Times New Roman" w:cs="Times New Roman"/>
          <w:b/>
          <w:bCs w:val="0"/>
          <w:color w:val="000000" w:themeColor="text1"/>
          <w:sz w:val="24"/>
          <w:szCs w:val="24"/>
        </w:rPr>
        <w:t>Capitolul IV</w:t>
      </w:r>
    </w:p>
    <w:p w14:paraId="12484CA2" w14:textId="5B5E3341" w:rsidR="004325A0" w:rsidRPr="00CD2ADD" w:rsidRDefault="004325A0" w:rsidP="00E5345D">
      <w:pPr>
        <w:pStyle w:val="Heading1"/>
        <w:spacing w:before="0"/>
        <w:jc w:val="center"/>
        <w:rPr>
          <w:rFonts w:ascii="Times New Roman" w:hAnsi="Times New Roman" w:cs="Times New Roman"/>
          <w:b/>
          <w:bCs w:val="0"/>
          <w:color w:val="000000" w:themeColor="text1"/>
          <w:sz w:val="24"/>
          <w:szCs w:val="24"/>
        </w:rPr>
      </w:pPr>
      <w:r w:rsidRPr="00CD2ADD">
        <w:rPr>
          <w:rFonts w:ascii="Times New Roman" w:hAnsi="Times New Roman" w:cs="Times New Roman"/>
          <w:b/>
          <w:bCs w:val="0"/>
          <w:color w:val="000000" w:themeColor="text1"/>
          <w:sz w:val="24"/>
          <w:szCs w:val="24"/>
        </w:rPr>
        <w:t>INDICATORI DE MONITORIZARE</w:t>
      </w:r>
    </w:p>
    <w:p w14:paraId="656C0DF3" w14:textId="77777777" w:rsidR="004325A0" w:rsidRPr="00CD2ADD" w:rsidRDefault="004325A0" w:rsidP="004325A0">
      <w:pPr>
        <w:jc w:val="center"/>
        <w:rPr>
          <w:b/>
          <w:bCs/>
          <w:sz w:val="22"/>
          <w:szCs w:val="22"/>
          <w:lang w:eastAsia="en-US"/>
        </w:rPr>
      </w:pPr>
    </w:p>
    <w:p w14:paraId="5F4C7F7E" w14:textId="0CBECC50" w:rsidR="000B5E54" w:rsidRPr="00A96789" w:rsidRDefault="000B5E54" w:rsidP="00A96789">
      <w:pPr>
        <w:pStyle w:val="ListParagraph"/>
        <w:numPr>
          <w:ilvl w:val="0"/>
          <w:numId w:val="53"/>
        </w:numPr>
        <w:ind w:left="0" w:firstLine="284"/>
        <w:jc w:val="both"/>
        <w:rPr>
          <w:rFonts w:ascii="Times New Roman" w:hAnsi="Times New Roman" w:cs="Times New Roman"/>
          <w:color w:val="auto"/>
          <w:sz w:val="24"/>
          <w:szCs w:val="24"/>
        </w:rPr>
      </w:pPr>
      <w:bookmarkStart w:id="85" w:name="_Toc198493346"/>
      <w:r w:rsidRPr="00A96789">
        <w:rPr>
          <w:rFonts w:ascii="Times New Roman" w:hAnsi="Times New Roman" w:cs="Times New Roman"/>
          <w:color w:val="auto"/>
          <w:sz w:val="24"/>
          <w:szCs w:val="24"/>
        </w:rPr>
        <w:t>Monitorizarea implementării Programului Național pentru Reducerea Riscurilor de Dezastre Naturale 202</w:t>
      </w:r>
      <w:r w:rsidR="002F2B27" w:rsidRPr="00A96789">
        <w:rPr>
          <w:rFonts w:ascii="Times New Roman" w:hAnsi="Times New Roman" w:cs="Times New Roman"/>
          <w:color w:val="auto"/>
          <w:sz w:val="24"/>
          <w:szCs w:val="24"/>
        </w:rPr>
        <w:t>6</w:t>
      </w:r>
      <w:r w:rsidR="002621E2" w:rsidRPr="00A96789">
        <w:rPr>
          <w:rFonts w:ascii="Times New Roman" w:hAnsi="Times New Roman" w:cs="Times New Roman"/>
          <w:color w:val="auto"/>
          <w:sz w:val="24"/>
          <w:szCs w:val="24"/>
        </w:rPr>
        <w:t>-</w:t>
      </w:r>
      <w:r w:rsidRPr="00A96789">
        <w:rPr>
          <w:rFonts w:ascii="Times New Roman" w:hAnsi="Times New Roman" w:cs="Times New Roman"/>
          <w:color w:val="auto"/>
          <w:sz w:val="24"/>
          <w:szCs w:val="24"/>
        </w:rPr>
        <w:t>2030 se va realiza în baza unui set de indicatori de evaluare, elaborați în conformitate cu prevederile Hotărârii Guvernului nr. 386/2020 privind planificarea strategică, precum și cu Ghidul metodologic aferent. Acești indicatori sunt grupați în trei categorii principale:</w:t>
      </w:r>
    </w:p>
    <w:p w14:paraId="3039F6FA" w14:textId="6193A4E0" w:rsidR="000B5E54" w:rsidRPr="00A96789" w:rsidRDefault="000B5E54">
      <w:pPr>
        <w:pStyle w:val="ListParagraph"/>
        <w:numPr>
          <w:ilvl w:val="0"/>
          <w:numId w:val="13"/>
        </w:numPr>
        <w:jc w:val="both"/>
        <w:rPr>
          <w:rFonts w:ascii="Times New Roman" w:hAnsi="Times New Roman" w:cs="Times New Roman"/>
          <w:color w:val="auto"/>
          <w:sz w:val="24"/>
          <w:szCs w:val="24"/>
        </w:rPr>
      </w:pPr>
      <w:r w:rsidRPr="00A96789">
        <w:rPr>
          <w:rFonts w:ascii="Times New Roman" w:hAnsi="Times New Roman" w:cs="Times New Roman"/>
          <w:b/>
          <w:color w:val="auto"/>
          <w:sz w:val="24"/>
          <w:szCs w:val="24"/>
        </w:rPr>
        <w:lastRenderedPageBreak/>
        <w:t>Indicatori de impact,</w:t>
      </w:r>
      <w:r w:rsidRPr="00A96789">
        <w:rPr>
          <w:rFonts w:ascii="Times New Roman" w:hAnsi="Times New Roman" w:cs="Times New Roman"/>
          <w:color w:val="auto"/>
          <w:sz w:val="24"/>
          <w:szCs w:val="24"/>
        </w:rPr>
        <w:t xml:space="preserve"> reflectă efectele pe termen lung ale intervențiilor din cadrul Programului asupra rezilienței ecosistemice și calității vieții populației si sunt corelați cu obiectivele generale.</w:t>
      </w:r>
      <w:r w:rsidR="002621E2" w:rsidRPr="00A96789">
        <w:rPr>
          <w:rFonts w:ascii="Times New Roman" w:hAnsi="Times New Roman" w:cs="Times New Roman"/>
          <w:color w:val="auto"/>
          <w:sz w:val="24"/>
          <w:szCs w:val="24"/>
        </w:rPr>
        <w:t xml:space="preserve"> Aceștia au fost prezentați in capitolul III, in partea descriptiva a Programului unde cele 5 obiectivele generale sunt detaliate.</w:t>
      </w:r>
    </w:p>
    <w:p w14:paraId="740960B3" w14:textId="77777777" w:rsidR="003E7269" w:rsidRPr="00A96789" w:rsidRDefault="000B5E54">
      <w:pPr>
        <w:pStyle w:val="ListParagraph"/>
        <w:numPr>
          <w:ilvl w:val="0"/>
          <w:numId w:val="13"/>
        </w:numPr>
        <w:jc w:val="both"/>
        <w:rPr>
          <w:rFonts w:ascii="Times New Roman" w:hAnsi="Times New Roman" w:cs="Times New Roman"/>
          <w:color w:val="auto"/>
          <w:sz w:val="24"/>
          <w:szCs w:val="24"/>
        </w:rPr>
      </w:pPr>
      <w:r w:rsidRPr="00A96789">
        <w:rPr>
          <w:rFonts w:ascii="Times New Roman" w:hAnsi="Times New Roman" w:cs="Times New Roman"/>
          <w:b/>
          <w:color w:val="auto"/>
          <w:sz w:val="24"/>
          <w:szCs w:val="24"/>
        </w:rPr>
        <w:t>Indicatori de rezultat</w:t>
      </w:r>
      <w:r w:rsidRPr="00A96789">
        <w:rPr>
          <w:rFonts w:ascii="Times New Roman" w:hAnsi="Times New Roman" w:cs="Times New Roman"/>
          <w:color w:val="auto"/>
          <w:sz w:val="24"/>
          <w:szCs w:val="24"/>
        </w:rPr>
        <w:t>, măsoară schimbările generate direct de realizarea obiectivelor specifice, cum ar fi reducerea vulnerabilității comunităților, creșterea capacității de prevenire, reducere/atenuare a riscurilor, pregătire, reacție sau îmbunătățirea guvernanței riscurilor.</w:t>
      </w:r>
    </w:p>
    <w:p w14:paraId="0D47AE24" w14:textId="60EB0853" w:rsidR="000B5E54" w:rsidRDefault="000B5E54">
      <w:pPr>
        <w:pStyle w:val="ListParagraph"/>
        <w:numPr>
          <w:ilvl w:val="0"/>
          <w:numId w:val="13"/>
        </w:numPr>
        <w:jc w:val="both"/>
        <w:rPr>
          <w:rFonts w:ascii="Times New Roman" w:hAnsi="Times New Roman" w:cs="Times New Roman"/>
          <w:color w:val="auto"/>
          <w:sz w:val="24"/>
          <w:szCs w:val="24"/>
        </w:rPr>
      </w:pPr>
      <w:r w:rsidRPr="00A96789">
        <w:rPr>
          <w:rFonts w:ascii="Times New Roman" w:hAnsi="Times New Roman" w:cs="Times New Roman"/>
          <w:b/>
          <w:color w:val="auto"/>
          <w:sz w:val="24"/>
          <w:szCs w:val="24"/>
        </w:rPr>
        <w:t>Indicatori de produ</w:t>
      </w:r>
      <w:r w:rsidR="003E7269" w:rsidRPr="00A96789">
        <w:rPr>
          <w:rFonts w:ascii="Times New Roman" w:hAnsi="Times New Roman" w:cs="Times New Roman"/>
          <w:b/>
          <w:color w:val="auto"/>
          <w:sz w:val="24"/>
          <w:szCs w:val="24"/>
        </w:rPr>
        <w:t>s,</w:t>
      </w:r>
      <w:r w:rsidR="003E7269" w:rsidRPr="00A96789">
        <w:rPr>
          <w:rFonts w:ascii="Times New Roman" w:hAnsi="Times New Roman" w:cs="Times New Roman"/>
          <w:color w:val="auto"/>
          <w:sz w:val="24"/>
          <w:szCs w:val="24"/>
        </w:rPr>
        <w:t xml:space="preserve"> </w:t>
      </w:r>
      <w:r w:rsidRPr="00A96789">
        <w:rPr>
          <w:rFonts w:ascii="Times New Roman" w:hAnsi="Times New Roman" w:cs="Times New Roman"/>
          <w:color w:val="auto"/>
          <w:sz w:val="24"/>
          <w:szCs w:val="24"/>
        </w:rPr>
        <w:t>vizează implementarea măsurilor și acțiunilor planificate (de exemplu: număr de hărți multi-hazard elaborate, suprafețe împădurite sau campanii de informare desfășurate).</w:t>
      </w:r>
    </w:p>
    <w:p w14:paraId="6376424A" w14:textId="363FABAB" w:rsidR="00B737D1" w:rsidRPr="00A96789" w:rsidRDefault="00B737D1" w:rsidP="00B737D1">
      <w:pPr>
        <w:pStyle w:val="ListParagraph"/>
        <w:spacing w:after="0"/>
        <w:ind w:firstLine="0"/>
        <w:jc w:val="right"/>
        <w:rPr>
          <w:rFonts w:ascii="Times New Roman" w:hAnsi="Times New Roman" w:cs="Times New Roman"/>
          <w:color w:val="auto"/>
          <w:sz w:val="24"/>
          <w:szCs w:val="24"/>
        </w:rPr>
      </w:pPr>
      <w:r>
        <w:rPr>
          <w:rFonts w:ascii="Times New Roman" w:hAnsi="Times New Roman" w:cs="Times New Roman"/>
          <w:b/>
          <w:color w:val="auto"/>
          <w:sz w:val="24"/>
          <w:szCs w:val="24"/>
        </w:rPr>
        <w:t>Tabelul 21</w:t>
      </w:r>
    </w:p>
    <w:p w14:paraId="429BF50F" w14:textId="25F6A25F" w:rsidR="002621E2" w:rsidRPr="00B737D1" w:rsidRDefault="002621E2" w:rsidP="00B737D1">
      <w:pPr>
        <w:jc w:val="center"/>
        <w:rPr>
          <w:b/>
          <w:bCs/>
          <w:color w:val="000000"/>
          <w:sz w:val="18"/>
          <w:szCs w:val="18"/>
        </w:rPr>
      </w:pPr>
      <w:r w:rsidRPr="00B737D1">
        <w:rPr>
          <w:b/>
          <w:bCs/>
          <w:sz w:val="22"/>
          <w:szCs w:val="22"/>
        </w:rPr>
        <w:t>Indicatorii de monitorizare pentru Obiectivele specifice</w:t>
      </w:r>
    </w:p>
    <w:p w14:paraId="0DBCAD37" w14:textId="77777777" w:rsidR="002621E2" w:rsidRPr="00CD2ADD" w:rsidRDefault="002621E2" w:rsidP="002621E2">
      <w:pPr>
        <w:rPr>
          <w:color w:val="000000"/>
          <w:sz w:val="18"/>
          <w:szCs w:val="18"/>
        </w:rPr>
      </w:pPr>
    </w:p>
    <w:tbl>
      <w:tblPr>
        <w:tblStyle w:val="TableGrid"/>
        <w:tblW w:w="0" w:type="auto"/>
        <w:tblLook w:val="04A0" w:firstRow="1" w:lastRow="0" w:firstColumn="1" w:lastColumn="0" w:noHBand="0" w:noVBand="1"/>
      </w:tblPr>
      <w:tblGrid>
        <w:gridCol w:w="1673"/>
        <w:gridCol w:w="1711"/>
        <w:gridCol w:w="1375"/>
        <w:gridCol w:w="1874"/>
        <w:gridCol w:w="1874"/>
        <w:gridCol w:w="1229"/>
      </w:tblGrid>
      <w:tr w:rsidR="002A640F" w:rsidRPr="00CD2ADD" w14:paraId="48EED4D1" w14:textId="77777777" w:rsidTr="00515692">
        <w:tc>
          <w:tcPr>
            <w:tcW w:w="1664" w:type="dxa"/>
          </w:tcPr>
          <w:p w14:paraId="24BC2341" w14:textId="734E1EB3" w:rsidR="002A640F" w:rsidRPr="00CD2ADD" w:rsidRDefault="002A640F" w:rsidP="00B339C7">
            <w:pPr>
              <w:pStyle w:val="p1"/>
              <w:rPr>
                <w:color w:val="000000" w:themeColor="text1"/>
                <w:sz w:val="22"/>
                <w:szCs w:val="22"/>
              </w:rPr>
            </w:pPr>
            <w:r w:rsidRPr="00CD2ADD">
              <w:rPr>
                <w:b/>
                <w:bCs/>
                <w:sz w:val="22"/>
                <w:szCs w:val="22"/>
              </w:rPr>
              <w:t xml:space="preserve">Nr. </w:t>
            </w:r>
          </w:p>
        </w:tc>
        <w:tc>
          <w:tcPr>
            <w:tcW w:w="1700" w:type="dxa"/>
          </w:tcPr>
          <w:p w14:paraId="60A12B9C" w14:textId="238D0153" w:rsidR="002A640F" w:rsidRPr="00CD2ADD" w:rsidRDefault="002A640F" w:rsidP="00B339C7">
            <w:pPr>
              <w:rPr>
                <w:color w:val="000000" w:themeColor="text1"/>
                <w:sz w:val="22"/>
                <w:szCs w:val="22"/>
              </w:rPr>
            </w:pPr>
            <w:r w:rsidRPr="00CD2ADD">
              <w:rPr>
                <w:b/>
                <w:bCs/>
                <w:sz w:val="22"/>
                <w:szCs w:val="22"/>
              </w:rPr>
              <w:t>Indicator de monitorizare</w:t>
            </w:r>
          </w:p>
        </w:tc>
        <w:tc>
          <w:tcPr>
            <w:tcW w:w="1367" w:type="dxa"/>
          </w:tcPr>
          <w:p w14:paraId="2D58771B" w14:textId="64FE7804" w:rsidR="002A640F" w:rsidRPr="00CD2ADD" w:rsidRDefault="002A640F" w:rsidP="00F458DE">
            <w:pPr>
              <w:pStyle w:val="p1"/>
              <w:rPr>
                <w:sz w:val="22"/>
                <w:szCs w:val="22"/>
              </w:rPr>
            </w:pPr>
            <w:r w:rsidRPr="00CD2ADD">
              <w:rPr>
                <w:b/>
                <w:bCs/>
                <w:sz w:val="22"/>
                <w:szCs w:val="22"/>
              </w:rPr>
              <w:t>Valoarea de</w:t>
            </w:r>
          </w:p>
          <w:p w14:paraId="35DE090C" w14:textId="35D538DD" w:rsidR="002A640F" w:rsidRPr="00CD2ADD" w:rsidRDefault="002A640F" w:rsidP="009479A8">
            <w:pPr>
              <w:pStyle w:val="p1"/>
              <w:rPr>
                <w:sz w:val="22"/>
                <w:szCs w:val="22"/>
              </w:rPr>
            </w:pPr>
            <w:r w:rsidRPr="00CD2ADD">
              <w:rPr>
                <w:b/>
                <w:bCs/>
                <w:sz w:val="22"/>
                <w:szCs w:val="22"/>
              </w:rPr>
              <w:t>referință în 2025</w:t>
            </w:r>
          </w:p>
          <w:p w14:paraId="2212E5F3" w14:textId="77777777" w:rsidR="002A640F" w:rsidRPr="00CD2ADD" w:rsidRDefault="002A640F" w:rsidP="00B339C7">
            <w:pPr>
              <w:rPr>
                <w:color w:val="000000" w:themeColor="text1"/>
                <w:sz w:val="22"/>
                <w:szCs w:val="22"/>
              </w:rPr>
            </w:pPr>
          </w:p>
        </w:tc>
        <w:tc>
          <w:tcPr>
            <w:tcW w:w="1862" w:type="dxa"/>
          </w:tcPr>
          <w:p w14:paraId="3489A7F7" w14:textId="35203665" w:rsidR="002A640F" w:rsidRPr="00CD2ADD" w:rsidRDefault="002A640F" w:rsidP="002A640F">
            <w:pPr>
              <w:pStyle w:val="p1"/>
              <w:rPr>
                <w:sz w:val="22"/>
                <w:szCs w:val="22"/>
              </w:rPr>
            </w:pPr>
            <w:r w:rsidRPr="00CD2ADD">
              <w:rPr>
                <w:b/>
                <w:bCs/>
                <w:sz w:val="22"/>
                <w:szCs w:val="22"/>
              </w:rPr>
              <w:t>Valoare</w:t>
            </w:r>
          </w:p>
          <w:p w14:paraId="1FFD856D" w14:textId="54CDEA16" w:rsidR="002A640F" w:rsidRPr="00CD2ADD" w:rsidRDefault="002A640F" w:rsidP="002A640F">
            <w:pPr>
              <w:pStyle w:val="p1"/>
              <w:rPr>
                <w:sz w:val="22"/>
                <w:szCs w:val="22"/>
              </w:rPr>
            </w:pPr>
            <w:r w:rsidRPr="00CD2ADD">
              <w:rPr>
                <w:b/>
                <w:bCs/>
                <w:sz w:val="22"/>
                <w:szCs w:val="22"/>
              </w:rPr>
              <w:t>intermediară în 202</w:t>
            </w:r>
            <w:r w:rsidR="00A11246" w:rsidRPr="00CD2ADD">
              <w:rPr>
                <w:b/>
                <w:bCs/>
                <w:sz w:val="22"/>
                <w:szCs w:val="22"/>
              </w:rPr>
              <w:t>8</w:t>
            </w:r>
          </w:p>
          <w:p w14:paraId="0B943CBB" w14:textId="77777777" w:rsidR="002A640F" w:rsidRPr="00CD2ADD" w:rsidRDefault="002A640F" w:rsidP="00F458DE">
            <w:pPr>
              <w:pStyle w:val="p1"/>
              <w:rPr>
                <w:b/>
                <w:bCs/>
                <w:sz w:val="22"/>
                <w:szCs w:val="22"/>
              </w:rPr>
            </w:pPr>
          </w:p>
        </w:tc>
        <w:tc>
          <w:tcPr>
            <w:tcW w:w="1862" w:type="dxa"/>
          </w:tcPr>
          <w:p w14:paraId="15214324" w14:textId="7F34119A" w:rsidR="002A640F" w:rsidRPr="00CD2ADD" w:rsidRDefault="002A640F" w:rsidP="00F458DE">
            <w:pPr>
              <w:pStyle w:val="p1"/>
              <w:rPr>
                <w:sz w:val="22"/>
                <w:szCs w:val="22"/>
              </w:rPr>
            </w:pPr>
            <w:r w:rsidRPr="00CD2ADD">
              <w:rPr>
                <w:b/>
                <w:bCs/>
                <w:sz w:val="22"/>
                <w:szCs w:val="22"/>
              </w:rPr>
              <w:t>Valoarea țintă</w:t>
            </w:r>
          </w:p>
          <w:p w14:paraId="38197998" w14:textId="77777777" w:rsidR="002A640F" w:rsidRPr="00CD2ADD" w:rsidRDefault="002A640F" w:rsidP="009479A8">
            <w:pPr>
              <w:pStyle w:val="p1"/>
              <w:rPr>
                <w:sz w:val="22"/>
                <w:szCs w:val="22"/>
              </w:rPr>
            </w:pPr>
            <w:r w:rsidRPr="00CD2ADD">
              <w:rPr>
                <w:b/>
                <w:bCs/>
                <w:sz w:val="22"/>
                <w:szCs w:val="22"/>
              </w:rPr>
              <w:t>2030</w:t>
            </w:r>
          </w:p>
          <w:p w14:paraId="4A0C72CB" w14:textId="77777777" w:rsidR="002A640F" w:rsidRPr="00CD2ADD" w:rsidRDefault="002A640F" w:rsidP="00B339C7">
            <w:pPr>
              <w:rPr>
                <w:color w:val="000000" w:themeColor="text1"/>
                <w:sz w:val="22"/>
                <w:szCs w:val="22"/>
              </w:rPr>
            </w:pPr>
          </w:p>
        </w:tc>
        <w:tc>
          <w:tcPr>
            <w:tcW w:w="1281" w:type="dxa"/>
          </w:tcPr>
          <w:p w14:paraId="727E40D0" w14:textId="77777777" w:rsidR="002A640F" w:rsidRPr="00CD2ADD" w:rsidRDefault="002A640F" w:rsidP="00F458DE">
            <w:pPr>
              <w:pStyle w:val="p1"/>
              <w:rPr>
                <w:sz w:val="22"/>
                <w:szCs w:val="22"/>
              </w:rPr>
            </w:pPr>
            <w:r w:rsidRPr="00CD2ADD">
              <w:rPr>
                <w:b/>
                <w:bCs/>
                <w:sz w:val="22"/>
                <w:szCs w:val="22"/>
              </w:rPr>
              <w:t>Furnizor de date</w:t>
            </w:r>
          </w:p>
          <w:p w14:paraId="5A9CB594" w14:textId="77777777" w:rsidR="002A640F" w:rsidRPr="00CD2ADD" w:rsidRDefault="002A640F" w:rsidP="00B339C7">
            <w:pPr>
              <w:rPr>
                <w:color w:val="000000" w:themeColor="text1"/>
                <w:sz w:val="22"/>
                <w:szCs w:val="22"/>
              </w:rPr>
            </w:pPr>
          </w:p>
        </w:tc>
      </w:tr>
      <w:tr w:rsidR="002A640F" w:rsidRPr="00CD2ADD" w14:paraId="68DFE88E" w14:textId="77777777" w:rsidTr="002C4956">
        <w:tc>
          <w:tcPr>
            <w:tcW w:w="9736" w:type="dxa"/>
            <w:gridSpan w:val="6"/>
          </w:tcPr>
          <w:p w14:paraId="0B341A41" w14:textId="50EA881B" w:rsidR="002A640F" w:rsidRPr="00CD2ADD" w:rsidRDefault="002A640F" w:rsidP="008C1557">
            <w:pPr>
              <w:jc w:val="both"/>
              <w:rPr>
                <w:sz w:val="22"/>
                <w:szCs w:val="22"/>
              </w:rPr>
            </w:pPr>
            <w:r w:rsidRPr="00CD2ADD">
              <w:rPr>
                <w:sz w:val="22"/>
                <w:szCs w:val="22"/>
              </w:rPr>
              <w:t>Obiectiv general 1: Înțelegerea riscului de dezastre naturale și biologico-sociale, printr-o mai bună cunoaștere a hazardelor, vulnerabilităților și interdependențelor ecosistemice, în vederea fundamentării politicilor publice și a măsurilor de prevenție.</w:t>
            </w:r>
          </w:p>
        </w:tc>
      </w:tr>
      <w:tr w:rsidR="002A640F" w:rsidRPr="00CD2ADD" w14:paraId="154CB278" w14:textId="77777777" w:rsidTr="00515692">
        <w:tc>
          <w:tcPr>
            <w:tcW w:w="1664" w:type="dxa"/>
          </w:tcPr>
          <w:p w14:paraId="1381BAAD" w14:textId="2C1CB7AE" w:rsidR="002A640F" w:rsidRPr="00CD2ADD" w:rsidRDefault="002A640F" w:rsidP="00B339C7">
            <w:pPr>
              <w:rPr>
                <w:color w:val="000000" w:themeColor="text1"/>
                <w:sz w:val="22"/>
                <w:szCs w:val="22"/>
              </w:rPr>
            </w:pPr>
            <w:r w:rsidRPr="00CD2ADD">
              <w:rPr>
                <w:color w:val="000000" w:themeColor="text1"/>
                <w:sz w:val="22"/>
                <w:szCs w:val="22"/>
              </w:rPr>
              <w:t>Obiectiv specific 1.1: Până în anul 2030, Ministerul Mediului și gestionarii de risc consolidează sistemul național integrat de date geospațiale (INDS) prin elaborarea și actualizarea hărților de risc și multi-hazard pentru toate tipurile de riscuri naturale și biologico-sociale identificate în PNRRDN</w:t>
            </w:r>
          </w:p>
        </w:tc>
        <w:tc>
          <w:tcPr>
            <w:tcW w:w="1700" w:type="dxa"/>
          </w:tcPr>
          <w:p w14:paraId="72E34846" w14:textId="1BC64B79" w:rsidR="002A640F" w:rsidRPr="00CD2ADD" w:rsidRDefault="002A640F" w:rsidP="00B339C7">
            <w:pPr>
              <w:rPr>
                <w:color w:val="000000" w:themeColor="text1"/>
                <w:sz w:val="22"/>
                <w:szCs w:val="22"/>
              </w:rPr>
            </w:pPr>
            <w:r w:rsidRPr="00CD2ADD">
              <w:rPr>
                <w:color w:val="000000" w:themeColor="text1"/>
                <w:sz w:val="22"/>
                <w:szCs w:val="22"/>
              </w:rPr>
              <w:t>Proporția hărților de risc și multi-hazard actualizate și publicate în INDS</w:t>
            </w:r>
          </w:p>
        </w:tc>
        <w:tc>
          <w:tcPr>
            <w:tcW w:w="1367" w:type="dxa"/>
          </w:tcPr>
          <w:p w14:paraId="1458A5EF" w14:textId="649BD0E6" w:rsidR="002A640F" w:rsidRPr="00CD2ADD" w:rsidRDefault="002A640F" w:rsidP="00B339C7">
            <w:pPr>
              <w:rPr>
                <w:color w:val="000000" w:themeColor="text1"/>
                <w:sz w:val="22"/>
                <w:szCs w:val="22"/>
              </w:rPr>
            </w:pPr>
            <w:r w:rsidRPr="00CD2ADD">
              <w:rPr>
                <w:color w:val="000000" w:themeColor="text1"/>
                <w:sz w:val="22"/>
                <w:szCs w:val="22"/>
              </w:rPr>
              <w:t>&lt; 20%</w:t>
            </w:r>
          </w:p>
        </w:tc>
        <w:tc>
          <w:tcPr>
            <w:tcW w:w="1862" w:type="dxa"/>
          </w:tcPr>
          <w:p w14:paraId="7B4225F2" w14:textId="7A9A2056" w:rsidR="002A640F" w:rsidRPr="00CD2ADD" w:rsidRDefault="00A11246" w:rsidP="00B339C7">
            <w:pPr>
              <w:rPr>
                <w:color w:val="000000" w:themeColor="text1"/>
                <w:sz w:val="22"/>
                <w:szCs w:val="22"/>
              </w:rPr>
            </w:pPr>
            <w:r w:rsidRPr="00CD2ADD">
              <w:rPr>
                <w:color w:val="000000" w:themeColor="text1"/>
                <w:sz w:val="22"/>
                <w:szCs w:val="22"/>
              </w:rPr>
              <w:t>&lt;70%</w:t>
            </w:r>
          </w:p>
        </w:tc>
        <w:tc>
          <w:tcPr>
            <w:tcW w:w="1862" w:type="dxa"/>
          </w:tcPr>
          <w:p w14:paraId="27E28915" w14:textId="1AB3B562" w:rsidR="002A640F" w:rsidRPr="00CD2ADD" w:rsidRDefault="002A640F" w:rsidP="00B339C7">
            <w:pPr>
              <w:rPr>
                <w:color w:val="000000" w:themeColor="text1"/>
                <w:sz w:val="22"/>
                <w:szCs w:val="22"/>
              </w:rPr>
            </w:pPr>
            <w:r w:rsidRPr="00CD2ADD">
              <w:rPr>
                <w:color w:val="000000" w:themeColor="text1"/>
                <w:sz w:val="22"/>
                <w:szCs w:val="22"/>
              </w:rPr>
              <w:t>≥ 100% hărți actualizate și publicate conform standardelor INDS</w:t>
            </w:r>
          </w:p>
        </w:tc>
        <w:tc>
          <w:tcPr>
            <w:tcW w:w="1281" w:type="dxa"/>
          </w:tcPr>
          <w:p w14:paraId="38B1BA81" w14:textId="3EF7A53E" w:rsidR="002A640F" w:rsidRPr="00CD2ADD" w:rsidRDefault="002A640F" w:rsidP="002D6B5A">
            <w:pPr>
              <w:jc w:val="both"/>
              <w:rPr>
                <w:color w:val="000000" w:themeColor="text1"/>
                <w:sz w:val="22"/>
                <w:szCs w:val="22"/>
              </w:rPr>
            </w:pPr>
            <w:r w:rsidRPr="00CD2ADD">
              <w:rPr>
                <w:color w:val="000000" w:themeColor="text1"/>
                <w:sz w:val="22"/>
                <w:szCs w:val="22"/>
              </w:rPr>
              <w:t xml:space="preserve">AGCC, SHS, AM, </w:t>
            </w:r>
            <w:r w:rsidR="00970632" w:rsidRPr="00CD2ADD">
              <w:rPr>
                <w:color w:val="000000" w:themeColor="text1"/>
                <w:sz w:val="22"/>
                <w:szCs w:val="22"/>
              </w:rPr>
              <w:t xml:space="preserve">IP AN </w:t>
            </w:r>
            <w:r w:rsidRPr="00CD2ADD">
              <w:rPr>
                <w:color w:val="000000" w:themeColor="text1"/>
                <w:sz w:val="22"/>
                <w:szCs w:val="22"/>
              </w:rPr>
              <w:t>Apele Moldovei</w:t>
            </w:r>
            <w:r w:rsidR="00970632" w:rsidRPr="00CD2ADD">
              <w:rPr>
                <w:color w:val="000000" w:themeColor="text1"/>
                <w:sz w:val="22"/>
                <w:szCs w:val="22"/>
              </w:rPr>
              <w:t>,</w:t>
            </w:r>
            <w:r w:rsidRPr="00CD2ADD">
              <w:rPr>
                <w:color w:val="000000" w:themeColor="text1"/>
                <w:sz w:val="22"/>
                <w:szCs w:val="22"/>
              </w:rPr>
              <w:t xml:space="preserve"> Moldsilva, ANSA, ANSP</w:t>
            </w:r>
          </w:p>
        </w:tc>
      </w:tr>
      <w:tr w:rsidR="002A640F" w:rsidRPr="00CD2ADD" w14:paraId="552A48DA" w14:textId="77777777" w:rsidTr="00515692">
        <w:tc>
          <w:tcPr>
            <w:tcW w:w="1664" w:type="dxa"/>
          </w:tcPr>
          <w:p w14:paraId="7C7EDC05" w14:textId="0C552B92" w:rsidR="002A640F" w:rsidRPr="00CD2ADD" w:rsidRDefault="002A640F" w:rsidP="00B339C7">
            <w:pPr>
              <w:rPr>
                <w:color w:val="000000" w:themeColor="text1"/>
                <w:sz w:val="22"/>
                <w:szCs w:val="22"/>
              </w:rPr>
            </w:pPr>
            <w:r w:rsidRPr="00CD2ADD">
              <w:rPr>
                <w:color w:val="000000" w:themeColor="text1"/>
                <w:sz w:val="22"/>
                <w:szCs w:val="22"/>
              </w:rPr>
              <w:t xml:space="preserve">Obiectiv specific 1.2: Creșterea până în 2030 a gradului de înțelegere și implicare comunitară privind riscurile </w:t>
            </w:r>
            <w:r w:rsidRPr="00CD2ADD">
              <w:rPr>
                <w:color w:val="000000" w:themeColor="text1"/>
                <w:sz w:val="22"/>
                <w:szCs w:val="22"/>
              </w:rPr>
              <w:lastRenderedPageBreak/>
              <w:t>naturale și biologico-sociale, prin campanii tematice, educație formală și non-formală, și dezvoltarea rețelelor locale de voluntariat în cel puțin 10 raioane vulnerabile.</w:t>
            </w:r>
          </w:p>
        </w:tc>
        <w:tc>
          <w:tcPr>
            <w:tcW w:w="1700" w:type="dxa"/>
          </w:tcPr>
          <w:p w14:paraId="29CB9F96" w14:textId="001EE14B" w:rsidR="002A640F" w:rsidRPr="00CD2ADD" w:rsidRDefault="002A640F" w:rsidP="00B339C7">
            <w:pPr>
              <w:rPr>
                <w:color w:val="000000" w:themeColor="text1"/>
                <w:sz w:val="22"/>
                <w:szCs w:val="22"/>
              </w:rPr>
            </w:pPr>
            <w:r w:rsidRPr="00CD2ADD">
              <w:rPr>
                <w:color w:val="000000" w:themeColor="text1"/>
                <w:sz w:val="22"/>
                <w:szCs w:val="22"/>
              </w:rPr>
              <w:lastRenderedPageBreak/>
              <w:t xml:space="preserve">Numărul raioanelor vulnerabile în care sunt implementate campanii tematice de educație și comunicare </w:t>
            </w:r>
            <w:r w:rsidRPr="00CD2ADD">
              <w:rPr>
                <w:color w:val="000000" w:themeColor="text1"/>
                <w:sz w:val="22"/>
                <w:szCs w:val="22"/>
              </w:rPr>
              <w:lastRenderedPageBreak/>
              <w:t>privind riscurile naturale si biologico-sociale</w:t>
            </w:r>
          </w:p>
        </w:tc>
        <w:tc>
          <w:tcPr>
            <w:tcW w:w="1367" w:type="dxa"/>
          </w:tcPr>
          <w:p w14:paraId="03B5F9F7" w14:textId="3BB5AF5F" w:rsidR="002A640F" w:rsidRPr="00CD2ADD" w:rsidRDefault="002A640F" w:rsidP="00B339C7">
            <w:pPr>
              <w:rPr>
                <w:color w:val="000000" w:themeColor="text1"/>
                <w:sz w:val="22"/>
                <w:szCs w:val="22"/>
              </w:rPr>
            </w:pPr>
            <w:r w:rsidRPr="00CD2ADD">
              <w:rPr>
                <w:color w:val="000000" w:themeColor="text1"/>
                <w:sz w:val="22"/>
                <w:szCs w:val="22"/>
              </w:rPr>
              <w:lastRenderedPageBreak/>
              <w:t>0</w:t>
            </w:r>
          </w:p>
        </w:tc>
        <w:tc>
          <w:tcPr>
            <w:tcW w:w="1862" w:type="dxa"/>
          </w:tcPr>
          <w:p w14:paraId="0531FBEC" w14:textId="7A7AF98B" w:rsidR="002A640F" w:rsidRPr="00CD2ADD" w:rsidRDefault="00A455E3" w:rsidP="00B339C7">
            <w:pPr>
              <w:rPr>
                <w:color w:val="000000" w:themeColor="text1"/>
                <w:sz w:val="22"/>
                <w:szCs w:val="22"/>
              </w:rPr>
            </w:pPr>
            <w:r w:rsidRPr="00CD2ADD">
              <w:rPr>
                <w:color w:val="000000" w:themeColor="text1"/>
                <w:sz w:val="22"/>
                <w:szCs w:val="22"/>
              </w:rPr>
              <w:t>6 raioane</w:t>
            </w:r>
          </w:p>
        </w:tc>
        <w:tc>
          <w:tcPr>
            <w:tcW w:w="1862" w:type="dxa"/>
          </w:tcPr>
          <w:p w14:paraId="77431C3E" w14:textId="33B6C1B5" w:rsidR="002A640F" w:rsidRPr="00CD2ADD" w:rsidRDefault="002A640F" w:rsidP="00B339C7">
            <w:pPr>
              <w:rPr>
                <w:color w:val="000000" w:themeColor="text1"/>
                <w:sz w:val="22"/>
                <w:szCs w:val="22"/>
              </w:rPr>
            </w:pPr>
            <w:r w:rsidRPr="00CD2ADD">
              <w:rPr>
                <w:color w:val="000000" w:themeColor="text1"/>
                <w:sz w:val="22"/>
                <w:szCs w:val="22"/>
              </w:rPr>
              <w:t>10 raioane</w:t>
            </w:r>
          </w:p>
        </w:tc>
        <w:tc>
          <w:tcPr>
            <w:tcW w:w="1281" w:type="dxa"/>
          </w:tcPr>
          <w:p w14:paraId="649F7A78" w14:textId="0CCFB01D" w:rsidR="002A640F" w:rsidRPr="00CD2ADD" w:rsidRDefault="002A640F" w:rsidP="00B339C7">
            <w:pPr>
              <w:rPr>
                <w:color w:val="000000" w:themeColor="text1"/>
                <w:sz w:val="22"/>
                <w:szCs w:val="22"/>
              </w:rPr>
            </w:pPr>
            <w:r w:rsidRPr="00CD2ADD">
              <w:rPr>
                <w:color w:val="000000" w:themeColor="text1"/>
                <w:sz w:val="22"/>
                <w:szCs w:val="22"/>
              </w:rPr>
              <w:t>Ministerul Mediului, Ministerul Sănătății, Ministerul Educației si Cercetări</w:t>
            </w:r>
          </w:p>
        </w:tc>
      </w:tr>
      <w:tr w:rsidR="002A640F" w:rsidRPr="00CD2ADD" w14:paraId="0B71304E" w14:textId="77777777" w:rsidTr="00515692">
        <w:tc>
          <w:tcPr>
            <w:tcW w:w="1664" w:type="dxa"/>
          </w:tcPr>
          <w:p w14:paraId="332FE380" w14:textId="18A6BBB1" w:rsidR="002A640F" w:rsidRPr="00CD2ADD" w:rsidRDefault="002A640F" w:rsidP="00B339C7">
            <w:pPr>
              <w:rPr>
                <w:color w:val="000000" w:themeColor="text1"/>
                <w:sz w:val="22"/>
                <w:szCs w:val="22"/>
              </w:rPr>
            </w:pPr>
            <w:r w:rsidRPr="00CD2ADD">
              <w:rPr>
                <w:color w:val="000000" w:themeColor="text1"/>
                <w:sz w:val="22"/>
                <w:szCs w:val="22"/>
              </w:rPr>
              <w:t xml:space="preserve">Obiectiv specific 1.3: Până în 2030, Ministerul Mediului, în parteneriat cu instituțiile de cercetare, consolidează baza științifică pentru </w:t>
            </w:r>
            <w:r w:rsidR="0048435E" w:rsidRPr="00CD2ADD">
              <w:rPr>
                <w:color w:val="000000" w:themeColor="text1"/>
                <w:sz w:val="22"/>
                <w:szCs w:val="22"/>
              </w:rPr>
              <w:t>RRD</w:t>
            </w:r>
            <w:r w:rsidRPr="00CD2ADD">
              <w:rPr>
                <w:color w:val="000000" w:themeColor="text1"/>
                <w:sz w:val="22"/>
                <w:szCs w:val="22"/>
              </w:rPr>
              <w:t xml:space="preserve"> naturale</w:t>
            </w:r>
            <w:r w:rsidR="0048435E" w:rsidRPr="00CD2ADD">
              <w:rPr>
                <w:color w:val="000000" w:themeColor="text1"/>
                <w:sz w:val="22"/>
                <w:szCs w:val="22"/>
              </w:rPr>
              <w:t xml:space="preserve"> </w:t>
            </w:r>
            <w:r w:rsidRPr="00CD2ADD">
              <w:rPr>
                <w:color w:val="000000" w:themeColor="text1"/>
                <w:sz w:val="22"/>
                <w:szCs w:val="22"/>
              </w:rPr>
              <w:t>și biologico-sociale, prin promovarea cercetării aplicate și a parteneriatelor inter</w:t>
            </w:r>
            <w:r w:rsidR="0048435E" w:rsidRPr="00CD2ADD">
              <w:rPr>
                <w:color w:val="000000" w:themeColor="text1"/>
                <w:sz w:val="22"/>
                <w:szCs w:val="22"/>
              </w:rPr>
              <w:t>-</w:t>
            </w:r>
            <w:r w:rsidRPr="00CD2ADD">
              <w:rPr>
                <w:color w:val="000000" w:themeColor="text1"/>
                <w:sz w:val="22"/>
                <w:szCs w:val="22"/>
              </w:rPr>
              <w:t>instituționale</w:t>
            </w:r>
          </w:p>
        </w:tc>
        <w:tc>
          <w:tcPr>
            <w:tcW w:w="1700" w:type="dxa"/>
          </w:tcPr>
          <w:p w14:paraId="4F376A22" w14:textId="1A90C85C" w:rsidR="002A640F" w:rsidRPr="00CD2ADD" w:rsidRDefault="002A640F" w:rsidP="00B339C7">
            <w:pPr>
              <w:rPr>
                <w:color w:val="000000" w:themeColor="text1"/>
                <w:sz w:val="22"/>
                <w:szCs w:val="22"/>
              </w:rPr>
            </w:pPr>
            <w:r w:rsidRPr="00CD2ADD">
              <w:rPr>
                <w:color w:val="000000" w:themeColor="text1"/>
                <w:sz w:val="22"/>
                <w:szCs w:val="22"/>
              </w:rPr>
              <w:t>Funcționalitatea platformei naționale de colaborare științifică pentru RRD</w:t>
            </w:r>
          </w:p>
        </w:tc>
        <w:tc>
          <w:tcPr>
            <w:tcW w:w="1367" w:type="dxa"/>
          </w:tcPr>
          <w:p w14:paraId="1BEF82E1" w14:textId="6F1F880B" w:rsidR="002A640F" w:rsidRPr="00CD2ADD" w:rsidRDefault="002A640F" w:rsidP="00B339C7">
            <w:pPr>
              <w:rPr>
                <w:color w:val="000000" w:themeColor="text1"/>
                <w:sz w:val="22"/>
                <w:szCs w:val="22"/>
              </w:rPr>
            </w:pPr>
            <w:r w:rsidRPr="00CD2ADD">
              <w:rPr>
                <w:color w:val="000000" w:themeColor="text1"/>
                <w:sz w:val="22"/>
                <w:szCs w:val="22"/>
              </w:rPr>
              <w:t>Nu există</w:t>
            </w:r>
          </w:p>
        </w:tc>
        <w:tc>
          <w:tcPr>
            <w:tcW w:w="1862" w:type="dxa"/>
          </w:tcPr>
          <w:p w14:paraId="5E534124" w14:textId="63195152" w:rsidR="002A640F" w:rsidRPr="00CD2ADD" w:rsidRDefault="00A455E3" w:rsidP="00B339C7">
            <w:pPr>
              <w:rPr>
                <w:color w:val="000000" w:themeColor="text1"/>
                <w:sz w:val="22"/>
                <w:szCs w:val="22"/>
              </w:rPr>
            </w:pPr>
            <w:r w:rsidRPr="00CD2ADD">
              <w:rPr>
                <w:color w:val="000000" w:themeColor="text1"/>
                <w:sz w:val="22"/>
                <w:szCs w:val="22"/>
              </w:rPr>
              <w:t>Platformă funcțională, cu ≥ 6 instituții academice și publice active</w:t>
            </w:r>
          </w:p>
        </w:tc>
        <w:tc>
          <w:tcPr>
            <w:tcW w:w="1862" w:type="dxa"/>
          </w:tcPr>
          <w:p w14:paraId="4E7CB420" w14:textId="699A44EE" w:rsidR="002A640F" w:rsidRPr="00CD2ADD" w:rsidRDefault="002A640F" w:rsidP="00B339C7">
            <w:pPr>
              <w:rPr>
                <w:color w:val="000000" w:themeColor="text1"/>
                <w:sz w:val="22"/>
                <w:szCs w:val="22"/>
              </w:rPr>
            </w:pPr>
            <w:r w:rsidRPr="00CD2ADD">
              <w:rPr>
                <w:color w:val="000000" w:themeColor="text1"/>
                <w:sz w:val="22"/>
                <w:szCs w:val="22"/>
              </w:rPr>
              <w:t>Platformă funcțională, cu ≥ 10 instituții academice și publice active</w:t>
            </w:r>
          </w:p>
        </w:tc>
        <w:tc>
          <w:tcPr>
            <w:tcW w:w="1281" w:type="dxa"/>
          </w:tcPr>
          <w:p w14:paraId="211706EB" w14:textId="2164733F" w:rsidR="002A640F" w:rsidRPr="00CD2ADD" w:rsidRDefault="002A640F" w:rsidP="00B339C7">
            <w:pPr>
              <w:rPr>
                <w:color w:val="000000" w:themeColor="text1"/>
                <w:sz w:val="22"/>
                <w:szCs w:val="22"/>
              </w:rPr>
            </w:pPr>
            <w:r w:rsidRPr="00CD2ADD">
              <w:rPr>
                <w:color w:val="000000" w:themeColor="text1"/>
                <w:sz w:val="22"/>
                <w:szCs w:val="22"/>
              </w:rPr>
              <w:t>Ministerul Mediului, MEC</w:t>
            </w:r>
          </w:p>
        </w:tc>
      </w:tr>
      <w:tr w:rsidR="002A640F" w:rsidRPr="00CD2ADD" w14:paraId="439D3001" w14:textId="77777777" w:rsidTr="002C4956">
        <w:tc>
          <w:tcPr>
            <w:tcW w:w="9736" w:type="dxa"/>
            <w:gridSpan w:val="6"/>
          </w:tcPr>
          <w:p w14:paraId="76CFCCB1" w14:textId="3AF6E462" w:rsidR="002A640F" w:rsidRPr="00CD2ADD" w:rsidRDefault="002A640F" w:rsidP="00E35C53">
            <w:pPr>
              <w:rPr>
                <w:color w:val="000000" w:themeColor="text1"/>
                <w:sz w:val="22"/>
                <w:szCs w:val="22"/>
              </w:rPr>
            </w:pPr>
            <w:r w:rsidRPr="00CD2ADD">
              <w:rPr>
                <w:color w:val="000000" w:themeColor="text1"/>
                <w:sz w:val="22"/>
                <w:szCs w:val="22"/>
              </w:rPr>
              <w:t>Obiectiv general 2: Consolidarea capacității de coordonare, cooperare și intervenție a autorităților publice centrale și locale pentru o gestionare integrată a riscurilor naturale, inclusiv prin digitalizare și consolidarea parteneriatelor interinstituționale.</w:t>
            </w:r>
          </w:p>
          <w:p w14:paraId="08AF2EA5" w14:textId="78D76D64" w:rsidR="002A640F" w:rsidRPr="00CD2ADD" w:rsidRDefault="002A640F" w:rsidP="00B339C7">
            <w:pPr>
              <w:rPr>
                <w:color w:val="000000" w:themeColor="text1"/>
                <w:sz w:val="22"/>
                <w:szCs w:val="22"/>
              </w:rPr>
            </w:pPr>
          </w:p>
        </w:tc>
      </w:tr>
      <w:tr w:rsidR="002A640F" w:rsidRPr="00CD2ADD" w14:paraId="6B7BCF56" w14:textId="77777777" w:rsidTr="00515692">
        <w:tc>
          <w:tcPr>
            <w:tcW w:w="1664" w:type="dxa"/>
          </w:tcPr>
          <w:p w14:paraId="7192226C" w14:textId="56E36C10" w:rsidR="002A640F" w:rsidRPr="00CD2ADD" w:rsidRDefault="002A640F" w:rsidP="00B339C7">
            <w:pPr>
              <w:rPr>
                <w:color w:val="000000" w:themeColor="text1"/>
                <w:sz w:val="22"/>
                <w:szCs w:val="22"/>
              </w:rPr>
            </w:pPr>
            <w:r w:rsidRPr="00CD2ADD">
              <w:rPr>
                <w:sz w:val="22"/>
                <w:szCs w:val="22"/>
              </w:rPr>
              <w:t xml:space="preserve">Obiectiv specific 2.1: Până în 2030, cadrul legislativ din sectorul de mediu este armonizat și aliniat principiilor </w:t>
            </w:r>
            <w:r w:rsidR="00195FBC" w:rsidRPr="00CD2ADD">
              <w:rPr>
                <w:sz w:val="22"/>
                <w:szCs w:val="22"/>
              </w:rPr>
              <w:t>RRD</w:t>
            </w:r>
            <w:r w:rsidRPr="00CD2ADD">
              <w:rPr>
                <w:sz w:val="22"/>
                <w:szCs w:val="22"/>
              </w:rPr>
              <w:t xml:space="preserve"> naturale și biologico-sociale, integrând dimensiunea mobilității umane și </w:t>
            </w:r>
            <w:r w:rsidRPr="00CD2ADD">
              <w:rPr>
                <w:sz w:val="22"/>
                <w:szCs w:val="22"/>
              </w:rPr>
              <w:lastRenderedPageBreak/>
              <w:t>conexiunile migrație–mediu–climă</w:t>
            </w:r>
          </w:p>
        </w:tc>
        <w:tc>
          <w:tcPr>
            <w:tcW w:w="1700" w:type="dxa"/>
          </w:tcPr>
          <w:p w14:paraId="29A8D92A" w14:textId="77777777" w:rsidR="002A640F" w:rsidRPr="00CD2ADD" w:rsidRDefault="002A640F" w:rsidP="00B339C7">
            <w:pPr>
              <w:rPr>
                <w:color w:val="000000" w:themeColor="text1"/>
                <w:sz w:val="22"/>
                <w:szCs w:val="22"/>
              </w:rPr>
            </w:pPr>
            <w:r w:rsidRPr="00CD2ADD">
              <w:rPr>
                <w:color w:val="000000" w:themeColor="text1"/>
                <w:sz w:val="22"/>
                <w:szCs w:val="22"/>
              </w:rPr>
              <w:lastRenderedPageBreak/>
              <w:t xml:space="preserve">Numărul actelor normative și documentelor strategice sectoriale (mediu, ape, soluri, biodiversitate) actualizate sau elaborate cu integrarea explicită a reducerii riscurilor de dezastre și a dimensiunii </w:t>
            </w:r>
            <w:r w:rsidRPr="00CD2ADD">
              <w:rPr>
                <w:color w:val="000000" w:themeColor="text1"/>
                <w:sz w:val="22"/>
                <w:szCs w:val="22"/>
              </w:rPr>
              <w:lastRenderedPageBreak/>
              <w:t>migrație–mediu–climă</w:t>
            </w:r>
          </w:p>
          <w:p w14:paraId="0E3F8312" w14:textId="18CA0382" w:rsidR="002A640F" w:rsidRPr="00CD2ADD" w:rsidRDefault="002A640F" w:rsidP="00B339C7">
            <w:pPr>
              <w:rPr>
                <w:color w:val="000000" w:themeColor="text1"/>
                <w:sz w:val="22"/>
                <w:szCs w:val="22"/>
              </w:rPr>
            </w:pPr>
          </w:p>
        </w:tc>
        <w:tc>
          <w:tcPr>
            <w:tcW w:w="1367" w:type="dxa"/>
          </w:tcPr>
          <w:p w14:paraId="35940A81" w14:textId="665E4202" w:rsidR="002A640F" w:rsidRPr="00CD2ADD" w:rsidRDefault="002A640F" w:rsidP="00B339C7">
            <w:pPr>
              <w:rPr>
                <w:color w:val="000000" w:themeColor="text1"/>
                <w:sz w:val="22"/>
                <w:szCs w:val="22"/>
              </w:rPr>
            </w:pPr>
            <w:r w:rsidRPr="00CD2ADD">
              <w:rPr>
                <w:color w:val="000000" w:themeColor="text1"/>
                <w:sz w:val="22"/>
                <w:szCs w:val="22"/>
              </w:rPr>
              <w:lastRenderedPageBreak/>
              <w:t>Integrare parțială; lipsă evidență consolidată</w:t>
            </w:r>
          </w:p>
        </w:tc>
        <w:tc>
          <w:tcPr>
            <w:tcW w:w="1862" w:type="dxa"/>
          </w:tcPr>
          <w:p w14:paraId="142F861B" w14:textId="3AF4A4C8" w:rsidR="002A640F" w:rsidRPr="00CD2ADD" w:rsidRDefault="003F7856" w:rsidP="00B339C7">
            <w:pPr>
              <w:rPr>
                <w:color w:val="000000" w:themeColor="text1"/>
                <w:sz w:val="22"/>
                <w:szCs w:val="22"/>
              </w:rPr>
            </w:pPr>
            <w:r w:rsidRPr="00CD2ADD">
              <w:rPr>
                <w:color w:val="000000" w:themeColor="text1"/>
                <w:sz w:val="22"/>
                <w:szCs w:val="22"/>
              </w:rPr>
              <w:t>≥ 6 acte normative/strategii</w:t>
            </w:r>
          </w:p>
        </w:tc>
        <w:tc>
          <w:tcPr>
            <w:tcW w:w="1862" w:type="dxa"/>
          </w:tcPr>
          <w:p w14:paraId="0B63BCDA" w14:textId="3A6D7508" w:rsidR="002A640F" w:rsidRPr="00CD2ADD" w:rsidRDefault="002A640F" w:rsidP="00B339C7">
            <w:pPr>
              <w:rPr>
                <w:color w:val="000000" w:themeColor="text1"/>
                <w:sz w:val="22"/>
                <w:szCs w:val="22"/>
              </w:rPr>
            </w:pPr>
            <w:r w:rsidRPr="00CD2ADD">
              <w:rPr>
                <w:color w:val="000000" w:themeColor="text1"/>
                <w:sz w:val="22"/>
                <w:szCs w:val="22"/>
              </w:rPr>
              <w:t>≥ 10 acte normative/strategii</w:t>
            </w:r>
          </w:p>
        </w:tc>
        <w:tc>
          <w:tcPr>
            <w:tcW w:w="1281" w:type="dxa"/>
          </w:tcPr>
          <w:p w14:paraId="0C509D56" w14:textId="75AA749E" w:rsidR="002A640F" w:rsidRPr="00CD2ADD" w:rsidRDefault="002A640F" w:rsidP="00B339C7">
            <w:pPr>
              <w:rPr>
                <w:color w:val="000000" w:themeColor="text1"/>
                <w:sz w:val="22"/>
                <w:szCs w:val="22"/>
              </w:rPr>
            </w:pPr>
            <w:r w:rsidRPr="00CD2ADD">
              <w:rPr>
                <w:color w:val="000000" w:themeColor="text1"/>
                <w:sz w:val="22"/>
                <w:szCs w:val="22"/>
              </w:rPr>
              <w:t>Ministerul Mediului, MAIA, Cancelaria de Stat</w:t>
            </w:r>
          </w:p>
        </w:tc>
      </w:tr>
      <w:tr w:rsidR="002A640F" w:rsidRPr="00CD2ADD" w14:paraId="7F3430E9" w14:textId="77777777" w:rsidTr="00515692">
        <w:tc>
          <w:tcPr>
            <w:tcW w:w="1664" w:type="dxa"/>
          </w:tcPr>
          <w:p w14:paraId="1489E963" w14:textId="21E647D0" w:rsidR="002A640F" w:rsidRPr="00CD2ADD" w:rsidRDefault="002A640F" w:rsidP="00B339C7">
            <w:pPr>
              <w:rPr>
                <w:sz w:val="22"/>
                <w:szCs w:val="22"/>
              </w:rPr>
            </w:pPr>
            <w:r w:rsidRPr="00CD2ADD">
              <w:rPr>
                <w:sz w:val="22"/>
                <w:szCs w:val="22"/>
              </w:rPr>
              <w:t>Obiectiv specific 2.2: Până în 2030, mecanismele de coordonare inter</w:t>
            </w:r>
            <w:r w:rsidR="002D09AF" w:rsidRPr="00CD2ADD">
              <w:rPr>
                <w:sz w:val="22"/>
                <w:szCs w:val="22"/>
              </w:rPr>
              <w:t>-</w:t>
            </w:r>
            <w:r w:rsidRPr="00CD2ADD">
              <w:rPr>
                <w:sz w:val="22"/>
                <w:szCs w:val="22"/>
              </w:rPr>
              <w:t xml:space="preserve">instituțională și intersectorială pentru </w:t>
            </w:r>
            <w:r w:rsidR="002D09AF" w:rsidRPr="00CD2ADD">
              <w:rPr>
                <w:sz w:val="22"/>
                <w:szCs w:val="22"/>
              </w:rPr>
              <w:t>RRD</w:t>
            </w:r>
            <w:r w:rsidRPr="00CD2ADD">
              <w:rPr>
                <w:sz w:val="22"/>
                <w:szCs w:val="22"/>
              </w:rPr>
              <w:t xml:space="preserve"> naturale și biologico-sociale sunt consolidate prin participarea structurată a sectorului de mediu și prin dezvoltarea de parteneriate strategice la nivel internațional</w:t>
            </w:r>
          </w:p>
        </w:tc>
        <w:tc>
          <w:tcPr>
            <w:tcW w:w="1700" w:type="dxa"/>
          </w:tcPr>
          <w:p w14:paraId="5C9D4FA4" w14:textId="534D0798" w:rsidR="002A640F" w:rsidRPr="00CD2ADD" w:rsidRDefault="002A640F" w:rsidP="00B339C7">
            <w:pPr>
              <w:rPr>
                <w:color w:val="000000" w:themeColor="text1"/>
                <w:sz w:val="22"/>
                <w:szCs w:val="22"/>
              </w:rPr>
            </w:pPr>
            <w:r w:rsidRPr="00CD2ADD">
              <w:rPr>
                <w:color w:val="000000" w:themeColor="text1"/>
                <w:sz w:val="22"/>
                <w:szCs w:val="22"/>
              </w:rPr>
              <w:t xml:space="preserve">Funcționarea </w:t>
            </w:r>
            <w:r w:rsidR="001438EE" w:rsidRPr="00CD2ADD">
              <w:rPr>
                <w:color w:val="000000" w:themeColor="text1"/>
                <w:sz w:val="22"/>
                <w:szCs w:val="22"/>
              </w:rPr>
              <w:t xml:space="preserve">grupului de lucru </w:t>
            </w:r>
            <w:r w:rsidR="001438EE" w:rsidRPr="00CD2ADD">
              <w:rPr>
                <w:b/>
                <w:bCs/>
                <w:i/>
                <w:iCs/>
                <w:sz w:val="20"/>
                <w:szCs w:val="20"/>
                <w:u w:val="single"/>
              </w:rPr>
              <w:t>Managementul riscurilor de dezastre naturale in cadrul CNSC</w:t>
            </w:r>
            <w:r w:rsidRPr="00CD2ADD">
              <w:rPr>
                <w:color w:val="000000" w:themeColor="text1"/>
                <w:sz w:val="22"/>
                <w:szCs w:val="22"/>
              </w:rPr>
              <w:t xml:space="preserve"> în sectorul de mediu, cu participare formalizată a tuturor instituțiilor relevante </w:t>
            </w:r>
          </w:p>
          <w:p w14:paraId="09CB2CDF" w14:textId="621CED8C" w:rsidR="002A640F" w:rsidRPr="00CD2ADD" w:rsidRDefault="002A640F" w:rsidP="00B339C7">
            <w:pPr>
              <w:rPr>
                <w:color w:val="000000" w:themeColor="text1"/>
                <w:sz w:val="22"/>
                <w:szCs w:val="22"/>
              </w:rPr>
            </w:pPr>
          </w:p>
        </w:tc>
        <w:tc>
          <w:tcPr>
            <w:tcW w:w="1367" w:type="dxa"/>
          </w:tcPr>
          <w:p w14:paraId="2F7AB422" w14:textId="7FE1545F" w:rsidR="002A640F" w:rsidRPr="00CD2ADD" w:rsidRDefault="002A640F" w:rsidP="00B339C7">
            <w:pPr>
              <w:rPr>
                <w:color w:val="000000" w:themeColor="text1"/>
                <w:sz w:val="22"/>
                <w:szCs w:val="22"/>
              </w:rPr>
            </w:pPr>
            <w:r w:rsidRPr="00CD2ADD">
              <w:rPr>
                <w:color w:val="000000" w:themeColor="text1"/>
                <w:sz w:val="22"/>
                <w:szCs w:val="22"/>
              </w:rPr>
              <w:t xml:space="preserve">Nu există </w:t>
            </w:r>
            <w:r w:rsidR="00781A0D" w:rsidRPr="00CD2ADD">
              <w:rPr>
                <w:color w:val="000000" w:themeColor="text1"/>
                <w:sz w:val="22"/>
                <w:szCs w:val="22"/>
              </w:rPr>
              <w:t>grup de lucru</w:t>
            </w:r>
            <w:r w:rsidRPr="00CD2ADD">
              <w:rPr>
                <w:color w:val="000000" w:themeColor="text1"/>
                <w:sz w:val="22"/>
                <w:szCs w:val="22"/>
              </w:rPr>
              <w:t>; coordonare fragmentată</w:t>
            </w:r>
          </w:p>
          <w:p w14:paraId="52851970" w14:textId="77777777" w:rsidR="002A640F" w:rsidRPr="00CD2ADD" w:rsidRDefault="002A640F" w:rsidP="00B339C7">
            <w:pPr>
              <w:rPr>
                <w:color w:val="000000" w:themeColor="text1"/>
                <w:sz w:val="22"/>
                <w:szCs w:val="22"/>
              </w:rPr>
            </w:pPr>
          </w:p>
        </w:tc>
        <w:tc>
          <w:tcPr>
            <w:tcW w:w="1862" w:type="dxa"/>
          </w:tcPr>
          <w:p w14:paraId="0835F2FE" w14:textId="27958AA0" w:rsidR="00FD761A" w:rsidRPr="00CD2ADD" w:rsidRDefault="00781A0D" w:rsidP="00FD761A">
            <w:pPr>
              <w:rPr>
                <w:color w:val="000000" w:themeColor="text1"/>
                <w:sz w:val="22"/>
                <w:szCs w:val="22"/>
              </w:rPr>
            </w:pPr>
            <w:r w:rsidRPr="00CD2ADD">
              <w:rPr>
                <w:color w:val="000000" w:themeColor="text1"/>
                <w:sz w:val="22"/>
                <w:szCs w:val="22"/>
              </w:rPr>
              <w:t>Grup de lucru creat</w:t>
            </w:r>
            <w:r w:rsidR="00FD761A" w:rsidRPr="00CD2ADD">
              <w:rPr>
                <w:color w:val="000000" w:themeColor="text1"/>
                <w:sz w:val="22"/>
                <w:szCs w:val="22"/>
              </w:rPr>
              <w:t>, formalizat și operațional</w:t>
            </w:r>
            <w:r w:rsidRPr="00CD2ADD">
              <w:rPr>
                <w:color w:val="000000" w:themeColor="text1"/>
                <w:sz w:val="22"/>
                <w:szCs w:val="22"/>
              </w:rPr>
              <w:t>izat</w:t>
            </w:r>
            <w:r w:rsidR="00FD761A" w:rsidRPr="00CD2ADD">
              <w:rPr>
                <w:color w:val="000000" w:themeColor="text1"/>
                <w:sz w:val="22"/>
                <w:szCs w:val="22"/>
              </w:rPr>
              <w:t xml:space="preserve">, cu cel puțin 2 reuniuni anuale </w:t>
            </w:r>
          </w:p>
          <w:p w14:paraId="5743A9FD" w14:textId="77777777" w:rsidR="002A640F" w:rsidRPr="00CD2ADD" w:rsidRDefault="002A640F" w:rsidP="00B339C7">
            <w:pPr>
              <w:rPr>
                <w:color w:val="000000" w:themeColor="text1"/>
                <w:sz w:val="22"/>
                <w:szCs w:val="22"/>
              </w:rPr>
            </w:pPr>
          </w:p>
        </w:tc>
        <w:tc>
          <w:tcPr>
            <w:tcW w:w="1862" w:type="dxa"/>
          </w:tcPr>
          <w:p w14:paraId="5BC11D4E" w14:textId="381819F7" w:rsidR="002A640F" w:rsidRPr="00CD2ADD" w:rsidRDefault="001A3425" w:rsidP="00B339C7">
            <w:pPr>
              <w:rPr>
                <w:color w:val="000000" w:themeColor="text1"/>
                <w:sz w:val="22"/>
                <w:szCs w:val="22"/>
              </w:rPr>
            </w:pPr>
            <w:r w:rsidRPr="00CD2ADD">
              <w:rPr>
                <w:color w:val="000000" w:themeColor="text1"/>
                <w:sz w:val="22"/>
                <w:szCs w:val="22"/>
              </w:rPr>
              <w:t xml:space="preserve">Grup de lucru creat, </w:t>
            </w:r>
            <w:r w:rsidR="002A640F" w:rsidRPr="00CD2ADD">
              <w:rPr>
                <w:color w:val="000000" w:themeColor="text1"/>
                <w:sz w:val="22"/>
                <w:szCs w:val="22"/>
              </w:rPr>
              <w:t>formalizat</w:t>
            </w:r>
            <w:r w:rsidRPr="00CD2ADD">
              <w:rPr>
                <w:color w:val="000000" w:themeColor="text1"/>
                <w:sz w:val="22"/>
                <w:szCs w:val="22"/>
              </w:rPr>
              <w:t xml:space="preserve"> </w:t>
            </w:r>
            <w:r w:rsidR="002A640F" w:rsidRPr="00CD2ADD">
              <w:rPr>
                <w:color w:val="000000" w:themeColor="text1"/>
                <w:sz w:val="22"/>
                <w:szCs w:val="22"/>
              </w:rPr>
              <w:t>și operațional, cu cel puțin 2 reuniuni anuale</w:t>
            </w:r>
            <w:r w:rsidR="00FD761A" w:rsidRPr="00CD2ADD">
              <w:rPr>
                <w:color w:val="000000" w:themeColor="text1"/>
                <w:sz w:val="22"/>
                <w:szCs w:val="22"/>
              </w:rPr>
              <w:t xml:space="preserve"> si plan de sustenabilitate după 2030</w:t>
            </w:r>
          </w:p>
          <w:p w14:paraId="572DC0E4" w14:textId="77777777" w:rsidR="002A640F" w:rsidRPr="00CD2ADD" w:rsidRDefault="002A640F" w:rsidP="00B339C7">
            <w:pPr>
              <w:rPr>
                <w:color w:val="000000" w:themeColor="text1"/>
                <w:sz w:val="22"/>
                <w:szCs w:val="22"/>
              </w:rPr>
            </w:pPr>
          </w:p>
        </w:tc>
        <w:tc>
          <w:tcPr>
            <w:tcW w:w="1281" w:type="dxa"/>
          </w:tcPr>
          <w:p w14:paraId="114DD78D" w14:textId="7D12C599" w:rsidR="002A640F" w:rsidRPr="00CD2ADD" w:rsidRDefault="002A640F" w:rsidP="00B339C7">
            <w:pPr>
              <w:rPr>
                <w:color w:val="000000" w:themeColor="text1"/>
                <w:sz w:val="22"/>
                <w:szCs w:val="22"/>
              </w:rPr>
            </w:pPr>
            <w:r w:rsidRPr="00CD2ADD">
              <w:rPr>
                <w:color w:val="000000" w:themeColor="text1"/>
                <w:sz w:val="22"/>
                <w:szCs w:val="22"/>
              </w:rPr>
              <w:t>Ministerul Mediului, Cancelaria de Stat</w:t>
            </w:r>
          </w:p>
        </w:tc>
      </w:tr>
      <w:tr w:rsidR="002A640F" w:rsidRPr="00CD2ADD" w14:paraId="243B68E2" w14:textId="77777777" w:rsidTr="00515692">
        <w:tc>
          <w:tcPr>
            <w:tcW w:w="1664" w:type="dxa"/>
          </w:tcPr>
          <w:p w14:paraId="60CA7FCB" w14:textId="5088FD24" w:rsidR="002A640F" w:rsidRPr="00CD2ADD" w:rsidRDefault="002A640F" w:rsidP="00B339C7">
            <w:pPr>
              <w:rPr>
                <w:sz w:val="22"/>
                <w:szCs w:val="22"/>
              </w:rPr>
            </w:pPr>
            <w:r w:rsidRPr="00CD2ADD">
              <w:rPr>
                <w:sz w:val="22"/>
                <w:szCs w:val="22"/>
              </w:rPr>
              <w:t xml:space="preserve">Obiectiv specific 2.3: Până în 2030, </w:t>
            </w:r>
            <w:r w:rsidR="005442EF" w:rsidRPr="00CD2ADD">
              <w:rPr>
                <w:sz w:val="22"/>
                <w:szCs w:val="22"/>
              </w:rPr>
              <w:t>RRD</w:t>
            </w:r>
            <w:r w:rsidRPr="00CD2ADD">
              <w:rPr>
                <w:sz w:val="22"/>
                <w:szCs w:val="22"/>
              </w:rPr>
              <w:t xml:space="preserve"> este pe deplin instituționalizată în cadrul structurilor publice din sectorul de mediu si al sănătății, prin clarificarea responsabilităților</w:t>
            </w:r>
            <w:r w:rsidR="005442EF" w:rsidRPr="00CD2ADD">
              <w:rPr>
                <w:sz w:val="22"/>
                <w:szCs w:val="22"/>
              </w:rPr>
              <w:t xml:space="preserve">, </w:t>
            </w:r>
            <w:r w:rsidRPr="00CD2ADD">
              <w:rPr>
                <w:sz w:val="22"/>
                <w:szCs w:val="22"/>
              </w:rPr>
              <w:t xml:space="preserve"> punctelor focale și consolidarea capacităților operaționale la nivel central și teritorial</w:t>
            </w:r>
          </w:p>
        </w:tc>
        <w:tc>
          <w:tcPr>
            <w:tcW w:w="1700" w:type="dxa"/>
          </w:tcPr>
          <w:p w14:paraId="53956D9B" w14:textId="3445F8B8" w:rsidR="002A640F" w:rsidRPr="00CD2ADD" w:rsidRDefault="002A640F" w:rsidP="00B339C7">
            <w:pPr>
              <w:rPr>
                <w:color w:val="000000" w:themeColor="text1"/>
                <w:sz w:val="22"/>
                <w:szCs w:val="22"/>
              </w:rPr>
            </w:pPr>
            <w:r w:rsidRPr="00CD2ADD">
              <w:rPr>
                <w:color w:val="000000" w:themeColor="text1"/>
                <w:sz w:val="22"/>
                <w:szCs w:val="22"/>
              </w:rPr>
              <w:t>Numărul instituțiilor sectoriale (MM, AM, SHS, ANSP, ANSA, Moldsilva, IPAM, MAIA, APL) care au desemnat puncte focale RRD și au actualizat structurile interne (regulamente, fișe de post) pentru a include atribuțiile RRD</w:t>
            </w:r>
          </w:p>
        </w:tc>
        <w:tc>
          <w:tcPr>
            <w:tcW w:w="1367" w:type="dxa"/>
          </w:tcPr>
          <w:p w14:paraId="269AAB80" w14:textId="527256D9" w:rsidR="002A640F" w:rsidRPr="00CD2ADD" w:rsidRDefault="002A640F" w:rsidP="00B339C7">
            <w:pPr>
              <w:rPr>
                <w:color w:val="000000" w:themeColor="text1"/>
                <w:sz w:val="22"/>
                <w:szCs w:val="22"/>
              </w:rPr>
            </w:pPr>
            <w:r w:rsidRPr="00CD2ADD">
              <w:rPr>
                <w:color w:val="000000" w:themeColor="text1"/>
                <w:sz w:val="22"/>
                <w:szCs w:val="22"/>
              </w:rPr>
              <w:t>Fără sistem de puncte focale; atribuții dispersate</w:t>
            </w:r>
          </w:p>
        </w:tc>
        <w:tc>
          <w:tcPr>
            <w:tcW w:w="1862" w:type="dxa"/>
          </w:tcPr>
          <w:p w14:paraId="187BF0DE" w14:textId="362800F4" w:rsidR="002A640F" w:rsidRPr="00CD2ADD" w:rsidRDefault="00FD761A" w:rsidP="00B339C7">
            <w:pPr>
              <w:rPr>
                <w:color w:val="000000" w:themeColor="text1"/>
                <w:sz w:val="22"/>
                <w:szCs w:val="22"/>
              </w:rPr>
            </w:pPr>
            <w:r w:rsidRPr="00CD2ADD">
              <w:rPr>
                <w:color w:val="000000" w:themeColor="text1"/>
                <w:sz w:val="22"/>
                <w:szCs w:val="22"/>
              </w:rPr>
              <w:t>≥ 8 instituții cu puncte focale desemnate și documente instituționale actualizate</w:t>
            </w:r>
          </w:p>
        </w:tc>
        <w:tc>
          <w:tcPr>
            <w:tcW w:w="1862" w:type="dxa"/>
          </w:tcPr>
          <w:p w14:paraId="16B21F53" w14:textId="59DD43B9" w:rsidR="002A640F" w:rsidRPr="00CD2ADD" w:rsidRDefault="002A640F" w:rsidP="00B339C7">
            <w:pPr>
              <w:rPr>
                <w:color w:val="000000" w:themeColor="text1"/>
                <w:sz w:val="22"/>
                <w:szCs w:val="22"/>
              </w:rPr>
            </w:pPr>
            <w:r w:rsidRPr="00CD2ADD">
              <w:rPr>
                <w:color w:val="000000" w:themeColor="text1"/>
                <w:sz w:val="22"/>
                <w:szCs w:val="22"/>
              </w:rPr>
              <w:t>≥ 12 instituții cu puncte focale desemnate și documente instituționale actualizate</w:t>
            </w:r>
          </w:p>
        </w:tc>
        <w:tc>
          <w:tcPr>
            <w:tcW w:w="1281" w:type="dxa"/>
          </w:tcPr>
          <w:p w14:paraId="4A68741D" w14:textId="6BAC3645" w:rsidR="002A640F" w:rsidRPr="00CD2ADD" w:rsidRDefault="002A640F" w:rsidP="00B339C7">
            <w:pPr>
              <w:rPr>
                <w:color w:val="000000" w:themeColor="text1"/>
                <w:sz w:val="22"/>
                <w:szCs w:val="22"/>
              </w:rPr>
            </w:pPr>
            <w:r w:rsidRPr="00CD2ADD">
              <w:rPr>
                <w:color w:val="000000" w:themeColor="text1"/>
                <w:sz w:val="22"/>
                <w:szCs w:val="22"/>
              </w:rPr>
              <w:t>Ministerul Mediului, ANSP, ANSA, Moldsilva</w:t>
            </w:r>
          </w:p>
        </w:tc>
      </w:tr>
      <w:tr w:rsidR="002A640F" w:rsidRPr="00CD2ADD" w14:paraId="23B07CC4" w14:textId="77777777" w:rsidTr="002C4956">
        <w:tc>
          <w:tcPr>
            <w:tcW w:w="9736" w:type="dxa"/>
            <w:gridSpan w:val="6"/>
          </w:tcPr>
          <w:p w14:paraId="10712C93" w14:textId="65D43443" w:rsidR="002A640F" w:rsidRPr="00CD2ADD" w:rsidRDefault="002A640F" w:rsidP="002D6B5A">
            <w:pPr>
              <w:jc w:val="both"/>
              <w:rPr>
                <w:color w:val="000000" w:themeColor="text1"/>
                <w:sz w:val="22"/>
                <w:szCs w:val="22"/>
              </w:rPr>
            </w:pPr>
            <w:r w:rsidRPr="00CD2ADD">
              <w:rPr>
                <w:color w:val="000000" w:themeColor="text1"/>
                <w:sz w:val="22"/>
                <w:szCs w:val="22"/>
              </w:rPr>
              <w:t>Obiectiv general 3: Investiții în reducerea riscurilor și consolidarea rezilienței ecosistemelor și infrastructurii de mediu, prin integrarea acestor dimensiuni în politicile sectoriale, inclusiv în agricultură, silvicultură, apă, biodiversitate și soluri, precum și în domenii relevante pentru gestionarea mobilității umane generate de riscuri climatice</w:t>
            </w:r>
          </w:p>
          <w:p w14:paraId="00D5C342" w14:textId="1DCBE251" w:rsidR="002A640F" w:rsidRPr="00CD2ADD" w:rsidRDefault="002A640F" w:rsidP="002D6B5A">
            <w:pPr>
              <w:jc w:val="both"/>
              <w:rPr>
                <w:color w:val="000000" w:themeColor="text1"/>
                <w:sz w:val="22"/>
                <w:szCs w:val="22"/>
              </w:rPr>
            </w:pPr>
          </w:p>
        </w:tc>
      </w:tr>
      <w:tr w:rsidR="002A640F" w:rsidRPr="00CD2ADD" w14:paraId="7A27B7A8" w14:textId="77777777" w:rsidTr="00515692">
        <w:tc>
          <w:tcPr>
            <w:tcW w:w="1664" w:type="dxa"/>
          </w:tcPr>
          <w:p w14:paraId="44AF311D" w14:textId="27116D15" w:rsidR="002A640F" w:rsidRPr="00CD2ADD" w:rsidRDefault="002A640F" w:rsidP="00B339C7">
            <w:pPr>
              <w:spacing w:after="120"/>
              <w:rPr>
                <w:color w:val="000000" w:themeColor="text1"/>
                <w:sz w:val="22"/>
                <w:szCs w:val="22"/>
              </w:rPr>
            </w:pPr>
            <w:r w:rsidRPr="00CD2ADD">
              <w:rPr>
                <w:color w:val="000000" w:themeColor="text1"/>
                <w:sz w:val="22"/>
                <w:szCs w:val="22"/>
              </w:rPr>
              <w:t xml:space="preserve">Obiectiv specific 3.1: Până în 2030, </w:t>
            </w:r>
            <w:r w:rsidRPr="00CD2ADD">
              <w:rPr>
                <w:color w:val="000000" w:themeColor="text1"/>
                <w:sz w:val="22"/>
                <w:szCs w:val="22"/>
              </w:rPr>
              <w:lastRenderedPageBreak/>
              <w:t xml:space="preserve">suprafețele împădurite și terenurile cu vegetație forestieră degradată sunt extinse și restaurate în scopul </w:t>
            </w:r>
            <w:r w:rsidR="00CE28ED" w:rsidRPr="00CD2ADD">
              <w:rPr>
                <w:color w:val="000000" w:themeColor="text1"/>
                <w:sz w:val="22"/>
                <w:szCs w:val="22"/>
              </w:rPr>
              <w:t>RRD</w:t>
            </w:r>
            <w:r w:rsidRPr="00CD2ADD">
              <w:rPr>
                <w:color w:val="000000" w:themeColor="text1"/>
                <w:sz w:val="22"/>
                <w:szCs w:val="22"/>
              </w:rPr>
              <w:t xml:space="preserve"> naturale si biologico-sociale și al consolidării rezilienței ecosistemelor și comunităților.</w:t>
            </w:r>
          </w:p>
        </w:tc>
        <w:tc>
          <w:tcPr>
            <w:tcW w:w="1700" w:type="dxa"/>
          </w:tcPr>
          <w:p w14:paraId="6491F521" w14:textId="77777777" w:rsidR="002A640F" w:rsidRPr="00CD2ADD" w:rsidRDefault="002A640F" w:rsidP="002D6B5A">
            <w:pPr>
              <w:rPr>
                <w:vanish/>
                <w:sz w:val="22"/>
                <w:szCs w:val="22"/>
              </w:rPr>
            </w:pPr>
          </w:p>
          <w:p w14:paraId="46EB49B5" w14:textId="77777777" w:rsidR="002A640F" w:rsidRPr="00CD2ADD" w:rsidRDefault="002A640F" w:rsidP="002D6B5A">
            <w:pPr>
              <w:rPr>
                <w:vanish/>
                <w:sz w:val="22"/>
                <w:szCs w:val="22"/>
              </w:rPr>
            </w:pPr>
          </w:p>
          <w:p w14:paraId="72154509" w14:textId="40EBBED6" w:rsidR="002A640F" w:rsidRPr="00CD2ADD" w:rsidRDefault="002A640F" w:rsidP="002D6B5A">
            <w:pPr>
              <w:rPr>
                <w:vanish/>
                <w:sz w:val="22"/>
                <w:szCs w:val="22"/>
              </w:rPr>
            </w:pPr>
            <w:r w:rsidRPr="00CD2ADD">
              <w:rPr>
                <w:sz w:val="22"/>
                <w:szCs w:val="22"/>
              </w:rPr>
              <w:t xml:space="preserve">Ponderea suprafețelor forestiere noi </w:t>
            </w:r>
            <w:r w:rsidRPr="00CD2ADD">
              <w:rPr>
                <w:sz w:val="22"/>
                <w:szCs w:val="22"/>
              </w:rPr>
              <w:lastRenderedPageBreak/>
              <w:t>sau restaurate localizate în zone vulnerabile la riscuri naturale și biologico-sociale</w:t>
            </w:r>
          </w:p>
          <w:p w14:paraId="0FFBF693" w14:textId="77777777" w:rsidR="002A640F" w:rsidRPr="00CD2ADD" w:rsidRDefault="002A640F" w:rsidP="00B339C7">
            <w:pPr>
              <w:rPr>
                <w:color w:val="000000" w:themeColor="text1"/>
                <w:sz w:val="22"/>
                <w:szCs w:val="22"/>
              </w:rPr>
            </w:pPr>
          </w:p>
        </w:tc>
        <w:tc>
          <w:tcPr>
            <w:tcW w:w="1367" w:type="dxa"/>
          </w:tcPr>
          <w:p w14:paraId="502F16B4" w14:textId="2802070E" w:rsidR="002A640F" w:rsidRPr="00CD2ADD" w:rsidRDefault="002A640F" w:rsidP="00B339C7">
            <w:pPr>
              <w:rPr>
                <w:color w:val="000000" w:themeColor="text1"/>
                <w:sz w:val="22"/>
                <w:szCs w:val="22"/>
              </w:rPr>
            </w:pPr>
            <w:r w:rsidRPr="00CD2ADD">
              <w:rPr>
                <w:color w:val="000000" w:themeColor="text1"/>
                <w:sz w:val="22"/>
                <w:szCs w:val="22"/>
              </w:rPr>
              <w:lastRenderedPageBreak/>
              <w:t xml:space="preserve">Lipsă evidență distinctă în </w:t>
            </w:r>
            <w:r w:rsidRPr="00CD2ADD">
              <w:rPr>
                <w:color w:val="000000" w:themeColor="text1"/>
                <w:sz w:val="22"/>
                <w:szCs w:val="22"/>
              </w:rPr>
              <w:lastRenderedPageBreak/>
              <w:t>PNERP; nu există clasificare a intervențiilor pe criterii de risc</w:t>
            </w:r>
          </w:p>
        </w:tc>
        <w:tc>
          <w:tcPr>
            <w:tcW w:w="1862" w:type="dxa"/>
          </w:tcPr>
          <w:p w14:paraId="3B55C513" w14:textId="0E00BE20" w:rsidR="002A640F" w:rsidRPr="00CD2ADD" w:rsidRDefault="0058516C" w:rsidP="00B339C7">
            <w:pPr>
              <w:rPr>
                <w:color w:val="000000" w:themeColor="text1"/>
                <w:sz w:val="22"/>
                <w:szCs w:val="22"/>
              </w:rPr>
            </w:pPr>
            <w:r w:rsidRPr="00CD2ADD">
              <w:rPr>
                <w:color w:val="000000" w:themeColor="text1"/>
                <w:sz w:val="22"/>
                <w:szCs w:val="22"/>
              </w:rPr>
              <w:lastRenderedPageBreak/>
              <w:t>≥ 15% din totalul suprafețelor împădurite/restaur</w:t>
            </w:r>
            <w:r w:rsidRPr="00CD2ADD">
              <w:rPr>
                <w:color w:val="000000" w:themeColor="text1"/>
                <w:sz w:val="22"/>
                <w:szCs w:val="22"/>
              </w:rPr>
              <w:lastRenderedPageBreak/>
              <w:t>ate prin PNERP integrate în zone de risc definite în studiul național FLR</w:t>
            </w:r>
          </w:p>
        </w:tc>
        <w:tc>
          <w:tcPr>
            <w:tcW w:w="1862" w:type="dxa"/>
          </w:tcPr>
          <w:p w14:paraId="3986E529" w14:textId="4376B049" w:rsidR="002A640F" w:rsidRPr="00CD2ADD" w:rsidRDefault="002A640F" w:rsidP="00B339C7">
            <w:pPr>
              <w:rPr>
                <w:color w:val="000000" w:themeColor="text1"/>
                <w:sz w:val="22"/>
                <w:szCs w:val="22"/>
              </w:rPr>
            </w:pPr>
            <w:r w:rsidRPr="00CD2ADD">
              <w:rPr>
                <w:color w:val="000000" w:themeColor="text1"/>
                <w:sz w:val="22"/>
                <w:szCs w:val="22"/>
              </w:rPr>
              <w:lastRenderedPageBreak/>
              <w:t>≥ 25% din totalul suprafețelor împădurite/restaur</w:t>
            </w:r>
            <w:r w:rsidRPr="00CD2ADD">
              <w:rPr>
                <w:color w:val="000000" w:themeColor="text1"/>
                <w:sz w:val="22"/>
                <w:szCs w:val="22"/>
              </w:rPr>
              <w:lastRenderedPageBreak/>
              <w:t>ate prin PNERP integrate în zone de risc definite în studiul național FLR</w:t>
            </w:r>
          </w:p>
        </w:tc>
        <w:tc>
          <w:tcPr>
            <w:tcW w:w="1281" w:type="dxa"/>
          </w:tcPr>
          <w:p w14:paraId="071233B5" w14:textId="2AE125FF" w:rsidR="002A640F" w:rsidRPr="00CD2ADD" w:rsidRDefault="002A640F" w:rsidP="00B339C7">
            <w:pPr>
              <w:rPr>
                <w:color w:val="000000" w:themeColor="text1"/>
                <w:sz w:val="22"/>
                <w:szCs w:val="22"/>
              </w:rPr>
            </w:pPr>
            <w:r w:rsidRPr="00CD2ADD">
              <w:rPr>
                <w:color w:val="000000" w:themeColor="text1"/>
                <w:sz w:val="22"/>
                <w:szCs w:val="22"/>
              </w:rPr>
              <w:lastRenderedPageBreak/>
              <w:t xml:space="preserve">Agenția „Moldsilva”, </w:t>
            </w:r>
            <w:r w:rsidRPr="00CD2ADD">
              <w:rPr>
                <w:color w:val="000000" w:themeColor="text1"/>
                <w:sz w:val="22"/>
                <w:szCs w:val="22"/>
              </w:rPr>
              <w:lastRenderedPageBreak/>
              <w:t>Ministerul Mediului</w:t>
            </w:r>
          </w:p>
        </w:tc>
      </w:tr>
      <w:tr w:rsidR="002A640F" w:rsidRPr="00CD2ADD" w14:paraId="53899E82" w14:textId="77777777" w:rsidTr="00515692">
        <w:tc>
          <w:tcPr>
            <w:tcW w:w="1664" w:type="dxa"/>
          </w:tcPr>
          <w:p w14:paraId="465385B9" w14:textId="5B3BB7A4" w:rsidR="002A640F" w:rsidRPr="00CD2ADD" w:rsidRDefault="002A640F" w:rsidP="00B339C7">
            <w:pPr>
              <w:spacing w:after="120"/>
              <w:rPr>
                <w:color w:val="000000" w:themeColor="text1"/>
                <w:sz w:val="22"/>
                <w:szCs w:val="22"/>
              </w:rPr>
            </w:pPr>
            <w:r w:rsidRPr="00CD2ADD">
              <w:rPr>
                <w:color w:val="000000" w:themeColor="text1"/>
                <w:sz w:val="22"/>
                <w:szCs w:val="22"/>
              </w:rPr>
              <w:lastRenderedPageBreak/>
              <w:t xml:space="preserve">Obiectiv specific 3.2: Până în 2030, ecosistemele acvatice și zonele umede sunt conservate și restaurate pentru </w:t>
            </w:r>
            <w:r w:rsidR="00CE28ED" w:rsidRPr="00CD2ADD">
              <w:rPr>
                <w:color w:val="000000" w:themeColor="text1"/>
                <w:sz w:val="22"/>
                <w:szCs w:val="22"/>
              </w:rPr>
              <w:t>RRD</w:t>
            </w:r>
            <w:r w:rsidRPr="00CD2ADD">
              <w:rPr>
                <w:color w:val="000000" w:themeColor="text1"/>
                <w:sz w:val="22"/>
                <w:szCs w:val="22"/>
              </w:rPr>
              <w:t xml:space="preserve"> de inundații și consolidarea rezilienței teritoriale.</w:t>
            </w:r>
          </w:p>
        </w:tc>
        <w:tc>
          <w:tcPr>
            <w:tcW w:w="1700" w:type="dxa"/>
          </w:tcPr>
          <w:p w14:paraId="6009AFC3" w14:textId="77777777" w:rsidR="002A640F" w:rsidRPr="00CD2ADD" w:rsidRDefault="002A640F" w:rsidP="00B339C7">
            <w:pPr>
              <w:rPr>
                <w:color w:val="000000" w:themeColor="text1"/>
                <w:sz w:val="22"/>
                <w:szCs w:val="22"/>
              </w:rPr>
            </w:pPr>
            <w:r w:rsidRPr="00CD2ADD">
              <w:rPr>
                <w:color w:val="000000" w:themeColor="text1"/>
                <w:sz w:val="22"/>
                <w:szCs w:val="22"/>
              </w:rPr>
              <w:t>Numărul de situri acvatice și zone umede restaurate sau gestionate durabil utilizând soluții bazate pe natură (NbS)</w:t>
            </w:r>
          </w:p>
          <w:p w14:paraId="0D3DF37C" w14:textId="70E34739" w:rsidR="002A640F" w:rsidRPr="00CD2ADD" w:rsidRDefault="002A640F" w:rsidP="00B339C7">
            <w:pPr>
              <w:rPr>
                <w:color w:val="000000" w:themeColor="text1"/>
                <w:sz w:val="22"/>
                <w:szCs w:val="22"/>
              </w:rPr>
            </w:pPr>
          </w:p>
        </w:tc>
        <w:tc>
          <w:tcPr>
            <w:tcW w:w="1367" w:type="dxa"/>
          </w:tcPr>
          <w:p w14:paraId="568EB398" w14:textId="77777777" w:rsidR="002A640F" w:rsidRPr="00CD2ADD" w:rsidRDefault="002A640F" w:rsidP="00B339C7">
            <w:pPr>
              <w:rPr>
                <w:color w:val="000000" w:themeColor="text1"/>
                <w:sz w:val="22"/>
                <w:szCs w:val="22"/>
              </w:rPr>
            </w:pPr>
            <w:r w:rsidRPr="00CD2ADD">
              <w:rPr>
                <w:color w:val="000000" w:themeColor="text1"/>
                <w:sz w:val="22"/>
                <w:szCs w:val="22"/>
              </w:rPr>
              <w:t>Informații limitate privind siturile restaurate conform metodologiilor NbS</w:t>
            </w:r>
          </w:p>
          <w:p w14:paraId="1CB29764" w14:textId="77777777" w:rsidR="002A640F" w:rsidRPr="00CD2ADD" w:rsidRDefault="002A640F" w:rsidP="00B339C7">
            <w:pPr>
              <w:rPr>
                <w:color w:val="000000" w:themeColor="text1"/>
                <w:sz w:val="22"/>
                <w:szCs w:val="22"/>
              </w:rPr>
            </w:pPr>
          </w:p>
        </w:tc>
        <w:tc>
          <w:tcPr>
            <w:tcW w:w="1862" w:type="dxa"/>
          </w:tcPr>
          <w:p w14:paraId="26B2F17A" w14:textId="4EC9424E" w:rsidR="002A640F" w:rsidRPr="00CD2ADD" w:rsidRDefault="0058516C" w:rsidP="00B339C7">
            <w:pPr>
              <w:rPr>
                <w:color w:val="000000" w:themeColor="text1"/>
                <w:sz w:val="22"/>
                <w:szCs w:val="22"/>
              </w:rPr>
            </w:pPr>
            <w:r w:rsidRPr="00CD2ADD">
              <w:rPr>
                <w:color w:val="000000" w:themeColor="text1"/>
                <w:sz w:val="22"/>
                <w:szCs w:val="22"/>
              </w:rPr>
              <w:t>≥ 2 situri pilot restaurate și integrate în planurile de management hidrologic până în 2030</w:t>
            </w:r>
          </w:p>
        </w:tc>
        <w:tc>
          <w:tcPr>
            <w:tcW w:w="1862" w:type="dxa"/>
          </w:tcPr>
          <w:p w14:paraId="0A66ABC7" w14:textId="64763A99" w:rsidR="002A640F" w:rsidRPr="00CD2ADD" w:rsidRDefault="002A640F" w:rsidP="00B339C7">
            <w:pPr>
              <w:rPr>
                <w:color w:val="000000" w:themeColor="text1"/>
                <w:sz w:val="22"/>
                <w:szCs w:val="22"/>
              </w:rPr>
            </w:pPr>
            <w:r w:rsidRPr="00CD2ADD">
              <w:rPr>
                <w:color w:val="000000" w:themeColor="text1"/>
                <w:sz w:val="22"/>
                <w:szCs w:val="22"/>
              </w:rPr>
              <w:t>≥ 3 situri pilot restaurate și integrate în planurile de management hidrologic până în 2030</w:t>
            </w:r>
          </w:p>
        </w:tc>
        <w:tc>
          <w:tcPr>
            <w:tcW w:w="1281" w:type="dxa"/>
          </w:tcPr>
          <w:p w14:paraId="1FD8999B" w14:textId="1BAD9923" w:rsidR="002A640F" w:rsidRPr="00CD2ADD" w:rsidRDefault="002A640F" w:rsidP="00B339C7">
            <w:pPr>
              <w:rPr>
                <w:color w:val="000000" w:themeColor="text1"/>
                <w:sz w:val="22"/>
                <w:szCs w:val="22"/>
              </w:rPr>
            </w:pPr>
            <w:r w:rsidRPr="00CD2ADD">
              <w:rPr>
                <w:color w:val="000000" w:themeColor="text1"/>
                <w:sz w:val="22"/>
                <w:szCs w:val="22"/>
              </w:rPr>
              <w:t xml:space="preserve">IP </w:t>
            </w:r>
            <w:r w:rsidR="00DB1281" w:rsidRPr="00CD2ADD">
              <w:rPr>
                <w:color w:val="000000" w:themeColor="text1"/>
                <w:sz w:val="22"/>
                <w:szCs w:val="22"/>
              </w:rPr>
              <w:t xml:space="preserve">AN </w:t>
            </w:r>
            <w:r w:rsidRPr="00CD2ADD">
              <w:rPr>
                <w:color w:val="000000" w:themeColor="text1"/>
                <w:sz w:val="22"/>
                <w:szCs w:val="22"/>
              </w:rPr>
              <w:t>Apele Moldovei, Agenția de Mediu, Ministerul Mediului</w:t>
            </w:r>
          </w:p>
        </w:tc>
      </w:tr>
      <w:tr w:rsidR="002A640F" w:rsidRPr="00CD2ADD" w14:paraId="43054F09" w14:textId="77777777" w:rsidTr="00515692">
        <w:tc>
          <w:tcPr>
            <w:tcW w:w="1664" w:type="dxa"/>
          </w:tcPr>
          <w:p w14:paraId="7F5D9F32" w14:textId="71510BAE" w:rsidR="002A640F" w:rsidRPr="00CD2ADD" w:rsidRDefault="002A640F" w:rsidP="00B339C7">
            <w:pPr>
              <w:rPr>
                <w:color w:val="000000" w:themeColor="text1"/>
                <w:sz w:val="22"/>
                <w:szCs w:val="22"/>
              </w:rPr>
            </w:pPr>
            <w:r w:rsidRPr="00CD2ADD">
              <w:rPr>
                <w:color w:val="000000" w:themeColor="text1"/>
                <w:sz w:val="22"/>
                <w:szCs w:val="22"/>
              </w:rPr>
              <w:t>Obiectiv specific 3.3: Până în 2030, practicile agricole și silvo-pastorale sustenabile sunt extinse pentru reducerea vulnerabilității terenurilor la riscuri naturale, biologico-sociale și la consolidarea adaptării în sectorul agricol.</w:t>
            </w:r>
          </w:p>
        </w:tc>
        <w:tc>
          <w:tcPr>
            <w:tcW w:w="1700" w:type="dxa"/>
          </w:tcPr>
          <w:p w14:paraId="0FF9BC39" w14:textId="77777777" w:rsidR="002A640F" w:rsidRPr="00CD2ADD" w:rsidRDefault="002A640F" w:rsidP="00B339C7">
            <w:pPr>
              <w:rPr>
                <w:color w:val="000000" w:themeColor="text1"/>
                <w:sz w:val="22"/>
                <w:szCs w:val="22"/>
              </w:rPr>
            </w:pPr>
            <w:r w:rsidRPr="00CD2ADD">
              <w:rPr>
                <w:color w:val="000000" w:themeColor="text1"/>
                <w:sz w:val="22"/>
                <w:szCs w:val="22"/>
              </w:rPr>
              <w:t>Proporția terenurilor ameliorate care contribuie direct la reducerea riscurilor climatice (secetă, eroziune, alunecări)</w:t>
            </w:r>
          </w:p>
          <w:p w14:paraId="45B13501" w14:textId="13DDE7E9" w:rsidR="002A640F" w:rsidRPr="00CD2ADD" w:rsidRDefault="002A640F" w:rsidP="00B339C7">
            <w:pPr>
              <w:rPr>
                <w:color w:val="000000" w:themeColor="text1"/>
                <w:sz w:val="22"/>
                <w:szCs w:val="22"/>
              </w:rPr>
            </w:pPr>
          </w:p>
        </w:tc>
        <w:tc>
          <w:tcPr>
            <w:tcW w:w="1367" w:type="dxa"/>
          </w:tcPr>
          <w:p w14:paraId="4FEB26FD" w14:textId="3F477C04" w:rsidR="002A640F" w:rsidRPr="00CD2ADD" w:rsidRDefault="002A640F" w:rsidP="00B339C7">
            <w:pPr>
              <w:rPr>
                <w:color w:val="000000" w:themeColor="text1"/>
                <w:sz w:val="22"/>
                <w:szCs w:val="22"/>
              </w:rPr>
            </w:pPr>
            <w:r w:rsidRPr="00CD2ADD">
              <w:rPr>
                <w:color w:val="000000" w:themeColor="text1"/>
                <w:sz w:val="22"/>
                <w:szCs w:val="22"/>
              </w:rPr>
              <w:t xml:space="preserve">Aproximativ 2.500 ha executate (2021–2023), </w:t>
            </w:r>
          </w:p>
          <w:p w14:paraId="3E28EF9D" w14:textId="77777777" w:rsidR="002A640F" w:rsidRPr="00CD2ADD" w:rsidRDefault="002A640F" w:rsidP="00B339C7">
            <w:pPr>
              <w:rPr>
                <w:color w:val="000000" w:themeColor="text1"/>
                <w:sz w:val="22"/>
                <w:szCs w:val="22"/>
              </w:rPr>
            </w:pPr>
            <w:r w:rsidRPr="00CD2ADD">
              <w:rPr>
                <w:color w:val="000000" w:themeColor="text1"/>
                <w:sz w:val="22"/>
                <w:szCs w:val="22"/>
              </w:rPr>
              <w:t>fără clasificare RRD</w:t>
            </w:r>
          </w:p>
          <w:p w14:paraId="3A4B3A4F" w14:textId="77777777" w:rsidR="002A640F" w:rsidRPr="00CD2ADD" w:rsidRDefault="002A640F" w:rsidP="00B339C7">
            <w:pPr>
              <w:rPr>
                <w:color w:val="000000" w:themeColor="text1"/>
                <w:sz w:val="22"/>
                <w:szCs w:val="22"/>
              </w:rPr>
            </w:pPr>
          </w:p>
        </w:tc>
        <w:tc>
          <w:tcPr>
            <w:tcW w:w="1862" w:type="dxa"/>
          </w:tcPr>
          <w:p w14:paraId="5CA4C592" w14:textId="7D72B886" w:rsidR="002A640F" w:rsidRPr="00CD2ADD" w:rsidRDefault="0058516C" w:rsidP="00B339C7">
            <w:pPr>
              <w:rPr>
                <w:color w:val="000000" w:themeColor="text1"/>
                <w:sz w:val="22"/>
                <w:szCs w:val="22"/>
              </w:rPr>
            </w:pPr>
            <w:r w:rsidRPr="00CD2ADD">
              <w:rPr>
                <w:color w:val="000000" w:themeColor="text1"/>
                <w:sz w:val="22"/>
                <w:szCs w:val="22"/>
              </w:rPr>
              <w:t>≥ 15% din totalul suprafețelor ameliorate documentate și monitorizate pentru efecte RRD</w:t>
            </w:r>
          </w:p>
        </w:tc>
        <w:tc>
          <w:tcPr>
            <w:tcW w:w="1862" w:type="dxa"/>
          </w:tcPr>
          <w:p w14:paraId="7308C575" w14:textId="39E68C65" w:rsidR="002A640F" w:rsidRPr="00CD2ADD" w:rsidRDefault="002A640F" w:rsidP="00B339C7">
            <w:pPr>
              <w:rPr>
                <w:color w:val="000000" w:themeColor="text1"/>
                <w:sz w:val="22"/>
                <w:szCs w:val="22"/>
              </w:rPr>
            </w:pPr>
            <w:r w:rsidRPr="00CD2ADD">
              <w:rPr>
                <w:color w:val="000000" w:themeColor="text1"/>
                <w:sz w:val="22"/>
                <w:szCs w:val="22"/>
              </w:rPr>
              <w:t>≥ 30% din totalul suprafețelor ameliorate documentate și monitorizate pentru efecte RRD</w:t>
            </w:r>
          </w:p>
        </w:tc>
        <w:tc>
          <w:tcPr>
            <w:tcW w:w="1281" w:type="dxa"/>
          </w:tcPr>
          <w:p w14:paraId="328C14C3" w14:textId="60577B3E" w:rsidR="002A640F" w:rsidRPr="00CD2ADD" w:rsidRDefault="002A640F" w:rsidP="00B339C7">
            <w:pPr>
              <w:rPr>
                <w:color w:val="000000" w:themeColor="text1"/>
                <w:sz w:val="22"/>
                <w:szCs w:val="22"/>
              </w:rPr>
            </w:pPr>
            <w:r w:rsidRPr="00CD2ADD">
              <w:rPr>
                <w:color w:val="000000" w:themeColor="text1"/>
                <w:sz w:val="22"/>
                <w:szCs w:val="22"/>
              </w:rPr>
              <w:t>MAIA, Institutul de Pedologie și Agrochimie, Ministerul Mediului</w:t>
            </w:r>
          </w:p>
        </w:tc>
      </w:tr>
      <w:tr w:rsidR="002A640F" w:rsidRPr="00CD2ADD" w14:paraId="122848C4" w14:textId="77777777" w:rsidTr="002C4956">
        <w:tc>
          <w:tcPr>
            <w:tcW w:w="9736" w:type="dxa"/>
            <w:gridSpan w:val="6"/>
          </w:tcPr>
          <w:p w14:paraId="342266EE" w14:textId="383C6BCC" w:rsidR="002A640F" w:rsidRPr="00CD2ADD" w:rsidRDefault="002A640F" w:rsidP="002D6B5A">
            <w:pPr>
              <w:jc w:val="both"/>
              <w:rPr>
                <w:color w:val="000000" w:themeColor="text1"/>
                <w:sz w:val="22"/>
                <w:szCs w:val="22"/>
              </w:rPr>
            </w:pPr>
            <w:r w:rsidRPr="00CD2ADD">
              <w:rPr>
                <w:color w:val="000000" w:themeColor="text1"/>
                <w:sz w:val="22"/>
                <w:szCs w:val="22"/>
              </w:rPr>
              <w:t>Obiectiv general 4: Consolidarea pregătirii și capacității de răspuns în situații de dezastre naturale si biologico-sociale, urmată de o restabilire eficientă și durabilă.</w:t>
            </w:r>
          </w:p>
          <w:p w14:paraId="764A0ED7" w14:textId="4BF2427D" w:rsidR="002A640F" w:rsidRPr="00CD2ADD" w:rsidRDefault="002A640F" w:rsidP="002D6B5A">
            <w:pPr>
              <w:jc w:val="both"/>
              <w:rPr>
                <w:color w:val="000000" w:themeColor="text1"/>
                <w:sz w:val="22"/>
                <w:szCs w:val="22"/>
              </w:rPr>
            </w:pPr>
          </w:p>
        </w:tc>
      </w:tr>
      <w:tr w:rsidR="002A640F" w:rsidRPr="00CD2ADD" w14:paraId="5C929448" w14:textId="77777777" w:rsidTr="00515692">
        <w:tc>
          <w:tcPr>
            <w:tcW w:w="1664" w:type="dxa"/>
            <w:vMerge w:val="restart"/>
          </w:tcPr>
          <w:p w14:paraId="6C4CA1C2" w14:textId="28F6ED97" w:rsidR="002A640F" w:rsidRPr="00CD2ADD" w:rsidRDefault="002A640F" w:rsidP="00B339C7">
            <w:pPr>
              <w:rPr>
                <w:color w:val="000000" w:themeColor="text1"/>
                <w:sz w:val="22"/>
                <w:szCs w:val="22"/>
              </w:rPr>
            </w:pPr>
            <w:r w:rsidRPr="00CD2ADD">
              <w:rPr>
                <w:color w:val="000000" w:themeColor="text1"/>
                <w:sz w:val="22"/>
                <w:szCs w:val="22"/>
              </w:rPr>
              <w:t xml:space="preserve">Obiectivul Specific 4.1: Consolidarea anticipării, </w:t>
            </w:r>
            <w:r w:rsidRPr="00CD2ADD">
              <w:rPr>
                <w:color w:val="000000" w:themeColor="text1"/>
                <w:sz w:val="22"/>
                <w:szCs w:val="22"/>
              </w:rPr>
              <w:lastRenderedPageBreak/>
              <w:t>avertizării timpurii și a răspunsului rapid la dezastre naturale și biologico-sociale</w:t>
            </w:r>
          </w:p>
        </w:tc>
        <w:tc>
          <w:tcPr>
            <w:tcW w:w="1700" w:type="dxa"/>
          </w:tcPr>
          <w:p w14:paraId="52E67BE6" w14:textId="5C4B2480" w:rsidR="002A640F" w:rsidRPr="00CD2ADD" w:rsidRDefault="002A640F" w:rsidP="00B339C7">
            <w:pPr>
              <w:rPr>
                <w:color w:val="000000" w:themeColor="text1"/>
                <w:sz w:val="22"/>
                <w:szCs w:val="22"/>
              </w:rPr>
            </w:pPr>
            <w:r w:rsidRPr="00CD2ADD">
              <w:rPr>
                <w:color w:val="000000" w:themeColor="text1"/>
                <w:sz w:val="22"/>
                <w:szCs w:val="22"/>
              </w:rPr>
              <w:lastRenderedPageBreak/>
              <w:t xml:space="preserve">Numărul de sisteme digitale noi operaționalizate </w:t>
            </w:r>
            <w:r w:rsidRPr="00CD2ADD">
              <w:rPr>
                <w:color w:val="000000" w:themeColor="text1"/>
                <w:sz w:val="22"/>
                <w:szCs w:val="22"/>
              </w:rPr>
              <w:lastRenderedPageBreak/>
              <w:t>pentru monitorizare și avertizare timpurie (stații meteo și hidrologice, radar, sistem detecție fulgere, analiza aer superior, sisteme de telemetrie, Sistemul de Management al Datelor Climatice)</w:t>
            </w:r>
          </w:p>
        </w:tc>
        <w:tc>
          <w:tcPr>
            <w:tcW w:w="1367" w:type="dxa"/>
          </w:tcPr>
          <w:p w14:paraId="6F2BFA19" w14:textId="74AF95B9" w:rsidR="002A640F" w:rsidRPr="00CD2ADD" w:rsidRDefault="002A640F" w:rsidP="002D6B5A">
            <w:pPr>
              <w:jc w:val="both"/>
              <w:rPr>
                <w:color w:val="000000" w:themeColor="text1"/>
                <w:sz w:val="22"/>
                <w:szCs w:val="22"/>
              </w:rPr>
            </w:pPr>
            <w:r w:rsidRPr="00CD2ADD">
              <w:rPr>
                <w:color w:val="000000" w:themeColor="text1"/>
                <w:sz w:val="22"/>
                <w:szCs w:val="22"/>
              </w:rPr>
              <w:lastRenderedPageBreak/>
              <w:t>Echipamente depășite parțial</w:t>
            </w:r>
          </w:p>
        </w:tc>
        <w:tc>
          <w:tcPr>
            <w:tcW w:w="1862" w:type="dxa"/>
          </w:tcPr>
          <w:p w14:paraId="1E12F560" w14:textId="70669912" w:rsidR="002A640F" w:rsidRPr="00CD2ADD" w:rsidRDefault="0058516C" w:rsidP="00B339C7">
            <w:pPr>
              <w:rPr>
                <w:color w:val="000000" w:themeColor="text1"/>
                <w:sz w:val="22"/>
                <w:szCs w:val="22"/>
              </w:rPr>
            </w:pPr>
            <w:r w:rsidRPr="00CD2ADD">
              <w:rPr>
                <w:color w:val="000000" w:themeColor="text1"/>
                <w:sz w:val="22"/>
                <w:szCs w:val="22"/>
              </w:rPr>
              <w:t>≥ 60% din Nr.  sisteme digitale noi funcționale</w:t>
            </w:r>
          </w:p>
        </w:tc>
        <w:tc>
          <w:tcPr>
            <w:tcW w:w="1862" w:type="dxa"/>
          </w:tcPr>
          <w:p w14:paraId="05267F3B" w14:textId="5E1F4096" w:rsidR="002A640F" w:rsidRPr="00CD2ADD" w:rsidRDefault="0058516C" w:rsidP="00B339C7">
            <w:pPr>
              <w:rPr>
                <w:color w:val="000000" w:themeColor="text1"/>
                <w:sz w:val="22"/>
                <w:szCs w:val="22"/>
              </w:rPr>
            </w:pPr>
            <w:r w:rsidRPr="00CD2ADD">
              <w:rPr>
                <w:color w:val="000000" w:themeColor="text1"/>
                <w:sz w:val="22"/>
                <w:szCs w:val="22"/>
              </w:rPr>
              <w:t xml:space="preserve">≥  100% </w:t>
            </w:r>
            <w:r w:rsidR="002A640F" w:rsidRPr="00CD2ADD">
              <w:rPr>
                <w:color w:val="000000" w:themeColor="text1"/>
                <w:sz w:val="22"/>
                <w:szCs w:val="22"/>
              </w:rPr>
              <w:t>Nr.  sisteme digitale noi funcționale</w:t>
            </w:r>
          </w:p>
        </w:tc>
        <w:tc>
          <w:tcPr>
            <w:tcW w:w="1281" w:type="dxa"/>
          </w:tcPr>
          <w:p w14:paraId="30EBAE83" w14:textId="5524A993" w:rsidR="002A640F" w:rsidRPr="00CD2ADD" w:rsidRDefault="002A640F" w:rsidP="002D6B5A">
            <w:pPr>
              <w:jc w:val="both"/>
              <w:rPr>
                <w:color w:val="000000" w:themeColor="text1"/>
                <w:sz w:val="22"/>
                <w:szCs w:val="22"/>
              </w:rPr>
            </w:pPr>
            <w:r w:rsidRPr="00CD2ADD">
              <w:rPr>
                <w:color w:val="000000" w:themeColor="text1"/>
                <w:sz w:val="22"/>
                <w:szCs w:val="22"/>
              </w:rPr>
              <w:t>SHS, Ministerul Mediului</w:t>
            </w:r>
          </w:p>
        </w:tc>
      </w:tr>
      <w:tr w:rsidR="002A640F" w:rsidRPr="00CD2ADD" w14:paraId="77472556" w14:textId="77777777" w:rsidTr="00515692">
        <w:tc>
          <w:tcPr>
            <w:tcW w:w="1664" w:type="dxa"/>
            <w:vMerge/>
          </w:tcPr>
          <w:p w14:paraId="0BB30D6D" w14:textId="77777777" w:rsidR="002A640F" w:rsidRPr="00CD2ADD" w:rsidRDefault="002A640F" w:rsidP="002D6B5A">
            <w:pPr>
              <w:jc w:val="both"/>
              <w:rPr>
                <w:color w:val="000000" w:themeColor="text1"/>
                <w:sz w:val="22"/>
                <w:szCs w:val="22"/>
              </w:rPr>
            </w:pPr>
          </w:p>
        </w:tc>
        <w:tc>
          <w:tcPr>
            <w:tcW w:w="1700" w:type="dxa"/>
          </w:tcPr>
          <w:p w14:paraId="6F16D361" w14:textId="4DAE84FD" w:rsidR="002A640F" w:rsidRPr="00CD2ADD" w:rsidRDefault="002A640F" w:rsidP="00B339C7">
            <w:pPr>
              <w:rPr>
                <w:color w:val="000000" w:themeColor="text1"/>
                <w:sz w:val="22"/>
                <w:szCs w:val="22"/>
              </w:rPr>
            </w:pPr>
            <w:r w:rsidRPr="00CD2ADD">
              <w:rPr>
                <w:color w:val="000000" w:themeColor="text1"/>
                <w:sz w:val="22"/>
                <w:szCs w:val="22"/>
              </w:rPr>
              <w:t>Numărul de specialiști instruiți în monitorizarea riscurilor naturale și biologico-sociale și în utilizarea noilor sisteme</w:t>
            </w:r>
          </w:p>
        </w:tc>
        <w:tc>
          <w:tcPr>
            <w:tcW w:w="1367" w:type="dxa"/>
          </w:tcPr>
          <w:p w14:paraId="59B826B3" w14:textId="4D0C41FB" w:rsidR="002A640F" w:rsidRPr="00CD2ADD" w:rsidRDefault="002A640F" w:rsidP="002D6B5A">
            <w:pPr>
              <w:jc w:val="both"/>
              <w:rPr>
                <w:color w:val="000000" w:themeColor="text1"/>
                <w:sz w:val="22"/>
                <w:szCs w:val="22"/>
              </w:rPr>
            </w:pPr>
            <w:r w:rsidRPr="00CD2ADD">
              <w:rPr>
                <w:color w:val="000000" w:themeColor="text1"/>
                <w:sz w:val="22"/>
                <w:szCs w:val="22"/>
              </w:rPr>
              <w:t>Instruiri limitate</w:t>
            </w:r>
          </w:p>
        </w:tc>
        <w:tc>
          <w:tcPr>
            <w:tcW w:w="1862" w:type="dxa"/>
          </w:tcPr>
          <w:p w14:paraId="05F31CD2" w14:textId="68574CC8" w:rsidR="00C93A36" w:rsidRPr="00CD2ADD" w:rsidRDefault="00C93A36" w:rsidP="00C93A36">
            <w:pPr>
              <w:rPr>
                <w:color w:val="000000" w:themeColor="text1"/>
                <w:sz w:val="22"/>
                <w:szCs w:val="22"/>
              </w:rPr>
            </w:pPr>
            <w:r w:rsidRPr="00CD2ADD">
              <w:rPr>
                <w:color w:val="000000" w:themeColor="text1"/>
                <w:sz w:val="22"/>
                <w:szCs w:val="22"/>
              </w:rPr>
              <w:t xml:space="preserve">≥ 80 specialiști autorități centrale (SHS, AM, ANSP, ANSA, </w:t>
            </w:r>
            <w:r w:rsidR="00836361" w:rsidRPr="00CD2ADD">
              <w:rPr>
                <w:color w:val="000000" w:themeColor="text1"/>
                <w:sz w:val="22"/>
                <w:szCs w:val="22"/>
              </w:rPr>
              <w:t xml:space="preserve">IP AN </w:t>
            </w:r>
            <w:r w:rsidRPr="00CD2ADD">
              <w:rPr>
                <w:color w:val="000000" w:themeColor="text1"/>
                <w:sz w:val="22"/>
                <w:szCs w:val="22"/>
              </w:rPr>
              <w:t xml:space="preserve">Apele Moldovei, Moldsilva) </w:t>
            </w:r>
          </w:p>
          <w:p w14:paraId="64B9D497" w14:textId="56DE48C7" w:rsidR="002A640F" w:rsidRPr="00CD2ADD" w:rsidRDefault="00C93A36" w:rsidP="00C93A36">
            <w:pPr>
              <w:rPr>
                <w:color w:val="000000" w:themeColor="text1"/>
                <w:sz w:val="22"/>
                <w:szCs w:val="22"/>
              </w:rPr>
            </w:pPr>
            <w:r w:rsidRPr="00CD2ADD">
              <w:rPr>
                <w:color w:val="000000" w:themeColor="text1"/>
                <w:sz w:val="22"/>
                <w:szCs w:val="22"/>
              </w:rPr>
              <w:t xml:space="preserve"> ≥ 80 specialiști autorități publice locale</w:t>
            </w:r>
          </w:p>
        </w:tc>
        <w:tc>
          <w:tcPr>
            <w:tcW w:w="1862" w:type="dxa"/>
          </w:tcPr>
          <w:p w14:paraId="7D259BA5" w14:textId="076E2D84" w:rsidR="002A640F" w:rsidRPr="00CD2ADD" w:rsidRDefault="002A640F" w:rsidP="002D6B5A">
            <w:pPr>
              <w:rPr>
                <w:color w:val="000000" w:themeColor="text1"/>
                <w:sz w:val="22"/>
                <w:szCs w:val="22"/>
              </w:rPr>
            </w:pPr>
            <w:r w:rsidRPr="00CD2ADD">
              <w:rPr>
                <w:color w:val="000000" w:themeColor="text1"/>
                <w:sz w:val="22"/>
                <w:szCs w:val="22"/>
              </w:rPr>
              <w:t xml:space="preserve">≥ 150 specialiști autorități centrale (SHS, AM, ANSP, ANSA, </w:t>
            </w:r>
            <w:r w:rsidR="00836361" w:rsidRPr="00CD2ADD">
              <w:rPr>
                <w:color w:val="000000" w:themeColor="text1"/>
                <w:sz w:val="22"/>
                <w:szCs w:val="22"/>
              </w:rPr>
              <w:t xml:space="preserve">IP AN </w:t>
            </w:r>
            <w:r w:rsidRPr="00CD2ADD">
              <w:rPr>
                <w:color w:val="000000" w:themeColor="text1"/>
                <w:sz w:val="22"/>
                <w:szCs w:val="22"/>
              </w:rPr>
              <w:t xml:space="preserve">Apele Moldovei, Moldsilva) </w:t>
            </w:r>
          </w:p>
          <w:p w14:paraId="08B1819D" w14:textId="3FF6E114" w:rsidR="002A640F" w:rsidRPr="00CD2ADD" w:rsidRDefault="002A640F" w:rsidP="00B339C7">
            <w:pPr>
              <w:rPr>
                <w:color w:val="000000" w:themeColor="text1"/>
                <w:sz w:val="22"/>
                <w:szCs w:val="22"/>
              </w:rPr>
            </w:pPr>
            <w:r w:rsidRPr="00CD2ADD">
              <w:rPr>
                <w:color w:val="000000" w:themeColor="text1"/>
                <w:sz w:val="22"/>
                <w:szCs w:val="22"/>
              </w:rPr>
              <w:t xml:space="preserve"> ≥ 150 specialiști autorități publice locale</w:t>
            </w:r>
          </w:p>
        </w:tc>
        <w:tc>
          <w:tcPr>
            <w:tcW w:w="1281" w:type="dxa"/>
          </w:tcPr>
          <w:p w14:paraId="1CC61CAF" w14:textId="785EF594" w:rsidR="002A640F" w:rsidRPr="00CD2ADD" w:rsidRDefault="002A640F" w:rsidP="00B339C7">
            <w:pPr>
              <w:rPr>
                <w:color w:val="000000" w:themeColor="text1"/>
                <w:sz w:val="22"/>
                <w:szCs w:val="22"/>
              </w:rPr>
            </w:pPr>
            <w:r w:rsidRPr="00CD2ADD">
              <w:rPr>
                <w:color w:val="000000" w:themeColor="text1"/>
                <w:sz w:val="22"/>
                <w:szCs w:val="22"/>
              </w:rPr>
              <w:t xml:space="preserve">SHS, AM, ANSP, ANSA, IP </w:t>
            </w:r>
            <w:r w:rsidR="00836361" w:rsidRPr="00CD2ADD">
              <w:rPr>
                <w:color w:val="000000" w:themeColor="text1"/>
                <w:sz w:val="22"/>
                <w:szCs w:val="22"/>
              </w:rPr>
              <w:t>AN</w:t>
            </w:r>
            <w:r w:rsidRPr="00CD2ADD">
              <w:rPr>
                <w:color w:val="000000" w:themeColor="text1"/>
                <w:sz w:val="22"/>
                <w:szCs w:val="22"/>
              </w:rPr>
              <w:t xml:space="preserve"> Apele Moldovei, Agenția „ Moldsilva"</w:t>
            </w:r>
          </w:p>
        </w:tc>
      </w:tr>
      <w:tr w:rsidR="00515692" w:rsidRPr="00CD2ADD" w14:paraId="3DDE1872" w14:textId="77777777" w:rsidTr="00515692">
        <w:tc>
          <w:tcPr>
            <w:tcW w:w="1664" w:type="dxa"/>
          </w:tcPr>
          <w:p w14:paraId="5E5D5ACC" w14:textId="49B22A79" w:rsidR="00515692" w:rsidRPr="00CD2ADD" w:rsidRDefault="00515692" w:rsidP="00515692">
            <w:pPr>
              <w:rPr>
                <w:color w:val="000000" w:themeColor="text1"/>
                <w:sz w:val="22"/>
                <w:szCs w:val="22"/>
              </w:rPr>
            </w:pPr>
            <w:r w:rsidRPr="00CD2ADD">
              <w:rPr>
                <w:color w:val="000000" w:themeColor="text1"/>
                <w:sz w:val="22"/>
                <w:szCs w:val="22"/>
              </w:rPr>
              <w:t>Obiectivul Specific 4.2: Până în 2030, sunt consolidate pregătirea tehnică și capacitatea sectorului de mediu de a gestiona consecințele dezastrelor naturale și biologico-sociale, asigurând o restabilire eficientă și durabilă a ecosistemelor și infrastructurii afectate.</w:t>
            </w:r>
          </w:p>
        </w:tc>
        <w:tc>
          <w:tcPr>
            <w:tcW w:w="1700" w:type="dxa"/>
          </w:tcPr>
          <w:p w14:paraId="3E712CDC" w14:textId="432070AC" w:rsidR="00515692" w:rsidRPr="00CD2ADD" w:rsidRDefault="00515692" w:rsidP="00515692">
            <w:pPr>
              <w:rPr>
                <w:color w:val="000000" w:themeColor="text1"/>
                <w:sz w:val="22"/>
                <w:szCs w:val="22"/>
              </w:rPr>
            </w:pPr>
            <w:r w:rsidRPr="00CD2ADD">
              <w:rPr>
                <w:color w:val="000000" w:themeColor="text1"/>
                <w:sz w:val="22"/>
                <w:szCs w:val="22"/>
              </w:rPr>
              <w:t>Numărul de instrumente tehnice elaborate și aprobate pentru pregătirea și gestionarea consecințelor dezastrelor naturale și biologico-sociale (metodologii,</w:t>
            </w:r>
            <w:r w:rsidRPr="00CD2ADD">
              <w:rPr>
                <w:sz w:val="22"/>
                <w:szCs w:val="22"/>
              </w:rPr>
              <w:t xml:space="preserve"> </w:t>
            </w:r>
            <w:r w:rsidRPr="00CD2ADD">
              <w:rPr>
                <w:color w:val="000000" w:themeColor="text1"/>
                <w:sz w:val="22"/>
                <w:szCs w:val="22"/>
              </w:rPr>
              <w:t>ghiduri)</w:t>
            </w:r>
          </w:p>
        </w:tc>
        <w:tc>
          <w:tcPr>
            <w:tcW w:w="1367" w:type="dxa"/>
          </w:tcPr>
          <w:p w14:paraId="16D2D99A" w14:textId="6B488219" w:rsidR="00515692" w:rsidRPr="00CD2ADD" w:rsidRDefault="00515692" w:rsidP="00515692">
            <w:pPr>
              <w:rPr>
                <w:color w:val="000000" w:themeColor="text1"/>
                <w:sz w:val="22"/>
                <w:szCs w:val="22"/>
              </w:rPr>
            </w:pPr>
            <w:r w:rsidRPr="00CD2ADD">
              <w:rPr>
                <w:color w:val="000000" w:themeColor="text1"/>
                <w:sz w:val="22"/>
                <w:szCs w:val="22"/>
              </w:rPr>
              <w:t>0 instrumente tehnice standardizate elaborate sau aprobate.</w:t>
            </w:r>
          </w:p>
        </w:tc>
        <w:tc>
          <w:tcPr>
            <w:tcW w:w="1862" w:type="dxa"/>
          </w:tcPr>
          <w:p w14:paraId="2F6F5998" w14:textId="1474FEA2" w:rsidR="00515692" w:rsidRPr="00CD2ADD" w:rsidRDefault="00515692" w:rsidP="00515692">
            <w:pPr>
              <w:rPr>
                <w:color w:val="000000" w:themeColor="text1"/>
                <w:sz w:val="22"/>
                <w:szCs w:val="22"/>
              </w:rPr>
            </w:pPr>
            <w:r w:rsidRPr="00CD2ADD">
              <w:rPr>
                <w:color w:val="000000" w:themeColor="text1"/>
                <w:sz w:val="22"/>
                <w:szCs w:val="22"/>
              </w:rPr>
              <w:t xml:space="preserve">≥ 2 instrumente tehnice aprobate, </w:t>
            </w:r>
          </w:p>
          <w:p w14:paraId="5DCCEEF0" w14:textId="77777777" w:rsidR="00515692" w:rsidRPr="00CD2ADD" w:rsidRDefault="00515692" w:rsidP="00515692">
            <w:pPr>
              <w:rPr>
                <w:color w:val="000000" w:themeColor="text1"/>
                <w:sz w:val="22"/>
                <w:szCs w:val="22"/>
              </w:rPr>
            </w:pPr>
            <w:r w:rsidRPr="00CD2ADD">
              <w:rPr>
                <w:color w:val="000000" w:themeColor="text1"/>
                <w:sz w:val="22"/>
                <w:szCs w:val="22"/>
              </w:rPr>
              <w:t>privind managementul apelor pluviale;</w:t>
            </w:r>
          </w:p>
          <w:p w14:paraId="3141456E" w14:textId="19F75B69" w:rsidR="00515692" w:rsidRPr="00CD2ADD" w:rsidRDefault="00515692" w:rsidP="00515692">
            <w:pPr>
              <w:rPr>
                <w:color w:val="000000" w:themeColor="text1"/>
                <w:sz w:val="22"/>
                <w:szCs w:val="22"/>
              </w:rPr>
            </w:pPr>
            <w:r w:rsidRPr="00CD2ADD">
              <w:rPr>
                <w:color w:val="000000" w:themeColor="text1"/>
                <w:sz w:val="22"/>
                <w:szCs w:val="22"/>
              </w:rPr>
              <w:t>gestionare a riscului de caniculă; obiective cu risc înalt de poluare în caz de inundații.</w:t>
            </w:r>
          </w:p>
        </w:tc>
        <w:tc>
          <w:tcPr>
            <w:tcW w:w="1862" w:type="dxa"/>
          </w:tcPr>
          <w:p w14:paraId="5827ED08" w14:textId="481D909A" w:rsidR="00515692" w:rsidRPr="00CD2ADD" w:rsidRDefault="00515692" w:rsidP="00515692">
            <w:pPr>
              <w:rPr>
                <w:color w:val="000000" w:themeColor="text1"/>
                <w:sz w:val="22"/>
                <w:szCs w:val="22"/>
              </w:rPr>
            </w:pPr>
            <w:r w:rsidRPr="00CD2ADD">
              <w:rPr>
                <w:color w:val="000000" w:themeColor="text1"/>
                <w:sz w:val="22"/>
                <w:szCs w:val="22"/>
              </w:rPr>
              <w:t xml:space="preserve">≥ 3 instrumente tehnice aprobate, </w:t>
            </w:r>
          </w:p>
          <w:p w14:paraId="09720128" w14:textId="749C16CE" w:rsidR="00515692" w:rsidRPr="00CD2ADD" w:rsidRDefault="00515692" w:rsidP="00515692">
            <w:pPr>
              <w:rPr>
                <w:color w:val="000000" w:themeColor="text1"/>
                <w:sz w:val="22"/>
                <w:szCs w:val="22"/>
              </w:rPr>
            </w:pPr>
            <w:r w:rsidRPr="00CD2ADD">
              <w:rPr>
                <w:color w:val="000000" w:themeColor="text1"/>
                <w:sz w:val="22"/>
                <w:szCs w:val="22"/>
              </w:rPr>
              <w:t>privind managementul apelor pluviale;</w:t>
            </w:r>
          </w:p>
          <w:p w14:paraId="31F2AF14" w14:textId="455DB09F" w:rsidR="00515692" w:rsidRPr="00CD2ADD" w:rsidRDefault="00515692" w:rsidP="00515692">
            <w:pPr>
              <w:rPr>
                <w:color w:val="000000" w:themeColor="text1"/>
                <w:sz w:val="22"/>
                <w:szCs w:val="22"/>
              </w:rPr>
            </w:pPr>
            <w:r w:rsidRPr="00CD2ADD">
              <w:rPr>
                <w:color w:val="000000" w:themeColor="text1"/>
                <w:sz w:val="22"/>
                <w:szCs w:val="22"/>
              </w:rPr>
              <w:t>gestionare a riscului de caniculă; obiective cu risc înalt de poluare în caz de inundații.</w:t>
            </w:r>
          </w:p>
        </w:tc>
        <w:tc>
          <w:tcPr>
            <w:tcW w:w="1281" w:type="dxa"/>
          </w:tcPr>
          <w:p w14:paraId="5F838471" w14:textId="34948698" w:rsidR="00515692" w:rsidRPr="00CD2ADD" w:rsidRDefault="00515692" w:rsidP="00515692">
            <w:pPr>
              <w:rPr>
                <w:color w:val="000000" w:themeColor="text1"/>
                <w:sz w:val="22"/>
                <w:szCs w:val="22"/>
              </w:rPr>
            </w:pPr>
            <w:r w:rsidRPr="00CD2ADD">
              <w:rPr>
                <w:color w:val="000000" w:themeColor="text1"/>
                <w:sz w:val="22"/>
                <w:szCs w:val="22"/>
              </w:rPr>
              <w:t xml:space="preserve">IP </w:t>
            </w:r>
            <w:r w:rsidR="00093F47" w:rsidRPr="00CD2ADD">
              <w:rPr>
                <w:color w:val="000000" w:themeColor="text1"/>
                <w:sz w:val="22"/>
                <w:szCs w:val="22"/>
              </w:rPr>
              <w:t xml:space="preserve">AN </w:t>
            </w:r>
            <w:r w:rsidRPr="00CD2ADD">
              <w:rPr>
                <w:color w:val="000000" w:themeColor="text1"/>
                <w:sz w:val="22"/>
                <w:szCs w:val="22"/>
              </w:rPr>
              <w:t xml:space="preserve">Apele Moldovei, </w:t>
            </w:r>
          </w:p>
          <w:p w14:paraId="46336CB4" w14:textId="3A04DB71" w:rsidR="00515692" w:rsidRPr="00CD2ADD" w:rsidRDefault="00515692" w:rsidP="00515692">
            <w:pPr>
              <w:rPr>
                <w:color w:val="000000" w:themeColor="text1"/>
                <w:sz w:val="22"/>
                <w:szCs w:val="22"/>
              </w:rPr>
            </w:pPr>
            <w:r w:rsidRPr="00CD2ADD">
              <w:rPr>
                <w:color w:val="000000" w:themeColor="text1"/>
                <w:sz w:val="22"/>
                <w:szCs w:val="22"/>
              </w:rPr>
              <w:t>Ministerul Mediului, Ministerul Agriculturii si Industriei Alimentare Ministerul Sănătății</w:t>
            </w:r>
          </w:p>
        </w:tc>
      </w:tr>
      <w:tr w:rsidR="00515692" w:rsidRPr="00CD2ADD" w14:paraId="62BEAE96" w14:textId="77777777" w:rsidTr="002C4956">
        <w:tc>
          <w:tcPr>
            <w:tcW w:w="9736" w:type="dxa"/>
            <w:gridSpan w:val="6"/>
          </w:tcPr>
          <w:p w14:paraId="696B658B" w14:textId="30114C80" w:rsidR="00515692" w:rsidRPr="00CD2ADD" w:rsidRDefault="00515692" w:rsidP="00515692">
            <w:pPr>
              <w:rPr>
                <w:color w:val="000000" w:themeColor="text1"/>
                <w:sz w:val="22"/>
                <w:szCs w:val="22"/>
              </w:rPr>
            </w:pPr>
            <w:r w:rsidRPr="00CD2ADD">
              <w:rPr>
                <w:color w:val="000000" w:themeColor="text1"/>
                <w:sz w:val="22"/>
                <w:szCs w:val="22"/>
              </w:rPr>
              <w:t>Obiectiv general 5: Dezvoltarea cooperării internaționale și regionale în domeniul reducerii riscurilor naturale si biologico-sociale, prin participarea la programe și mecanisme europene, schimb de date și bune practici, precum și armonizarea cadrului normativ național cu standardele UE și ONU.</w:t>
            </w:r>
          </w:p>
          <w:p w14:paraId="6A15D5F9" w14:textId="08538542" w:rsidR="00515692" w:rsidRPr="00CD2ADD" w:rsidRDefault="00515692" w:rsidP="00515692">
            <w:pPr>
              <w:rPr>
                <w:color w:val="000000" w:themeColor="text1"/>
                <w:sz w:val="22"/>
                <w:szCs w:val="22"/>
              </w:rPr>
            </w:pPr>
          </w:p>
        </w:tc>
      </w:tr>
      <w:tr w:rsidR="00515692" w:rsidRPr="00CD2ADD" w14:paraId="7796BF1D" w14:textId="77777777" w:rsidTr="00515692">
        <w:tc>
          <w:tcPr>
            <w:tcW w:w="1664" w:type="dxa"/>
            <w:vMerge w:val="restart"/>
          </w:tcPr>
          <w:p w14:paraId="2C65356C" w14:textId="22480592" w:rsidR="00515692" w:rsidRPr="00CD2ADD" w:rsidRDefault="00515692" w:rsidP="00515692">
            <w:pPr>
              <w:rPr>
                <w:color w:val="000000" w:themeColor="text1"/>
                <w:sz w:val="22"/>
                <w:szCs w:val="22"/>
              </w:rPr>
            </w:pPr>
            <w:r w:rsidRPr="00CD2ADD">
              <w:rPr>
                <w:color w:val="000000" w:themeColor="text1"/>
                <w:sz w:val="22"/>
                <w:szCs w:val="22"/>
              </w:rPr>
              <w:t xml:space="preserve">Obiectivul Specific 5.1: Mobilizarea </w:t>
            </w:r>
            <w:r w:rsidRPr="00CD2ADD">
              <w:rPr>
                <w:color w:val="000000" w:themeColor="text1"/>
                <w:sz w:val="22"/>
                <w:szCs w:val="22"/>
              </w:rPr>
              <w:lastRenderedPageBreak/>
              <w:t>resurselor externe și accesul la fonduri internaționale pentru prevenire RRD  și adaptare</w:t>
            </w:r>
          </w:p>
        </w:tc>
        <w:tc>
          <w:tcPr>
            <w:tcW w:w="1700" w:type="dxa"/>
          </w:tcPr>
          <w:p w14:paraId="41BF4A00" w14:textId="572D315A" w:rsidR="00515692" w:rsidRPr="00CD2ADD" w:rsidRDefault="00515692" w:rsidP="00515692">
            <w:pPr>
              <w:rPr>
                <w:color w:val="000000" w:themeColor="text1"/>
                <w:sz w:val="22"/>
                <w:szCs w:val="22"/>
              </w:rPr>
            </w:pPr>
            <w:r w:rsidRPr="00CD2ADD">
              <w:rPr>
                <w:color w:val="000000" w:themeColor="text1"/>
                <w:sz w:val="22"/>
                <w:szCs w:val="22"/>
              </w:rPr>
              <w:lastRenderedPageBreak/>
              <w:t xml:space="preserve">Numărul propunerilor de proiect </w:t>
            </w:r>
            <w:r w:rsidRPr="00CD2ADD">
              <w:rPr>
                <w:color w:val="000000" w:themeColor="text1"/>
                <w:sz w:val="22"/>
                <w:szCs w:val="22"/>
              </w:rPr>
              <w:lastRenderedPageBreak/>
              <w:t>RRD/adaptare elaborate și depuse către fonduri internaționale (GCF, GEF, Adaptation Fund, Horizon, LIFE).</w:t>
            </w:r>
          </w:p>
        </w:tc>
        <w:tc>
          <w:tcPr>
            <w:tcW w:w="1367" w:type="dxa"/>
          </w:tcPr>
          <w:p w14:paraId="6286C3B4" w14:textId="0AC5A7A7" w:rsidR="00515692" w:rsidRPr="00CD2ADD" w:rsidRDefault="00515692" w:rsidP="00515692">
            <w:pPr>
              <w:rPr>
                <w:color w:val="000000" w:themeColor="text1"/>
                <w:sz w:val="22"/>
                <w:szCs w:val="22"/>
              </w:rPr>
            </w:pPr>
            <w:r w:rsidRPr="00CD2ADD">
              <w:rPr>
                <w:color w:val="000000" w:themeColor="text1"/>
                <w:sz w:val="22"/>
                <w:szCs w:val="22"/>
              </w:rPr>
              <w:lastRenderedPageBreak/>
              <w:t xml:space="preserve">0 </w:t>
            </w:r>
          </w:p>
        </w:tc>
        <w:tc>
          <w:tcPr>
            <w:tcW w:w="1862" w:type="dxa"/>
          </w:tcPr>
          <w:p w14:paraId="30296E6F" w14:textId="7E9BD3FA" w:rsidR="00515692" w:rsidRPr="00CD2ADD" w:rsidRDefault="003C7F59" w:rsidP="00515692">
            <w:pPr>
              <w:rPr>
                <w:sz w:val="22"/>
                <w:szCs w:val="22"/>
              </w:rPr>
            </w:pPr>
            <w:r w:rsidRPr="00CD2ADD">
              <w:rPr>
                <w:sz w:val="22"/>
                <w:szCs w:val="22"/>
              </w:rPr>
              <w:t>≥ 2 propuneri depuse</w:t>
            </w:r>
          </w:p>
        </w:tc>
        <w:tc>
          <w:tcPr>
            <w:tcW w:w="1862" w:type="dxa"/>
          </w:tcPr>
          <w:p w14:paraId="670ECB32" w14:textId="6DCB6D35" w:rsidR="00515692" w:rsidRPr="00CD2ADD" w:rsidRDefault="00515692" w:rsidP="00515692">
            <w:pPr>
              <w:rPr>
                <w:color w:val="000000" w:themeColor="text1"/>
                <w:sz w:val="22"/>
                <w:szCs w:val="22"/>
              </w:rPr>
            </w:pPr>
            <w:r w:rsidRPr="00CD2ADD">
              <w:rPr>
                <w:sz w:val="22"/>
                <w:szCs w:val="22"/>
              </w:rPr>
              <w:t>≥ 3 propuneri depuse si cel puțin 1 aprobata</w:t>
            </w:r>
          </w:p>
        </w:tc>
        <w:tc>
          <w:tcPr>
            <w:tcW w:w="1281" w:type="dxa"/>
          </w:tcPr>
          <w:p w14:paraId="3D963234" w14:textId="42328AC0" w:rsidR="00515692" w:rsidRPr="00CD2ADD" w:rsidRDefault="00515692" w:rsidP="00515692">
            <w:pPr>
              <w:rPr>
                <w:color w:val="000000" w:themeColor="text1"/>
                <w:sz w:val="22"/>
                <w:szCs w:val="22"/>
              </w:rPr>
            </w:pPr>
            <w:r w:rsidRPr="00CD2ADD">
              <w:rPr>
                <w:color w:val="000000" w:themeColor="text1"/>
                <w:sz w:val="22"/>
                <w:szCs w:val="22"/>
              </w:rPr>
              <w:t>Ministerul Mediului</w:t>
            </w:r>
          </w:p>
        </w:tc>
      </w:tr>
      <w:tr w:rsidR="00515692" w:rsidRPr="00CD2ADD" w14:paraId="06A72031" w14:textId="77777777" w:rsidTr="00515692">
        <w:tc>
          <w:tcPr>
            <w:tcW w:w="1664" w:type="dxa"/>
            <w:vMerge/>
          </w:tcPr>
          <w:p w14:paraId="0C3F7FF9" w14:textId="1ABD4F37" w:rsidR="00515692" w:rsidRPr="00CD2ADD" w:rsidRDefault="00515692" w:rsidP="00515692">
            <w:pPr>
              <w:jc w:val="both"/>
              <w:rPr>
                <w:color w:val="000000" w:themeColor="text1"/>
                <w:sz w:val="22"/>
                <w:szCs w:val="22"/>
              </w:rPr>
            </w:pPr>
          </w:p>
        </w:tc>
        <w:tc>
          <w:tcPr>
            <w:tcW w:w="1700" w:type="dxa"/>
          </w:tcPr>
          <w:p w14:paraId="7B1D3038" w14:textId="31461CC3" w:rsidR="00515692" w:rsidRPr="00CD2ADD" w:rsidRDefault="00515692" w:rsidP="00515692">
            <w:pPr>
              <w:rPr>
                <w:color w:val="000000" w:themeColor="text1"/>
                <w:sz w:val="22"/>
                <w:szCs w:val="22"/>
              </w:rPr>
            </w:pPr>
            <w:r w:rsidRPr="00CD2ADD">
              <w:rPr>
                <w:color w:val="000000" w:themeColor="text1"/>
                <w:sz w:val="22"/>
                <w:szCs w:val="22"/>
              </w:rPr>
              <w:t>Numărul mecanismelor locale de co-finanțare mobilizate (diaspora, APL, sector privat – ex. DAR 1+3, crowdfunding, granturi comunitare).</w:t>
            </w:r>
          </w:p>
        </w:tc>
        <w:tc>
          <w:tcPr>
            <w:tcW w:w="1367" w:type="dxa"/>
          </w:tcPr>
          <w:p w14:paraId="29CFE076" w14:textId="4750622F" w:rsidR="00515692" w:rsidRPr="00CD2ADD" w:rsidRDefault="00515692" w:rsidP="00515692">
            <w:pPr>
              <w:rPr>
                <w:color w:val="000000" w:themeColor="text1"/>
                <w:sz w:val="22"/>
                <w:szCs w:val="22"/>
              </w:rPr>
            </w:pPr>
            <w:r w:rsidRPr="00CD2ADD">
              <w:rPr>
                <w:color w:val="000000" w:themeColor="text1"/>
                <w:sz w:val="22"/>
                <w:szCs w:val="22"/>
              </w:rPr>
              <w:t xml:space="preserve">1 (DAR 1+3) </w:t>
            </w:r>
          </w:p>
        </w:tc>
        <w:tc>
          <w:tcPr>
            <w:tcW w:w="1862" w:type="dxa"/>
          </w:tcPr>
          <w:p w14:paraId="4D19D080" w14:textId="49C640AD" w:rsidR="00515692" w:rsidRPr="00CD2ADD" w:rsidRDefault="003C7F59" w:rsidP="00515692">
            <w:pPr>
              <w:rPr>
                <w:color w:val="000000" w:themeColor="text1"/>
                <w:sz w:val="22"/>
                <w:szCs w:val="22"/>
              </w:rPr>
            </w:pPr>
            <w:r w:rsidRPr="00CD2ADD">
              <w:rPr>
                <w:color w:val="000000" w:themeColor="text1"/>
                <w:sz w:val="22"/>
                <w:szCs w:val="22"/>
              </w:rPr>
              <w:t>≥ cel puțin consorțiu de parteneriat definit, teme de acțiune si finanțatori potențiali</w:t>
            </w:r>
          </w:p>
        </w:tc>
        <w:tc>
          <w:tcPr>
            <w:tcW w:w="1862" w:type="dxa"/>
          </w:tcPr>
          <w:p w14:paraId="26E2DC1F" w14:textId="407E6C9E" w:rsidR="00515692" w:rsidRPr="00CD2ADD" w:rsidRDefault="00515692" w:rsidP="00515692">
            <w:pPr>
              <w:rPr>
                <w:color w:val="000000" w:themeColor="text1"/>
                <w:sz w:val="22"/>
                <w:szCs w:val="22"/>
              </w:rPr>
            </w:pPr>
            <w:r w:rsidRPr="00CD2ADD">
              <w:rPr>
                <w:color w:val="000000" w:themeColor="text1"/>
                <w:sz w:val="22"/>
                <w:szCs w:val="22"/>
              </w:rPr>
              <w:t>≥ cel puțin 1 nou  mecanism pilotat</w:t>
            </w:r>
          </w:p>
        </w:tc>
        <w:tc>
          <w:tcPr>
            <w:tcW w:w="1281" w:type="dxa"/>
          </w:tcPr>
          <w:p w14:paraId="68234F26" w14:textId="1C347570" w:rsidR="00515692" w:rsidRPr="00CD2ADD" w:rsidRDefault="00515692" w:rsidP="00515692">
            <w:pPr>
              <w:rPr>
                <w:color w:val="000000" w:themeColor="text1"/>
                <w:sz w:val="22"/>
                <w:szCs w:val="22"/>
              </w:rPr>
            </w:pPr>
            <w:r w:rsidRPr="00CD2ADD">
              <w:rPr>
                <w:color w:val="000000" w:themeColor="text1"/>
                <w:sz w:val="22"/>
                <w:szCs w:val="22"/>
              </w:rPr>
              <w:t>Ministerul Mediului, IOM</w:t>
            </w:r>
          </w:p>
        </w:tc>
      </w:tr>
      <w:tr w:rsidR="00515692" w:rsidRPr="00CD2ADD" w14:paraId="4F7DB20C" w14:textId="77777777" w:rsidTr="00515692">
        <w:tc>
          <w:tcPr>
            <w:tcW w:w="1664" w:type="dxa"/>
          </w:tcPr>
          <w:p w14:paraId="5CE47230" w14:textId="13F8ABE2" w:rsidR="00515692" w:rsidRPr="00CD2ADD" w:rsidRDefault="00515692" w:rsidP="00515692">
            <w:pPr>
              <w:rPr>
                <w:color w:val="000000" w:themeColor="text1"/>
                <w:sz w:val="22"/>
                <w:szCs w:val="22"/>
              </w:rPr>
            </w:pPr>
            <w:r w:rsidRPr="00CD2ADD">
              <w:rPr>
                <w:color w:val="000000" w:themeColor="text1"/>
                <w:sz w:val="22"/>
                <w:szCs w:val="22"/>
              </w:rPr>
              <w:t>Obiectivul Specific 5.2: Participarea activă la convențiile internaționale și integrarea riscurilor naturale în raportările și angajamentele Republicii Moldova</w:t>
            </w:r>
          </w:p>
        </w:tc>
        <w:tc>
          <w:tcPr>
            <w:tcW w:w="1700" w:type="dxa"/>
          </w:tcPr>
          <w:p w14:paraId="42FD7BCC" w14:textId="0CD86372" w:rsidR="00515692" w:rsidRPr="00CD2ADD" w:rsidRDefault="00515692" w:rsidP="00515692">
            <w:pPr>
              <w:rPr>
                <w:color w:val="000000" w:themeColor="text1"/>
                <w:sz w:val="22"/>
                <w:szCs w:val="22"/>
              </w:rPr>
            </w:pPr>
            <w:r w:rsidRPr="00CD2ADD">
              <w:rPr>
                <w:color w:val="000000" w:themeColor="text1"/>
                <w:sz w:val="22"/>
                <w:szCs w:val="22"/>
              </w:rPr>
              <w:t>Numărul raportărilor internaționale obligatorii care includ în mod explicit riscuri naturale, climatice și biologico-sociale.</w:t>
            </w:r>
          </w:p>
        </w:tc>
        <w:tc>
          <w:tcPr>
            <w:tcW w:w="1367" w:type="dxa"/>
          </w:tcPr>
          <w:p w14:paraId="11830B37" w14:textId="784F4E92" w:rsidR="00515692" w:rsidRPr="00CD2ADD" w:rsidRDefault="00515692" w:rsidP="00515692">
            <w:pPr>
              <w:rPr>
                <w:color w:val="000000" w:themeColor="text1"/>
                <w:sz w:val="22"/>
                <w:szCs w:val="22"/>
              </w:rPr>
            </w:pPr>
            <w:r w:rsidRPr="00CD2ADD">
              <w:rPr>
                <w:color w:val="000000" w:themeColor="text1"/>
                <w:sz w:val="22"/>
                <w:szCs w:val="22"/>
              </w:rPr>
              <w:t>1/4 (aprox.)</w:t>
            </w:r>
          </w:p>
        </w:tc>
        <w:tc>
          <w:tcPr>
            <w:tcW w:w="1862" w:type="dxa"/>
          </w:tcPr>
          <w:p w14:paraId="7E65176A" w14:textId="6FF7B08F" w:rsidR="00515692" w:rsidRPr="00CD2ADD" w:rsidRDefault="003148D8" w:rsidP="00515692">
            <w:pPr>
              <w:rPr>
                <w:color w:val="000000" w:themeColor="text1"/>
                <w:sz w:val="22"/>
                <w:szCs w:val="22"/>
              </w:rPr>
            </w:pPr>
            <w:r w:rsidRPr="00CD2ADD">
              <w:rPr>
                <w:color w:val="000000" w:themeColor="text1"/>
                <w:sz w:val="22"/>
                <w:szCs w:val="22"/>
              </w:rPr>
              <w:t>≥ 2 raportări actualizate cu integrarea RRD</w:t>
            </w:r>
          </w:p>
        </w:tc>
        <w:tc>
          <w:tcPr>
            <w:tcW w:w="1862" w:type="dxa"/>
          </w:tcPr>
          <w:p w14:paraId="6B52091B" w14:textId="726095F0" w:rsidR="00515692" w:rsidRPr="00CD2ADD" w:rsidRDefault="00515692" w:rsidP="00515692">
            <w:pPr>
              <w:rPr>
                <w:color w:val="000000" w:themeColor="text1"/>
                <w:sz w:val="22"/>
                <w:szCs w:val="22"/>
              </w:rPr>
            </w:pPr>
            <w:r w:rsidRPr="00CD2ADD">
              <w:rPr>
                <w:color w:val="000000" w:themeColor="text1"/>
                <w:sz w:val="22"/>
                <w:szCs w:val="22"/>
              </w:rPr>
              <w:t>≥ 4 raportări actualizate cu integrarea RRD</w:t>
            </w:r>
          </w:p>
        </w:tc>
        <w:tc>
          <w:tcPr>
            <w:tcW w:w="1281" w:type="dxa"/>
          </w:tcPr>
          <w:p w14:paraId="45343FA1" w14:textId="31CF42B3" w:rsidR="00515692" w:rsidRPr="00CD2ADD" w:rsidRDefault="00515692" w:rsidP="00515692">
            <w:pPr>
              <w:rPr>
                <w:color w:val="000000" w:themeColor="text1"/>
                <w:sz w:val="22"/>
                <w:szCs w:val="22"/>
              </w:rPr>
            </w:pPr>
            <w:r w:rsidRPr="00CD2ADD">
              <w:rPr>
                <w:color w:val="000000" w:themeColor="text1"/>
                <w:sz w:val="22"/>
                <w:szCs w:val="22"/>
              </w:rPr>
              <w:t>Ministerul Mediului</w:t>
            </w:r>
          </w:p>
        </w:tc>
      </w:tr>
      <w:tr w:rsidR="00515692" w:rsidRPr="00CD2ADD" w14:paraId="7DC98154" w14:textId="77777777" w:rsidTr="00515692">
        <w:tc>
          <w:tcPr>
            <w:tcW w:w="1664" w:type="dxa"/>
            <w:vMerge w:val="restart"/>
          </w:tcPr>
          <w:p w14:paraId="63209965" w14:textId="05CBC1D8" w:rsidR="00515692" w:rsidRPr="00CD2ADD" w:rsidRDefault="00515692" w:rsidP="00515692">
            <w:pPr>
              <w:rPr>
                <w:color w:val="000000" w:themeColor="text1"/>
                <w:sz w:val="22"/>
                <w:szCs w:val="22"/>
              </w:rPr>
            </w:pPr>
            <w:r w:rsidRPr="00CD2ADD">
              <w:rPr>
                <w:color w:val="000000" w:themeColor="text1"/>
                <w:sz w:val="22"/>
                <w:szCs w:val="22"/>
              </w:rPr>
              <w:t>Obiectivul Specific 5.3: Consolidarea parteneriatelor strategice internaționale și regionale în domeniul reducerii riscurilor de dezastre</w:t>
            </w:r>
          </w:p>
        </w:tc>
        <w:tc>
          <w:tcPr>
            <w:tcW w:w="1700" w:type="dxa"/>
          </w:tcPr>
          <w:p w14:paraId="74A9B053" w14:textId="74E36BA0" w:rsidR="00515692" w:rsidRPr="00CD2ADD" w:rsidRDefault="00515692" w:rsidP="00515692">
            <w:pPr>
              <w:rPr>
                <w:color w:val="000000" w:themeColor="text1"/>
                <w:sz w:val="22"/>
                <w:szCs w:val="22"/>
              </w:rPr>
            </w:pPr>
            <w:r w:rsidRPr="00CD2ADD">
              <w:rPr>
                <w:color w:val="000000" w:themeColor="text1"/>
                <w:sz w:val="22"/>
                <w:szCs w:val="22"/>
              </w:rPr>
              <w:t>Numărul parteneriatelor internaționale noi sau extinse în domeniul RRD și adaptare climatică (ONU, UE, IFI, organisme regionale).</w:t>
            </w:r>
          </w:p>
        </w:tc>
        <w:tc>
          <w:tcPr>
            <w:tcW w:w="1367" w:type="dxa"/>
          </w:tcPr>
          <w:p w14:paraId="2CDE4AED" w14:textId="3B2158AF" w:rsidR="00515692" w:rsidRPr="00CD2ADD" w:rsidRDefault="00515692" w:rsidP="00515692">
            <w:pPr>
              <w:rPr>
                <w:color w:val="000000" w:themeColor="text1"/>
                <w:sz w:val="22"/>
                <w:szCs w:val="22"/>
              </w:rPr>
            </w:pPr>
            <w:r w:rsidRPr="00CD2ADD">
              <w:rPr>
                <w:color w:val="000000" w:themeColor="text1"/>
                <w:sz w:val="22"/>
                <w:szCs w:val="22"/>
              </w:rPr>
              <w:t>UN RG-4 Climat si RRD</w:t>
            </w:r>
          </w:p>
        </w:tc>
        <w:tc>
          <w:tcPr>
            <w:tcW w:w="1862" w:type="dxa"/>
          </w:tcPr>
          <w:p w14:paraId="4344E6A1" w14:textId="2068655C" w:rsidR="00515692" w:rsidRPr="00CD2ADD" w:rsidRDefault="00CA558C" w:rsidP="00515692">
            <w:pPr>
              <w:rPr>
                <w:color w:val="000000" w:themeColor="text1"/>
                <w:sz w:val="22"/>
                <w:szCs w:val="22"/>
              </w:rPr>
            </w:pPr>
            <w:r w:rsidRPr="00CD2ADD">
              <w:rPr>
                <w:color w:val="000000" w:themeColor="text1"/>
                <w:sz w:val="22"/>
                <w:szCs w:val="22"/>
              </w:rPr>
              <w:t>≥ 2 parteneriate active</w:t>
            </w:r>
          </w:p>
        </w:tc>
        <w:tc>
          <w:tcPr>
            <w:tcW w:w="1862" w:type="dxa"/>
          </w:tcPr>
          <w:p w14:paraId="66ED39CA" w14:textId="074027D6" w:rsidR="00515692" w:rsidRPr="00CD2ADD" w:rsidRDefault="00515692" w:rsidP="00515692">
            <w:pPr>
              <w:rPr>
                <w:color w:val="000000" w:themeColor="text1"/>
                <w:sz w:val="22"/>
                <w:szCs w:val="22"/>
              </w:rPr>
            </w:pPr>
            <w:r w:rsidRPr="00CD2ADD">
              <w:rPr>
                <w:color w:val="000000" w:themeColor="text1"/>
                <w:sz w:val="22"/>
                <w:szCs w:val="22"/>
              </w:rPr>
              <w:t>≥ 3 parteneriate active</w:t>
            </w:r>
          </w:p>
        </w:tc>
        <w:tc>
          <w:tcPr>
            <w:tcW w:w="1281" w:type="dxa"/>
          </w:tcPr>
          <w:p w14:paraId="35CEF677" w14:textId="4189FA2A" w:rsidR="00515692" w:rsidRPr="00CD2ADD" w:rsidRDefault="00515692" w:rsidP="00515692">
            <w:pPr>
              <w:rPr>
                <w:color w:val="000000" w:themeColor="text1"/>
                <w:sz w:val="22"/>
                <w:szCs w:val="22"/>
              </w:rPr>
            </w:pPr>
            <w:r w:rsidRPr="00CD2ADD">
              <w:rPr>
                <w:color w:val="000000" w:themeColor="text1"/>
                <w:sz w:val="22"/>
                <w:szCs w:val="22"/>
              </w:rPr>
              <w:t xml:space="preserve">Ministerul Mediului, parteneri de dezvoltare, </w:t>
            </w:r>
          </w:p>
        </w:tc>
      </w:tr>
      <w:tr w:rsidR="00515692" w:rsidRPr="00CD2ADD" w14:paraId="5C5D3D46" w14:textId="77777777" w:rsidTr="00515692">
        <w:tc>
          <w:tcPr>
            <w:tcW w:w="1664" w:type="dxa"/>
            <w:vMerge/>
          </w:tcPr>
          <w:p w14:paraId="17214AAA" w14:textId="77777777" w:rsidR="00515692" w:rsidRPr="00CD2ADD" w:rsidRDefault="00515692" w:rsidP="00515692">
            <w:pPr>
              <w:rPr>
                <w:color w:val="000000" w:themeColor="text1"/>
                <w:sz w:val="22"/>
                <w:szCs w:val="22"/>
              </w:rPr>
            </w:pPr>
          </w:p>
        </w:tc>
        <w:tc>
          <w:tcPr>
            <w:tcW w:w="1700" w:type="dxa"/>
          </w:tcPr>
          <w:p w14:paraId="733A1560" w14:textId="4C7ECD6E" w:rsidR="00515692" w:rsidRPr="00CD2ADD" w:rsidRDefault="00515692" w:rsidP="00515692">
            <w:pPr>
              <w:rPr>
                <w:color w:val="000000" w:themeColor="text1"/>
                <w:sz w:val="22"/>
                <w:szCs w:val="22"/>
              </w:rPr>
            </w:pPr>
            <w:r w:rsidRPr="00CD2ADD">
              <w:rPr>
                <w:color w:val="000000" w:themeColor="text1"/>
                <w:sz w:val="22"/>
                <w:szCs w:val="22"/>
              </w:rPr>
              <w:t xml:space="preserve">Numărul schimburilor de bune practici și cercetări comune realizate prin platforme regionale/europene </w:t>
            </w:r>
          </w:p>
        </w:tc>
        <w:tc>
          <w:tcPr>
            <w:tcW w:w="1367" w:type="dxa"/>
          </w:tcPr>
          <w:p w14:paraId="1652F7DE" w14:textId="3BE23161" w:rsidR="00515692" w:rsidRPr="00CD2ADD" w:rsidRDefault="00515692" w:rsidP="00515692">
            <w:pPr>
              <w:rPr>
                <w:color w:val="000000" w:themeColor="text1"/>
                <w:sz w:val="22"/>
                <w:szCs w:val="22"/>
              </w:rPr>
            </w:pPr>
            <w:r w:rsidRPr="00CD2ADD">
              <w:rPr>
                <w:color w:val="000000" w:themeColor="text1"/>
                <w:sz w:val="22"/>
                <w:szCs w:val="22"/>
              </w:rPr>
              <w:t xml:space="preserve">0 </w:t>
            </w:r>
          </w:p>
        </w:tc>
        <w:tc>
          <w:tcPr>
            <w:tcW w:w="1862" w:type="dxa"/>
          </w:tcPr>
          <w:p w14:paraId="3AE18ED7" w14:textId="5F0A2490" w:rsidR="00515692" w:rsidRPr="00CD2ADD" w:rsidRDefault="00E346D0" w:rsidP="00515692">
            <w:pPr>
              <w:rPr>
                <w:color w:val="000000" w:themeColor="text1"/>
                <w:sz w:val="22"/>
                <w:szCs w:val="22"/>
              </w:rPr>
            </w:pPr>
            <w:r w:rsidRPr="00CD2ADD">
              <w:rPr>
                <w:color w:val="000000" w:themeColor="text1"/>
                <w:sz w:val="22"/>
                <w:szCs w:val="22"/>
              </w:rPr>
              <w:t>≥ 3 schimburi de date/expertiză</w:t>
            </w:r>
          </w:p>
        </w:tc>
        <w:tc>
          <w:tcPr>
            <w:tcW w:w="1862" w:type="dxa"/>
          </w:tcPr>
          <w:p w14:paraId="07FBBA05" w14:textId="45507692" w:rsidR="00515692" w:rsidRPr="00CD2ADD" w:rsidRDefault="00515692" w:rsidP="00515692">
            <w:pPr>
              <w:rPr>
                <w:color w:val="000000" w:themeColor="text1"/>
                <w:sz w:val="22"/>
                <w:szCs w:val="22"/>
              </w:rPr>
            </w:pPr>
            <w:r w:rsidRPr="00CD2ADD">
              <w:rPr>
                <w:color w:val="000000" w:themeColor="text1"/>
                <w:sz w:val="22"/>
                <w:szCs w:val="22"/>
              </w:rPr>
              <w:t>≥ 5 schimburi de date/expertiză</w:t>
            </w:r>
          </w:p>
        </w:tc>
        <w:tc>
          <w:tcPr>
            <w:tcW w:w="1281" w:type="dxa"/>
          </w:tcPr>
          <w:p w14:paraId="5F1C1866" w14:textId="5BF29467" w:rsidR="00515692" w:rsidRPr="00CD2ADD" w:rsidRDefault="00515692" w:rsidP="00515692">
            <w:pPr>
              <w:rPr>
                <w:color w:val="000000" w:themeColor="text1"/>
                <w:sz w:val="22"/>
                <w:szCs w:val="22"/>
              </w:rPr>
            </w:pPr>
            <w:r w:rsidRPr="00CD2ADD">
              <w:rPr>
                <w:color w:val="000000" w:themeColor="text1"/>
                <w:sz w:val="22"/>
                <w:szCs w:val="22"/>
              </w:rPr>
              <w:t>Ministerul Mediului, parteneri de dezvoltare</w:t>
            </w:r>
          </w:p>
        </w:tc>
      </w:tr>
    </w:tbl>
    <w:p w14:paraId="436D736A" w14:textId="77777777" w:rsidR="002621E2" w:rsidRPr="00CD2ADD" w:rsidRDefault="002621E2" w:rsidP="00B339C7">
      <w:pPr>
        <w:jc w:val="both"/>
        <w:rPr>
          <w:color w:val="000000" w:themeColor="text1"/>
          <w:sz w:val="22"/>
        </w:rPr>
      </w:pPr>
    </w:p>
    <w:p w14:paraId="7F16D79A" w14:textId="2FF56EF5" w:rsidR="000B5E54" w:rsidRPr="00EB2187" w:rsidRDefault="000B5E54" w:rsidP="00A96789">
      <w:pPr>
        <w:pStyle w:val="ListParagraph"/>
        <w:numPr>
          <w:ilvl w:val="0"/>
          <w:numId w:val="56"/>
        </w:numPr>
        <w:ind w:left="0" w:firstLine="142"/>
        <w:jc w:val="both"/>
        <w:rPr>
          <w:rFonts w:ascii="Times New Roman" w:hAnsi="Times New Roman" w:cs="Times New Roman"/>
          <w:color w:val="auto"/>
          <w:sz w:val="24"/>
          <w:szCs w:val="24"/>
        </w:rPr>
      </w:pPr>
      <w:r w:rsidRPr="00EB2187">
        <w:rPr>
          <w:rFonts w:ascii="Times New Roman" w:hAnsi="Times New Roman" w:cs="Times New Roman"/>
          <w:color w:val="auto"/>
          <w:sz w:val="24"/>
          <w:szCs w:val="24"/>
        </w:rPr>
        <w:lastRenderedPageBreak/>
        <w:t>Fiecare indicator va fi prezentat în Planul de Acțiuni anexat programului, unde vor fi specificate:</w:t>
      </w:r>
      <w:r w:rsidR="003E7269" w:rsidRPr="00EB2187">
        <w:rPr>
          <w:rFonts w:ascii="Times New Roman" w:hAnsi="Times New Roman" w:cs="Times New Roman"/>
          <w:color w:val="auto"/>
          <w:sz w:val="24"/>
          <w:szCs w:val="24"/>
        </w:rPr>
        <w:t xml:space="preserve"> d</w:t>
      </w:r>
      <w:r w:rsidRPr="00EB2187">
        <w:rPr>
          <w:rFonts w:ascii="Times New Roman" w:hAnsi="Times New Roman" w:cs="Times New Roman"/>
          <w:color w:val="auto"/>
          <w:sz w:val="24"/>
          <w:szCs w:val="24"/>
        </w:rPr>
        <w:t>enumirea indicatorului</w:t>
      </w:r>
      <w:r w:rsidR="003E7269" w:rsidRPr="00EB2187">
        <w:rPr>
          <w:rFonts w:ascii="Times New Roman" w:hAnsi="Times New Roman" w:cs="Times New Roman"/>
          <w:color w:val="auto"/>
          <w:sz w:val="24"/>
          <w:szCs w:val="24"/>
        </w:rPr>
        <w:t>, ti</w:t>
      </w:r>
      <w:r w:rsidRPr="00EB2187">
        <w:rPr>
          <w:rFonts w:ascii="Times New Roman" w:hAnsi="Times New Roman" w:cs="Times New Roman"/>
          <w:color w:val="auto"/>
          <w:sz w:val="24"/>
          <w:szCs w:val="24"/>
        </w:rPr>
        <w:t>pul indicatorulu</w:t>
      </w:r>
      <w:r w:rsidR="00C75217" w:rsidRPr="00EB2187">
        <w:rPr>
          <w:rFonts w:ascii="Times New Roman" w:hAnsi="Times New Roman" w:cs="Times New Roman"/>
          <w:color w:val="auto"/>
          <w:sz w:val="24"/>
          <w:szCs w:val="24"/>
        </w:rPr>
        <w:t xml:space="preserve">i, </w:t>
      </w:r>
      <w:r w:rsidR="003E7269" w:rsidRPr="00EB2187">
        <w:rPr>
          <w:rFonts w:ascii="Times New Roman" w:hAnsi="Times New Roman" w:cs="Times New Roman"/>
          <w:color w:val="auto"/>
          <w:sz w:val="24"/>
          <w:szCs w:val="24"/>
        </w:rPr>
        <w:t>o</w:t>
      </w:r>
      <w:r w:rsidRPr="00EB2187">
        <w:rPr>
          <w:rFonts w:ascii="Times New Roman" w:hAnsi="Times New Roman" w:cs="Times New Roman"/>
          <w:color w:val="auto"/>
          <w:sz w:val="24"/>
          <w:szCs w:val="24"/>
        </w:rPr>
        <w:t>biectivul general/specific asocia</w:t>
      </w:r>
      <w:r w:rsidR="003E7269" w:rsidRPr="00EB2187">
        <w:rPr>
          <w:rFonts w:ascii="Times New Roman" w:hAnsi="Times New Roman" w:cs="Times New Roman"/>
          <w:color w:val="auto"/>
          <w:sz w:val="24"/>
          <w:szCs w:val="24"/>
        </w:rPr>
        <w:t>t, v</w:t>
      </w:r>
      <w:r w:rsidRPr="00EB2187">
        <w:rPr>
          <w:rFonts w:ascii="Times New Roman" w:hAnsi="Times New Roman" w:cs="Times New Roman"/>
          <w:color w:val="auto"/>
          <w:sz w:val="24"/>
          <w:szCs w:val="24"/>
        </w:rPr>
        <w:t>aloarea de referință</w:t>
      </w:r>
      <w:r w:rsidR="00BC6323" w:rsidRPr="00EB2187">
        <w:rPr>
          <w:rFonts w:ascii="Times New Roman" w:hAnsi="Times New Roman" w:cs="Times New Roman"/>
          <w:color w:val="auto"/>
          <w:sz w:val="24"/>
          <w:szCs w:val="24"/>
        </w:rPr>
        <w:t>,</w:t>
      </w:r>
      <w:r w:rsidRPr="00EB2187">
        <w:rPr>
          <w:rFonts w:ascii="Times New Roman" w:hAnsi="Times New Roman" w:cs="Times New Roman"/>
          <w:color w:val="auto"/>
          <w:sz w:val="24"/>
          <w:szCs w:val="24"/>
        </w:rPr>
        <w:t xml:space="preserve"> </w:t>
      </w:r>
      <w:r w:rsidR="00C75217" w:rsidRPr="00EB2187">
        <w:rPr>
          <w:rFonts w:ascii="Times New Roman" w:hAnsi="Times New Roman" w:cs="Times New Roman"/>
          <w:color w:val="auto"/>
          <w:sz w:val="24"/>
          <w:szCs w:val="24"/>
        </w:rPr>
        <w:t>ținta</w:t>
      </w:r>
      <w:r w:rsidR="00BC6323" w:rsidRPr="00EB2187">
        <w:rPr>
          <w:rFonts w:ascii="Times New Roman" w:hAnsi="Times New Roman" w:cs="Times New Roman"/>
          <w:color w:val="auto"/>
          <w:sz w:val="24"/>
          <w:szCs w:val="24"/>
        </w:rPr>
        <w:t xml:space="preserve"> intermediară și</w:t>
      </w:r>
      <w:r w:rsidR="00C75217" w:rsidRPr="00EB2187">
        <w:rPr>
          <w:rFonts w:ascii="Times New Roman" w:hAnsi="Times New Roman" w:cs="Times New Roman"/>
          <w:color w:val="auto"/>
          <w:sz w:val="24"/>
          <w:szCs w:val="24"/>
        </w:rPr>
        <w:t xml:space="preserve"> </w:t>
      </w:r>
      <w:r w:rsidRPr="00EB2187">
        <w:rPr>
          <w:rFonts w:ascii="Times New Roman" w:hAnsi="Times New Roman" w:cs="Times New Roman"/>
          <w:color w:val="auto"/>
          <w:sz w:val="24"/>
          <w:szCs w:val="24"/>
        </w:rPr>
        <w:t>finală</w:t>
      </w:r>
      <w:r w:rsidR="003E7269" w:rsidRPr="00EB2187">
        <w:rPr>
          <w:rFonts w:ascii="Times New Roman" w:hAnsi="Times New Roman" w:cs="Times New Roman"/>
          <w:color w:val="auto"/>
          <w:sz w:val="24"/>
          <w:szCs w:val="24"/>
        </w:rPr>
        <w:t>, i</w:t>
      </w:r>
      <w:r w:rsidRPr="00EB2187">
        <w:rPr>
          <w:rFonts w:ascii="Times New Roman" w:hAnsi="Times New Roman" w:cs="Times New Roman"/>
          <w:color w:val="auto"/>
          <w:sz w:val="24"/>
          <w:szCs w:val="24"/>
        </w:rPr>
        <w:t>nstituția responsabilă</w:t>
      </w:r>
      <w:r w:rsidR="003E7269" w:rsidRPr="00EB2187">
        <w:rPr>
          <w:rFonts w:ascii="Times New Roman" w:hAnsi="Times New Roman" w:cs="Times New Roman"/>
          <w:color w:val="auto"/>
          <w:sz w:val="24"/>
          <w:szCs w:val="24"/>
        </w:rPr>
        <w:t xml:space="preserve">, </w:t>
      </w:r>
      <w:r w:rsidR="00105F16" w:rsidRPr="00EB2187">
        <w:rPr>
          <w:rFonts w:ascii="Times New Roman" w:hAnsi="Times New Roman" w:cs="Times New Roman"/>
          <w:color w:val="auto"/>
          <w:sz w:val="24"/>
          <w:szCs w:val="24"/>
        </w:rPr>
        <w:t xml:space="preserve">costul de implementare </w:t>
      </w:r>
      <w:r w:rsidRPr="00EB2187">
        <w:rPr>
          <w:rFonts w:ascii="Times New Roman" w:hAnsi="Times New Roman" w:cs="Times New Roman"/>
          <w:color w:val="auto"/>
          <w:sz w:val="24"/>
          <w:szCs w:val="24"/>
        </w:rPr>
        <w:t>și sursele de finanțare</w:t>
      </w:r>
      <w:r w:rsidR="003E7269" w:rsidRPr="00EB2187">
        <w:rPr>
          <w:rFonts w:ascii="Times New Roman" w:hAnsi="Times New Roman" w:cs="Times New Roman"/>
          <w:color w:val="auto"/>
          <w:sz w:val="24"/>
          <w:szCs w:val="24"/>
        </w:rPr>
        <w:t xml:space="preserve">. </w:t>
      </w:r>
    </w:p>
    <w:p w14:paraId="759EFAF8" w14:textId="500F02E7" w:rsidR="004C7719" w:rsidRPr="00EB2187" w:rsidRDefault="000B5E54" w:rsidP="00EB2187">
      <w:pPr>
        <w:pStyle w:val="ListParagraph"/>
        <w:numPr>
          <w:ilvl w:val="0"/>
          <w:numId w:val="56"/>
        </w:numPr>
        <w:ind w:left="0" w:firstLine="142"/>
        <w:jc w:val="both"/>
        <w:rPr>
          <w:rFonts w:ascii="Times New Roman" w:hAnsi="Times New Roman" w:cs="Times New Roman"/>
          <w:color w:val="auto"/>
          <w:sz w:val="24"/>
          <w:szCs w:val="24"/>
        </w:rPr>
      </w:pPr>
      <w:r w:rsidRPr="00EB2187">
        <w:rPr>
          <w:rFonts w:ascii="Times New Roman" w:hAnsi="Times New Roman" w:cs="Times New Roman"/>
          <w:color w:val="auto"/>
          <w:sz w:val="24"/>
          <w:szCs w:val="24"/>
        </w:rPr>
        <w:t>Un accent particular va fi pus pe monitorizarea dimensiunii sociale și a principiului „Nimeni să nu fie lăsat în urmă (LNOB)”, inclusiv asupra impactului măsurilor asupra grupurilor vulnerabile și a legăturii dintre riscuri de mediu și mobilitatea umană.</w:t>
      </w:r>
    </w:p>
    <w:p w14:paraId="3567EB52" w14:textId="44A93F33" w:rsidR="004325A0" w:rsidRPr="00CD2ADD" w:rsidRDefault="004325A0" w:rsidP="00E5345D">
      <w:pPr>
        <w:pStyle w:val="Heading1"/>
        <w:spacing w:before="0"/>
        <w:jc w:val="center"/>
        <w:rPr>
          <w:rFonts w:ascii="Times New Roman" w:hAnsi="Times New Roman" w:cs="Times New Roman"/>
          <w:b/>
          <w:bCs w:val="0"/>
          <w:color w:val="000000" w:themeColor="text1"/>
          <w:sz w:val="24"/>
          <w:szCs w:val="24"/>
        </w:rPr>
      </w:pPr>
      <w:r w:rsidRPr="00CD2ADD">
        <w:rPr>
          <w:rFonts w:ascii="Times New Roman" w:hAnsi="Times New Roman" w:cs="Times New Roman"/>
          <w:b/>
          <w:bCs w:val="0"/>
          <w:color w:val="000000" w:themeColor="text1"/>
          <w:sz w:val="24"/>
          <w:szCs w:val="24"/>
        </w:rPr>
        <w:t>Capitolul V</w:t>
      </w:r>
    </w:p>
    <w:p w14:paraId="5A751B82" w14:textId="49972A06" w:rsidR="004325A0" w:rsidRPr="00CD2ADD" w:rsidRDefault="004325A0" w:rsidP="00E5345D">
      <w:pPr>
        <w:pStyle w:val="Heading1"/>
        <w:spacing w:before="0"/>
        <w:jc w:val="center"/>
        <w:rPr>
          <w:rFonts w:ascii="Times New Roman" w:hAnsi="Times New Roman" w:cs="Times New Roman"/>
          <w:b/>
          <w:bCs w:val="0"/>
          <w:color w:val="000000" w:themeColor="text1"/>
          <w:sz w:val="24"/>
          <w:szCs w:val="24"/>
        </w:rPr>
      </w:pPr>
      <w:r w:rsidRPr="00CD2ADD">
        <w:rPr>
          <w:rFonts w:ascii="Times New Roman" w:hAnsi="Times New Roman" w:cs="Times New Roman"/>
          <w:b/>
          <w:bCs w:val="0"/>
          <w:color w:val="000000" w:themeColor="text1"/>
          <w:sz w:val="24"/>
          <w:szCs w:val="24"/>
        </w:rPr>
        <w:t>IMPACT</w:t>
      </w:r>
    </w:p>
    <w:bookmarkEnd w:id="85"/>
    <w:p w14:paraId="635ADD27" w14:textId="27C86323" w:rsidR="00AE1319" w:rsidRPr="00EB2187" w:rsidRDefault="00073F90" w:rsidP="00EB2187">
      <w:pPr>
        <w:pStyle w:val="ListParagraph"/>
        <w:numPr>
          <w:ilvl w:val="0"/>
          <w:numId w:val="56"/>
        </w:numPr>
        <w:spacing w:after="120"/>
        <w:ind w:left="0" w:firstLine="142"/>
        <w:jc w:val="both"/>
        <w:rPr>
          <w:rFonts w:ascii="Times New Roman" w:hAnsi="Times New Roman" w:cs="Times New Roman"/>
          <w:color w:val="auto"/>
          <w:sz w:val="24"/>
          <w:szCs w:val="24"/>
        </w:rPr>
      </w:pPr>
      <w:r w:rsidRPr="00EB2187">
        <w:rPr>
          <w:rFonts w:ascii="Times New Roman" w:hAnsi="Times New Roman" w:cs="Times New Roman"/>
          <w:color w:val="auto"/>
          <w:sz w:val="24"/>
          <w:szCs w:val="24"/>
        </w:rPr>
        <w:t xml:space="preserve">Implementarea </w:t>
      </w:r>
      <w:r w:rsidR="00095B10" w:rsidRPr="00EB2187">
        <w:rPr>
          <w:rFonts w:ascii="Times New Roman" w:hAnsi="Times New Roman" w:cs="Times New Roman"/>
          <w:color w:val="auto"/>
          <w:sz w:val="24"/>
          <w:szCs w:val="24"/>
        </w:rPr>
        <w:t>PNRRD</w:t>
      </w:r>
      <w:r w:rsidR="002F2B27" w:rsidRPr="00EB2187">
        <w:rPr>
          <w:rFonts w:ascii="Times New Roman" w:hAnsi="Times New Roman" w:cs="Times New Roman"/>
          <w:color w:val="auto"/>
          <w:sz w:val="24"/>
          <w:szCs w:val="24"/>
        </w:rPr>
        <w:t>N</w:t>
      </w:r>
      <w:r w:rsidRPr="00EB2187">
        <w:rPr>
          <w:rFonts w:ascii="Times New Roman" w:hAnsi="Times New Roman" w:cs="Times New Roman"/>
          <w:color w:val="auto"/>
          <w:sz w:val="24"/>
          <w:szCs w:val="24"/>
        </w:rPr>
        <w:t xml:space="preserve"> va avea un impact semnificativ asupra capacității Republicii Moldova de a preveni, anticipa, gestiona și atenua efectele dezastrelor naturale asupra sectorului de mediu</w:t>
      </w:r>
      <w:r w:rsidR="002827E5" w:rsidRPr="00EB2187">
        <w:rPr>
          <w:rFonts w:ascii="Times New Roman" w:hAnsi="Times New Roman" w:cs="Times New Roman"/>
          <w:color w:val="auto"/>
          <w:sz w:val="24"/>
          <w:szCs w:val="24"/>
        </w:rPr>
        <w:t>, si a dezvoltării umane ca si scop suprem.</w:t>
      </w:r>
      <w:r w:rsidRPr="00EB2187">
        <w:rPr>
          <w:rFonts w:ascii="Times New Roman" w:hAnsi="Times New Roman" w:cs="Times New Roman"/>
          <w:color w:val="auto"/>
          <w:sz w:val="24"/>
          <w:szCs w:val="24"/>
        </w:rPr>
        <w:t xml:space="preserve"> Acest program va contribui în mod direct la consolidarea rezilienței ecosistemelor, infrastructurii ecologice și instituțiilor din domeniul protecției mediului în fața riscurilor în creștere generate de schimbările climatice, degradarea solului, poluare.</w:t>
      </w:r>
      <w:r w:rsidR="00537E85" w:rsidRPr="00EB2187">
        <w:rPr>
          <w:rFonts w:ascii="Times New Roman" w:hAnsi="Times New Roman" w:cs="Times New Roman"/>
          <w:color w:val="auto"/>
          <w:sz w:val="24"/>
          <w:szCs w:val="24"/>
        </w:rPr>
        <w:t xml:space="preserve"> În plus, PNNRD</w:t>
      </w:r>
      <w:r w:rsidR="002F2B27" w:rsidRPr="00EB2187">
        <w:rPr>
          <w:rFonts w:ascii="Times New Roman" w:hAnsi="Times New Roman" w:cs="Times New Roman"/>
          <w:color w:val="auto"/>
          <w:sz w:val="24"/>
          <w:szCs w:val="24"/>
        </w:rPr>
        <w:t>N</w:t>
      </w:r>
      <w:r w:rsidR="00537E85" w:rsidRPr="00EB2187">
        <w:rPr>
          <w:rFonts w:ascii="Times New Roman" w:hAnsi="Times New Roman" w:cs="Times New Roman"/>
          <w:color w:val="auto"/>
          <w:sz w:val="24"/>
          <w:szCs w:val="24"/>
        </w:rPr>
        <w:t xml:space="preserve"> va contribui si la creșterea rezilienței comunităților si a capacității lor de a face fata provocărilor cauzate de dimensiunea de criza a mobilității umane</w:t>
      </w:r>
      <w:r w:rsidR="00095B10" w:rsidRPr="00EB2187">
        <w:rPr>
          <w:rFonts w:ascii="Times New Roman" w:hAnsi="Times New Roman" w:cs="Times New Roman"/>
          <w:color w:val="auto"/>
          <w:sz w:val="24"/>
          <w:szCs w:val="24"/>
        </w:rPr>
        <w:t xml:space="preserve"> </w:t>
      </w:r>
      <w:r w:rsidRPr="00EB2187">
        <w:rPr>
          <w:rFonts w:ascii="Times New Roman" w:hAnsi="Times New Roman" w:cs="Times New Roman"/>
          <w:color w:val="auto"/>
          <w:sz w:val="24"/>
          <w:szCs w:val="24"/>
        </w:rPr>
        <w:t>Impactul programului se va manifesta pe multiple planuri, incluzând următoarele dimensiuni-cheie:</w:t>
      </w:r>
    </w:p>
    <w:p w14:paraId="28F56931" w14:textId="63FA9906" w:rsidR="00073F90" w:rsidRPr="00EB2187" w:rsidRDefault="00073F90" w:rsidP="00EB2187">
      <w:pPr>
        <w:pStyle w:val="ListParagraph"/>
        <w:numPr>
          <w:ilvl w:val="0"/>
          <w:numId w:val="57"/>
        </w:numPr>
        <w:spacing w:after="120"/>
        <w:jc w:val="both"/>
        <w:rPr>
          <w:rStyle w:val="IntenseEmphasis"/>
          <w:rFonts w:ascii="Times New Roman" w:hAnsi="Times New Roman" w:cs="Times New Roman"/>
          <w:color w:val="auto"/>
          <w:sz w:val="24"/>
          <w:szCs w:val="24"/>
        </w:rPr>
      </w:pPr>
      <w:r w:rsidRPr="00EB2187">
        <w:rPr>
          <w:rStyle w:val="IntenseEmphasis"/>
          <w:rFonts w:ascii="Times New Roman" w:eastAsiaTheme="majorEastAsia" w:hAnsi="Times New Roman" w:cs="Times New Roman"/>
          <w:color w:val="auto"/>
          <w:sz w:val="24"/>
          <w:szCs w:val="24"/>
        </w:rPr>
        <w:t>Îmbunătățirea guvernanței riscurilor climatice și de mediu</w:t>
      </w:r>
    </w:p>
    <w:p w14:paraId="1FE3E5D2" w14:textId="4F2DC5F4" w:rsidR="00095B10" w:rsidRPr="00EB2187" w:rsidRDefault="00073F90" w:rsidP="00EB2187">
      <w:pPr>
        <w:pStyle w:val="ListParagraph"/>
        <w:numPr>
          <w:ilvl w:val="0"/>
          <w:numId w:val="14"/>
        </w:numPr>
        <w:spacing w:after="120"/>
        <w:ind w:left="0" w:firstLine="360"/>
        <w:jc w:val="both"/>
        <w:rPr>
          <w:rFonts w:ascii="Times New Roman" w:hAnsi="Times New Roman" w:cs="Times New Roman"/>
          <w:color w:val="auto"/>
          <w:sz w:val="24"/>
          <w:szCs w:val="24"/>
        </w:rPr>
      </w:pPr>
      <w:r w:rsidRPr="00EB2187">
        <w:rPr>
          <w:rFonts w:ascii="Times New Roman" w:hAnsi="Times New Roman" w:cs="Times New Roman"/>
          <w:color w:val="auto"/>
          <w:sz w:val="24"/>
          <w:szCs w:val="24"/>
        </w:rPr>
        <w:t xml:space="preserve">Crearea unui cadru instituțional coerent și operațional pentru integrarea riscului de dezastru în toate politicile relevante de mediu, climă, resurse de apă, </w:t>
      </w:r>
      <w:r w:rsidR="00D06E40" w:rsidRPr="00EB2187">
        <w:rPr>
          <w:rFonts w:ascii="Times New Roman" w:hAnsi="Times New Roman" w:cs="Times New Roman"/>
          <w:color w:val="auto"/>
          <w:sz w:val="24"/>
          <w:szCs w:val="24"/>
        </w:rPr>
        <w:t>resurse forestiere, sol,</w:t>
      </w:r>
      <w:r w:rsidRPr="00EB2187">
        <w:rPr>
          <w:rFonts w:ascii="Times New Roman" w:hAnsi="Times New Roman" w:cs="Times New Roman"/>
          <w:color w:val="auto"/>
          <w:sz w:val="24"/>
          <w:szCs w:val="24"/>
        </w:rPr>
        <w:t xml:space="preserve"> biodiversitate planificare teritorială</w:t>
      </w:r>
      <w:r w:rsidR="00EF4EE5" w:rsidRPr="00EB2187">
        <w:rPr>
          <w:rFonts w:ascii="Times New Roman" w:hAnsi="Times New Roman" w:cs="Times New Roman"/>
          <w:color w:val="auto"/>
          <w:sz w:val="24"/>
          <w:szCs w:val="24"/>
        </w:rPr>
        <w:t xml:space="preserve"> și politici relevante in domeniul migrație</w:t>
      </w:r>
      <w:r w:rsidR="00095B10" w:rsidRPr="00EB2187">
        <w:rPr>
          <w:rFonts w:ascii="Times New Roman" w:hAnsi="Times New Roman" w:cs="Times New Roman"/>
          <w:color w:val="auto"/>
          <w:sz w:val="24"/>
          <w:szCs w:val="24"/>
        </w:rPr>
        <w:t>,</w:t>
      </w:r>
      <w:r w:rsidR="00EF4EE5" w:rsidRPr="00EB2187">
        <w:rPr>
          <w:rFonts w:ascii="Times New Roman" w:hAnsi="Times New Roman" w:cs="Times New Roman"/>
          <w:color w:val="auto"/>
          <w:sz w:val="24"/>
          <w:szCs w:val="24"/>
        </w:rPr>
        <w:t xml:space="preserve"> strămutării sau mobilității umane. </w:t>
      </w:r>
    </w:p>
    <w:p w14:paraId="31B59886" w14:textId="5A1FB801" w:rsidR="00095B10" w:rsidRPr="00EB2187" w:rsidRDefault="00073F90" w:rsidP="00EB2187">
      <w:pPr>
        <w:pStyle w:val="ListParagraph"/>
        <w:numPr>
          <w:ilvl w:val="0"/>
          <w:numId w:val="14"/>
        </w:numPr>
        <w:spacing w:after="120"/>
        <w:ind w:left="0" w:firstLine="360"/>
        <w:jc w:val="both"/>
        <w:rPr>
          <w:rFonts w:ascii="Times New Roman" w:hAnsi="Times New Roman" w:cs="Times New Roman"/>
          <w:color w:val="auto"/>
          <w:sz w:val="24"/>
          <w:szCs w:val="24"/>
        </w:rPr>
      </w:pPr>
      <w:r w:rsidRPr="00EB2187">
        <w:rPr>
          <w:rFonts w:ascii="Times New Roman" w:hAnsi="Times New Roman" w:cs="Times New Roman"/>
          <w:color w:val="auto"/>
          <w:sz w:val="24"/>
          <w:szCs w:val="24"/>
        </w:rPr>
        <w:t xml:space="preserve">Consolidarea rolului Ministerului Mediului și al instituțiilor subordonate (SHS, </w:t>
      </w:r>
      <w:r w:rsidR="002F2B27" w:rsidRPr="00EB2187">
        <w:rPr>
          <w:rFonts w:ascii="Times New Roman" w:hAnsi="Times New Roman" w:cs="Times New Roman"/>
          <w:color w:val="auto"/>
          <w:sz w:val="24"/>
          <w:szCs w:val="24"/>
        </w:rPr>
        <w:t>Agenția ,,</w:t>
      </w:r>
      <w:r w:rsidRPr="00EB2187">
        <w:rPr>
          <w:rFonts w:ascii="Times New Roman" w:hAnsi="Times New Roman" w:cs="Times New Roman"/>
          <w:color w:val="auto"/>
          <w:sz w:val="24"/>
          <w:szCs w:val="24"/>
        </w:rPr>
        <w:t>Moldsilva</w:t>
      </w:r>
      <w:r w:rsidR="002F2B27" w:rsidRPr="00EB2187">
        <w:rPr>
          <w:rFonts w:ascii="Times New Roman" w:hAnsi="Times New Roman" w:cs="Times New Roman"/>
          <w:color w:val="auto"/>
          <w:sz w:val="24"/>
          <w:szCs w:val="24"/>
        </w:rPr>
        <w:t>”</w:t>
      </w:r>
      <w:r w:rsidRPr="00EB2187">
        <w:rPr>
          <w:rFonts w:ascii="Times New Roman" w:hAnsi="Times New Roman" w:cs="Times New Roman"/>
          <w:color w:val="auto"/>
          <w:sz w:val="24"/>
          <w:szCs w:val="24"/>
        </w:rPr>
        <w:t xml:space="preserve">, </w:t>
      </w:r>
      <w:r w:rsidR="004D250C" w:rsidRPr="00EB2187">
        <w:rPr>
          <w:rFonts w:ascii="Times New Roman" w:hAnsi="Times New Roman" w:cs="Times New Roman"/>
          <w:color w:val="auto"/>
          <w:sz w:val="24"/>
          <w:szCs w:val="24"/>
        </w:rPr>
        <w:t>Instituția Publică Administrația Națională “Apele Moldovei”</w:t>
      </w:r>
      <w:r w:rsidR="00EE3F0E" w:rsidRPr="00EB2187">
        <w:rPr>
          <w:rFonts w:ascii="Times New Roman" w:hAnsi="Times New Roman" w:cs="Times New Roman"/>
          <w:color w:val="auto"/>
          <w:sz w:val="24"/>
          <w:szCs w:val="24"/>
        </w:rPr>
        <w:t>”</w:t>
      </w:r>
      <w:r w:rsidRPr="00EB2187">
        <w:rPr>
          <w:rFonts w:ascii="Times New Roman" w:hAnsi="Times New Roman" w:cs="Times New Roman"/>
          <w:color w:val="auto"/>
          <w:sz w:val="24"/>
          <w:szCs w:val="24"/>
        </w:rPr>
        <w:t xml:space="preserve">, Agenția de Mediu) în gestionarea riscurilor </w:t>
      </w:r>
      <w:r w:rsidR="00EE3F0E" w:rsidRPr="00EB2187">
        <w:rPr>
          <w:rFonts w:ascii="Times New Roman" w:hAnsi="Times New Roman" w:cs="Times New Roman"/>
          <w:color w:val="auto"/>
          <w:sz w:val="24"/>
          <w:szCs w:val="24"/>
        </w:rPr>
        <w:t xml:space="preserve">dezastrelor naturale și </w:t>
      </w:r>
      <w:r w:rsidRPr="00EB2187">
        <w:rPr>
          <w:rFonts w:ascii="Times New Roman" w:hAnsi="Times New Roman" w:cs="Times New Roman"/>
          <w:color w:val="auto"/>
          <w:sz w:val="24"/>
          <w:szCs w:val="24"/>
        </w:rPr>
        <w:t>climatice</w:t>
      </w:r>
      <w:r w:rsidR="00095B10" w:rsidRPr="00EB2187">
        <w:rPr>
          <w:rFonts w:ascii="Times New Roman" w:hAnsi="Times New Roman" w:cs="Times New Roman"/>
          <w:color w:val="auto"/>
          <w:sz w:val="24"/>
          <w:szCs w:val="24"/>
        </w:rPr>
        <w:t>,</w:t>
      </w:r>
    </w:p>
    <w:p w14:paraId="1F44CA8C" w14:textId="74711813" w:rsidR="00073F90" w:rsidRPr="00EB2187" w:rsidRDefault="00073F90" w:rsidP="00EB2187">
      <w:pPr>
        <w:pStyle w:val="ListParagraph"/>
        <w:numPr>
          <w:ilvl w:val="0"/>
          <w:numId w:val="14"/>
        </w:numPr>
        <w:spacing w:after="120"/>
        <w:ind w:left="0" w:firstLine="360"/>
        <w:jc w:val="both"/>
        <w:rPr>
          <w:rFonts w:ascii="Times New Roman" w:hAnsi="Times New Roman" w:cs="Times New Roman"/>
          <w:color w:val="auto"/>
          <w:sz w:val="24"/>
          <w:szCs w:val="24"/>
        </w:rPr>
      </w:pPr>
      <w:r w:rsidRPr="00EB2187">
        <w:rPr>
          <w:rFonts w:ascii="Times New Roman" w:hAnsi="Times New Roman" w:cs="Times New Roman"/>
          <w:color w:val="auto"/>
          <w:sz w:val="24"/>
          <w:szCs w:val="24"/>
        </w:rPr>
        <w:t>Clarificarea responsabilităților, îmbunătățirea cooperării interinstituționale și operaționalizarea unor mecanisme durabile de coordonare, inclusiv prin Platforma RRD sectorială.</w:t>
      </w:r>
    </w:p>
    <w:p w14:paraId="2D1B2ED5" w14:textId="418665C3" w:rsidR="00073F90" w:rsidRPr="00EB2187" w:rsidRDefault="00073F90" w:rsidP="00EB2187">
      <w:pPr>
        <w:pStyle w:val="ListParagraph"/>
        <w:numPr>
          <w:ilvl w:val="0"/>
          <w:numId w:val="57"/>
        </w:numPr>
        <w:spacing w:after="120"/>
        <w:jc w:val="both"/>
        <w:rPr>
          <w:rStyle w:val="IntenseEmphasis"/>
          <w:rFonts w:ascii="Times New Roman" w:hAnsi="Times New Roman" w:cs="Times New Roman"/>
          <w:color w:val="auto"/>
          <w:sz w:val="24"/>
          <w:szCs w:val="24"/>
        </w:rPr>
      </w:pPr>
      <w:r w:rsidRPr="00EB2187">
        <w:rPr>
          <w:rStyle w:val="IntenseEmphasis"/>
          <w:rFonts w:ascii="Times New Roman" w:eastAsiaTheme="majorEastAsia" w:hAnsi="Times New Roman" w:cs="Times New Roman"/>
          <w:color w:val="auto"/>
          <w:sz w:val="24"/>
          <w:szCs w:val="24"/>
        </w:rPr>
        <w:t xml:space="preserve">Reducerea vulnerabilităților și protejarea ecosistemelor </w:t>
      </w:r>
      <w:r w:rsidR="00D06E40" w:rsidRPr="00EB2187">
        <w:rPr>
          <w:rStyle w:val="IntenseEmphasis"/>
          <w:rFonts w:ascii="Times New Roman" w:eastAsiaTheme="majorEastAsia" w:hAnsi="Times New Roman" w:cs="Times New Roman"/>
          <w:color w:val="auto"/>
          <w:sz w:val="24"/>
          <w:szCs w:val="24"/>
        </w:rPr>
        <w:t xml:space="preserve">cheie </w:t>
      </w:r>
    </w:p>
    <w:p w14:paraId="74398707" w14:textId="32C02685" w:rsidR="00095B10" w:rsidRPr="00EB2187" w:rsidRDefault="00DB5CA8" w:rsidP="00EB2187">
      <w:pPr>
        <w:pStyle w:val="ListParagraph"/>
        <w:numPr>
          <w:ilvl w:val="0"/>
          <w:numId w:val="15"/>
        </w:numPr>
        <w:spacing w:after="120"/>
        <w:ind w:left="0" w:firstLine="360"/>
        <w:jc w:val="both"/>
        <w:rPr>
          <w:rFonts w:ascii="Times New Roman" w:hAnsi="Times New Roman" w:cs="Times New Roman"/>
          <w:color w:val="auto"/>
          <w:sz w:val="24"/>
          <w:szCs w:val="24"/>
        </w:rPr>
      </w:pPr>
      <w:r w:rsidRPr="00EB2187">
        <w:rPr>
          <w:rFonts w:ascii="Times New Roman" w:hAnsi="Times New Roman" w:cs="Times New Roman"/>
          <w:color w:val="auto"/>
          <w:sz w:val="24"/>
          <w:szCs w:val="24"/>
        </w:rPr>
        <w:t>C</w:t>
      </w:r>
      <w:r w:rsidR="00073F90" w:rsidRPr="00EB2187">
        <w:rPr>
          <w:rFonts w:ascii="Times New Roman" w:hAnsi="Times New Roman" w:cs="Times New Roman"/>
          <w:color w:val="auto"/>
          <w:sz w:val="24"/>
          <w:szCs w:val="24"/>
        </w:rPr>
        <w:t xml:space="preserve">reșterea rezilienței bazinelor hidrografice, zonelor forestiere și terenurilor </w:t>
      </w:r>
      <w:r w:rsidR="00E55D42" w:rsidRPr="00EB2187">
        <w:rPr>
          <w:rFonts w:ascii="Times New Roman" w:hAnsi="Times New Roman" w:cs="Times New Roman"/>
          <w:color w:val="auto"/>
          <w:sz w:val="24"/>
          <w:szCs w:val="24"/>
        </w:rPr>
        <w:t xml:space="preserve">agricole </w:t>
      </w:r>
      <w:r w:rsidR="00073F90" w:rsidRPr="00EB2187">
        <w:rPr>
          <w:rFonts w:ascii="Times New Roman" w:hAnsi="Times New Roman" w:cs="Times New Roman"/>
          <w:color w:val="auto"/>
          <w:sz w:val="24"/>
          <w:szCs w:val="24"/>
        </w:rPr>
        <w:t>degradate</w:t>
      </w:r>
      <w:r w:rsidRPr="00EB2187">
        <w:rPr>
          <w:rFonts w:ascii="Times New Roman" w:hAnsi="Times New Roman" w:cs="Times New Roman"/>
          <w:color w:val="auto"/>
          <w:sz w:val="24"/>
          <w:szCs w:val="24"/>
        </w:rPr>
        <w:t xml:space="preserve"> </w:t>
      </w:r>
      <w:r w:rsidR="00E55D42" w:rsidRPr="00EB2187">
        <w:rPr>
          <w:rFonts w:ascii="Times New Roman" w:hAnsi="Times New Roman" w:cs="Times New Roman"/>
          <w:color w:val="auto"/>
          <w:sz w:val="24"/>
          <w:szCs w:val="24"/>
        </w:rPr>
        <w:t xml:space="preserve">expuse </w:t>
      </w:r>
      <w:r w:rsidRPr="00EB2187">
        <w:rPr>
          <w:rFonts w:ascii="Times New Roman" w:hAnsi="Times New Roman" w:cs="Times New Roman"/>
          <w:color w:val="auto"/>
          <w:sz w:val="24"/>
          <w:szCs w:val="24"/>
        </w:rPr>
        <w:t xml:space="preserve">la </w:t>
      </w:r>
      <w:r w:rsidR="00E55D42" w:rsidRPr="00EB2187">
        <w:rPr>
          <w:rFonts w:ascii="Times New Roman" w:hAnsi="Times New Roman" w:cs="Times New Roman"/>
          <w:color w:val="auto"/>
          <w:sz w:val="24"/>
          <w:szCs w:val="24"/>
        </w:rPr>
        <w:t xml:space="preserve">riscuri de </w:t>
      </w:r>
      <w:r w:rsidRPr="00EB2187">
        <w:rPr>
          <w:rFonts w:ascii="Times New Roman" w:hAnsi="Times New Roman" w:cs="Times New Roman"/>
          <w:color w:val="auto"/>
          <w:sz w:val="24"/>
          <w:szCs w:val="24"/>
        </w:rPr>
        <w:t>dezastre naturale</w:t>
      </w:r>
      <w:r w:rsidR="00095B10" w:rsidRPr="00EB2187">
        <w:rPr>
          <w:rFonts w:ascii="Times New Roman" w:hAnsi="Times New Roman" w:cs="Times New Roman"/>
          <w:color w:val="auto"/>
          <w:sz w:val="24"/>
          <w:szCs w:val="24"/>
        </w:rPr>
        <w:t>,</w:t>
      </w:r>
    </w:p>
    <w:p w14:paraId="1DD852DE" w14:textId="3E8A2562" w:rsidR="00095B10" w:rsidRPr="00EB2187" w:rsidRDefault="00DB5CA8" w:rsidP="00EB2187">
      <w:pPr>
        <w:pStyle w:val="ListParagraph"/>
        <w:numPr>
          <w:ilvl w:val="0"/>
          <w:numId w:val="15"/>
        </w:numPr>
        <w:spacing w:after="120"/>
        <w:ind w:left="0" w:firstLine="360"/>
        <w:jc w:val="both"/>
        <w:rPr>
          <w:rFonts w:ascii="Times New Roman" w:hAnsi="Times New Roman" w:cs="Times New Roman"/>
          <w:color w:val="auto"/>
          <w:sz w:val="24"/>
          <w:szCs w:val="24"/>
        </w:rPr>
      </w:pPr>
      <w:r w:rsidRPr="00EB2187">
        <w:rPr>
          <w:rFonts w:ascii="Times New Roman" w:hAnsi="Times New Roman" w:cs="Times New Roman"/>
          <w:color w:val="auto"/>
          <w:sz w:val="24"/>
          <w:szCs w:val="24"/>
        </w:rPr>
        <w:t>P</w:t>
      </w:r>
      <w:r w:rsidR="00073F90" w:rsidRPr="00EB2187">
        <w:rPr>
          <w:rFonts w:ascii="Times New Roman" w:hAnsi="Times New Roman" w:cs="Times New Roman"/>
          <w:color w:val="auto"/>
          <w:sz w:val="24"/>
          <w:szCs w:val="24"/>
        </w:rPr>
        <w:t>revenire</w:t>
      </w:r>
      <w:r w:rsidRPr="00EB2187">
        <w:rPr>
          <w:rFonts w:ascii="Times New Roman" w:hAnsi="Times New Roman" w:cs="Times New Roman"/>
          <w:color w:val="auto"/>
          <w:sz w:val="24"/>
          <w:szCs w:val="24"/>
        </w:rPr>
        <w:t>a</w:t>
      </w:r>
      <w:r w:rsidR="00D06E40" w:rsidRPr="00EB2187">
        <w:rPr>
          <w:rFonts w:ascii="Times New Roman" w:hAnsi="Times New Roman" w:cs="Times New Roman"/>
          <w:color w:val="auto"/>
          <w:sz w:val="24"/>
          <w:szCs w:val="24"/>
        </w:rPr>
        <w:t xml:space="preserve"> </w:t>
      </w:r>
      <w:r w:rsidRPr="00EB2187">
        <w:rPr>
          <w:rFonts w:ascii="Times New Roman" w:hAnsi="Times New Roman" w:cs="Times New Roman"/>
          <w:color w:val="auto"/>
          <w:sz w:val="24"/>
          <w:szCs w:val="24"/>
        </w:rPr>
        <w:t xml:space="preserve">și combaterea </w:t>
      </w:r>
      <w:r w:rsidR="00073F90" w:rsidRPr="00EB2187">
        <w:rPr>
          <w:rFonts w:ascii="Times New Roman" w:hAnsi="Times New Roman" w:cs="Times New Roman"/>
          <w:color w:val="auto"/>
          <w:sz w:val="24"/>
          <w:szCs w:val="24"/>
        </w:rPr>
        <w:t xml:space="preserve"> eroziunii solulu</w:t>
      </w:r>
      <w:r w:rsidR="00845FEB" w:rsidRPr="00EB2187">
        <w:rPr>
          <w:rFonts w:ascii="Times New Roman" w:hAnsi="Times New Roman" w:cs="Times New Roman"/>
          <w:color w:val="auto"/>
          <w:sz w:val="24"/>
          <w:szCs w:val="24"/>
        </w:rPr>
        <w:t xml:space="preserve">i prin </w:t>
      </w:r>
      <w:r w:rsidR="00073F90" w:rsidRPr="00EB2187">
        <w:rPr>
          <w:rFonts w:ascii="Times New Roman" w:hAnsi="Times New Roman" w:cs="Times New Roman"/>
          <w:color w:val="auto"/>
          <w:sz w:val="24"/>
          <w:szCs w:val="24"/>
        </w:rPr>
        <w:t>reîmpădurire</w:t>
      </w:r>
      <w:r w:rsidR="00001F0E" w:rsidRPr="00EB2187">
        <w:rPr>
          <w:rFonts w:ascii="Times New Roman" w:hAnsi="Times New Roman" w:cs="Times New Roman"/>
          <w:color w:val="auto"/>
          <w:sz w:val="24"/>
          <w:szCs w:val="24"/>
        </w:rPr>
        <w:t xml:space="preserve"> sau aplicare</w:t>
      </w:r>
      <w:r w:rsidR="00845FEB" w:rsidRPr="00EB2187">
        <w:rPr>
          <w:rFonts w:ascii="Times New Roman" w:hAnsi="Times New Roman" w:cs="Times New Roman"/>
          <w:color w:val="auto"/>
          <w:sz w:val="24"/>
          <w:szCs w:val="24"/>
        </w:rPr>
        <w:t xml:space="preserve"> de</w:t>
      </w:r>
      <w:r w:rsidR="00001F0E" w:rsidRPr="00EB2187">
        <w:rPr>
          <w:rFonts w:ascii="Times New Roman" w:hAnsi="Times New Roman" w:cs="Times New Roman"/>
          <w:color w:val="auto"/>
          <w:sz w:val="24"/>
          <w:szCs w:val="24"/>
        </w:rPr>
        <w:t xml:space="preserve"> masuri de restaurare</w:t>
      </w:r>
      <w:r w:rsidR="00073F90" w:rsidRPr="00EB2187">
        <w:rPr>
          <w:rFonts w:ascii="Times New Roman" w:hAnsi="Times New Roman" w:cs="Times New Roman"/>
          <w:color w:val="auto"/>
          <w:sz w:val="24"/>
          <w:szCs w:val="24"/>
        </w:rPr>
        <w:t xml:space="preserve"> (ex. fâșii riverane, perdele forestiere, păduri ripariene) în zone expuse</w:t>
      </w:r>
      <w:r w:rsidR="00001F0E" w:rsidRPr="00EB2187">
        <w:rPr>
          <w:rFonts w:ascii="Times New Roman" w:hAnsi="Times New Roman" w:cs="Times New Roman"/>
          <w:color w:val="auto"/>
          <w:sz w:val="24"/>
          <w:szCs w:val="24"/>
        </w:rPr>
        <w:t xml:space="preserve"> riscurilor naturale identificate in PNRRD</w:t>
      </w:r>
      <w:r w:rsidR="00095B10" w:rsidRPr="00EB2187">
        <w:rPr>
          <w:rFonts w:ascii="Times New Roman" w:hAnsi="Times New Roman" w:cs="Times New Roman"/>
          <w:color w:val="auto"/>
          <w:sz w:val="24"/>
          <w:szCs w:val="24"/>
        </w:rPr>
        <w:t xml:space="preserve">, </w:t>
      </w:r>
    </w:p>
    <w:p w14:paraId="19AD3FCF" w14:textId="559059F8" w:rsidR="00073F90" w:rsidRPr="00EB2187" w:rsidRDefault="00073F90" w:rsidP="00EB2187">
      <w:pPr>
        <w:pStyle w:val="ListParagraph"/>
        <w:numPr>
          <w:ilvl w:val="0"/>
          <w:numId w:val="15"/>
        </w:numPr>
        <w:spacing w:after="120"/>
        <w:ind w:left="0" w:firstLine="426"/>
        <w:jc w:val="both"/>
        <w:rPr>
          <w:rFonts w:ascii="Times New Roman" w:hAnsi="Times New Roman" w:cs="Times New Roman"/>
          <w:color w:val="auto"/>
          <w:sz w:val="24"/>
          <w:szCs w:val="24"/>
        </w:rPr>
      </w:pPr>
      <w:r w:rsidRPr="00EB2187">
        <w:rPr>
          <w:rFonts w:ascii="Times New Roman" w:hAnsi="Times New Roman" w:cs="Times New Roman"/>
          <w:color w:val="auto"/>
          <w:sz w:val="24"/>
          <w:szCs w:val="24"/>
        </w:rPr>
        <w:t>Îmbunătățirea capacității ecosistemelor de a absorbi și atenua impactul fenomenelor climatice extreme (secetă, inundații, alunecări de teren, incendii de vegetație).</w:t>
      </w:r>
    </w:p>
    <w:p w14:paraId="2675A62B" w14:textId="0EAE631D" w:rsidR="00073F90" w:rsidRPr="00EB2187" w:rsidRDefault="00073F90" w:rsidP="00EB2187">
      <w:pPr>
        <w:pStyle w:val="ListParagraph"/>
        <w:numPr>
          <w:ilvl w:val="0"/>
          <w:numId w:val="57"/>
        </w:numPr>
        <w:spacing w:after="120"/>
        <w:jc w:val="both"/>
        <w:rPr>
          <w:rStyle w:val="IntenseEmphasis"/>
          <w:rFonts w:ascii="Times New Roman" w:hAnsi="Times New Roman" w:cs="Times New Roman"/>
          <w:color w:val="auto"/>
          <w:sz w:val="24"/>
          <w:szCs w:val="24"/>
        </w:rPr>
      </w:pPr>
      <w:r w:rsidRPr="00EB2187">
        <w:rPr>
          <w:rStyle w:val="IntenseEmphasis"/>
          <w:rFonts w:ascii="Times New Roman" w:eastAsiaTheme="majorEastAsia" w:hAnsi="Times New Roman" w:cs="Times New Roman"/>
          <w:color w:val="auto"/>
          <w:sz w:val="24"/>
          <w:szCs w:val="24"/>
        </w:rPr>
        <w:t>Creșterea capacității de anticipare, planificare și reacție rapidă</w:t>
      </w:r>
    </w:p>
    <w:p w14:paraId="452879E0" w14:textId="77777777" w:rsidR="00095B10" w:rsidRPr="00EB2187" w:rsidRDefault="00073F90" w:rsidP="00EB2187">
      <w:pPr>
        <w:pStyle w:val="ListParagraph"/>
        <w:numPr>
          <w:ilvl w:val="0"/>
          <w:numId w:val="16"/>
        </w:numPr>
        <w:spacing w:after="120"/>
        <w:ind w:left="0" w:firstLine="360"/>
        <w:jc w:val="both"/>
        <w:rPr>
          <w:rFonts w:ascii="Times New Roman" w:hAnsi="Times New Roman" w:cs="Times New Roman"/>
          <w:color w:val="auto"/>
          <w:sz w:val="24"/>
          <w:szCs w:val="24"/>
        </w:rPr>
      </w:pPr>
      <w:r w:rsidRPr="00EB2187">
        <w:rPr>
          <w:rFonts w:ascii="Times New Roman" w:hAnsi="Times New Roman" w:cs="Times New Roman"/>
          <w:color w:val="auto"/>
          <w:sz w:val="24"/>
          <w:szCs w:val="24"/>
        </w:rPr>
        <w:t>Dezvoltarea și utilizarea sistemelor geospațiale integrate pentru analiza și cartografierea riscurilor, interoperabile cu infrastructura națională de date spațiale</w:t>
      </w:r>
      <w:r w:rsidR="00095B10" w:rsidRPr="00EB2187">
        <w:rPr>
          <w:rFonts w:ascii="Times New Roman" w:hAnsi="Times New Roman" w:cs="Times New Roman"/>
          <w:color w:val="auto"/>
          <w:sz w:val="24"/>
          <w:szCs w:val="24"/>
        </w:rPr>
        <w:t xml:space="preserve">, </w:t>
      </w:r>
    </w:p>
    <w:p w14:paraId="3F28DE7F" w14:textId="77777777" w:rsidR="00095B10" w:rsidRPr="00EB2187" w:rsidRDefault="00073F90" w:rsidP="00EB2187">
      <w:pPr>
        <w:pStyle w:val="ListParagraph"/>
        <w:numPr>
          <w:ilvl w:val="0"/>
          <w:numId w:val="16"/>
        </w:numPr>
        <w:spacing w:after="120"/>
        <w:ind w:left="0" w:firstLine="360"/>
        <w:jc w:val="both"/>
        <w:rPr>
          <w:rFonts w:ascii="Times New Roman" w:hAnsi="Times New Roman" w:cs="Times New Roman"/>
          <w:color w:val="auto"/>
          <w:sz w:val="24"/>
          <w:szCs w:val="24"/>
        </w:rPr>
      </w:pPr>
      <w:r w:rsidRPr="00EB2187">
        <w:rPr>
          <w:rFonts w:ascii="Times New Roman" w:hAnsi="Times New Roman" w:cs="Times New Roman"/>
          <w:color w:val="auto"/>
          <w:sz w:val="24"/>
          <w:szCs w:val="24"/>
        </w:rPr>
        <w:t>Modernizarea sistemelor de avertizare timpurie pentru pericole climatice și de mediu prin consolidarea rețelei de monitorizare meteorologică, hidrologică și pedologică</w:t>
      </w:r>
      <w:r w:rsidR="00095B10" w:rsidRPr="00EB2187">
        <w:rPr>
          <w:rFonts w:ascii="Times New Roman" w:hAnsi="Times New Roman" w:cs="Times New Roman"/>
          <w:color w:val="auto"/>
          <w:sz w:val="24"/>
          <w:szCs w:val="24"/>
        </w:rPr>
        <w:t>,</w:t>
      </w:r>
    </w:p>
    <w:p w14:paraId="316B4A5E" w14:textId="7FAA310E" w:rsidR="00073F90" w:rsidRPr="00EB2187" w:rsidRDefault="00073F90" w:rsidP="00EB2187">
      <w:pPr>
        <w:pStyle w:val="ListParagraph"/>
        <w:numPr>
          <w:ilvl w:val="0"/>
          <w:numId w:val="16"/>
        </w:numPr>
        <w:spacing w:after="120"/>
        <w:ind w:left="0" w:firstLine="360"/>
        <w:jc w:val="both"/>
        <w:rPr>
          <w:rFonts w:ascii="Times New Roman" w:hAnsi="Times New Roman" w:cs="Times New Roman"/>
          <w:color w:val="auto"/>
          <w:sz w:val="24"/>
          <w:szCs w:val="24"/>
        </w:rPr>
      </w:pPr>
      <w:r w:rsidRPr="00EB2187">
        <w:rPr>
          <w:rFonts w:ascii="Times New Roman" w:hAnsi="Times New Roman" w:cs="Times New Roman"/>
          <w:color w:val="auto"/>
          <w:sz w:val="24"/>
          <w:szCs w:val="24"/>
        </w:rPr>
        <w:t>Îmbunătățirea planificării strategice și a capacității de reacție a autorităților de mediu la nivel local și central, prin elaborarea de planuri operaționale, testarea acestora și instruirea personalului.</w:t>
      </w:r>
    </w:p>
    <w:p w14:paraId="7C10C998" w14:textId="1DEC8415" w:rsidR="00073F90" w:rsidRPr="00EB2187" w:rsidRDefault="00073F90" w:rsidP="00EB2187">
      <w:pPr>
        <w:pStyle w:val="ListParagraph"/>
        <w:numPr>
          <w:ilvl w:val="0"/>
          <w:numId w:val="57"/>
        </w:numPr>
        <w:spacing w:after="120"/>
        <w:jc w:val="both"/>
        <w:rPr>
          <w:rStyle w:val="IntenseEmphasis"/>
          <w:rFonts w:ascii="Times New Roman" w:hAnsi="Times New Roman" w:cs="Times New Roman"/>
          <w:color w:val="auto"/>
          <w:sz w:val="24"/>
          <w:szCs w:val="24"/>
        </w:rPr>
      </w:pPr>
      <w:r w:rsidRPr="00EB2187">
        <w:rPr>
          <w:rStyle w:val="IntenseEmphasis"/>
          <w:rFonts w:ascii="Times New Roman" w:eastAsiaTheme="majorEastAsia" w:hAnsi="Times New Roman" w:cs="Times New Roman"/>
          <w:color w:val="auto"/>
          <w:sz w:val="24"/>
          <w:szCs w:val="24"/>
        </w:rPr>
        <w:t>Crearea unei culturi a riscului și mobilizarea comunităților</w:t>
      </w:r>
    </w:p>
    <w:p w14:paraId="31316548" w14:textId="054021EF" w:rsidR="00274E4F" w:rsidRPr="00EB2187" w:rsidRDefault="00073F90" w:rsidP="00EB2187">
      <w:pPr>
        <w:pStyle w:val="ListParagraph"/>
        <w:numPr>
          <w:ilvl w:val="0"/>
          <w:numId w:val="17"/>
        </w:numPr>
        <w:spacing w:after="120"/>
        <w:ind w:left="0" w:firstLine="360"/>
        <w:jc w:val="both"/>
        <w:rPr>
          <w:rFonts w:ascii="Times New Roman" w:hAnsi="Times New Roman" w:cs="Times New Roman"/>
          <w:color w:val="auto"/>
          <w:sz w:val="24"/>
          <w:szCs w:val="24"/>
        </w:rPr>
      </w:pPr>
      <w:r w:rsidRPr="00EB2187">
        <w:rPr>
          <w:rFonts w:ascii="Times New Roman" w:hAnsi="Times New Roman" w:cs="Times New Roman"/>
          <w:color w:val="auto"/>
          <w:sz w:val="24"/>
          <w:szCs w:val="24"/>
        </w:rPr>
        <w:t>Creșterea gradului de conștientizare a populației</w:t>
      </w:r>
      <w:r w:rsidR="00074047" w:rsidRPr="00EB2187">
        <w:rPr>
          <w:rFonts w:ascii="Times New Roman" w:hAnsi="Times New Roman" w:cs="Times New Roman"/>
          <w:color w:val="auto"/>
          <w:sz w:val="24"/>
          <w:szCs w:val="24"/>
        </w:rPr>
        <w:t>, inclusiv a diasporei</w:t>
      </w:r>
      <w:r w:rsidRPr="00EB2187">
        <w:rPr>
          <w:rFonts w:ascii="Times New Roman" w:hAnsi="Times New Roman" w:cs="Times New Roman"/>
          <w:color w:val="auto"/>
          <w:sz w:val="24"/>
          <w:szCs w:val="24"/>
        </w:rPr>
        <w:t xml:space="preserve"> cu privire la riscurile climatice și măsurile de prevenire prin campanii publice, educație școlară și implicarea</w:t>
      </w:r>
      <w:r w:rsidR="00074047" w:rsidRPr="00EB2187">
        <w:rPr>
          <w:rFonts w:ascii="Times New Roman" w:hAnsi="Times New Roman" w:cs="Times New Roman"/>
          <w:color w:val="auto"/>
          <w:sz w:val="24"/>
          <w:szCs w:val="24"/>
        </w:rPr>
        <w:t xml:space="preserve"> sectorului privat, </w:t>
      </w:r>
      <w:r w:rsidRPr="00EB2187">
        <w:rPr>
          <w:rFonts w:ascii="Times New Roman" w:hAnsi="Times New Roman" w:cs="Times New Roman"/>
          <w:color w:val="auto"/>
          <w:sz w:val="24"/>
          <w:szCs w:val="24"/>
        </w:rPr>
        <w:t xml:space="preserve"> actorilor locali</w:t>
      </w:r>
      <w:r w:rsidR="00790504" w:rsidRPr="00EB2187">
        <w:rPr>
          <w:rFonts w:ascii="Times New Roman" w:hAnsi="Times New Roman" w:cs="Times New Roman"/>
          <w:color w:val="auto"/>
          <w:sz w:val="24"/>
          <w:szCs w:val="24"/>
        </w:rPr>
        <w:t>,</w:t>
      </w:r>
    </w:p>
    <w:p w14:paraId="12B2D3E7" w14:textId="069E5B6D" w:rsidR="002F3C88" w:rsidRPr="00EB2187" w:rsidRDefault="00073F90" w:rsidP="00EB2187">
      <w:pPr>
        <w:pStyle w:val="ListParagraph"/>
        <w:numPr>
          <w:ilvl w:val="0"/>
          <w:numId w:val="17"/>
        </w:numPr>
        <w:spacing w:after="120"/>
        <w:ind w:left="0" w:firstLine="360"/>
        <w:jc w:val="both"/>
        <w:rPr>
          <w:rFonts w:ascii="Times New Roman" w:hAnsi="Times New Roman" w:cs="Times New Roman"/>
          <w:color w:val="auto"/>
          <w:sz w:val="24"/>
          <w:szCs w:val="24"/>
        </w:rPr>
      </w:pPr>
      <w:r w:rsidRPr="00EB2187">
        <w:rPr>
          <w:rFonts w:ascii="Times New Roman" w:hAnsi="Times New Roman" w:cs="Times New Roman"/>
          <w:color w:val="auto"/>
          <w:sz w:val="24"/>
          <w:szCs w:val="24"/>
        </w:rPr>
        <w:t>Includerea comunităților în procesul decizional, evaluarea percepțiilor și adaptarea intervențiilor la nevoile locale pentru a sprijini reziliența comunitară și adaptarea bazată pe ecosisteme.</w:t>
      </w:r>
      <w:r w:rsidR="00074047" w:rsidRPr="00EB2187">
        <w:rPr>
          <w:rFonts w:ascii="Times New Roman" w:hAnsi="Times New Roman" w:cs="Times New Roman"/>
          <w:color w:val="auto"/>
          <w:sz w:val="24"/>
          <w:szCs w:val="24"/>
        </w:rPr>
        <w:t xml:space="preserve"> Includerea adaptării la schimbările climatice ca prioritate distinctă în cadrul programelor naționale de finanțare existente, precum PARE 1+1, PARE 1+2 și DAR 1+3.</w:t>
      </w:r>
    </w:p>
    <w:p w14:paraId="64B8A692" w14:textId="2BC26F86" w:rsidR="00073F90" w:rsidRPr="00EB2187" w:rsidRDefault="00073F90" w:rsidP="00EB2187">
      <w:pPr>
        <w:pStyle w:val="ListParagraph"/>
        <w:numPr>
          <w:ilvl w:val="0"/>
          <w:numId w:val="57"/>
        </w:numPr>
        <w:spacing w:after="120"/>
        <w:jc w:val="both"/>
        <w:rPr>
          <w:rStyle w:val="IntenseEmphasis"/>
          <w:rFonts w:ascii="Times New Roman" w:hAnsi="Times New Roman" w:cs="Times New Roman"/>
          <w:color w:val="auto"/>
          <w:sz w:val="24"/>
          <w:szCs w:val="24"/>
        </w:rPr>
      </w:pPr>
      <w:r w:rsidRPr="00EB2187">
        <w:rPr>
          <w:rStyle w:val="IntenseEmphasis"/>
          <w:rFonts w:ascii="Times New Roman" w:eastAsiaTheme="majorEastAsia" w:hAnsi="Times New Roman" w:cs="Times New Roman"/>
          <w:color w:val="auto"/>
          <w:sz w:val="24"/>
          <w:szCs w:val="24"/>
        </w:rPr>
        <w:lastRenderedPageBreak/>
        <w:t>Generarea de co-beneficii climatice, economice și sociale</w:t>
      </w:r>
    </w:p>
    <w:p w14:paraId="31546111" w14:textId="0BFE6686" w:rsidR="00274E4F" w:rsidRPr="00EB2187" w:rsidRDefault="00073F90" w:rsidP="00EB2187">
      <w:pPr>
        <w:pStyle w:val="ListParagraph"/>
        <w:numPr>
          <w:ilvl w:val="0"/>
          <w:numId w:val="18"/>
        </w:numPr>
        <w:spacing w:after="120"/>
        <w:ind w:left="0" w:firstLine="360"/>
        <w:jc w:val="both"/>
        <w:rPr>
          <w:rFonts w:ascii="Times New Roman" w:hAnsi="Times New Roman" w:cs="Times New Roman"/>
          <w:color w:val="auto"/>
          <w:sz w:val="24"/>
          <w:szCs w:val="24"/>
        </w:rPr>
      </w:pPr>
      <w:r w:rsidRPr="00EB2187">
        <w:rPr>
          <w:rFonts w:ascii="Times New Roman" w:hAnsi="Times New Roman" w:cs="Times New Roman"/>
          <w:color w:val="auto"/>
          <w:sz w:val="24"/>
          <w:szCs w:val="24"/>
        </w:rPr>
        <w:t>Contribuția la obiectivele de adaptare la schimbările climatice, combaterea deșertificării și implementarea NDC-urilor naționale în contextul Acordului de la Paris</w:t>
      </w:r>
      <w:r w:rsidR="00274E4F" w:rsidRPr="00EB2187">
        <w:rPr>
          <w:rFonts w:ascii="Times New Roman" w:hAnsi="Times New Roman" w:cs="Times New Roman"/>
          <w:color w:val="auto"/>
          <w:sz w:val="24"/>
          <w:szCs w:val="24"/>
        </w:rPr>
        <w:t>,</w:t>
      </w:r>
    </w:p>
    <w:p w14:paraId="3890E436" w14:textId="2A69C630" w:rsidR="00274E4F" w:rsidRPr="00EB2187" w:rsidRDefault="00073F90" w:rsidP="00EB2187">
      <w:pPr>
        <w:pStyle w:val="ListParagraph"/>
        <w:numPr>
          <w:ilvl w:val="0"/>
          <w:numId w:val="18"/>
        </w:numPr>
        <w:spacing w:after="120"/>
        <w:ind w:left="0" w:firstLine="426"/>
        <w:jc w:val="both"/>
        <w:rPr>
          <w:rFonts w:ascii="Times New Roman" w:hAnsi="Times New Roman" w:cs="Times New Roman"/>
          <w:color w:val="auto"/>
          <w:sz w:val="24"/>
          <w:szCs w:val="24"/>
        </w:rPr>
      </w:pPr>
      <w:r w:rsidRPr="00EB2187">
        <w:rPr>
          <w:rFonts w:ascii="Times New Roman" w:hAnsi="Times New Roman" w:cs="Times New Roman"/>
          <w:color w:val="auto"/>
          <w:sz w:val="24"/>
          <w:szCs w:val="24"/>
        </w:rPr>
        <w:t>Reducerea costurilor viitoare legate de pierderi și daune provocate de dezastre prin investiții proactive în prevenire și infrastructură verde</w:t>
      </w:r>
      <w:r w:rsidR="00274E4F" w:rsidRPr="00EB2187">
        <w:rPr>
          <w:rFonts w:ascii="Times New Roman" w:hAnsi="Times New Roman" w:cs="Times New Roman"/>
          <w:color w:val="auto"/>
          <w:sz w:val="24"/>
          <w:szCs w:val="24"/>
        </w:rPr>
        <w:t>,</w:t>
      </w:r>
    </w:p>
    <w:p w14:paraId="0A1F7CB4" w14:textId="54C8F33F" w:rsidR="00790504" w:rsidRPr="00EB2187" w:rsidRDefault="00073F90" w:rsidP="00EB2187">
      <w:pPr>
        <w:pStyle w:val="ListParagraph"/>
        <w:numPr>
          <w:ilvl w:val="0"/>
          <w:numId w:val="18"/>
        </w:numPr>
        <w:spacing w:after="120"/>
        <w:ind w:left="0" w:firstLine="360"/>
        <w:jc w:val="both"/>
        <w:rPr>
          <w:rFonts w:ascii="Times New Roman" w:hAnsi="Times New Roman" w:cs="Times New Roman"/>
          <w:color w:val="auto"/>
          <w:sz w:val="24"/>
          <w:szCs w:val="24"/>
        </w:rPr>
      </w:pPr>
      <w:r w:rsidRPr="00EB2187">
        <w:rPr>
          <w:rFonts w:ascii="Times New Roman" w:hAnsi="Times New Roman" w:cs="Times New Roman"/>
          <w:color w:val="auto"/>
          <w:sz w:val="24"/>
          <w:szCs w:val="24"/>
        </w:rPr>
        <w:t xml:space="preserve">Crearea de oportunități de finanțare externă, parteneriate și atragerea de investiții verzi în domenii prioritare precum apa, pădurile, agricultura durabilă și </w:t>
      </w:r>
      <w:r w:rsidR="00845FEB" w:rsidRPr="00EB2187">
        <w:rPr>
          <w:rFonts w:ascii="Times New Roman" w:hAnsi="Times New Roman" w:cs="Times New Roman"/>
          <w:color w:val="auto"/>
          <w:sz w:val="24"/>
          <w:szCs w:val="24"/>
        </w:rPr>
        <w:t>planificarea teritoriala</w:t>
      </w:r>
      <w:r w:rsidRPr="00EB2187">
        <w:rPr>
          <w:rFonts w:ascii="Times New Roman" w:hAnsi="Times New Roman" w:cs="Times New Roman"/>
          <w:color w:val="auto"/>
          <w:sz w:val="24"/>
          <w:szCs w:val="24"/>
        </w:rPr>
        <w:t xml:space="preserve"> </w:t>
      </w:r>
      <w:r w:rsidR="00845FEB" w:rsidRPr="00EB2187">
        <w:rPr>
          <w:rFonts w:ascii="Times New Roman" w:hAnsi="Times New Roman" w:cs="Times New Roman"/>
          <w:color w:val="auto"/>
          <w:sz w:val="24"/>
          <w:szCs w:val="24"/>
        </w:rPr>
        <w:t>rezilientă</w:t>
      </w:r>
      <w:r w:rsidRPr="00EB2187">
        <w:rPr>
          <w:rFonts w:ascii="Times New Roman" w:hAnsi="Times New Roman" w:cs="Times New Roman"/>
          <w:color w:val="auto"/>
          <w:sz w:val="24"/>
          <w:szCs w:val="24"/>
        </w:rPr>
        <w:t>.</w:t>
      </w:r>
    </w:p>
    <w:p w14:paraId="5CFB3D5E" w14:textId="5AB9ACAE" w:rsidR="001F028E" w:rsidRPr="00EB2187" w:rsidRDefault="00341C9A" w:rsidP="00EB2187">
      <w:pPr>
        <w:pStyle w:val="ListParagraph"/>
        <w:numPr>
          <w:ilvl w:val="0"/>
          <w:numId w:val="59"/>
        </w:numPr>
        <w:spacing w:after="120"/>
        <w:ind w:left="0" w:firstLine="284"/>
        <w:jc w:val="both"/>
        <w:rPr>
          <w:rFonts w:ascii="Times New Roman" w:hAnsi="Times New Roman" w:cs="Times New Roman"/>
          <w:color w:val="auto"/>
          <w:sz w:val="24"/>
          <w:szCs w:val="24"/>
        </w:rPr>
      </w:pPr>
      <w:r w:rsidRPr="00EB2187">
        <w:rPr>
          <w:rFonts w:ascii="Times New Roman" w:hAnsi="Times New Roman" w:cs="Times New Roman"/>
          <w:color w:val="auto"/>
          <w:sz w:val="24"/>
          <w:szCs w:val="24"/>
        </w:rPr>
        <w:t>În concluzi</w:t>
      </w:r>
      <w:r w:rsidR="00141A1B" w:rsidRPr="00EB2187">
        <w:rPr>
          <w:rFonts w:ascii="Times New Roman" w:hAnsi="Times New Roman" w:cs="Times New Roman"/>
          <w:color w:val="auto"/>
          <w:sz w:val="24"/>
          <w:szCs w:val="24"/>
        </w:rPr>
        <w:t>e</w:t>
      </w:r>
      <w:r w:rsidRPr="00EB2187">
        <w:rPr>
          <w:rFonts w:ascii="Times New Roman" w:hAnsi="Times New Roman" w:cs="Times New Roman"/>
          <w:color w:val="auto"/>
          <w:sz w:val="24"/>
          <w:szCs w:val="24"/>
        </w:rPr>
        <w:t xml:space="preserve">, putem afirma, ca </w:t>
      </w:r>
      <w:r w:rsidRPr="00EB2187">
        <w:rPr>
          <w:rFonts w:ascii="Times New Roman" w:hAnsi="Times New Roman" w:cs="Times New Roman"/>
          <w:b/>
          <w:bCs/>
          <w:color w:val="auto"/>
          <w:sz w:val="24"/>
          <w:szCs w:val="24"/>
        </w:rPr>
        <w:t>R</w:t>
      </w:r>
      <w:r w:rsidR="00274E4F" w:rsidRPr="00EB2187">
        <w:rPr>
          <w:rFonts w:ascii="Times New Roman" w:hAnsi="Times New Roman" w:cs="Times New Roman"/>
          <w:b/>
          <w:bCs/>
          <w:color w:val="auto"/>
          <w:sz w:val="24"/>
          <w:szCs w:val="24"/>
        </w:rPr>
        <w:t>epublica Moldova și-a</w:t>
      </w:r>
      <w:r w:rsidR="00274E4F" w:rsidRPr="00EB2187">
        <w:rPr>
          <w:rFonts w:ascii="Times New Roman" w:hAnsi="Times New Roman" w:cs="Times New Roman"/>
          <w:color w:val="auto"/>
          <w:sz w:val="24"/>
          <w:szCs w:val="24"/>
        </w:rPr>
        <w:t xml:space="preserve"> </w:t>
      </w:r>
      <w:r w:rsidR="00274E4F" w:rsidRPr="00EB2187">
        <w:rPr>
          <w:rFonts w:ascii="Times New Roman" w:hAnsi="Times New Roman" w:cs="Times New Roman"/>
          <w:b/>
          <w:bCs/>
          <w:color w:val="auto"/>
          <w:sz w:val="24"/>
          <w:szCs w:val="24"/>
        </w:rPr>
        <w:t>reafirmat angajamentul față de Cadrul de la Sendai,</w:t>
      </w:r>
      <w:r w:rsidR="00274E4F" w:rsidRPr="00EB2187">
        <w:rPr>
          <w:rFonts w:ascii="Times New Roman" w:hAnsi="Times New Roman" w:cs="Times New Roman"/>
          <w:color w:val="auto"/>
          <w:sz w:val="24"/>
          <w:szCs w:val="24"/>
        </w:rPr>
        <w:t xml:space="preserve"> iar PNRRD</w:t>
      </w:r>
      <w:r w:rsidR="001706A9" w:rsidRPr="00EB2187">
        <w:rPr>
          <w:rFonts w:ascii="Times New Roman" w:hAnsi="Times New Roman" w:cs="Times New Roman"/>
          <w:color w:val="auto"/>
          <w:sz w:val="24"/>
          <w:szCs w:val="24"/>
        </w:rPr>
        <w:t>N</w:t>
      </w:r>
      <w:r w:rsidR="00274E4F" w:rsidRPr="00EB2187">
        <w:rPr>
          <w:rFonts w:ascii="Times New Roman" w:hAnsi="Times New Roman" w:cs="Times New Roman"/>
          <w:color w:val="auto"/>
          <w:sz w:val="24"/>
          <w:szCs w:val="24"/>
        </w:rPr>
        <w:t xml:space="preserve"> transpune aceste angajamente în acțiuni concrete. Programul contribuie la prevenirea și pregătirea pentru dezastre prin extinderea sistemelor de avertizare timpurie și elaborarea de hărți de risc, în linie cu obiectivele Sendai privind reducerea pierderilor și acoperirea populației cu mecanisme de alertă. Totodată, aceste măsuri sprijină îndeplinirea Obiectivelor de Dezvoltare Durabilă (în special ODD 11 și 13), precum și angajamentele asumate în cadrul Acordului de la Paris, prin accentul pus pe adaptarea la schimbările climatice. În ansamblu, PNRRD întărește capacitatea Republicii Moldova de a participa activ la inițiativele internaționale privind reducerea riscurilor de dezastre.</w:t>
      </w:r>
    </w:p>
    <w:p w14:paraId="0CCF483C" w14:textId="26DEE156" w:rsidR="00274E4F" w:rsidRPr="00EB2187" w:rsidRDefault="00341C9A" w:rsidP="00BE7385">
      <w:pPr>
        <w:pStyle w:val="ListParagraph"/>
        <w:numPr>
          <w:ilvl w:val="0"/>
          <w:numId w:val="59"/>
        </w:numPr>
        <w:spacing w:after="120"/>
        <w:ind w:left="0" w:firstLine="284"/>
        <w:jc w:val="both"/>
        <w:rPr>
          <w:rFonts w:ascii="Times New Roman" w:hAnsi="Times New Roman" w:cs="Times New Roman"/>
          <w:color w:val="auto"/>
          <w:sz w:val="24"/>
          <w:szCs w:val="24"/>
        </w:rPr>
      </w:pPr>
      <w:r w:rsidRPr="00EB2187">
        <w:rPr>
          <w:rFonts w:ascii="Times New Roman" w:hAnsi="Times New Roman" w:cs="Times New Roman"/>
          <w:color w:val="auto"/>
          <w:sz w:val="24"/>
          <w:szCs w:val="24"/>
        </w:rPr>
        <w:t xml:space="preserve">PNRRD contribuie direct la </w:t>
      </w:r>
      <w:r w:rsidRPr="00EB2187">
        <w:rPr>
          <w:rFonts w:ascii="Times New Roman" w:hAnsi="Times New Roman" w:cs="Times New Roman"/>
          <w:b/>
          <w:bCs/>
          <w:color w:val="auto"/>
          <w:sz w:val="24"/>
          <w:szCs w:val="24"/>
        </w:rPr>
        <w:t xml:space="preserve">alinierea Republicii Moldova cu cerințele capitolului 27 din acquis-ul UE </w:t>
      </w:r>
      <w:r w:rsidRPr="00EB2187">
        <w:rPr>
          <w:rFonts w:ascii="Times New Roman" w:hAnsi="Times New Roman" w:cs="Times New Roman"/>
          <w:color w:val="auto"/>
          <w:sz w:val="24"/>
          <w:szCs w:val="24"/>
        </w:rPr>
        <w:t>(Mediu și schimbări climatice), în conformitate cu Planul național de aderare. Programul întărește cadrul instituțional și instrumentele de gestionare a riscurilor climatice, sprijinind convergența cu politicile europene de mediu și protecție civilă. Măsuri recente, precum Legea schimbărilor climatice (2024) și aderarea la Mecanismul UE de Protecție Civilă, oferă baza legală și operațională pe care PNRRD o valorifică. Prin evaluări de risc și dezvoltarea bazelor de date (inclusiv utilizarea indicelui INFORM), programul susține raportarea și planificarea bazată pe dovezi. Totodată, promovează integrarea principiilor RRD în politicile sectoriale și investițiile publice, contribuind la obiectivele Agendei de Asociere și pregătind instituțiile pentru aplicarea efectivă a acquis-ului.</w:t>
      </w:r>
    </w:p>
    <w:p w14:paraId="03B50D96" w14:textId="3838CB6A" w:rsidR="004447F9" w:rsidRPr="00EB2187" w:rsidRDefault="004447F9" w:rsidP="00BE7385">
      <w:pPr>
        <w:pStyle w:val="ListParagraph"/>
        <w:numPr>
          <w:ilvl w:val="0"/>
          <w:numId w:val="59"/>
        </w:numPr>
        <w:spacing w:after="120"/>
        <w:ind w:left="0" w:firstLine="284"/>
        <w:jc w:val="both"/>
        <w:rPr>
          <w:rFonts w:ascii="Times New Roman" w:hAnsi="Times New Roman" w:cs="Times New Roman"/>
          <w:color w:val="auto"/>
          <w:sz w:val="24"/>
          <w:szCs w:val="24"/>
        </w:rPr>
      </w:pPr>
      <w:r w:rsidRPr="00EB2187">
        <w:rPr>
          <w:rFonts w:ascii="Times New Roman" w:hAnsi="Times New Roman" w:cs="Times New Roman"/>
          <w:color w:val="auto"/>
          <w:sz w:val="24"/>
          <w:szCs w:val="24"/>
        </w:rPr>
        <w:t xml:space="preserve">La nivel național, PNRRD este aliniat cu strategiile și politicile naționale relevante, contribuind la obiectivele acestora prin consolidarea cadrului instituțional și a datelor privind riscurile. Programul pune în aplicare </w:t>
      </w:r>
      <w:r w:rsidRPr="00EB2187">
        <w:rPr>
          <w:rFonts w:ascii="Times New Roman" w:hAnsi="Times New Roman" w:cs="Times New Roman"/>
          <w:b/>
          <w:bCs/>
          <w:color w:val="auto"/>
          <w:sz w:val="24"/>
          <w:szCs w:val="24"/>
        </w:rPr>
        <w:t>obiectivele S</w:t>
      </w:r>
      <w:r w:rsidR="00F56BCA" w:rsidRPr="00EB2187">
        <w:rPr>
          <w:rFonts w:ascii="Times New Roman" w:hAnsi="Times New Roman" w:cs="Times New Roman"/>
          <w:b/>
          <w:bCs/>
          <w:color w:val="auto"/>
          <w:sz w:val="24"/>
          <w:szCs w:val="24"/>
        </w:rPr>
        <w:t>N</w:t>
      </w:r>
      <w:r w:rsidRPr="00EB2187">
        <w:rPr>
          <w:rFonts w:ascii="Times New Roman" w:hAnsi="Times New Roman" w:cs="Times New Roman"/>
          <w:b/>
          <w:bCs/>
          <w:color w:val="auto"/>
          <w:sz w:val="24"/>
          <w:szCs w:val="24"/>
        </w:rPr>
        <w:t>RRD 2024–2030</w:t>
      </w:r>
      <w:r w:rsidRPr="00EB2187">
        <w:rPr>
          <w:rFonts w:ascii="Times New Roman" w:hAnsi="Times New Roman" w:cs="Times New Roman"/>
          <w:color w:val="auto"/>
          <w:sz w:val="24"/>
          <w:szCs w:val="24"/>
        </w:rPr>
        <w:t xml:space="preserve">, integrând principiile RRD în planificarea sectorială. De asemenea, completează </w:t>
      </w:r>
      <w:r w:rsidRPr="00EB2187">
        <w:rPr>
          <w:rFonts w:ascii="Times New Roman" w:hAnsi="Times New Roman" w:cs="Times New Roman"/>
          <w:b/>
          <w:bCs/>
          <w:color w:val="auto"/>
          <w:sz w:val="24"/>
          <w:szCs w:val="24"/>
        </w:rPr>
        <w:t>Strategia de mediu și Programul național de adaptare la schimbările climatice</w:t>
      </w:r>
      <w:r w:rsidR="002F2B27" w:rsidRPr="00EB2187">
        <w:rPr>
          <w:rFonts w:ascii="Times New Roman" w:hAnsi="Times New Roman" w:cs="Times New Roman"/>
          <w:b/>
          <w:bCs/>
          <w:color w:val="auto"/>
          <w:sz w:val="24"/>
          <w:szCs w:val="24"/>
        </w:rPr>
        <w:t xml:space="preserve"> până în anul 2030</w:t>
      </w:r>
      <w:r w:rsidRPr="00EB2187">
        <w:rPr>
          <w:rFonts w:ascii="Times New Roman" w:hAnsi="Times New Roman" w:cs="Times New Roman"/>
          <w:color w:val="auto"/>
          <w:sz w:val="24"/>
          <w:szCs w:val="24"/>
        </w:rPr>
        <w:t>, oferind un cadru concret pentru reducerea riscurilor de dezastre naturale și creșterea rezilienței în agricultură, gestiunea solurilor și resurse de apă. PNRRD</w:t>
      </w:r>
      <w:r w:rsidR="002F2B27" w:rsidRPr="00EB2187">
        <w:rPr>
          <w:rFonts w:ascii="Times New Roman" w:hAnsi="Times New Roman" w:cs="Times New Roman"/>
          <w:color w:val="auto"/>
          <w:sz w:val="24"/>
          <w:szCs w:val="24"/>
        </w:rPr>
        <w:t>N</w:t>
      </w:r>
      <w:r w:rsidRPr="00EB2187">
        <w:rPr>
          <w:rFonts w:ascii="Times New Roman" w:hAnsi="Times New Roman" w:cs="Times New Roman"/>
          <w:color w:val="auto"/>
          <w:sz w:val="24"/>
          <w:szCs w:val="24"/>
        </w:rPr>
        <w:t xml:space="preserve"> se corelează și cu </w:t>
      </w:r>
      <w:r w:rsidR="0070524D" w:rsidRPr="00EB2187">
        <w:rPr>
          <w:rFonts w:ascii="Times New Roman" w:hAnsi="Times New Roman" w:cs="Times New Roman"/>
          <w:color w:val="auto"/>
          <w:sz w:val="24"/>
          <w:szCs w:val="24"/>
        </w:rPr>
        <w:t>Programul național</w:t>
      </w:r>
      <w:r w:rsidR="00644C33" w:rsidRPr="00EB2187">
        <w:rPr>
          <w:rFonts w:ascii="Times New Roman" w:hAnsi="Times New Roman" w:cs="Times New Roman"/>
          <w:color w:val="auto"/>
          <w:sz w:val="24"/>
          <w:szCs w:val="24"/>
        </w:rPr>
        <w:t xml:space="preserve"> </w:t>
      </w:r>
      <w:r w:rsidR="0070524D" w:rsidRPr="00EB2187">
        <w:rPr>
          <w:rFonts w:ascii="Times New Roman" w:hAnsi="Times New Roman" w:cs="Times New Roman"/>
          <w:color w:val="auto"/>
          <w:sz w:val="24"/>
          <w:szCs w:val="24"/>
        </w:rPr>
        <w:t>de extindere și reabilitare a pădurilor pentru</w:t>
      </w:r>
      <w:r w:rsidR="00644C33" w:rsidRPr="00EB2187">
        <w:rPr>
          <w:rFonts w:ascii="Times New Roman" w:hAnsi="Times New Roman" w:cs="Times New Roman"/>
          <w:color w:val="auto"/>
          <w:sz w:val="24"/>
          <w:szCs w:val="24"/>
        </w:rPr>
        <w:t xml:space="preserve"> </w:t>
      </w:r>
      <w:r w:rsidR="0070524D" w:rsidRPr="00EB2187">
        <w:rPr>
          <w:rFonts w:ascii="Times New Roman" w:hAnsi="Times New Roman" w:cs="Times New Roman"/>
          <w:color w:val="auto"/>
          <w:sz w:val="24"/>
          <w:szCs w:val="24"/>
        </w:rPr>
        <w:t>perioada 2023-2032 și a Planului  de acțiuni</w:t>
      </w:r>
      <w:r w:rsidR="00644C33" w:rsidRPr="00EB2187">
        <w:rPr>
          <w:rFonts w:ascii="Times New Roman" w:hAnsi="Times New Roman" w:cs="Times New Roman"/>
          <w:color w:val="auto"/>
          <w:sz w:val="24"/>
          <w:szCs w:val="24"/>
        </w:rPr>
        <w:t xml:space="preserve"> </w:t>
      </w:r>
      <w:r w:rsidR="0070524D" w:rsidRPr="00EB2187">
        <w:rPr>
          <w:rFonts w:ascii="Times New Roman" w:hAnsi="Times New Roman" w:cs="Times New Roman"/>
          <w:color w:val="auto"/>
          <w:sz w:val="24"/>
          <w:szCs w:val="24"/>
        </w:rPr>
        <w:t>pentru implementarea acestuia pe perioada</w:t>
      </w:r>
      <w:r w:rsidR="00644C33" w:rsidRPr="00EB2187">
        <w:rPr>
          <w:rFonts w:ascii="Times New Roman" w:hAnsi="Times New Roman" w:cs="Times New Roman"/>
          <w:color w:val="auto"/>
          <w:sz w:val="24"/>
          <w:szCs w:val="24"/>
        </w:rPr>
        <w:t xml:space="preserve"> </w:t>
      </w:r>
      <w:r w:rsidR="0070524D" w:rsidRPr="00EB2187">
        <w:rPr>
          <w:rFonts w:ascii="Times New Roman" w:hAnsi="Times New Roman" w:cs="Times New Roman"/>
          <w:color w:val="auto"/>
          <w:sz w:val="24"/>
          <w:szCs w:val="24"/>
        </w:rPr>
        <w:t>2023-2027</w:t>
      </w:r>
      <w:r w:rsidRPr="00EB2187">
        <w:rPr>
          <w:rFonts w:ascii="Times New Roman" w:hAnsi="Times New Roman" w:cs="Times New Roman"/>
          <w:color w:val="auto"/>
          <w:sz w:val="24"/>
          <w:szCs w:val="24"/>
        </w:rPr>
        <w:t>, valorificând rolul ecosistemelor în reducerea</w:t>
      </w:r>
      <w:r w:rsidR="00644C33" w:rsidRPr="00EB2187">
        <w:rPr>
          <w:rFonts w:ascii="Times New Roman" w:hAnsi="Times New Roman" w:cs="Times New Roman"/>
          <w:color w:val="auto"/>
          <w:sz w:val="24"/>
          <w:szCs w:val="24"/>
        </w:rPr>
        <w:t xml:space="preserve"> </w:t>
      </w:r>
      <w:r w:rsidRPr="00EB2187">
        <w:rPr>
          <w:rFonts w:ascii="Times New Roman" w:hAnsi="Times New Roman" w:cs="Times New Roman"/>
          <w:color w:val="auto"/>
          <w:sz w:val="24"/>
          <w:szCs w:val="24"/>
        </w:rPr>
        <w:t>riscurilor naturale. Prin această abordare integrată, programul sprijină coerența intersectorială, evită suprapunerile și creează condiții favorabile pentru investiții publice adaptate la riscuri.</w:t>
      </w:r>
    </w:p>
    <w:p w14:paraId="7D84E0DA" w14:textId="757B2E39" w:rsidR="005B12F9" w:rsidRDefault="00790504" w:rsidP="00BE7385">
      <w:pPr>
        <w:pStyle w:val="ListParagraph"/>
        <w:numPr>
          <w:ilvl w:val="0"/>
          <w:numId w:val="59"/>
        </w:numPr>
        <w:spacing w:after="120"/>
        <w:ind w:left="0" w:firstLine="284"/>
        <w:jc w:val="both"/>
        <w:rPr>
          <w:rFonts w:ascii="Times New Roman" w:hAnsi="Times New Roman" w:cs="Times New Roman"/>
          <w:color w:val="auto"/>
          <w:sz w:val="24"/>
          <w:szCs w:val="24"/>
        </w:rPr>
      </w:pPr>
      <w:r w:rsidRPr="00EB2187">
        <w:rPr>
          <w:rFonts w:ascii="Times New Roman" w:hAnsi="Times New Roman" w:cs="Times New Roman"/>
          <w:color w:val="auto"/>
          <w:sz w:val="24"/>
          <w:szCs w:val="24"/>
        </w:rPr>
        <w:t xml:space="preserve">Impactul cumulativ al Programului va contribui la dezvoltarea unui </w:t>
      </w:r>
      <w:r w:rsidR="007B6538" w:rsidRPr="00EB2187">
        <w:rPr>
          <w:rFonts w:ascii="Times New Roman" w:hAnsi="Times New Roman" w:cs="Times New Roman"/>
          <w:color w:val="auto"/>
          <w:sz w:val="24"/>
          <w:szCs w:val="24"/>
        </w:rPr>
        <w:t xml:space="preserve">sector </w:t>
      </w:r>
      <w:r w:rsidRPr="00EB2187">
        <w:rPr>
          <w:rFonts w:ascii="Times New Roman" w:hAnsi="Times New Roman" w:cs="Times New Roman"/>
          <w:color w:val="auto"/>
          <w:sz w:val="24"/>
          <w:szCs w:val="24"/>
        </w:rPr>
        <w:t>de mediu mai rezilient, adaptiv și proactiv, capabil să răspundă eficient în fața provocărilor climatice și de mediu pe termen lung și să susțină tranziția către o economie verde și sustenabilă, în beneficiul cetățenilor Republicii Moldova.</w:t>
      </w:r>
    </w:p>
    <w:p w14:paraId="36FF2BC1" w14:textId="77777777" w:rsidR="00EB2187" w:rsidRPr="00EB2187" w:rsidRDefault="00EB2187" w:rsidP="00EB2187">
      <w:pPr>
        <w:pStyle w:val="ListParagraph"/>
        <w:spacing w:after="120"/>
        <w:ind w:left="284" w:firstLine="0"/>
        <w:jc w:val="both"/>
        <w:rPr>
          <w:rFonts w:ascii="Times New Roman" w:hAnsi="Times New Roman" w:cs="Times New Roman"/>
          <w:color w:val="auto"/>
          <w:sz w:val="24"/>
          <w:szCs w:val="24"/>
        </w:rPr>
      </w:pPr>
    </w:p>
    <w:p w14:paraId="3ADF0736" w14:textId="528186A5" w:rsidR="004325A0" w:rsidRPr="00CD2ADD" w:rsidRDefault="004325A0" w:rsidP="00E5345D">
      <w:pPr>
        <w:pStyle w:val="Heading1"/>
        <w:spacing w:before="0"/>
        <w:jc w:val="center"/>
        <w:rPr>
          <w:rFonts w:ascii="Times New Roman" w:hAnsi="Times New Roman" w:cs="Times New Roman"/>
          <w:b/>
          <w:bCs w:val="0"/>
          <w:color w:val="000000" w:themeColor="text1"/>
          <w:sz w:val="24"/>
          <w:szCs w:val="24"/>
        </w:rPr>
      </w:pPr>
      <w:r w:rsidRPr="00CD2ADD">
        <w:rPr>
          <w:rFonts w:ascii="Times New Roman" w:hAnsi="Times New Roman" w:cs="Times New Roman"/>
          <w:b/>
          <w:bCs w:val="0"/>
          <w:color w:val="000000" w:themeColor="text1"/>
          <w:sz w:val="24"/>
          <w:szCs w:val="24"/>
        </w:rPr>
        <w:t>Capitolul VI</w:t>
      </w:r>
    </w:p>
    <w:p w14:paraId="711D5AF7" w14:textId="537231C0" w:rsidR="004325A0" w:rsidRPr="00B737D1" w:rsidRDefault="004325A0" w:rsidP="00E5345D">
      <w:pPr>
        <w:pStyle w:val="Heading1"/>
        <w:spacing w:before="0"/>
        <w:jc w:val="center"/>
        <w:rPr>
          <w:rFonts w:ascii="Times New Roman" w:hAnsi="Times New Roman" w:cs="Times New Roman"/>
          <w:b/>
          <w:bCs w:val="0"/>
          <w:color w:val="auto"/>
          <w:sz w:val="24"/>
          <w:szCs w:val="24"/>
        </w:rPr>
      </w:pPr>
      <w:r w:rsidRPr="00B737D1">
        <w:rPr>
          <w:rFonts w:ascii="Times New Roman" w:hAnsi="Times New Roman" w:cs="Times New Roman"/>
          <w:b/>
          <w:bCs w:val="0"/>
          <w:color w:val="auto"/>
          <w:sz w:val="24"/>
          <w:szCs w:val="24"/>
        </w:rPr>
        <w:t>COSTURI</w:t>
      </w:r>
    </w:p>
    <w:p w14:paraId="0ACE1638" w14:textId="77777777" w:rsidR="004325A0" w:rsidRPr="00B737D1" w:rsidRDefault="004325A0" w:rsidP="004325A0">
      <w:pPr>
        <w:jc w:val="center"/>
        <w:rPr>
          <w:b/>
          <w:bCs/>
          <w:lang w:eastAsia="en-US"/>
        </w:rPr>
      </w:pPr>
    </w:p>
    <w:p w14:paraId="7CBF2540" w14:textId="77777777" w:rsidR="00EB2187" w:rsidRPr="00B737D1" w:rsidRDefault="00644C33" w:rsidP="0060356C">
      <w:pPr>
        <w:pStyle w:val="ListParagraph"/>
        <w:numPr>
          <w:ilvl w:val="0"/>
          <w:numId w:val="59"/>
        </w:numPr>
        <w:ind w:left="0" w:firstLine="284"/>
        <w:jc w:val="both"/>
        <w:rPr>
          <w:rFonts w:ascii="Times New Roman" w:hAnsi="Times New Roman" w:cs="Times New Roman"/>
          <w:color w:val="auto"/>
          <w:sz w:val="24"/>
          <w:szCs w:val="24"/>
        </w:rPr>
      </w:pPr>
      <w:r w:rsidRPr="00B737D1">
        <w:rPr>
          <w:rFonts w:ascii="Times New Roman" w:hAnsi="Times New Roman" w:cs="Times New Roman"/>
          <w:color w:val="auto"/>
          <w:sz w:val="24"/>
          <w:szCs w:val="24"/>
        </w:rPr>
        <w:t xml:space="preserve">Estimarea generală a costurilor pentru implementarea și realizarea prezentului Program a fost efectuată în baza activităților identificate în Planul de acțiuni, utilizând estimările oferite de partenerii </w:t>
      </w:r>
      <w:r w:rsidR="00E71C89" w:rsidRPr="00B737D1">
        <w:rPr>
          <w:rFonts w:ascii="Times New Roman" w:hAnsi="Times New Roman" w:cs="Times New Roman"/>
          <w:color w:val="auto"/>
          <w:sz w:val="24"/>
          <w:szCs w:val="24"/>
        </w:rPr>
        <w:t xml:space="preserve">instituționali si parteneri </w:t>
      </w:r>
      <w:r w:rsidRPr="00B737D1">
        <w:rPr>
          <w:rFonts w:ascii="Times New Roman" w:hAnsi="Times New Roman" w:cs="Times New Roman"/>
          <w:color w:val="auto"/>
          <w:sz w:val="24"/>
          <w:szCs w:val="24"/>
        </w:rPr>
        <w:t>de dezvoltare.</w:t>
      </w:r>
      <w:r w:rsidR="00E71C89" w:rsidRPr="00B737D1">
        <w:rPr>
          <w:rFonts w:ascii="Times New Roman" w:hAnsi="Times New Roman" w:cs="Times New Roman"/>
          <w:b/>
          <w:bCs/>
          <w:color w:val="auto"/>
          <w:sz w:val="24"/>
          <w:szCs w:val="24"/>
        </w:rPr>
        <w:t xml:space="preserve"> </w:t>
      </w:r>
      <w:r w:rsidR="006159CD" w:rsidRPr="00B737D1">
        <w:rPr>
          <w:rFonts w:ascii="Times New Roman" w:hAnsi="Times New Roman" w:cs="Times New Roman"/>
          <w:color w:val="auto"/>
          <w:sz w:val="24"/>
          <w:szCs w:val="24"/>
        </w:rPr>
        <w:t xml:space="preserve">O parte din obiectivele și acțiunile propuse pentru realizarea Programului vor fi acoperite din sursele financiare planificate în Cadrul bugetar pe termen mediu 2026-2028, din contul și în limitele alocațiilor prevăzute în aceste scopuri în bugetele autorităților și </w:t>
      </w:r>
      <w:r w:rsidR="006159CD" w:rsidRPr="00B737D1">
        <w:rPr>
          <w:rFonts w:ascii="Times New Roman" w:hAnsi="Times New Roman" w:cs="Times New Roman"/>
          <w:color w:val="auto"/>
          <w:sz w:val="24"/>
          <w:szCs w:val="24"/>
        </w:rPr>
        <w:lastRenderedPageBreak/>
        <w:t>instituțiilor responsabile de implementare, precum și din sursele de finanțare oferite pe bază de asistență externă</w:t>
      </w:r>
      <w:r w:rsidR="00F90772" w:rsidRPr="00B737D1">
        <w:rPr>
          <w:rFonts w:ascii="Times New Roman" w:hAnsi="Times New Roman" w:cs="Times New Roman"/>
          <w:color w:val="auto"/>
          <w:sz w:val="24"/>
          <w:szCs w:val="24"/>
        </w:rPr>
        <w:t>.</w:t>
      </w:r>
    </w:p>
    <w:p w14:paraId="25261E23" w14:textId="40F3E8FA" w:rsidR="006159CD" w:rsidRPr="00B737D1" w:rsidRDefault="00644C33" w:rsidP="00B737D1">
      <w:pPr>
        <w:pStyle w:val="ListParagraph"/>
        <w:numPr>
          <w:ilvl w:val="0"/>
          <w:numId w:val="59"/>
        </w:numPr>
        <w:ind w:left="0" w:firstLine="284"/>
        <w:jc w:val="both"/>
        <w:rPr>
          <w:rFonts w:ascii="Times New Roman" w:hAnsi="Times New Roman" w:cs="Times New Roman"/>
          <w:color w:val="auto"/>
          <w:sz w:val="24"/>
          <w:szCs w:val="24"/>
        </w:rPr>
      </w:pPr>
      <w:r w:rsidRPr="00B737D1">
        <w:rPr>
          <w:rFonts w:ascii="Times New Roman" w:hAnsi="Times New Roman" w:cs="Times New Roman"/>
          <w:color w:val="auto"/>
          <w:sz w:val="24"/>
          <w:szCs w:val="24"/>
        </w:rPr>
        <w:t xml:space="preserve">Costul </w:t>
      </w:r>
      <w:r w:rsidR="006159CD" w:rsidRPr="00B737D1">
        <w:rPr>
          <w:rFonts w:ascii="Times New Roman" w:hAnsi="Times New Roman" w:cs="Times New Roman"/>
          <w:color w:val="auto"/>
          <w:sz w:val="24"/>
          <w:szCs w:val="24"/>
        </w:rPr>
        <w:t xml:space="preserve">financiar estimativ </w:t>
      </w:r>
      <w:r w:rsidRPr="00B737D1">
        <w:rPr>
          <w:rFonts w:ascii="Times New Roman" w:hAnsi="Times New Roman" w:cs="Times New Roman"/>
          <w:color w:val="auto"/>
          <w:sz w:val="24"/>
          <w:szCs w:val="24"/>
        </w:rPr>
        <w:t>de implementare a</w:t>
      </w:r>
      <w:r w:rsidR="006159CD" w:rsidRPr="00B737D1">
        <w:rPr>
          <w:rFonts w:ascii="Times New Roman" w:hAnsi="Times New Roman" w:cs="Times New Roman"/>
          <w:color w:val="auto"/>
          <w:sz w:val="24"/>
          <w:szCs w:val="24"/>
        </w:rPr>
        <w:t xml:space="preserve">l acțiunilor </w:t>
      </w:r>
      <w:r w:rsidRPr="00B737D1">
        <w:rPr>
          <w:rFonts w:ascii="Times New Roman" w:hAnsi="Times New Roman" w:cs="Times New Roman"/>
          <w:color w:val="auto"/>
          <w:sz w:val="24"/>
          <w:szCs w:val="24"/>
        </w:rPr>
        <w:t>planificate în cadrul Programului Național Sectorial pentru Reducerea Riscurilor de Dezastre</w:t>
      </w:r>
      <w:r w:rsidR="00E71C89" w:rsidRPr="00B737D1">
        <w:rPr>
          <w:rFonts w:ascii="Times New Roman" w:hAnsi="Times New Roman" w:cs="Times New Roman"/>
          <w:color w:val="auto"/>
          <w:sz w:val="24"/>
          <w:szCs w:val="24"/>
        </w:rPr>
        <w:t xml:space="preserve"> Naturale</w:t>
      </w:r>
      <w:r w:rsidRPr="00B737D1">
        <w:rPr>
          <w:rFonts w:ascii="Times New Roman" w:hAnsi="Times New Roman" w:cs="Times New Roman"/>
          <w:color w:val="auto"/>
          <w:sz w:val="24"/>
          <w:szCs w:val="24"/>
        </w:rPr>
        <w:t xml:space="preserve"> </w:t>
      </w:r>
      <w:r w:rsidR="006159CD" w:rsidRPr="00B737D1">
        <w:rPr>
          <w:rFonts w:ascii="Times New Roman" w:hAnsi="Times New Roman" w:cs="Times New Roman"/>
          <w:color w:val="auto"/>
          <w:sz w:val="24"/>
          <w:szCs w:val="24"/>
        </w:rPr>
        <w:t xml:space="preserve">si Biologico-Sociale </w:t>
      </w:r>
      <w:r w:rsidRPr="00B737D1">
        <w:rPr>
          <w:rFonts w:ascii="Times New Roman" w:hAnsi="Times New Roman" w:cs="Times New Roman"/>
          <w:color w:val="auto"/>
          <w:sz w:val="24"/>
          <w:szCs w:val="24"/>
        </w:rPr>
        <w:t xml:space="preserve">este </w:t>
      </w:r>
      <w:r w:rsidR="006159CD" w:rsidRPr="00B737D1">
        <w:rPr>
          <w:rFonts w:ascii="Times New Roman" w:hAnsi="Times New Roman" w:cs="Times New Roman"/>
          <w:color w:val="auto"/>
          <w:sz w:val="24"/>
          <w:szCs w:val="24"/>
        </w:rPr>
        <w:t xml:space="preserve">de aproximativ </w:t>
      </w:r>
      <w:r w:rsidRPr="00B737D1">
        <w:rPr>
          <w:rFonts w:ascii="Times New Roman" w:hAnsi="Times New Roman" w:cs="Times New Roman"/>
          <w:color w:val="auto"/>
          <w:sz w:val="24"/>
          <w:szCs w:val="24"/>
        </w:rPr>
        <w:t xml:space="preserve"> </w:t>
      </w:r>
      <w:r w:rsidR="006159CD" w:rsidRPr="00B737D1">
        <w:rPr>
          <w:rFonts w:ascii="Times New Roman" w:hAnsi="Times New Roman" w:cs="Times New Roman"/>
          <w:b/>
          <w:bCs/>
          <w:color w:val="auto"/>
          <w:sz w:val="24"/>
          <w:szCs w:val="24"/>
        </w:rPr>
        <w:t>129,</w:t>
      </w:r>
      <w:r w:rsidR="00A25D6F" w:rsidRPr="00B737D1">
        <w:rPr>
          <w:rFonts w:ascii="Times New Roman" w:hAnsi="Times New Roman" w:cs="Times New Roman"/>
          <w:b/>
          <w:bCs/>
          <w:color w:val="auto"/>
          <w:sz w:val="24"/>
          <w:szCs w:val="24"/>
        </w:rPr>
        <w:t>828</w:t>
      </w:r>
      <w:r w:rsidR="006159CD" w:rsidRPr="00B737D1">
        <w:rPr>
          <w:rFonts w:ascii="Times New Roman" w:hAnsi="Times New Roman" w:cs="Times New Roman"/>
          <w:b/>
          <w:bCs/>
          <w:color w:val="auto"/>
          <w:sz w:val="24"/>
          <w:szCs w:val="24"/>
        </w:rPr>
        <w:t xml:space="preserve"> </w:t>
      </w:r>
      <w:r w:rsidRPr="00B737D1">
        <w:rPr>
          <w:rFonts w:ascii="Times New Roman" w:hAnsi="Times New Roman" w:cs="Times New Roman"/>
          <w:color w:val="auto"/>
          <w:sz w:val="24"/>
          <w:szCs w:val="24"/>
        </w:rPr>
        <w:t>mii lei</w:t>
      </w:r>
      <w:r w:rsidR="006159CD" w:rsidRPr="00B737D1">
        <w:rPr>
          <w:rFonts w:ascii="Times New Roman" w:hAnsi="Times New Roman" w:cs="Times New Roman"/>
          <w:b/>
          <w:bCs/>
          <w:color w:val="auto"/>
          <w:sz w:val="24"/>
          <w:szCs w:val="24"/>
        </w:rPr>
        <w:t xml:space="preserve">. </w:t>
      </w:r>
      <w:r w:rsidR="006159CD" w:rsidRPr="00B737D1">
        <w:rPr>
          <w:rFonts w:ascii="Times New Roman" w:hAnsi="Times New Roman" w:cs="Times New Roman"/>
          <w:color w:val="auto"/>
          <w:sz w:val="24"/>
          <w:szCs w:val="24"/>
        </w:rPr>
        <w:t>Distribuția costurilor pe ani este următoarea:</w:t>
      </w:r>
      <w:r w:rsidR="006159CD" w:rsidRPr="00B737D1">
        <w:rPr>
          <w:rFonts w:ascii="Times New Roman" w:hAnsi="Times New Roman" w:cs="Times New Roman"/>
          <w:b/>
          <w:bCs/>
          <w:color w:val="auto"/>
          <w:sz w:val="24"/>
          <w:szCs w:val="24"/>
        </w:rPr>
        <w:tab/>
      </w:r>
      <w:r w:rsidR="006159CD" w:rsidRPr="00B737D1">
        <w:rPr>
          <w:rFonts w:ascii="Times New Roman" w:hAnsi="Times New Roman" w:cs="Times New Roman"/>
          <w:b/>
          <w:bCs/>
          <w:color w:val="auto"/>
          <w:sz w:val="24"/>
          <w:szCs w:val="24"/>
        </w:rPr>
        <w:tab/>
      </w:r>
    </w:p>
    <w:p w14:paraId="425EF4AA" w14:textId="69BF04C3" w:rsidR="006159CD" w:rsidRPr="00B737D1" w:rsidRDefault="006159CD" w:rsidP="00EB2187">
      <w:pPr>
        <w:pStyle w:val="ListParagraph"/>
        <w:numPr>
          <w:ilvl w:val="0"/>
          <w:numId w:val="60"/>
        </w:numPr>
        <w:jc w:val="both"/>
        <w:rPr>
          <w:rFonts w:ascii="Times New Roman" w:hAnsi="Times New Roman" w:cs="Times New Roman"/>
          <w:b/>
          <w:bCs/>
          <w:color w:val="auto"/>
          <w:sz w:val="24"/>
          <w:szCs w:val="24"/>
        </w:rPr>
      </w:pPr>
      <w:r w:rsidRPr="00B737D1">
        <w:rPr>
          <w:rFonts w:ascii="Times New Roman" w:hAnsi="Times New Roman" w:cs="Times New Roman"/>
          <w:color w:val="auto"/>
          <w:sz w:val="24"/>
          <w:szCs w:val="24"/>
        </w:rPr>
        <w:t xml:space="preserve">2026 – </w:t>
      </w:r>
      <w:r w:rsidR="00A25D6F" w:rsidRPr="00B737D1">
        <w:rPr>
          <w:rFonts w:ascii="Times New Roman" w:hAnsi="Times New Roman" w:cs="Times New Roman"/>
          <w:color w:val="auto"/>
          <w:sz w:val="24"/>
          <w:szCs w:val="24"/>
        </w:rPr>
        <w:t>76,045</w:t>
      </w:r>
      <w:r w:rsidRPr="00B737D1">
        <w:rPr>
          <w:rFonts w:ascii="Times New Roman" w:hAnsi="Times New Roman" w:cs="Times New Roman"/>
          <w:color w:val="auto"/>
          <w:sz w:val="24"/>
          <w:szCs w:val="24"/>
        </w:rPr>
        <w:t xml:space="preserve"> mii lei</w:t>
      </w:r>
    </w:p>
    <w:p w14:paraId="4FDCF054" w14:textId="51459462" w:rsidR="006159CD" w:rsidRPr="00B737D1" w:rsidRDefault="006159CD" w:rsidP="00EB2187">
      <w:pPr>
        <w:pStyle w:val="ListParagraph"/>
        <w:numPr>
          <w:ilvl w:val="0"/>
          <w:numId w:val="60"/>
        </w:numPr>
        <w:jc w:val="both"/>
        <w:rPr>
          <w:rFonts w:ascii="Times New Roman" w:hAnsi="Times New Roman" w:cs="Times New Roman"/>
          <w:b/>
          <w:bCs/>
          <w:color w:val="auto"/>
          <w:sz w:val="24"/>
          <w:szCs w:val="24"/>
        </w:rPr>
      </w:pPr>
      <w:r w:rsidRPr="00B737D1">
        <w:rPr>
          <w:rFonts w:ascii="Times New Roman" w:hAnsi="Times New Roman" w:cs="Times New Roman"/>
          <w:color w:val="auto"/>
          <w:sz w:val="24"/>
          <w:szCs w:val="24"/>
        </w:rPr>
        <w:t xml:space="preserve">2027 – </w:t>
      </w:r>
      <w:r w:rsidR="00A25D6F" w:rsidRPr="00B737D1">
        <w:rPr>
          <w:rFonts w:ascii="Times New Roman" w:hAnsi="Times New Roman" w:cs="Times New Roman"/>
          <w:color w:val="auto"/>
          <w:sz w:val="24"/>
          <w:szCs w:val="24"/>
        </w:rPr>
        <w:t>39,189</w:t>
      </w:r>
      <w:r w:rsidRPr="00B737D1">
        <w:rPr>
          <w:rFonts w:ascii="Times New Roman" w:hAnsi="Times New Roman" w:cs="Times New Roman"/>
          <w:color w:val="auto"/>
          <w:sz w:val="24"/>
          <w:szCs w:val="24"/>
        </w:rPr>
        <w:t xml:space="preserve"> mii lei</w:t>
      </w:r>
    </w:p>
    <w:p w14:paraId="69FCA6CC" w14:textId="6DB2447A" w:rsidR="006159CD" w:rsidRPr="00B737D1" w:rsidRDefault="006159CD" w:rsidP="00EB2187">
      <w:pPr>
        <w:pStyle w:val="ListParagraph"/>
        <w:numPr>
          <w:ilvl w:val="0"/>
          <w:numId w:val="60"/>
        </w:numPr>
        <w:jc w:val="both"/>
        <w:rPr>
          <w:rFonts w:ascii="Times New Roman" w:hAnsi="Times New Roman" w:cs="Times New Roman"/>
          <w:b/>
          <w:bCs/>
          <w:color w:val="auto"/>
          <w:sz w:val="24"/>
          <w:szCs w:val="24"/>
        </w:rPr>
      </w:pPr>
      <w:r w:rsidRPr="00B737D1">
        <w:rPr>
          <w:rFonts w:ascii="Times New Roman" w:hAnsi="Times New Roman" w:cs="Times New Roman"/>
          <w:color w:val="auto"/>
          <w:sz w:val="24"/>
          <w:szCs w:val="24"/>
        </w:rPr>
        <w:t xml:space="preserve">2028 – </w:t>
      </w:r>
      <w:r w:rsidR="00A25D6F" w:rsidRPr="00B737D1">
        <w:rPr>
          <w:rFonts w:ascii="Times New Roman" w:hAnsi="Times New Roman" w:cs="Times New Roman"/>
          <w:color w:val="auto"/>
          <w:sz w:val="24"/>
          <w:szCs w:val="24"/>
        </w:rPr>
        <w:t>8,281</w:t>
      </w:r>
      <w:r w:rsidRPr="00B737D1">
        <w:rPr>
          <w:rFonts w:ascii="Times New Roman" w:hAnsi="Times New Roman" w:cs="Times New Roman"/>
          <w:color w:val="auto"/>
          <w:sz w:val="24"/>
          <w:szCs w:val="24"/>
        </w:rPr>
        <w:t xml:space="preserve"> mii lei</w:t>
      </w:r>
    </w:p>
    <w:p w14:paraId="1C97C99C" w14:textId="3C02156D" w:rsidR="006159CD" w:rsidRPr="00B737D1" w:rsidRDefault="006159CD" w:rsidP="00EB2187">
      <w:pPr>
        <w:pStyle w:val="ListParagraph"/>
        <w:numPr>
          <w:ilvl w:val="0"/>
          <w:numId w:val="60"/>
        </w:numPr>
        <w:jc w:val="both"/>
        <w:rPr>
          <w:rFonts w:ascii="Times New Roman" w:hAnsi="Times New Roman" w:cs="Times New Roman"/>
          <w:b/>
          <w:bCs/>
          <w:color w:val="auto"/>
          <w:sz w:val="24"/>
          <w:szCs w:val="24"/>
        </w:rPr>
      </w:pPr>
      <w:r w:rsidRPr="00B737D1">
        <w:rPr>
          <w:rFonts w:ascii="Times New Roman" w:hAnsi="Times New Roman" w:cs="Times New Roman"/>
          <w:color w:val="auto"/>
          <w:sz w:val="24"/>
          <w:szCs w:val="24"/>
        </w:rPr>
        <w:t xml:space="preserve">2029 – </w:t>
      </w:r>
      <w:r w:rsidR="00A25D6F" w:rsidRPr="00B737D1">
        <w:rPr>
          <w:rFonts w:ascii="Times New Roman" w:hAnsi="Times New Roman" w:cs="Times New Roman"/>
          <w:color w:val="auto"/>
          <w:sz w:val="24"/>
          <w:szCs w:val="24"/>
        </w:rPr>
        <w:t xml:space="preserve"> 4,685 mii </w:t>
      </w:r>
      <w:r w:rsidRPr="00B737D1">
        <w:rPr>
          <w:rFonts w:ascii="Times New Roman" w:hAnsi="Times New Roman" w:cs="Times New Roman"/>
          <w:color w:val="auto"/>
          <w:sz w:val="24"/>
          <w:szCs w:val="24"/>
        </w:rPr>
        <w:t>lei</w:t>
      </w:r>
    </w:p>
    <w:p w14:paraId="01A500C4" w14:textId="19B302EF" w:rsidR="00281705" w:rsidRPr="00B737D1" w:rsidRDefault="006159CD" w:rsidP="00EB2187">
      <w:pPr>
        <w:pStyle w:val="ListParagraph"/>
        <w:numPr>
          <w:ilvl w:val="0"/>
          <w:numId w:val="60"/>
        </w:numPr>
        <w:spacing w:after="0"/>
        <w:jc w:val="both"/>
        <w:rPr>
          <w:rFonts w:ascii="Times New Roman" w:hAnsi="Times New Roman" w:cs="Times New Roman"/>
          <w:b/>
          <w:bCs/>
          <w:color w:val="auto"/>
          <w:sz w:val="24"/>
          <w:szCs w:val="24"/>
        </w:rPr>
      </w:pPr>
      <w:r w:rsidRPr="00B737D1">
        <w:rPr>
          <w:rFonts w:ascii="Times New Roman" w:hAnsi="Times New Roman" w:cs="Times New Roman"/>
          <w:color w:val="auto"/>
          <w:sz w:val="24"/>
          <w:szCs w:val="24"/>
        </w:rPr>
        <w:t>2030 – 1,</w:t>
      </w:r>
      <w:r w:rsidR="00A25D6F" w:rsidRPr="00B737D1">
        <w:rPr>
          <w:rFonts w:ascii="Times New Roman" w:hAnsi="Times New Roman" w:cs="Times New Roman"/>
          <w:color w:val="auto"/>
          <w:sz w:val="24"/>
          <w:szCs w:val="24"/>
        </w:rPr>
        <w:t>6</w:t>
      </w:r>
      <w:r w:rsidR="00F90772" w:rsidRPr="00B737D1">
        <w:rPr>
          <w:rFonts w:ascii="Times New Roman" w:hAnsi="Times New Roman" w:cs="Times New Roman"/>
          <w:color w:val="auto"/>
          <w:sz w:val="24"/>
          <w:szCs w:val="24"/>
        </w:rPr>
        <w:t>29</w:t>
      </w:r>
      <w:r w:rsidRPr="00B737D1">
        <w:rPr>
          <w:rFonts w:ascii="Times New Roman" w:hAnsi="Times New Roman" w:cs="Times New Roman"/>
          <w:color w:val="auto"/>
          <w:sz w:val="24"/>
          <w:szCs w:val="24"/>
        </w:rPr>
        <w:t xml:space="preserve"> mii lei</w:t>
      </w:r>
    </w:p>
    <w:p w14:paraId="57838580" w14:textId="59A3F1BB" w:rsidR="006A415A" w:rsidRPr="00B737D1" w:rsidRDefault="006A415A" w:rsidP="006A415A">
      <w:pPr>
        <w:pStyle w:val="ListParagraph"/>
        <w:numPr>
          <w:ilvl w:val="0"/>
          <w:numId w:val="62"/>
        </w:numPr>
        <w:ind w:left="0" w:firstLine="284"/>
        <w:jc w:val="both"/>
        <w:rPr>
          <w:rStyle w:val="IntenseEmphasis"/>
          <w:rFonts w:ascii="Times New Roman" w:hAnsi="Times New Roman" w:cs="Times New Roman"/>
          <w:i w:val="0"/>
          <w:iCs w:val="0"/>
          <w:color w:val="auto"/>
          <w:sz w:val="24"/>
          <w:szCs w:val="24"/>
        </w:rPr>
      </w:pPr>
      <w:r w:rsidRPr="00B737D1">
        <w:rPr>
          <w:rFonts w:ascii="Times New Roman" w:hAnsi="Times New Roman" w:cs="Times New Roman"/>
          <w:color w:val="auto"/>
          <w:sz w:val="24"/>
          <w:szCs w:val="24"/>
        </w:rPr>
        <w:t>Implementarea Programului este condiționată de limitele de cheltuieli aprobate anual în cadrul bugetului de stat și de disponibilitatea asistenței externe mobilizate prin acorduri de cooperare.</w:t>
      </w:r>
    </w:p>
    <w:p w14:paraId="667BFE28" w14:textId="5316226C" w:rsidR="00BE7385" w:rsidRPr="00B737D1" w:rsidRDefault="00BE7385" w:rsidP="00EB2187">
      <w:pPr>
        <w:spacing w:after="120"/>
        <w:jc w:val="center"/>
        <w:rPr>
          <w:rStyle w:val="IntenseEmphasis"/>
          <w:rFonts w:eastAsiaTheme="majorEastAsia"/>
          <w:i w:val="0"/>
          <w:iCs w:val="0"/>
          <w:color w:val="auto"/>
          <w:lang w:eastAsia="en-US"/>
        </w:rPr>
      </w:pPr>
      <w:r w:rsidRPr="00B737D1">
        <w:rPr>
          <w:rStyle w:val="IntenseEmphasis"/>
          <w:rFonts w:eastAsiaTheme="majorEastAsia"/>
          <w:i w:val="0"/>
          <w:iCs w:val="0"/>
          <w:color w:val="auto"/>
          <w:lang w:eastAsia="en-US"/>
        </w:rPr>
        <w:t>Mobilizarea resurselor financiare private și a finanțărilor climatice</w:t>
      </w:r>
    </w:p>
    <w:p w14:paraId="3DD2208B" w14:textId="77777777" w:rsidR="00BE7385" w:rsidRPr="00B737D1" w:rsidRDefault="00BE7385" w:rsidP="00F76C8A">
      <w:pPr>
        <w:pStyle w:val="NormalWeb"/>
        <w:numPr>
          <w:ilvl w:val="0"/>
          <w:numId w:val="62"/>
        </w:numPr>
        <w:spacing w:before="0" w:beforeAutospacing="0" w:after="0" w:afterAutospacing="0" w:line="240" w:lineRule="auto"/>
        <w:ind w:left="0" w:firstLine="284"/>
        <w:jc w:val="both"/>
        <w:rPr>
          <w:rFonts w:ascii="Times New Roman" w:hAnsi="Times New Roman" w:cs="Times New Roman"/>
          <w:sz w:val="24"/>
          <w:szCs w:val="24"/>
        </w:rPr>
      </w:pPr>
      <w:r w:rsidRPr="00B737D1">
        <w:rPr>
          <w:rFonts w:ascii="Times New Roman" w:hAnsi="Times New Roman" w:cs="Times New Roman"/>
          <w:sz w:val="24"/>
          <w:szCs w:val="24"/>
        </w:rPr>
        <w:t>Implementarea PNRRDN 2026 - 2030 va fi susținută, complementar finanțării din bugetul de stat și asistenței externe, prin mobilizarea resurselor financiare private și a investițiilor verzi, în scopul creșterii eficienței și sustenabilității intervențiilor de reducere a riscurilor de dezastre naturale și biologico-sociale. În acest context, autoritățile publice vor promova utilizarea instrumentelor financiare adecvate, inclusiv parteneriate public-private (PPP), mecanisme de finanțare mixtă, precum și accesarea fondurilor climatice internaționale și europene relevante, în conformitate cu cadrul normativ național.</w:t>
      </w:r>
    </w:p>
    <w:p w14:paraId="4137506F" w14:textId="77777777" w:rsidR="00BE7385" w:rsidRPr="00B737D1" w:rsidRDefault="00BE7385" w:rsidP="00F76C8A">
      <w:pPr>
        <w:pStyle w:val="NormalWeb"/>
        <w:numPr>
          <w:ilvl w:val="0"/>
          <w:numId w:val="62"/>
        </w:numPr>
        <w:spacing w:before="0" w:beforeAutospacing="0" w:after="0" w:afterAutospacing="0" w:line="240" w:lineRule="auto"/>
        <w:ind w:left="0" w:firstLine="284"/>
        <w:jc w:val="both"/>
        <w:rPr>
          <w:rFonts w:ascii="Times New Roman" w:hAnsi="Times New Roman" w:cs="Times New Roman"/>
          <w:sz w:val="24"/>
          <w:szCs w:val="24"/>
        </w:rPr>
      </w:pPr>
      <w:r w:rsidRPr="00B737D1">
        <w:rPr>
          <w:rFonts w:ascii="Times New Roman" w:hAnsi="Times New Roman" w:cs="Times New Roman"/>
          <w:sz w:val="24"/>
          <w:szCs w:val="24"/>
        </w:rPr>
        <w:t>Mobilizarea capitalului privat va fi orientată prioritar către domenii cu potențial ridicat de reducere a riscurilor și de generare a co-beneficiilor economice, sociale și de mediu, precum agricultura rezilientă la schimbările climatice, gestionarea durabilă a resurselor de apă, soluțiile bazate pe natură, infrastructura verde și digitalizarea sistemelor de monitorizare și avertizare timpurie. În acest sens, vor fi încurajate investițiile care contribuie la prevenirea pierderilor economice și la creșterea rezilienței comunităților, inclusiv prin implicarea sectorului privat în implementarea măsurilor prevăzute de Program.</w:t>
      </w:r>
    </w:p>
    <w:p w14:paraId="25EFECAE" w14:textId="6E2B84C8" w:rsidR="00BE7385" w:rsidRPr="00B737D1" w:rsidRDefault="00BE7385" w:rsidP="00F76C8A">
      <w:pPr>
        <w:pStyle w:val="NormalWeb"/>
        <w:numPr>
          <w:ilvl w:val="0"/>
          <w:numId w:val="62"/>
        </w:numPr>
        <w:spacing w:before="0" w:beforeAutospacing="0" w:after="0" w:afterAutospacing="0" w:line="240" w:lineRule="auto"/>
        <w:ind w:left="0" w:firstLine="284"/>
        <w:jc w:val="both"/>
        <w:rPr>
          <w:rFonts w:ascii="Times New Roman" w:hAnsi="Times New Roman" w:cs="Times New Roman"/>
          <w:sz w:val="24"/>
          <w:szCs w:val="24"/>
        </w:rPr>
      </w:pPr>
      <w:r w:rsidRPr="00B737D1">
        <w:rPr>
          <w:rFonts w:ascii="Times New Roman" w:hAnsi="Times New Roman" w:cs="Times New Roman"/>
          <w:sz w:val="24"/>
          <w:szCs w:val="24"/>
        </w:rPr>
        <w:t>Totodată, autoritățile vor urmări consolidarea coerenței dintre politicile publice, instrumentele de subvenționare și mecanismele de finanțare disponibile, astfel încât să fie create condiții favorabile pentru atragerea investițiilor verzi și a finanțărilor climatice. Această abordare va permite maximizarea impactului resurselor publice, prin efect de multiplicare, și va contribui la alinierea Programului la obiectivele naționale privind adaptarea la schimbările climatice, protecția mediului și dezvoltarea durabilă.</w:t>
      </w:r>
    </w:p>
    <w:p w14:paraId="20E0BBB3" w14:textId="394B4622" w:rsidR="006159CD" w:rsidRPr="00B737D1" w:rsidRDefault="00BE7385" w:rsidP="00F76C8A">
      <w:pPr>
        <w:pStyle w:val="NormalWeb"/>
        <w:numPr>
          <w:ilvl w:val="0"/>
          <w:numId w:val="62"/>
        </w:numPr>
        <w:spacing w:before="0" w:beforeAutospacing="0" w:after="0" w:afterAutospacing="0" w:line="240" w:lineRule="auto"/>
        <w:ind w:left="0" w:firstLine="284"/>
        <w:jc w:val="both"/>
        <w:rPr>
          <w:rFonts w:ascii="Times New Roman" w:hAnsi="Times New Roman" w:cs="Times New Roman"/>
          <w:sz w:val="24"/>
          <w:szCs w:val="24"/>
        </w:rPr>
      </w:pPr>
      <w:r w:rsidRPr="00B737D1">
        <w:rPr>
          <w:rFonts w:ascii="Times New Roman" w:hAnsi="Times New Roman" w:cs="Times New Roman"/>
          <w:sz w:val="24"/>
          <w:szCs w:val="24"/>
        </w:rPr>
        <w:t>Concret, p</w:t>
      </w:r>
      <w:r w:rsidR="006159CD" w:rsidRPr="00B737D1">
        <w:rPr>
          <w:rFonts w:ascii="Times New Roman" w:hAnsi="Times New Roman" w:cs="Times New Roman"/>
          <w:sz w:val="24"/>
          <w:szCs w:val="24"/>
        </w:rPr>
        <w:t>rogramul va beneficia de sprijinul partenerilor de dezvoltare, inclusiv prin asistență tehnică și contribuții financiare dedicate, în special pentru componentele legate de consolidarea rezilienței climatice, interoperabilitate între date și integrarea mobilității umane în planificarea riscurilor.</w:t>
      </w:r>
    </w:p>
    <w:p w14:paraId="688D737A" w14:textId="26525F85" w:rsidR="006159CD" w:rsidRPr="00B737D1" w:rsidRDefault="006159CD" w:rsidP="00F76C8A">
      <w:pPr>
        <w:pStyle w:val="NormalWeb"/>
        <w:numPr>
          <w:ilvl w:val="0"/>
          <w:numId w:val="62"/>
        </w:numPr>
        <w:spacing w:before="0" w:beforeAutospacing="0" w:after="0" w:afterAutospacing="0" w:line="240" w:lineRule="auto"/>
        <w:ind w:left="0" w:firstLine="284"/>
        <w:jc w:val="both"/>
        <w:rPr>
          <w:rFonts w:ascii="Times New Roman" w:hAnsi="Times New Roman" w:cs="Times New Roman"/>
          <w:sz w:val="24"/>
          <w:szCs w:val="24"/>
        </w:rPr>
      </w:pPr>
      <w:r w:rsidRPr="00B737D1">
        <w:rPr>
          <w:rFonts w:ascii="Times New Roman" w:hAnsi="Times New Roman" w:cs="Times New Roman"/>
          <w:sz w:val="24"/>
          <w:szCs w:val="24"/>
        </w:rPr>
        <w:t>Un exemplu notabil este acțiunea privind modernizarea serviciilor hidrometeorologice, care beneficiază de finanțare directă din partea Băncii Mondiale, în cadrul unui proiect de anvergură orientat spre digitalizarea echipamentelor, modernizarea infrastructurii tehnice și creșterea capacității de avertizare timpurie în fața riscurilor climatice. Această acțiune reprezintă cea mai mare investiție individuală prevăzută în Program, cu un buget total de peste 96 milioane lei, confirmând importanța strategică a sistemului hidrometeorologic în prevenirea și gestionarea dezastrelor</w:t>
      </w:r>
      <w:r w:rsidR="005C51D8" w:rsidRPr="00B737D1">
        <w:rPr>
          <w:rFonts w:ascii="Times New Roman" w:hAnsi="Times New Roman" w:cs="Times New Roman"/>
          <w:sz w:val="24"/>
          <w:szCs w:val="24"/>
        </w:rPr>
        <w:t>, precum si în avertizarea timpurie</w:t>
      </w:r>
      <w:r w:rsidRPr="00B737D1">
        <w:rPr>
          <w:rFonts w:ascii="Times New Roman" w:hAnsi="Times New Roman" w:cs="Times New Roman"/>
          <w:sz w:val="24"/>
          <w:szCs w:val="24"/>
        </w:rPr>
        <w:t>.</w:t>
      </w:r>
    </w:p>
    <w:p w14:paraId="43AB6223" w14:textId="7103D9A4" w:rsidR="006159CD" w:rsidRPr="00B737D1" w:rsidRDefault="006159CD" w:rsidP="00F76C8A">
      <w:pPr>
        <w:pStyle w:val="NormalWeb"/>
        <w:numPr>
          <w:ilvl w:val="0"/>
          <w:numId w:val="62"/>
        </w:numPr>
        <w:spacing w:before="0" w:beforeAutospacing="0" w:after="0" w:afterAutospacing="0" w:line="240" w:lineRule="auto"/>
        <w:ind w:left="0" w:firstLine="284"/>
        <w:jc w:val="both"/>
        <w:rPr>
          <w:rFonts w:ascii="Times New Roman" w:hAnsi="Times New Roman" w:cs="Times New Roman"/>
          <w:sz w:val="24"/>
          <w:szCs w:val="24"/>
        </w:rPr>
      </w:pPr>
      <w:r w:rsidRPr="00B737D1">
        <w:rPr>
          <w:rFonts w:ascii="Times New Roman" w:hAnsi="Times New Roman" w:cs="Times New Roman"/>
          <w:sz w:val="24"/>
          <w:szCs w:val="24"/>
        </w:rPr>
        <w:t xml:space="preserve">Costurile estimate vor fi ajustate pe parcursul implementării, în funcție de volumul alocațiilor disponibile în bugetul de stat și de resursele mobilizate prin cooperarea internațională. </w:t>
      </w:r>
    </w:p>
    <w:p w14:paraId="568E6737" w14:textId="03DCE089" w:rsidR="006159CD" w:rsidRPr="00B737D1" w:rsidRDefault="006159CD" w:rsidP="00B737D1">
      <w:pPr>
        <w:pStyle w:val="NormalWeb"/>
        <w:numPr>
          <w:ilvl w:val="0"/>
          <w:numId w:val="62"/>
        </w:numPr>
        <w:spacing w:before="0" w:beforeAutospacing="0" w:after="0" w:afterAutospacing="0" w:line="240" w:lineRule="auto"/>
        <w:ind w:left="0" w:firstLine="284"/>
        <w:jc w:val="both"/>
        <w:rPr>
          <w:rFonts w:ascii="Times New Roman" w:hAnsi="Times New Roman" w:cs="Times New Roman"/>
          <w:sz w:val="24"/>
          <w:szCs w:val="24"/>
        </w:rPr>
      </w:pPr>
      <w:r w:rsidRPr="00B737D1">
        <w:rPr>
          <w:rFonts w:ascii="Times New Roman" w:hAnsi="Times New Roman" w:cs="Times New Roman"/>
          <w:sz w:val="24"/>
          <w:szCs w:val="24"/>
        </w:rPr>
        <w:t>În conformitate cu pct. 1 lit. f) din Ordinul Ministerului Finanțelor nr. 208/2015 privind Clasificația bugetară (anexa nr. 7), resursele financiare necesare pentru implementarea Programului urmează a fi acoperite de următoarele subprograme:</w:t>
      </w:r>
    </w:p>
    <w:p w14:paraId="60708126" w14:textId="2A65AFAF" w:rsidR="00F30D40" w:rsidRPr="00B737D1" w:rsidRDefault="00F30D40">
      <w:pPr>
        <w:pStyle w:val="ListParagraph"/>
        <w:numPr>
          <w:ilvl w:val="0"/>
          <w:numId w:val="38"/>
        </w:numPr>
        <w:jc w:val="both"/>
        <w:rPr>
          <w:rFonts w:ascii="Times New Roman" w:hAnsi="Times New Roman" w:cs="Times New Roman"/>
          <w:color w:val="auto"/>
          <w:sz w:val="24"/>
          <w:szCs w:val="24"/>
        </w:rPr>
      </w:pPr>
      <w:r w:rsidRPr="00B737D1">
        <w:rPr>
          <w:rFonts w:ascii="Times New Roman" w:hAnsi="Times New Roman" w:cs="Times New Roman"/>
          <w:color w:val="auto"/>
          <w:sz w:val="24"/>
          <w:szCs w:val="24"/>
        </w:rPr>
        <w:lastRenderedPageBreak/>
        <w:t>Managementul în domeniul sectorului forestier (5401)</w:t>
      </w:r>
      <w:r w:rsidR="00B737D1">
        <w:rPr>
          <w:rFonts w:ascii="Times New Roman" w:hAnsi="Times New Roman" w:cs="Times New Roman"/>
          <w:color w:val="auto"/>
          <w:sz w:val="24"/>
          <w:szCs w:val="24"/>
        </w:rPr>
        <w:t>;</w:t>
      </w:r>
    </w:p>
    <w:p w14:paraId="57178664" w14:textId="3C820C51" w:rsidR="00F30D40" w:rsidRPr="00B737D1" w:rsidRDefault="00F30D40">
      <w:pPr>
        <w:pStyle w:val="ListParagraph"/>
        <w:numPr>
          <w:ilvl w:val="0"/>
          <w:numId w:val="38"/>
        </w:numPr>
        <w:jc w:val="both"/>
        <w:rPr>
          <w:rFonts w:ascii="Times New Roman" w:hAnsi="Times New Roman" w:cs="Times New Roman"/>
          <w:color w:val="auto"/>
          <w:sz w:val="24"/>
          <w:szCs w:val="24"/>
        </w:rPr>
      </w:pPr>
      <w:r w:rsidRPr="00B737D1">
        <w:rPr>
          <w:rFonts w:ascii="Times New Roman" w:hAnsi="Times New Roman" w:cs="Times New Roman"/>
          <w:color w:val="auto"/>
          <w:sz w:val="24"/>
          <w:szCs w:val="24"/>
        </w:rPr>
        <w:t>Amenajarea, regenerarea, extinderea și protecția fondului forestier național</w:t>
      </w:r>
      <w:r w:rsidR="00B737D1">
        <w:rPr>
          <w:rFonts w:ascii="Times New Roman" w:hAnsi="Times New Roman" w:cs="Times New Roman"/>
          <w:color w:val="auto"/>
          <w:sz w:val="24"/>
          <w:szCs w:val="24"/>
        </w:rPr>
        <w:t xml:space="preserve"> </w:t>
      </w:r>
      <w:r w:rsidRPr="00B737D1">
        <w:rPr>
          <w:rFonts w:ascii="Times New Roman" w:hAnsi="Times New Roman" w:cs="Times New Roman"/>
          <w:color w:val="auto"/>
          <w:sz w:val="24"/>
          <w:szCs w:val="24"/>
        </w:rPr>
        <w:t>(5402)</w:t>
      </w:r>
      <w:r w:rsidR="00B737D1">
        <w:rPr>
          <w:rFonts w:ascii="Times New Roman" w:hAnsi="Times New Roman" w:cs="Times New Roman"/>
          <w:color w:val="auto"/>
          <w:sz w:val="24"/>
          <w:szCs w:val="24"/>
        </w:rPr>
        <w:t>;</w:t>
      </w:r>
    </w:p>
    <w:p w14:paraId="1D88BF24" w14:textId="7F65566A" w:rsidR="006159CD" w:rsidRPr="00B737D1" w:rsidRDefault="00F30D40">
      <w:pPr>
        <w:pStyle w:val="ListParagraph"/>
        <w:numPr>
          <w:ilvl w:val="0"/>
          <w:numId w:val="38"/>
        </w:numPr>
        <w:jc w:val="both"/>
        <w:rPr>
          <w:rFonts w:ascii="Times New Roman" w:hAnsi="Times New Roman" w:cs="Times New Roman"/>
          <w:color w:val="auto"/>
          <w:sz w:val="24"/>
          <w:szCs w:val="24"/>
        </w:rPr>
      </w:pPr>
      <w:r w:rsidRPr="00B737D1">
        <w:rPr>
          <w:rFonts w:ascii="Times New Roman" w:hAnsi="Times New Roman" w:cs="Times New Roman"/>
          <w:color w:val="auto"/>
          <w:sz w:val="24"/>
          <w:szCs w:val="24"/>
        </w:rPr>
        <w:t>Dezvoltarea ariilor naturale protejate de stat (5404)</w:t>
      </w:r>
      <w:r w:rsidR="00B737D1">
        <w:rPr>
          <w:rFonts w:ascii="Times New Roman" w:hAnsi="Times New Roman" w:cs="Times New Roman"/>
          <w:color w:val="auto"/>
          <w:sz w:val="24"/>
          <w:szCs w:val="24"/>
        </w:rPr>
        <w:t>;</w:t>
      </w:r>
    </w:p>
    <w:p w14:paraId="4DB4A9AF" w14:textId="641F4A5A" w:rsidR="00F30D40" w:rsidRPr="00B737D1" w:rsidRDefault="00F30D40">
      <w:pPr>
        <w:pStyle w:val="ListParagraph"/>
        <w:numPr>
          <w:ilvl w:val="0"/>
          <w:numId w:val="38"/>
        </w:numPr>
        <w:jc w:val="both"/>
        <w:rPr>
          <w:rFonts w:ascii="Times New Roman" w:hAnsi="Times New Roman" w:cs="Times New Roman"/>
          <w:color w:val="auto"/>
          <w:sz w:val="24"/>
          <w:szCs w:val="24"/>
        </w:rPr>
      </w:pPr>
      <w:r w:rsidRPr="00B737D1">
        <w:rPr>
          <w:rFonts w:ascii="Times New Roman" w:hAnsi="Times New Roman" w:cs="Times New Roman"/>
          <w:color w:val="auto"/>
          <w:sz w:val="24"/>
          <w:szCs w:val="24"/>
        </w:rPr>
        <w:t>Schimbări climatice – predicții, prognoze și avertizări</w:t>
      </w:r>
      <w:r w:rsidR="00B737D1">
        <w:rPr>
          <w:rFonts w:ascii="Times New Roman" w:hAnsi="Times New Roman" w:cs="Times New Roman"/>
          <w:color w:val="auto"/>
          <w:sz w:val="24"/>
          <w:szCs w:val="24"/>
        </w:rPr>
        <w:t xml:space="preserve"> </w:t>
      </w:r>
      <w:r w:rsidRPr="00B737D1">
        <w:rPr>
          <w:rFonts w:ascii="Times New Roman" w:hAnsi="Times New Roman" w:cs="Times New Roman"/>
          <w:color w:val="auto"/>
          <w:sz w:val="24"/>
          <w:szCs w:val="24"/>
        </w:rPr>
        <w:t>(5010)</w:t>
      </w:r>
      <w:r w:rsidR="00B737D1">
        <w:rPr>
          <w:rFonts w:ascii="Times New Roman" w:hAnsi="Times New Roman" w:cs="Times New Roman"/>
          <w:color w:val="auto"/>
          <w:sz w:val="24"/>
          <w:szCs w:val="24"/>
        </w:rPr>
        <w:t>;</w:t>
      </w:r>
    </w:p>
    <w:p w14:paraId="39B35572" w14:textId="1F74511D" w:rsidR="00F30D40" w:rsidRPr="00B737D1" w:rsidRDefault="00F30D40">
      <w:pPr>
        <w:pStyle w:val="ListParagraph"/>
        <w:numPr>
          <w:ilvl w:val="0"/>
          <w:numId w:val="38"/>
        </w:numPr>
        <w:jc w:val="both"/>
        <w:rPr>
          <w:rFonts w:ascii="Times New Roman" w:hAnsi="Times New Roman" w:cs="Times New Roman"/>
          <w:color w:val="auto"/>
          <w:sz w:val="24"/>
          <w:szCs w:val="24"/>
        </w:rPr>
      </w:pPr>
      <w:r w:rsidRPr="00B737D1">
        <w:rPr>
          <w:rFonts w:ascii="Times New Roman" w:hAnsi="Times New Roman" w:cs="Times New Roman"/>
          <w:color w:val="auto"/>
          <w:sz w:val="24"/>
          <w:szCs w:val="24"/>
        </w:rPr>
        <w:t>Politici și management în domeniul protecției mediului (7001)</w:t>
      </w:r>
      <w:r w:rsidR="00B737D1">
        <w:rPr>
          <w:rFonts w:ascii="Times New Roman" w:hAnsi="Times New Roman" w:cs="Times New Roman"/>
          <w:color w:val="auto"/>
          <w:sz w:val="24"/>
          <w:szCs w:val="24"/>
        </w:rPr>
        <w:t>;</w:t>
      </w:r>
    </w:p>
    <w:p w14:paraId="68B92C74" w14:textId="4C588706" w:rsidR="00F30D40" w:rsidRPr="00B737D1" w:rsidRDefault="00F30D40">
      <w:pPr>
        <w:pStyle w:val="ListParagraph"/>
        <w:numPr>
          <w:ilvl w:val="0"/>
          <w:numId w:val="38"/>
        </w:numPr>
        <w:jc w:val="both"/>
        <w:rPr>
          <w:rFonts w:ascii="Times New Roman" w:hAnsi="Times New Roman" w:cs="Times New Roman"/>
          <w:color w:val="auto"/>
          <w:sz w:val="24"/>
          <w:szCs w:val="24"/>
        </w:rPr>
      </w:pPr>
      <w:r w:rsidRPr="00B737D1">
        <w:rPr>
          <w:rFonts w:ascii="Times New Roman" w:hAnsi="Times New Roman" w:cs="Times New Roman"/>
          <w:color w:val="auto"/>
          <w:sz w:val="24"/>
          <w:szCs w:val="24"/>
        </w:rPr>
        <w:t>Protecția și gestionarea resurselor de apă, a inundațiilor  și secetelor (7004)</w:t>
      </w:r>
      <w:r w:rsidR="00B737D1">
        <w:rPr>
          <w:rFonts w:ascii="Times New Roman" w:hAnsi="Times New Roman" w:cs="Times New Roman"/>
          <w:color w:val="auto"/>
          <w:sz w:val="24"/>
          <w:szCs w:val="24"/>
        </w:rPr>
        <w:t>;</w:t>
      </w:r>
    </w:p>
    <w:p w14:paraId="45E744F1" w14:textId="7B40C193" w:rsidR="00F30D40" w:rsidRPr="00B737D1" w:rsidRDefault="00F30D40">
      <w:pPr>
        <w:pStyle w:val="ListParagraph"/>
        <w:numPr>
          <w:ilvl w:val="0"/>
          <w:numId w:val="38"/>
        </w:numPr>
        <w:jc w:val="both"/>
        <w:rPr>
          <w:rFonts w:ascii="Times New Roman" w:hAnsi="Times New Roman" w:cs="Times New Roman"/>
          <w:color w:val="auto"/>
          <w:sz w:val="24"/>
          <w:szCs w:val="24"/>
        </w:rPr>
      </w:pPr>
      <w:r w:rsidRPr="00B737D1">
        <w:rPr>
          <w:rFonts w:ascii="Times New Roman" w:hAnsi="Times New Roman" w:cs="Times New Roman"/>
          <w:color w:val="auto"/>
          <w:sz w:val="24"/>
          <w:szCs w:val="24"/>
        </w:rPr>
        <w:t>Atenuarea și adaptarea la schimbările climatice (7011)</w:t>
      </w:r>
      <w:r w:rsidR="00B737D1">
        <w:rPr>
          <w:rFonts w:ascii="Times New Roman" w:hAnsi="Times New Roman" w:cs="Times New Roman"/>
          <w:color w:val="auto"/>
          <w:sz w:val="24"/>
          <w:szCs w:val="24"/>
        </w:rPr>
        <w:t>;</w:t>
      </w:r>
    </w:p>
    <w:p w14:paraId="25A4CFFF" w14:textId="7E4F20C8" w:rsidR="00F30D40" w:rsidRPr="00B737D1" w:rsidRDefault="00F30D40">
      <w:pPr>
        <w:pStyle w:val="ListParagraph"/>
        <w:numPr>
          <w:ilvl w:val="0"/>
          <w:numId w:val="38"/>
        </w:numPr>
        <w:jc w:val="both"/>
        <w:rPr>
          <w:rFonts w:ascii="Times New Roman" w:hAnsi="Times New Roman" w:cs="Times New Roman"/>
          <w:color w:val="auto"/>
          <w:sz w:val="24"/>
          <w:szCs w:val="24"/>
        </w:rPr>
      </w:pPr>
      <w:r w:rsidRPr="00B737D1">
        <w:rPr>
          <w:rFonts w:ascii="Times New Roman" w:hAnsi="Times New Roman" w:cs="Times New Roman"/>
          <w:color w:val="auto"/>
          <w:sz w:val="24"/>
          <w:szCs w:val="24"/>
        </w:rPr>
        <w:t>Politici și management în domeniul agriculturii și industriei alimentare (5101)</w:t>
      </w:r>
      <w:r w:rsidR="00B737D1">
        <w:rPr>
          <w:rFonts w:ascii="Times New Roman" w:hAnsi="Times New Roman" w:cs="Times New Roman"/>
          <w:color w:val="auto"/>
          <w:sz w:val="24"/>
          <w:szCs w:val="24"/>
        </w:rPr>
        <w:t>;</w:t>
      </w:r>
    </w:p>
    <w:p w14:paraId="1E8A8756" w14:textId="537402D0" w:rsidR="00F30D40" w:rsidRPr="00B737D1" w:rsidRDefault="00F30D40">
      <w:pPr>
        <w:pStyle w:val="ListParagraph"/>
        <w:numPr>
          <w:ilvl w:val="0"/>
          <w:numId w:val="38"/>
        </w:numPr>
        <w:jc w:val="both"/>
        <w:rPr>
          <w:rFonts w:ascii="Times New Roman" w:hAnsi="Times New Roman" w:cs="Times New Roman"/>
          <w:color w:val="auto"/>
          <w:sz w:val="24"/>
          <w:szCs w:val="24"/>
        </w:rPr>
      </w:pPr>
      <w:r w:rsidRPr="00B737D1">
        <w:rPr>
          <w:rFonts w:ascii="Times New Roman" w:hAnsi="Times New Roman" w:cs="Times New Roman"/>
          <w:color w:val="auto"/>
          <w:sz w:val="24"/>
          <w:szCs w:val="24"/>
        </w:rPr>
        <w:t>Dezvoltarea durabilă a sectoarelor fitotehnie și horticultură (5102)</w:t>
      </w:r>
      <w:r w:rsidR="00B737D1">
        <w:rPr>
          <w:rFonts w:ascii="Times New Roman" w:hAnsi="Times New Roman" w:cs="Times New Roman"/>
          <w:color w:val="auto"/>
          <w:sz w:val="24"/>
          <w:szCs w:val="24"/>
        </w:rPr>
        <w:t>;</w:t>
      </w:r>
    </w:p>
    <w:p w14:paraId="76A8A7AE" w14:textId="38F0075E" w:rsidR="00F30D40" w:rsidRPr="00B737D1" w:rsidRDefault="00F30D40">
      <w:pPr>
        <w:pStyle w:val="ListParagraph"/>
        <w:numPr>
          <w:ilvl w:val="0"/>
          <w:numId w:val="38"/>
        </w:numPr>
        <w:jc w:val="both"/>
        <w:rPr>
          <w:rFonts w:ascii="Times New Roman" w:hAnsi="Times New Roman" w:cs="Times New Roman"/>
          <w:color w:val="auto"/>
          <w:sz w:val="24"/>
          <w:szCs w:val="24"/>
        </w:rPr>
      </w:pPr>
      <w:r w:rsidRPr="00B737D1">
        <w:rPr>
          <w:rFonts w:ascii="Times New Roman" w:hAnsi="Times New Roman" w:cs="Times New Roman"/>
          <w:color w:val="auto"/>
          <w:sz w:val="24"/>
          <w:szCs w:val="24"/>
        </w:rPr>
        <w:t>Creșterea și sănătatea animalelor (5103)</w:t>
      </w:r>
      <w:r w:rsidR="00B737D1">
        <w:rPr>
          <w:rFonts w:ascii="Times New Roman" w:hAnsi="Times New Roman" w:cs="Times New Roman"/>
          <w:color w:val="auto"/>
          <w:sz w:val="24"/>
          <w:szCs w:val="24"/>
        </w:rPr>
        <w:t>;</w:t>
      </w:r>
    </w:p>
    <w:p w14:paraId="262A2D2F" w14:textId="6B5772D2" w:rsidR="00F30D40" w:rsidRPr="00B737D1" w:rsidRDefault="00F30D40">
      <w:pPr>
        <w:pStyle w:val="ListParagraph"/>
        <w:numPr>
          <w:ilvl w:val="0"/>
          <w:numId w:val="38"/>
        </w:numPr>
        <w:jc w:val="both"/>
        <w:rPr>
          <w:rFonts w:ascii="Times New Roman" w:hAnsi="Times New Roman" w:cs="Times New Roman"/>
          <w:color w:val="auto"/>
          <w:sz w:val="24"/>
          <w:szCs w:val="24"/>
        </w:rPr>
      </w:pPr>
      <w:r w:rsidRPr="00B737D1">
        <w:rPr>
          <w:rFonts w:ascii="Times New Roman" w:hAnsi="Times New Roman" w:cs="Times New Roman"/>
          <w:color w:val="auto"/>
          <w:sz w:val="24"/>
          <w:szCs w:val="24"/>
        </w:rPr>
        <w:t>Conservarea și sporirea fertilității solurilor (6903)</w:t>
      </w:r>
      <w:r w:rsidR="00B737D1">
        <w:rPr>
          <w:rFonts w:ascii="Times New Roman" w:hAnsi="Times New Roman" w:cs="Times New Roman"/>
          <w:color w:val="auto"/>
          <w:sz w:val="24"/>
          <w:szCs w:val="24"/>
        </w:rPr>
        <w:t>;</w:t>
      </w:r>
    </w:p>
    <w:p w14:paraId="77096605" w14:textId="021C2D75" w:rsidR="00F30D40" w:rsidRPr="00B737D1" w:rsidRDefault="00F30D40">
      <w:pPr>
        <w:pStyle w:val="ListParagraph"/>
        <w:numPr>
          <w:ilvl w:val="0"/>
          <w:numId w:val="38"/>
        </w:numPr>
        <w:jc w:val="both"/>
        <w:rPr>
          <w:rFonts w:ascii="Times New Roman" w:hAnsi="Times New Roman" w:cs="Times New Roman"/>
          <w:color w:val="auto"/>
          <w:sz w:val="24"/>
          <w:szCs w:val="24"/>
        </w:rPr>
      </w:pPr>
      <w:r w:rsidRPr="00B737D1">
        <w:rPr>
          <w:rFonts w:ascii="Times New Roman" w:hAnsi="Times New Roman" w:cs="Times New Roman"/>
          <w:color w:val="auto"/>
          <w:sz w:val="24"/>
          <w:szCs w:val="24"/>
        </w:rPr>
        <w:t>Politici și management în domeniul ocrotirii sănătății</w:t>
      </w:r>
      <w:r w:rsidR="00B737D1">
        <w:rPr>
          <w:rFonts w:ascii="Times New Roman" w:hAnsi="Times New Roman" w:cs="Times New Roman"/>
          <w:color w:val="auto"/>
          <w:sz w:val="24"/>
          <w:szCs w:val="24"/>
        </w:rPr>
        <w:t xml:space="preserve"> </w:t>
      </w:r>
      <w:r w:rsidRPr="00B737D1">
        <w:rPr>
          <w:rFonts w:ascii="Times New Roman" w:hAnsi="Times New Roman" w:cs="Times New Roman"/>
          <w:color w:val="auto"/>
          <w:sz w:val="24"/>
          <w:szCs w:val="24"/>
        </w:rPr>
        <w:t>(8001)</w:t>
      </w:r>
      <w:r w:rsidR="00B737D1">
        <w:rPr>
          <w:rFonts w:ascii="Times New Roman" w:hAnsi="Times New Roman" w:cs="Times New Roman"/>
          <w:color w:val="auto"/>
          <w:sz w:val="24"/>
          <w:szCs w:val="24"/>
        </w:rPr>
        <w:t>;</w:t>
      </w:r>
    </w:p>
    <w:p w14:paraId="23A0698A" w14:textId="0E0891FC" w:rsidR="00F30D40" w:rsidRPr="00B737D1" w:rsidRDefault="00F30D40">
      <w:pPr>
        <w:pStyle w:val="ListParagraph"/>
        <w:numPr>
          <w:ilvl w:val="0"/>
          <w:numId w:val="38"/>
        </w:numPr>
        <w:jc w:val="both"/>
        <w:rPr>
          <w:rFonts w:ascii="Times New Roman" w:hAnsi="Times New Roman" w:cs="Times New Roman"/>
          <w:color w:val="auto"/>
          <w:sz w:val="24"/>
          <w:szCs w:val="24"/>
        </w:rPr>
      </w:pPr>
      <w:r w:rsidRPr="00B737D1">
        <w:rPr>
          <w:rFonts w:ascii="Times New Roman" w:hAnsi="Times New Roman" w:cs="Times New Roman"/>
          <w:color w:val="auto"/>
          <w:sz w:val="24"/>
          <w:szCs w:val="24"/>
        </w:rPr>
        <w:t>Politici și management în domeniul statisticii</w:t>
      </w:r>
      <w:r w:rsidR="00281705" w:rsidRPr="00B737D1">
        <w:rPr>
          <w:rFonts w:ascii="Times New Roman" w:hAnsi="Times New Roman" w:cs="Times New Roman"/>
          <w:color w:val="auto"/>
          <w:sz w:val="24"/>
          <w:szCs w:val="24"/>
        </w:rPr>
        <w:t xml:space="preserve"> (1201)  și Lucrări statistice</w:t>
      </w:r>
      <w:r w:rsidRPr="00B737D1">
        <w:rPr>
          <w:rFonts w:ascii="Times New Roman" w:hAnsi="Times New Roman" w:cs="Times New Roman"/>
          <w:color w:val="auto"/>
          <w:sz w:val="24"/>
          <w:szCs w:val="24"/>
        </w:rPr>
        <w:t xml:space="preserve"> (1202)</w:t>
      </w:r>
      <w:r w:rsidR="00B737D1">
        <w:rPr>
          <w:rFonts w:ascii="Times New Roman" w:hAnsi="Times New Roman" w:cs="Times New Roman"/>
          <w:color w:val="auto"/>
          <w:sz w:val="24"/>
          <w:szCs w:val="24"/>
        </w:rPr>
        <w:t>;</w:t>
      </w:r>
    </w:p>
    <w:p w14:paraId="39FA9419" w14:textId="79D53807" w:rsidR="00F30D40" w:rsidRPr="00B737D1" w:rsidRDefault="00F30D40">
      <w:pPr>
        <w:pStyle w:val="ListParagraph"/>
        <w:numPr>
          <w:ilvl w:val="0"/>
          <w:numId w:val="38"/>
        </w:numPr>
        <w:jc w:val="both"/>
        <w:rPr>
          <w:rFonts w:ascii="Times New Roman" w:hAnsi="Times New Roman" w:cs="Times New Roman"/>
          <w:color w:val="auto"/>
          <w:sz w:val="24"/>
          <w:szCs w:val="24"/>
        </w:rPr>
      </w:pPr>
      <w:r w:rsidRPr="00B737D1">
        <w:rPr>
          <w:rFonts w:ascii="Times New Roman" w:hAnsi="Times New Roman" w:cs="Times New Roman"/>
          <w:color w:val="auto"/>
          <w:sz w:val="24"/>
          <w:szCs w:val="24"/>
        </w:rPr>
        <w:t>Politici și management în domeniul geodeziei, cartografiei și cadastrului (6901)</w:t>
      </w:r>
      <w:r w:rsidR="00B737D1">
        <w:rPr>
          <w:rFonts w:ascii="Times New Roman" w:hAnsi="Times New Roman" w:cs="Times New Roman"/>
          <w:color w:val="auto"/>
          <w:sz w:val="24"/>
          <w:szCs w:val="24"/>
        </w:rPr>
        <w:t>;</w:t>
      </w:r>
    </w:p>
    <w:p w14:paraId="1DBFB6C9" w14:textId="03D36054" w:rsidR="00F30D40" w:rsidRPr="00B737D1" w:rsidRDefault="00F30D40">
      <w:pPr>
        <w:pStyle w:val="ListParagraph"/>
        <w:numPr>
          <w:ilvl w:val="0"/>
          <w:numId w:val="38"/>
        </w:numPr>
        <w:jc w:val="both"/>
        <w:rPr>
          <w:rFonts w:ascii="Times New Roman" w:hAnsi="Times New Roman" w:cs="Times New Roman"/>
          <w:color w:val="auto"/>
          <w:sz w:val="24"/>
          <w:szCs w:val="24"/>
        </w:rPr>
      </w:pPr>
      <w:r w:rsidRPr="00B737D1">
        <w:rPr>
          <w:rFonts w:ascii="Times New Roman" w:hAnsi="Times New Roman" w:cs="Times New Roman"/>
          <w:color w:val="auto"/>
          <w:sz w:val="24"/>
          <w:szCs w:val="24"/>
        </w:rPr>
        <w:t>Geodezie, cartografie și geoinformatică (6905)</w:t>
      </w:r>
      <w:r w:rsidR="00B737D1">
        <w:rPr>
          <w:rFonts w:ascii="Times New Roman" w:hAnsi="Times New Roman" w:cs="Times New Roman"/>
          <w:color w:val="auto"/>
          <w:sz w:val="24"/>
          <w:szCs w:val="24"/>
        </w:rPr>
        <w:t>.</w:t>
      </w:r>
    </w:p>
    <w:p w14:paraId="249FEA9B" w14:textId="77777777" w:rsidR="00B737D1" w:rsidRPr="00B737D1" w:rsidRDefault="00AD419F" w:rsidP="00B737D1">
      <w:pPr>
        <w:pStyle w:val="ListParagraph"/>
        <w:numPr>
          <w:ilvl w:val="0"/>
          <w:numId w:val="65"/>
        </w:numPr>
        <w:spacing w:before="240" w:after="120"/>
        <w:ind w:left="0" w:firstLine="284"/>
        <w:jc w:val="both"/>
        <w:rPr>
          <w:rFonts w:ascii="Times New Roman" w:hAnsi="Times New Roman" w:cs="Times New Roman"/>
          <w:color w:val="auto"/>
          <w:sz w:val="24"/>
          <w:szCs w:val="24"/>
        </w:rPr>
      </w:pPr>
      <w:r w:rsidRPr="00B737D1">
        <w:rPr>
          <w:rFonts w:ascii="Times New Roman" w:hAnsi="Times New Roman" w:cs="Times New Roman"/>
          <w:color w:val="auto"/>
          <w:sz w:val="24"/>
          <w:szCs w:val="24"/>
        </w:rPr>
        <w:t xml:space="preserve">Finanțarea </w:t>
      </w:r>
      <w:r w:rsidR="0060356C" w:rsidRPr="00B737D1">
        <w:rPr>
          <w:rFonts w:ascii="Times New Roman" w:hAnsi="Times New Roman" w:cs="Times New Roman"/>
          <w:color w:val="auto"/>
          <w:sz w:val="24"/>
          <w:szCs w:val="24"/>
        </w:rPr>
        <w:t>PNRRDN</w:t>
      </w:r>
      <w:r w:rsidRPr="00B737D1">
        <w:rPr>
          <w:rFonts w:ascii="Times New Roman" w:hAnsi="Times New Roman" w:cs="Times New Roman"/>
          <w:color w:val="auto"/>
          <w:sz w:val="24"/>
          <w:szCs w:val="24"/>
        </w:rPr>
        <w:t xml:space="preserve"> 2026 - 2030 este estimată la 129,</w:t>
      </w:r>
      <w:r w:rsidR="00730AC7" w:rsidRPr="00B737D1">
        <w:rPr>
          <w:rFonts w:ascii="Times New Roman" w:hAnsi="Times New Roman" w:cs="Times New Roman"/>
          <w:color w:val="auto"/>
          <w:sz w:val="24"/>
          <w:szCs w:val="24"/>
        </w:rPr>
        <w:t>8</w:t>
      </w:r>
      <w:r w:rsidRPr="00B737D1">
        <w:rPr>
          <w:rFonts w:ascii="Times New Roman" w:hAnsi="Times New Roman" w:cs="Times New Roman"/>
          <w:color w:val="auto"/>
          <w:sz w:val="24"/>
          <w:szCs w:val="24"/>
        </w:rPr>
        <w:t xml:space="preserve"> milioane lei, distribuție care reflectă în principal faptul că Obiectivul Specific 4.1 concentrează investiții majore în echipamente și sisteme avansate de anticipare, avertizare timpurie, prognoză și digitalizare. Aceste investiții tehnice, realizate în mare parte prin suport extern, inclusiv Subcomponenta 1.2 a proiectului Băncii Mondiale</w:t>
      </w:r>
      <w:r w:rsidR="00D31046" w:rsidRPr="00B737D1">
        <w:rPr>
          <w:rFonts w:ascii="Times New Roman" w:hAnsi="Times New Roman" w:cs="Times New Roman"/>
          <w:color w:val="auto"/>
          <w:sz w:val="24"/>
          <w:szCs w:val="24"/>
        </w:rPr>
        <w:t xml:space="preserve"> intitulat „Consolidarea managementului riscurilor de dezastre și a rezilienței Republicii Moldova (CMRDRM)”  care urmărește să sprijine consolidarea nivelului de pregătire și răspuns al Republicii Moldova la situațiile de dezastre naturale și șocuri determinate de schimbările climatice care amenință vieți, locuințe și infrastructura critică. </w:t>
      </w:r>
      <w:r w:rsidRPr="00B737D1">
        <w:rPr>
          <w:rFonts w:ascii="Times New Roman" w:hAnsi="Times New Roman" w:cs="Times New Roman"/>
          <w:color w:val="auto"/>
          <w:sz w:val="24"/>
          <w:szCs w:val="24"/>
        </w:rPr>
        <w:t>Această structură nu indică o dependență disproporționată de finanțarea externă, ci reflectă faptul că dezvoltarea infrastructurii moderne de avertizare și monitorizare este, în mod inerent, mai costisitoare decât acțiunile instituționale, educaționale sau de reglementare, care rămân esențiale dar nu necesită resurse financiare comparabile.</w:t>
      </w:r>
    </w:p>
    <w:p w14:paraId="6989B877" w14:textId="77777777" w:rsidR="00B737D1" w:rsidRPr="00B737D1" w:rsidRDefault="009B15ED" w:rsidP="00B737D1">
      <w:pPr>
        <w:pStyle w:val="ListParagraph"/>
        <w:numPr>
          <w:ilvl w:val="0"/>
          <w:numId w:val="65"/>
        </w:numPr>
        <w:spacing w:after="120"/>
        <w:ind w:left="0" w:firstLine="284"/>
        <w:jc w:val="both"/>
        <w:rPr>
          <w:rFonts w:ascii="Times New Roman" w:hAnsi="Times New Roman" w:cs="Times New Roman"/>
          <w:color w:val="auto"/>
          <w:sz w:val="24"/>
          <w:szCs w:val="24"/>
        </w:rPr>
      </w:pPr>
      <w:r w:rsidRPr="00B737D1">
        <w:rPr>
          <w:rFonts w:ascii="Times New Roman" w:hAnsi="Times New Roman" w:cs="Times New Roman"/>
          <w:color w:val="auto"/>
          <w:sz w:val="24"/>
          <w:szCs w:val="24"/>
        </w:rPr>
        <w:t xml:space="preserve">Analiza distribuției bugetare pe obiective specifice relevă </w:t>
      </w:r>
      <w:r w:rsidR="00D70E52" w:rsidRPr="00B737D1">
        <w:rPr>
          <w:rFonts w:ascii="Times New Roman" w:hAnsi="Times New Roman" w:cs="Times New Roman"/>
          <w:color w:val="auto"/>
          <w:sz w:val="24"/>
          <w:szCs w:val="24"/>
        </w:rPr>
        <w:t xml:space="preserve">variații </w:t>
      </w:r>
      <w:r w:rsidRPr="00B737D1">
        <w:rPr>
          <w:rFonts w:ascii="Times New Roman" w:hAnsi="Times New Roman" w:cs="Times New Roman"/>
          <w:color w:val="auto"/>
          <w:sz w:val="24"/>
          <w:szCs w:val="24"/>
        </w:rPr>
        <w:t xml:space="preserve">între investițiile tehnice și cele instituționale. Activități critice precum cercetarea aplicată (OS 1.3), coordonarea interinstituțională (OS 2.3), participarea la convenții internaționale și mobilizarea resurselor externe (OS 5.1–5.3) rămân </w:t>
      </w:r>
      <w:r w:rsidR="00D70E52" w:rsidRPr="00B737D1">
        <w:rPr>
          <w:rFonts w:ascii="Times New Roman" w:hAnsi="Times New Roman" w:cs="Times New Roman"/>
          <w:color w:val="auto"/>
          <w:sz w:val="24"/>
          <w:szCs w:val="24"/>
        </w:rPr>
        <w:t xml:space="preserve">totuși </w:t>
      </w:r>
      <w:r w:rsidRPr="00B737D1">
        <w:rPr>
          <w:rFonts w:ascii="Times New Roman" w:hAnsi="Times New Roman" w:cs="Times New Roman"/>
          <w:color w:val="auto"/>
          <w:sz w:val="24"/>
          <w:szCs w:val="24"/>
        </w:rPr>
        <w:t xml:space="preserve">subfinanțate, cu rate ale costurilor neacoperite ce variază între 40% și 100%. În paralel, domeniile ecosistemice (împăduriri, zone umede, agricultura sustenabilă) beneficiază integral de finanțare națională, însă sectoarele sănătate și mediu, esențiale pentru gestionarea riscurilor biologico-sociale, au alocări </w:t>
      </w:r>
      <w:r w:rsidR="0002026D" w:rsidRPr="00B737D1">
        <w:rPr>
          <w:rFonts w:ascii="Times New Roman" w:hAnsi="Times New Roman" w:cs="Times New Roman"/>
          <w:color w:val="auto"/>
          <w:sz w:val="24"/>
          <w:szCs w:val="24"/>
        </w:rPr>
        <w:t xml:space="preserve">mai </w:t>
      </w:r>
      <w:r w:rsidR="00D86C77" w:rsidRPr="00B737D1">
        <w:rPr>
          <w:rFonts w:ascii="Times New Roman" w:hAnsi="Times New Roman" w:cs="Times New Roman"/>
          <w:color w:val="auto"/>
          <w:sz w:val="24"/>
          <w:szCs w:val="24"/>
        </w:rPr>
        <w:t>scăzute</w:t>
      </w:r>
      <w:r w:rsidR="0002026D" w:rsidRPr="00B737D1">
        <w:rPr>
          <w:rFonts w:ascii="Times New Roman" w:hAnsi="Times New Roman" w:cs="Times New Roman"/>
          <w:color w:val="auto"/>
          <w:sz w:val="24"/>
          <w:szCs w:val="24"/>
        </w:rPr>
        <w:t xml:space="preserve">. </w:t>
      </w:r>
      <w:r w:rsidR="00D70E52" w:rsidRPr="00B737D1">
        <w:rPr>
          <w:rFonts w:ascii="Times New Roman" w:hAnsi="Times New Roman" w:cs="Times New Roman"/>
          <w:color w:val="auto"/>
          <w:sz w:val="24"/>
          <w:szCs w:val="24"/>
        </w:rPr>
        <w:t xml:space="preserve"> </w:t>
      </w:r>
    </w:p>
    <w:p w14:paraId="2B3F0CA3" w14:textId="73DC67DF" w:rsidR="00F30D40" w:rsidRPr="00B737D1" w:rsidRDefault="009B15ED" w:rsidP="00B737D1">
      <w:pPr>
        <w:pStyle w:val="ListParagraph"/>
        <w:numPr>
          <w:ilvl w:val="0"/>
          <w:numId w:val="65"/>
        </w:numPr>
        <w:spacing w:after="120"/>
        <w:ind w:left="0" w:firstLine="284"/>
        <w:jc w:val="both"/>
        <w:rPr>
          <w:rFonts w:ascii="Times New Roman" w:hAnsi="Times New Roman" w:cs="Times New Roman"/>
          <w:color w:val="auto"/>
          <w:sz w:val="24"/>
          <w:szCs w:val="24"/>
        </w:rPr>
      </w:pPr>
      <w:r w:rsidRPr="00B737D1">
        <w:rPr>
          <w:rFonts w:ascii="Times New Roman" w:hAnsi="Times New Roman" w:cs="Times New Roman"/>
          <w:color w:val="auto"/>
          <w:sz w:val="24"/>
          <w:szCs w:val="24"/>
        </w:rPr>
        <w:t>Acest profil financiar indică faptul că succesul Programului depinde nu doar de menținerea ritmului investițiilor tehnice, ci și de consolidarea sustenabilă a dimensiunilor instituționale:</w:t>
      </w:r>
      <w:r w:rsidR="0048702D" w:rsidRPr="00B737D1">
        <w:rPr>
          <w:rFonts w:ascii="Times New Roman" w:hAnsi="Times New Roman" w:cs="Times New Roman"/>
          <w:color w:val="auto"/>
          <w:sz w:val="24"/>
          <w:szCs w:val="24"/>
        </w:rPr>
        <w:t xml:space="preserve"> </w:t>
      </w:r>
      <w:r w:rsidRPr="00B737D1">
        <w:rPr>
          <w:rFonts w:ascii="Times New Roman" w:hAnsi="Times New Roman" w:cs="Times New Roman"/>
          <w:color w:val="auto"/>
          <w:sz w:val="24"/>
          <w:szCs w:val="24"/>
        </w:rPr>
        <w:t>dezvoltarea capacității analitice, îmbunătățirea cooperării dintre sectoarele mediu</w:t>
      </w:r>
      <w:r w:rsidR="00D31046" w:rsidRPr="00B737D1">
        <w:rPr>
          <w:rFonts w:ascii="Times New Roman" w:hAnsi="Times New Roman" w:cs="Times New Roman"/>
          <w:color w:val="auto"/>
          <w:sz w:val="24"/>
          <w:szCs w:val="24"/>
        </w:rPr>
        <w:t>-</w:t>
      </w:r>
      <w:r w:rsidRPr="00B737D1">
        <w:rPr>
          <w:rFonts w:ascii="Times New Roman" w:hAnsi="Times New Roman" w:cs="Times New Roman"/>
          <w:color w:val="auto"/>
          <w:sz w:val="24"/>
          <w:szCs w:val="24"/>
        </w:rPr>
        <w:t>sănătate</w:t>
      </w:r>
      <w:r w:rsidR="00D31046" w:rsidRPr="00B737D1">
        <w:rPr>
          <w:rFonts w:ascii="Times New Roman" w:hAnsi="Times New Roman" w:cs="Times New Roman"/>
          <w:color w:val="auto"/>
          <w:sz w:val="24"/>
          <w:szCs w:val="24"/>
        </w:rPr>
        <w:t>-</w:t>
      </w:r>
      <w:r w:rsidRPr="00B737D1">
        <w:rPr>
          <w:rFonts w:ascii="Times New Roman" w:hAnsi="Times New Roman" w:cs="Times New Roman"/>
          <w:color w:val="auto"/>
          <w:sz w:val="24"/>
          <w:szCs w:val="24"/>
        </w:rPr>
        <w:t>agricultură</w:t>
      </w:r>
      <w:r w:rsidR="00D31046" w:rsidRPr="00B737D1">
        <w:rPr>
          <w:rFonts w:ascii="Times New Roman" w:hAnsi="Times New Roman" w:cs="Times New Roman"/>
          <w:color w:val="auto"/>
          <w:sz w:val="24"/>
          <w:szCs w:val="24"/>
        </w:rPr>
        <w:t>-</w:t>
      </w:r>
      <w:r w:rsidR="0048702D" w:rsidRPr="00B737D1">
        <w:rPr>
          <w:rFonts w:ascii="Times New Roman" w:hAnsi="Times New Roman" w:cs="Times New Roman"/>
          <w:color w:val="auto"/>
          <w:sz w:val="24"/>
          <w:szCs w:val="24"/>
        </w:rPr>
        <w:t>educație</w:t>
      </w:r>
      <w:r w:rsidRPr="00B737D1">
        <w:rPr>
          <w:rFonts w:ascii="Times New Roman" w:hAnsi="Times New Roman" w:cs="Times New Roman"/>
          <w:color w:val="auto"/>
          <w:sz w:val="24"/>
          <w:szCs w:val="24"/>
        </w:rPr>
        <w:t>, alinierea la convențiile internaționale și integrarea riscurilor în planificarea strategică. Pentru a evita crearea unor noi vulnerabilități, este necesară mobilizarea de resurse suplimentare</w:t>
      </w:r>
      <w:r w:rsidR="00D86C77" w:rsidRPr="00B737D1">
        <w:rPr>
          <w:rFonts w:ascii="Times New Roman" w:hAnsi="Times New Roman" w:cs="Times New Roman"/>
          <w:color w:val="auto"/>
          <w:sz w:val="24"/>
          <w:szCs w:val="24"/>
        </w:rPr>
        <w:t>,</w:t>
      </w:r>
      <w:r w:rsidRPr="00B737D1">
        <w:rPr>
          <w:rFonts w:ascii="Times New Roman" w:hAnsi="Times New Roman" w:cs="Times New Roman"/>
          <w:color w:val="auto"/>
          <w:sz w:val="24"/>
          <w:szCs w:val="24"/>
        </w:rPr>
        <w:t xml:space="preserve"> interne și externe</w:t>
      </w:r>
      <w:r w:rsidR="00D86C77" w:rsidRPr="00B737D1">
        <w:rPr>
          <w:rFonts w:ascii="Times New Roman" w:hAnsi="Times New Roman" w:cs="Times New Roman"/>
          <w:color w:val="auto"/>
          <w:sz w:val="24"/>
          <w:szCs w:val="24"/>
        </w:rPr>
        <w:t xml:space="preserve">, </w:t>
      </w:r>
      <w:r w:rsidRPr="00B737D1">
        <w:rPr>
          <w:rFonts w:ascii="Times New Roman" w:hAnsi="Times New Roman" w:cs="Times New Roman"/>
          <w:color w:val="auto"/>
          <w:sz w:val="24"/>
          <w:szCs w:val="24"/>
        </w:rPr>
        <w:t>în special pentru componentele de coordonare, cercetare și consolidare instituțională, care sunt fundamentale pentru funcționarea eficientă a unui sistem național de reducere a riscurilor de dezastre.</w:t>
      </w:r>
      <w:r w:rsidR="007C5925" w:rsidRPr="00B737D1">
        <w:rPr>
          <w:rFonts w:ascii="Times New Roman" w:hAnsi="Times New Roman" w:cs="Times New Roman"/>
          <w:color w:val="auto"/>
          <w:sz w:val="24"/>
          <w:szCs w:val="24"/>
        </w:rPr>
        <w:t xml:space="preserve"> </w:t>
      </w:r>
      <w:r w:rsidR="0048702D" w:rsidRPr="00B737D1">
        <w:rPr>
          <w:rFonts w:ascii="Times New Roman" w:hAnsi="Times New Roman" w:cs="Times New Roman"/>
          <w:color w:val="auto"/>
          <w:sz w:val="24"/>
          <w:szCs w:val="24"/>
        </w:rPr>
        <w:t xml:space="preserve">Se recomanda ca aceste activități sa fie întărite prin integrarea si finanțarea lor împreuna cu parteneri de dezvoltare prin proiecte internaționale. </w:t>
      </w:r>
    </w:p>
    <w:p w14:paraId="4B385D56" w14:textId="77777777" w:rsidR="00041818" w:rsidRPr="00CD2ADD" w:rsidRDefault="00041818" w:rsidP="007316F3">
      <w:pPr>
        <w:jc w:val="both"/>
        <w:rPr>
          <w:color w:val="000000" w:themeColor="text1"/>
          <w:sz w:val="22"/>
          <w:szCs w:val="22"/>
        </w:rPr>
        <w:sectPr w:rsidR="00041818" w:rsidRPr="00CD2ADD" w:rsidSect="008E7F54">
          <w:type w:val="continuous"/>
          <w:pgSz w:w="11906" w:h="16838"/>
          <w:pgMar w:top="1440" w:right="1080" w:bottom="1440" w:left="1080" w:header="567" w:footer="567" w:gutter="0"/>
          <w:pgNumType w:start="0"/>
          <w:cols w:space="708"/>
          <w:titlePg/>
          <w:docGrid w:linePitch="360"/>
        </w:sectPr>
      </w:pPr>
    </w:p>
    <w:p w14:paraId="73DA4098" w14:textId="1023EC51" w:rsidR="00B737D1" w:rsidRDefault="005B12F9" w:rsidP="00B737D1">
      <w:pPr>
        <w:jc w:val="right"/>
        <w:rPr>
          <w:b/>
          <w:bCs/>
          <w:color w:val="000000" w:themeColor="text1"/>
        </w:rPr>
      </w:pPr>
      <w:r w:rsidRPr="00CD2ADD">
        <w:rPr>
          <w:b/>
          <w:bCs/>
          <w:color w:val="000000" w:themeColor="text1"/>
        </w:rPr>
        <w:lastRenderedPageBreak/>
        <w:t>Tabel</w:t>
      </w:r>
      <w:r w:rsidR="00B737D1">
        <w:rPr>
          <w:b/>
          <w:bCs/>
          <w:color w:val="000000" w:themeColor="text1"/>
        </w:rPr>
        <w:t>ul 22</w:t>
      </w:r>
      <w:r w:rsidRPr="00CD2ADD">
        <w:rPr>
          <w:b/>
          <w:bCs/>
          <w:color w:val="000000" w:themeColor="text1"/>
        </w:rPr>
        <w:t xml:space="preserve"> </w:t>
      </w:r>
    </w:p>
    <w:p w14:paraId="7D174B82" w14:textId="1A095A4F" w:rsidR="005B12F9" w:rsidRPr="00CD2ADD" w:rsidRDefault="005B12F9" w:rsidP="00B737D1">
      <w:pPr>
        <w:jc w:val="center"/>
        <w:rPr>
          <w:b/>
          <w:bCs/>
          <w:color w:val="000000" w:themeColor="text1"/>
        </w:rPr>
      </w:pPr>
      <w:r w:rsidRPr="00CD2ADD">
        <w:rPr>
          <w:b/>
          <w:bCs/>
          <w:color w:val="000000" w:themeColor="text1"/>
        </w:rPr>
        <w:t>Finanțarea Programului conform obiectivelor specifice</w:t>
      </w:r>
    </w:p>
    <w:tbl>
      <w:tblPr>
        <w:tblStyle w:val="ListTable2"/>
        <w:tblW w:w="1425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35"/>
        <w:gridCol w:w="1814"/>
        <w:gridCol w:w="1067"/>
        <w:gridCol w:w="867"/>
        <w:gridCol w:w="878"/>
        <w:gridCol w:w="850"/>
        <w:gridCol w:w="851"/>
        <w:gridCol w:w="792"/>
      </w:tblGrid>
      <w:tr w:rsidR="006E0F69" w:rsidRPr="00CD2ADD" w14:paraId="31FD0F08" w14:textId="77777777" w:rsidTr="00537E3E">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7135" w:type="dxa"/>
            <w:vMerge w:val="restart"/>
            <w:tcBorders>
              <w:right w:val="single" w:sz="4" w:space="0" w:color="auto"/>
            </w:tcBorders>
            <w:shd w:val="clear" w:color="auto" w:fill="DAE9F7" w:themeFill="text2" w:themeFillTint="1A"/>
            <w:hideMark/>
          </w:tcPr>
          <w:p w14:paraId="66F639AA" w14:textId="77777777" w:rsidR="00636F1B" w:rsidRPr="00CD2ADD" w:rsidRDefault="00636F1B" w:rsidP="006E0F69">
            <w:pPr>
              <w:jc w:val="center"/>
              <w:rPr>
                <w:color w:val="000000" w:themeColor="text1"/>
                <w:sz w:val="22"/>
                <w:szCs w:val="22"/>
              </w:rPr>
            </w:pPr>
            <w:r w:rsidRPr="00CD2ADD">
              <w:rPr>
                <w:color w:val="000000" w:themeColor="text1"/>
                <w:sz w:val="22"/>
                <w:szCs w:val="22"/>
              </w:rPr>
              <w:t>Obiectiv specific</w:t>
            </w:r>
          </w:p>
        </w:tc>
        <w:tc>
          <w:tcPr>
            <w:tcW w:w="1814" w:type="dxa"/>
            <w:vMerge w:val="restart"/>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hideMark/>
          </w:tcPr>
          <w:p w14:paraId="0F0F1497" w14:textId="77777777" w:rsidR="00636F1B" w:rsidRPr="00CD2ADD" w:rsidRDefault="00636F1B" w:rsidP="006E0F69">
            <w:pPr>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Codul subprogramului bugetar</w:t>
            </w:r>
          </w:p>
        </w:tc>
        <w:tc>
          <w:tcPr>
            <w:tcW w:w="1067" w:type="dxa"/>
            <w:vMerge w:val="restart"/>
            <w:tcBorders>
              <w:left w:val="single" w:sz="4" w:space="0" w:color="auto"/>
            </w:tcBorders>
            <w:shd w:val="clear" w:color="auto" w:fill="DAE9F7" w:themeFill="text2" w:themeFillTint="1A"/>
            <w:vAlign w:val="center"/>
            <w:hideMark/>
          </w:tcPr>
          <w:p w14:paraId="50959290" w14:textId="209F30A8" w:rsidR="00636F1B" w:rsidRPr="00CD2ADD" w:rsidRDefault="00636F1B" w:rsidP="008026BF">
            <w:pP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Costuri totale (mii lei)</w:t>
            </w:r>
          </w:p>
        </w:tc>
        <w:tc>
          <w:tcPr>
            <w:tcW w:w="4238" w:type="dxa"/>
            <w:gridSpan w:val="5"/>
            <w:shd w:val="clear" w:color="auto" w:fill="DAE9F7" w:themeFill="text2" w:themeFillTint="1A"/>
            <w:vAlign w:val="center"/>
            <w:hideMark/>
          </w:tcPr>
          <w:p w14:paraId="15247083" w14:textId="77777777" w:rsidR="00636F1B" w:rsidRPr="00CD2ADD" w:rsidRDefault="00636F1B" w:rsidP="008026BF">
            <w:pP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Costuri pe ani (mii lei)</w:t>
            </w:r>
          </w:p>
        </w:tc>
      </w:tr>
      <w:tr w:rsidR="006E0F69" w:rsidRPr="00CD2ADD" w14:paraId="43A47169" w14:textId="77777777" w:rsidTr="00537E3E">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135" w:type="dxa"/>
            <w:vMerge/>
            <w:tcBorders>
              <w:right w:val="single" w:sz="4" w:space="0" w:color="auto"/>
            </w:tcBorders>
            <w:shd w:val="clear" w:color="auto" w:fill="DAE9F7" w:themeFill="text2" w:themeFillTint="1A"/>
            <w:hideMark/>
          </w:tcPr>
          <w:p w14:paraId="54367DA5" w14:textId="77777777" w:rsidR="00636F1B" w:rsidRPr="00CD2ADD" w:rsidRDefault="00636F1B" w:rsidP="006E0F69">
            <w:pPr>
              <w:rPr>
                <w:color w:val="000000" w:themeColor="text1"/>
                <w:sz w:val="22"/>
                <w:szCs w:val="22"/>
              </w:rPr>
            </w:pPr>
          </w:p>
        </w:tc>
        <w:tc>
          <w:tcPr>
            <w:tcW w:w="1814" w:type="dxa"/>
            <w:vMerge/>
            <w:tcBorders>
              <w:top w:val="single" w:sz="4" w:space="0" w:color="666666" w:themeColor="text1" w:themeTint="99"/>
              <w:left w:val="single" w:sz="4" w:space="0" w:color="auto"/>
              <w:bottom w:val="single" w:sz="4" w:space="0" w:color="auto"/>
              <w:right w:val="single" w:sz="4" w:space="0" w:color="auto"/>
            </w:tcBorders>
            <w:shd w:val="clear" w:color="auto" w:fill="DAE9F7" w:themeFill="text2" w:themeFillTint="1A"/>
            <w:vAlign w:val="center"/>
            <w:hideMark/>
          </w:tcPr>
          <w:p w14:paraId="497F17AE"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1067" w:type="dxa"/>
            <w:vMerge/>
            <w:tcBorders>
              <w:left w:val="single" w:sz="4" w:space="0" w:color="auto"/>
            </w:tcBorders>
            <w:shd w:val="clear" w:color="auto" w:fill="DAE9F7" w:themeFill="text2" w:themeFillTint="1A"/>
            <w:vAlign w:val="center"/>
            <w:hideMark/>
          </w:tcPr>
          <w:p w14:paraId="2BBC47E7"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67" w:type="dxa"/>
            <w:shd w:val="clear" w:color="auto" w:fill="DAE9F7" w:themeFill="text2" w:themeFillTint="1A"/>
            <w:vAlign w:val="center"/>
            <w:hideMark/>
          </w:tcPr>
          <w:p w14:paraId="711F2CA7"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r w:rsidRPr="00CD2ADD">
              <w:rPr>
                <w:b/>
                <w:bCs/>
                <w:color w:val="000000" w:themeColor="text1"/>
                <w:sz w:val="22"/>
                <w:szCs w:val="22"/>
              </w:rPr>
              <w:t>2026</w:t>
            </w:r>
          </w:p>
        </w:tc>
        <w:tc>
          <w:tcPr>
            <w:tcW w:w="878" w:type="dxa"/>
            <w:shd w:val="clear" w:color="auto" w:fill="DAE9F7" w:themeFill="text2" w:themeFillTint="1A"/>
            <w:vAlign w:val="center"/>
            <w:hideMark/>
          </w:tcPr>
          <w:p w14:paraId="5400E44C"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r w:rsidRPr="00CD2ADD">
              <w:rPr>
                <w:b/>
                <w:bCs/>
                <w:color w:val="000000" w:themeColor="text1"/>
                <w:sz w:val="22"/>
                <w:szCs w:val="22"/>
              </w:rPr>
              <w:t>2027</w:t>
            </w:r>
          </w:p>
        </w:tc>
        <w:tc>
          <w:tcPr>
            <w:tcW w:w="850" w:type="dxa"/>
            <w:shd w:val="clear" w:color="auto" w:fill="DAE9F7" w:themeFill="text2" w:themeFillTint="1A"/>
            <w:vAlign w:val="center"/>
            <w:hideMark/>
          </w:tcPr>
          <w:p w14:paraId="41432B86"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r w:rsidRPr="00CD2ADD">
              <w:rPr>
                <w:b/>
                <w:bCs/>
                <w:color w:val="000000" w:themeColor="text1"/>
                <w:sz w:val="22"/>
                <w:szCs w:val="22"/>
              </w:rPr>
              <w:t>2028</w:t>
            </w:r>
          </w:p>
        </w:tc>
        <w:tc>
          <w:tcPr>
            <w:tcW w:w="851" w:type="dxa"/>
            <w:shd w:val="clear" w:color="auto" w:fill="DAE9F7" w:themeFill="text2" w:themeFillTint="1A"/>
            <w:vAlign w:val="center"/>
            <w:hideMark/>
          </w:tcPr>
          <w:p w14:paraId="48E98D72"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r w:rsidRPr="00CD2ADD">
              <w:rPr>
                <w:b/>
                <w:bCs/>
                <w:color w:val="000000" w:themeColor="text1"/>
                <w:sz w:val="22"/>
                <w:szCs w:val="22"/>
              </w:rPr>
              <w:t>2029</w:t>
            </w:r>
          </w:p>
        </w:tc>
        <w:tc>
          <w:tcPr>
            <w:tcW w:w="792" w:type="dxa"/>
            <w:shd w:val="clear" w:color="auto" w:fill="DAE9F7" w:themeFill="text2" w:themeFillTint="1A"/>
            <w:vAlign w:val="center"/>
            <w:hideMark/>
          </w:tcPr>
          <w:p w14:paraId="42E4191E"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r w:rsidRPr="00CD2ADD">
              <w:rPr>
                <w:b/>
                <w:bCs/>
                <w:color w:val="000000" w:themeColor="text1"/>
                <w:sz w:val="22"/>
                <w:szCs w:val="22"/>
              </w:rPr>
              <w:t>2030</w:t>
            </w:r>
          </w:p>
        </w:tc>
      </w:tr>
      <w:tr w:rsidR="006E0F69" w:rsidRPr="00CD2ADD" w14:paraId="4D814541" w14:textId="77777777" w:rsidTr="00537E3E">
        <w:trPr>
          <w:trHeight w:val="1424"/>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169F96FF" w14:textId="2E06F424" w:rsidR="00636F1B" w:rsidRPr="00CD2ADD" w:rsidRDefault="00636F1B" w:rsidP="006E0F69">
            <w:pPr>
              <w:rPr>
                <w:b w:val="0"/>
                <w:bCs w:val="0"/>
                <w:color w:val="000000" w:themeColor="text1"/>
                <w:sz w:val="22"/>
                <w:szCs w:val="22"/>
              </w:rPr>
            </w:pPr>
            <w:r w:rsidRPr="00CD2ADD">
              <w:rPr>
                <w:color w:val="000000" w:themeColor="text1"/>
                <w:sz w:val="22"/>
                <w:szCs w:val="22"/>
              </w:rPr>
              <w:t>Obiectiv specific 1.1: Până în anul 2030, MM și gestionarii de risc consolidează sistemul național integrat de date geospațiale (INDS) prin elaborarea și actualizarea hărților climatice, de risc și multi-hazard pentru toate tipurile de riscuri naturale și biologico-sociale identificate în PNRRDN</w:t>
            </w:r>
          </w:p>
        </w:tc>
        <w:tc>
          <w:tcPr>
            <w:tcW w:w="1814" w:type="dxa"/>
            <w:vMerge w:val="restart"/>
            <w:tcBorders>
              <w:top w:val="single" w:sz="4" w:space="0" w:color="666666" w:themeColor="text1" w:themeTint="99"/>
              <w:left w:val="single" w:sz="4" w:space="0" w:color="auto"/>
              <w:bottom w:val="single" w:sz="4" w:space="0" w:color="auto"/>
              <w:right w:val="single" w:sz="4" w:space="0" w:color="auto"/>
            </w:tcBorders>
            <w:vAlign w:val="center"/>
            <w:hideMark/>
          </w:tcPr>
          <w:p w14:paraId="037083EA" w14:textId="77777777" w:rsidR="00636F1B" w:rsidRPr="00CD2ADD" w:rsidRDefault="00636F1B" w:rsidP="006E0F6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6905</w:t>
            </w:r>
            <w:r w:rsidRPr="00CD2ADD">
              <w:rPr>
                <w:color w:val="000000" w:themeColor="text1"/>
                <w:sz w:val="22"/>
                <w:szCs w:val="22"/>
              </w:rPr>
              <w:br/>
              <w:t>5010</w:t>
            </w:r>
            <w:r w:rsidRPr="00CD2ADD">
              <w:rPr>
                <w:color w:val="000000" w:themeColor="text1"/>
                <w:sz w:val="22"/>
                <w:szCs w:val="22"/>
              </w:rPr>
              <w:br/>
              <w:t>5402</w:t>
            </w:r>
            <w:r w:rsidRPr="00CD2ADD">
              <w:rPr>
                <w:color w:val="000000" w:themeColor="text1"/>
                <w:sz w:val="22"/>
                <w:szCs w:val="22"/>
              </w:rPr>
              <w:br/>
              <w:t>7004</w:t>
            </w:r>
            <w:r w:rsidRPr="00CD2ADD">
              <w:rPr>
                <w:color w:val="000000" w:themeColor="text1"/>
                <w:sz w:val="22"/>
                <w:szCs w:val="22"/>
              </w:rPr>
              <w:br/>
              <w:t>5102</w:t>
            </w:r>
            <w:r w:rsidRPr="00CD2ADD">
              <w:rPr>
                <w:color w:val="000000" w:themeColor="text1"/>
                <w:sz w:val="22"/>
                <w:szCs w:val="22"/>
              </w:rPr>
              <w:br/>
              <w:t>5103</w:t>
            </w:r>
            <w:r w:rsidRPr="00CD2ADD">
              <w:rPr>
                <w:color w:val="000000" w:themeColor="text1"/>
                <w:sz w:val="22"/>
                <w:szCs w:val="22"/>
              </w:rPr>
              <w:br/>
              <w:t>1202</w:t>
            </w:r>
          </w:p>
        </w:tc>
        <w:tc>
          <w:tcPr>
            <w:tcW w:w="1067" w:type="dxa"/>
            <w:tcBorders>
              <w:left w:val="single" w:sz="4" w:space="0" w:color="auto"/>
            </w:tcBorders>
            <w:vAlign w:val="center"/>
            <w:hideMark/>
          </w:tcPr>
          <w:p w14:paraId="0E81623B" w14:textId="0EAB6D92"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CD2ADD">
              <w:rPr>
                <w:b/>
                <w:bCs/>
                <w:color w:val="000000" w:themeColor="text1"/>
                <w:sz w:val="22"/>
                <w:szCs w:val="22"/>
              </w:rPr>
              <w:t>2,566</w:t>
            </w:r>
          </w:p>
        </w:tc>
        <w:tc>
          <w:tcPr>
            <w:tcW w:w="867" w:type="dxa"/>
            <w:vAlign w:val="center"/>
            <w:hideMark/>
          </w:tcPr>
          <w:p w14:paraId="14A22A15" w14:textId="7DD70859"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861</w:t>
            </w:r>
          </w:p>
        </w:tc>
        <w:tc>
          <w:tcPr>
            <w:tcW w:w="878" w:type="dxa"/>
            <w:vAlign w:val="center"/>
            <w:hideMark/>
          </w:tcPr>
          <w:p w14:paraId="2C352765" w14:textId="354869F6" w:rsidR="00636F1B" w:rsidRPr="00CD2ADD" w:rsidRDefault="00E00C70"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7</w:t>
            </w:r>
            <w:r w:rsidR="00636F1B" w:rsidRPr="00CD2ADD">
              <w:rPr>
                <w:color w:val="000000" w:themeColor="text1"/>
                <w:sz w:val="22"/>
                <w:szCs w:val="22"/>
              </w:rPr>
              <w:t>41</w:t>
            </w:r>
          </w:p>
        </w:tc>
        <w:tc>
          <w:tcPr>
            <w:tcW w:w="850" w:type="dxa"/>
            <w:vAlign w:val="center"/>
            <w:hideMark/>
          </w:tcPr>
          <w:p w14:paraId="0E351746" w14:textId="1AA089D2"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521</w:t>
            </w:r>
          </w:p>
        </w:tc>
        <w:tc>
          <w:tcPr>
            <w:tcW w:w="851" w:type="dxa"/>
            <w:vAlign w:val="center"/>
            <w:hideMark/>
          </w:tcPr>
          <w:p w14:paraId="25CA9A25" w14:textId="7F09D64B" w:rsidR="00636F1B" w:rsidRPr="00CD2ADD" w:rsidRDefault="00E00C70"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3</w:t>
            </w:r>
            <w:r w:rsidR="00636F1B" w:rsidRPr="00CD2ADD">
              <w:rPr>
                <w:color w:val="000000" w:themeColor="text1"/>
                <w:sz w:val="22"/>
                <w:szCs w:val="22"/>
              </w:rPr>
              <w:t>21</w:t>
            </w:r>
          </w:p>
        </w:tc>
        <w:tc>
          <w:tcPr>
            <w:tcW w:w="792" w:type="dxa"/>
            <w:vAlign w:val="center"/>
            <w:hideMark/>
          </w:tcPr>
          <w:p w14:paraId="68883C61" w14:textId="06787E6B"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121</w:t>
            </w:r>
          </w:p>
        </w:tc>
      </w:tr>
      <w:tr w:rsidR="006E0F69" w:rsidRPr="00CD2ADD" w14:paraId="743E3E2F" w14:textId="77777777" w:rsidTr="00537E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734ABDA7"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 xml:space="preserve">Costuri acoperite din bugetul de stat </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155AB737"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54338315" w14:textId="449D5BCC"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2,566</w:t>
            </w:r>
          </w:p>
        </w:tc>
        <w:tc>
          <w:tcPr>
            <w:tcW w:w="867" w:type="dxa"/>
            <w:vAlign w:val="center"/>
            <w:hideMark/>
          </w:tcPr>
          <w:p w14:paraId="5738AF1E" w14:textId="5B9D5912"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861</w:t>
            </w:r>
          </w:p>
        </w:tc>
        <w:tc>
          <w:tcPr>
            <w:tcW w:w="878" w:type="dxa"/>
            <w:vAlign w:val="center"/>
            <w:hideMark/>
          </w:tcPr>
          <w:p w14:paraId="34A300B8" w14:textId="38551514" w:rsidR="00636F1B" w:rsidRPr="00CD2ADD" w:rsidRDefault="00E00C70"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7</w:t>
            </w:r>
            <w:r w:rsidR="00636F1B" w:rsidRPr="00CD2ADD">
              <w:rPr>
                <w:color w:val="000000" w:themeColor="text1"/>
                <w:sz w:val="22"/>
                <w:szCs w:val="22"/>
              </w:rPr>
              <w:t>41</w:t>
            </w:r>
          </w:p>
        </w:tc>
        <w:tc>
          <w:tcPr>
            <w:tcW w:w="850" w:type="dxa"/>
            <w:vAlign w:val="center"/>
            <w:hideMark/>
          </w:tcPr>
          <w:p w14:paraId="6C5F5F1E" w14:textId="7BF2C203"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521</w:t>
            </w:r>
          </w:p>
        </w:tc>
        <w:tc>
          <w:tcPr>
            <w:tcW w:w="851" w:type="dxa"/>
            <w:vAlign w:val="center"/>
            <w:hideMark/>
          </w:tcPr>
          <w:p w14:paraId="21D0FEA8" w14:textId="7F90D866" w:rsidR="00636F1B" w:rsidRPr="00CD2ADD" w:rsidRDefault="00E00C70"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3</w:t>
            </w:r>
            <w:r w:rsidR="00636F1B" w:rsidRPr="00CD2ADD">
              <w:rPr>
                <w:color w:val="000000" w:themeColor="text1"/>
                <w:sz w:val="22"/>
                <w:szCs w:val="22"/>
              </w:rPr>
              <w:t>21</w:t>
            </w:r>
          </w:p>
        </w:tc>
        <w:tc>
          <w:tcPr>
            <w:tcW w:w="792" w:type="dxa"/>
            <w:vAlign w:val="center"/>
            <w:hideMark/>
          </w:tcPr>
          <w:p w14:paraId="69C63724" w14:textId="5B765E55"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121</w:t>
            </w:r>
          </w:p>
        </w:tc>
      </w:tr>
      <w:tr w:rsidR="006E0F69" w:rsidRPr="00CD2ADD" w14:paraId="6A3D5871" w14:textId="77777777" w:rsidTr="00537E3E">
        <w:trPr>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12E496AD"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Costuri acoperite din asistenta externa</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6675193A" w14:textId="77777777" w:rsidR="00636F1B" w:rsidRPr="00CD2ADD" w:rsidRDefault="00636F1B" w:rsidP="006E0F6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3555B09F"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i/>
                <w:iCs/>
                <w:color w:val="000000" w:themeColor="text1"/>
                <w:sz w:val="22"/>
                <w:szCs w:val="22"/>
              </w:rPr>
            </w:pPr>
          </w:p>
        </w:tc>
        <w:tc>
          <w:tcPr>
            <w:tcW w:w="867" w:type="dxa"/>
            <w:vAlign w:val="center"/>
            <w:hideMark/>
          </w:tcPr>
          <w:p w14:paraId="3365827A"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78" w:type="dxa"/>
            <w:vAlign w:val="center"/>
            <w:hideMark/>
          </w:tcPr>
          <w:p w14:paraId="584B5D6F"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50" w:type="dxa"/>
            <w:vAlign w:val="center"/>
            <w:hideMark/>
          </w:tcPr>
          <w:p w14:paraId="5E4C405E"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51" w:type="dxa"/>
            <w:vAlign w:val="center"/>
            <w:hideMark/>
          </w:tcPr>
          <w:p w14:paraId="2E4E3635"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792" w:type="dxa"/>
            <w:vAlign w:val="center"/>
            <w:hideMark/>
          </w:tcPr>
          <w:p w14:paraId="098263DA" w14:textId="670DCB2D"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6E0F69" w:rsidRPr="00CD2ADD" w14:paraId="6317D740" w14:textId="77777777" w:rsidTr="00537E3E">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4E76D45F"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Costuri neacoperite</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3FBE1AE0"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7B19DF75" w14:textId="1738778F"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67" w:type="dxa"/>
            <w:vAlign w:val="center"/>
            <w:hideMark/>
          </w:tcPr>
          <w:p w14:paraId="2A9E94C6" w14:textId="6C4F663D"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78" w:type="dxa"/>
            <w:vAlign w:val="center"/>
            <w:hideMark/>
          </w:tcPr>
          <w:p w14:paraId="20BE40C8" w14:textId="3D122254"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50" w:type="dxa"/>
            <w:vAlign w:val="center"/>
            <w:hideMark/>
          </w:tcPr>
          <w:p w14:paraId="3DC7EBC2" w14:textId="7BBBC734"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51" w:type="dxa"/>
            <w:vAlign w:val="center"/>
            <w:hideMark/>
          </w:tcPr>
          <w:p w14:paraId="39AC46AC" w14:textId="6DD61C29"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792" w:type="dxa"/>
            <w:vAlign w:val="center"/>
            <w:hideMark/>
          </w:tcPr>
          <w:p w14:paraId="211FFC1E" w14:textId="4A033DEA"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6E0F69" w:rsidRPr="00CD2ADD" w14:paraId="7570A5A2" w14:textId="77777777" w:rsidTr="00537E3E">
        <w:trPr>
          <w:trHeight w:val="1128"/>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24A98F9D" w14:textId="77777777" w:rsidR="00636F1B" w:rsidRPr="00CD2ADD" w:rsidRDefault="00636F1B" w:rsidP="006E0F69">
            <w:pPr>
              <w:rPr>
                <w:color w:val="000000" w:themeColor="text1"/>
                <w:sz w:val="22"/>
                <w:szCs w:val="22"/>
              </w:rPr>
            </w:pPr>
            <w:r w:rsidRPr="00CD2ADD">
              <w:rPr>
                <w:color w:val="000000" w:themeColor="text1"/>
                <w:sz w:val="22"/>
                <w:szCs w:val="22"/>
              </w:rPr>
              <w:t>Obiectiv specific 1.2: Creșterea până în 2030 a gradului de înțelegere și implicare comunitară privind riscurile naturale și biologico-sociale, prin campanii tematice, educație formală și non-formală, și dezvoltarea rețelelor locale de voluntariat în cel puțin 10 raioane vulnerabile.</w:t>
            </w:r>
          </w:p>
        </w:tc>
        <w:tc>
          <w:tcPr>
            <w:tcW w:w="1814" w:type="dxa"/>
            <w:vMerge w:val="restart"/>
            <w:tcBorders>
              <w:top w:val="single" w:sz="4" w:space="0" w:color="666666" w:themeColor="text1" w:themeTint="99"/>
              <w:left w:val="single" w:sz="4" w:space="0" w:color="auto"/>
              <w:bottom w:val="single" w:sz="4" w:space="0" w:color="auto"/>
              <w:right w:val="single" w:sz="4" w:space="0" w:color="auto"/>
            </w:tcBorders>
            <w:vAlign w:val="center"/>
            <w:hideMark/>
          </w:tcPr>
          <w:p w14:paraId="17F739F4" w14:textId="77777777" w:rsidR="00636F1B" w:rsidRPr="00CD2ADD" w:rsidRDefault="00636F1B" w:rsidP="006E0F6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7001</w:t>
            </w:r>
            <w:r w:rsidRPr="00CD2ADD">
              <w:rPr>
                <w:color w:val="000000" w:themeColor="text1"/>
                <w:sz w:val="22"/>
                <w:szCs w:val="22"/>
              </w:rPr>
              <w:br/>
              <w:t>8001</w:t>
            </w:r>
            <w:r w:rsidRPr="00CD2ADD">
              <w:rPr>
                <w:color w:val="000000" w:themeColor="text1"/>
                <w:sz w:val="22"/>
                <w:szCs w:val="22"/>
              </w:rPr>
              <w:br/>
              <w:t>7007</w:t>
            </w:r>
          </w:p>
        </w:tc>
        <w:tc>
          <w:tcPr>
            <w:tcW w:w="1067" w:type="dxa"/>
            <w:tcBorders>
              <w:left w:val="single" w:sz="4" w:space="0" w:color="auto"/>
            </w:tcBorders>
            <w:vAlign w:val="center"/>
            <w:hideMark/>
          </w:tcPr>
          <w:p w14:paraId="0276F6CC" w14:textId="1D8EAA5E"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CD2ADD">
              <w:rPr>
                <w:b/>
                <w:bCs/>
                <w:color w:val="000000" w:themeColor="text1"/>
                <w:sz w:val="22"/>
                <w:szCs w:val="22"/>
              </w:rPr>
              <w:t>2,198</w:t>
            </w:r>
          </w:p>
        </w:tc>
        <w:tc>
          <w:tcPr>
            <w:tcW w:w="867" w:type="dxa"/>
            <w:vAlign w:val="center"/>
            <w:hideMark/>
          </w:tcPr>
          <w:p w14:paraId="28E6A995" w14:textId="4CC5449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420</w:t>
            </w:r>
          </w:p>
        </w:tc>
        <w:tc>
          <w:tcPr>
            <w:tcW w:w="878" w:type="dxa"/>
            <w:vAlign w:val="center"/>
            <w:hideMark/>
          </w:tcPr>
          <w:p w14:paraId="340478D2" w14:textId="6045FF75"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570</w:t>
            </w:r>
          </w:p>
        </w:tc>
        <w:tc>
          <w:tcPr>
            <w:tcW w:w="850" w:type="dxa"/>
            <w:vAlign w:val="center"/>
            <w:hideMark/>
          </w:tcPr>
          <w:p w14:paraId="2A9BE9E8" w14:textId="7E3543A3"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570</w:t>
            </w:r>
          </w:p>
        </w:tc>
        <w:tc>
          <w:tcPr>
            <w:tcW w:w="851" w:type="dxa"/>
            <w:noWrap/>
            <w:vAlign w:val="center"/>
            <w:hideMark/>
          </w:tcPr>
          <w:p w14:paraId="3A69260C" w14:textId="6A7A2DA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320</w:t>
            </w:r>
          </w:p>
        </w:tc>
        <w:tc>
          <w:tcPr>
            <w:tcW w:w="792" w:type="dxa"/>
            <w:noWrap/>
            <w:vAlign w:val="center"/>
            <w:hideMark/>
          </w:tcPr>
          <w:p w14:paraId="6EE5801C" w14:textId="7CC0E2EA"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320</w:t>
            </w:r>
          </w:p>
        </w:tc>
      </w:tr>
      <w:tr w:rsidR="006E0F69" w:rsidRPr="00CD2ADD" w14:paraId="1FC111E2" w14:textId="77777777" w:rsidTr="00537E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7D8F349B"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 xml:space="preserve">Costuri acoperite din bugetul de stat </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79E208C7"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6F77BED7" w14:textId="147F5DD6"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2,198</w:t>
            </w:r>
          </w:p>
        </w:tc>
        <w:tc>
          <w:tcPr>
            <w:tcW w:w="867" w:type="dxa"/>
            <w:vAlign w:val="center"/>
            <w:hideMark/>
          </w:tcPr>
          <w:p w14:paraId="5FE12462" w14:textId="2242ABE3"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420</w:t>
            </w:r>
          </w:p>
        </w:tc>
        <w:tc>
          <w:tcPr>
            <w:tcW w:w="878" w:type="dxa"/>
            <w:vAlign w:val="center"/>
            <w:hideMark/>
          </w:tcPr>
          <w:p w14:paraId="5B3D9B31" w14:textId="22FDF2C5"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570</w:t>
            </w:r>
          </w:p>
        </w:tc>
        <w:tc>
          <w:tcPr>
            <w:tcW w:w="850" w:type="dxa"/>
            <w:vAlign w:val="center"/>
            <w:hideMark/>
          </w:tcPr>
          <w:p w14:paraId="65778D9A" w14:textId="436C11B3"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570</w:t>
            </w:r>
          </w:p>
        </w:tc>
        <w:tc>
          <w:tcPr>
            <w:tcW w:w="851" w:type="dxa"/>
            <w:noWrap/>
            <w:vAlign w:val="center"/>
            <w:hideMark/>
          </w:tcPr>
          <w:p w14:paraId="36802EE1" w14:textId="4318B03C"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320</w:t>
            </w:r>
          </w:p>
        </w:tc>
        <w:tc>
          <w:tcPr>
            <w:tcW w:w="792" w:type="dxa"/>
            <w:noWrap/>
            <w:vAlign w:val="center"/>
            <w:hideMark/>
          </w:tcPr>
          <w:p w14:paraId="6E9330B9" w14:textId="68B8053B"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320</w:t>
            </w:r>
          </w:p>
        </w:tc>
      </w:tr>
      <w:tr w:rsidR="006E0F69" w:rsidRPr="00CD2ADD" w14:paraId="340CFD9D" w14:textId="77777777" w:rsidTr="00537E3E">
        <w:trPr>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4CD7DB80"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Costuri acoperite din asistenta externa</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100C9385" w14:textId="77777777" w:rsidR="00636F1B" w:rsidRPr="00CD2ADD" w:rsidRDefault="00636F1B" w:rsidP="006E0F6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4D841CDF"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i/>
                <w:iCs/>
                <w:color w:val="000000" w:themeColor="text1"/>
                <w:sz w:val="22"/>
                <w:szCs w:val="22"/>
              </w:rPr>
            </w:pPr>
          </w:p>
        </w:tc>
        <w:tc>
          <w:tcPr>
            <w:tcW w:w="867" w:type="dxa"/>
            <w:vAlign w:val="center"/>
            <w:hideMark/>
          </w:tcPr>
          <w:p w14:paraId="605482C2"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78" w:type="dxa"/>
            <w:vAlign w:val="center"/>
            <w:hideMark/>
          </w:tcPr>
          <w:p w14:paraId="25292DF6"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50" w:type="dxa"/>
            <w:vAlign w:val="center"/>
            <w:hideMark/>
          </w:tcPr>
          <w:p w14:paraId="37D4F5E8"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51" w:type="dxa"/>
            <w:vAlign w:val="center"/>
            <w:hideMark/>
          </w:tcPr>
          <w:p w14:paraId="7FEAA051"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792" w:type="dxa"/>
            <w:vAlign w:val="center"/>
            <w:hideMark/>
          </w:tcPr>
          <w:p w14:paraId="671537DD" w14:textId="76AD86EA"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6E0F69" w:rsidRPr="00CD2ADD" w14:paraId="270171CC" w14:textId="77777777" w:rsidTr="00537E3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716A5230"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Costuri neacoperite</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16DFF9B2"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297AD7B0" w14:textId="7A1DC115"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67" w:type="dxa"/>
            <w:vAlign w:val="center"/>
            <w:hideMark/>
          </w:tcPr>
          <w:p w14:paraId="68B1535A" w14:textId="6285290E"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78" w:type="dxa"/>
            <w:vAlign w:val="center"/>
            <w:hideMark/>
          </w:tcPr>
          <w:p w14:paraId="75D78A6B" w14:textId="2984E39E"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50" w:type="dxa"/>
            <w:vAlign w:val="center"/>
            <w:hideMark/>
          </w:tcPr>
          <w:p w14:paraId="68E62C32" w14:textId="6A1CDC98"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51" w:type="dxa"/>
            <w:vAlign w:val="center"/>
            <w:hideMark/>
          </w:tcPr>
          <w:p w14:paraId="613A67C8" w14:textId="704795E6"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792" w:type="dxa"/>
            <w:vAlign w:val="center"/>
            <w:hideMark/>
          </w:tcPr>
          <w:p w14:paraId="18AC59E5" w14:textId="054E7ADD"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6E0F69" w:rsidRPr="00CD2ADD" w14:paraId="4D75E69C" w14:textId="77777777" w:rsidTr="00537E3E">
        <w:trPr>
          <w:trHeight w:val="1308"/>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7D775D26" w14:textId="77777777" w:rsidR="00636F1B" w:rsidRPr="00CD2ADD" w:rsidRDefault="00636F1B" w:rsidP="006E0F69">
            <w:pPr>
              <w:rPr>
                <w:color w:val="000000" w:themeColor="text1"/>
                <w:sz w:val="22"/>
                <w:szCs w:val="22"/>
              </w:rPr>
            </w:pPr>
            <w:r w:rsidRPr="00CD2ADD">
              <w:rPr>
                <w:color w:val="000000" w:themeColor="text1"/>
                <w:sz w:val="22"/>
                <w:szCs w:val="22"/>
              </w:rPr>
              <w:t>Obiectiv specific 1.3: Până în 2030, Ministerul Mediului, în parteneriat cu instituțiile de cercetare, consolidează baza științifică și analitică pentru reducerea riscurilor de dezastre naturale, climatice și biologico-sociale, prin promovarea cercetării aplicate și a parteneriatelor interinstituționale</w:t>
            </w:r>
          </w:p>
        </w:tc>
        <w:tc>
          <w:tcPr>
            <w:tcW w:w="1814" w:type="dxa"/>
            <w:vMerge w:val="restart"/>
            <w:tcBorders>
              <w:top w:val="single" w:sz="4" w:space="0" w:color="666666" w:themeColor="text1" w:themeTint="99"/>
              <w:left w:val="single" w:sz="4" w:space="0" w:color="auto"/>
              <w:bottom w:val="single" w:sz="4" w:space="0" w:color="auto"/>
              <w:right w:val="single" w:sz="4" w:space="0" w:color="auto"/>
            </w:tcBorders>
            <w:vAlign w:val="center"/>
            <w:hideMark/>
          </w:tcPr>
          <w:p w14:paraId="673D63ED" w14:textId="77777777" w:rsidR="00636F1B" w:rsidRPr="00CD2ADD" w:rsidRDefault="00636F1B" w:rsidP="006E0F6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7001</w:t>
            </w:r>
            <w:r w:rsidRPr="00CD2ADD">
              <w:rPr>
                <w:color w:val="000000" w:themeColor="text1"/>
                <w:sz w:val="22"/>
                <w:szCs w:val="22"/>
              </w:rPr>
              <w:br/>
              <w:t>7007</w:t>
            </w:r>
          </w:p>
        </w:tc>
        <w:tc>
          <w:tcPr>
            <w:tcW w:w="1067" w:type="dxa"/>
            <w:tcBorders>
              <w:left w:val="single" w:sz="4" w:space="0" w:color="auto"/>
            </w:tcBorders>
            <w:vAlign w:val="center"/>
            <w:hideMark/>
          </w:tcPr>
          <w:p w14:paraId="392F754E" w14:textId="230EFAE0" w:rsidR="00636F1B" w:rsidRPr="00CD2ADD" w:rsidRDefault="00E00C70" w:rsidP="008026BF">
            <w:pP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CD2ADD">
              <w:rPr>
                <w:b/>
                <w:bCs/>
                <w:color w:val="000000" w:themeColor="text1"/>
                <w:sz w:val="22"/>
                <w:szCs w:val="22"/>
              </w:rPr>
              <w:t>2,155</w:t>
            </w:r>
          </w:p>
        </w:tc>
        <w:tc>
          <w:tcPr>
            <w:tcW w:w="867" w:type="dxa"/>
            <w:noWrap/>
            <w:vAlign w:val="center"/>
            <w:hideMark/>
          </w:tcPr>
          <w:p w14:paraId="6CB414FD" w14:textId="656D8266" w:rsidR="00636F1B" w:rsidRPr="00CD2ADD" w:rsidRDefault="009D2973"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6</w:t>
            </w:r>
            <w:r w:rsidR="007061F5" w:rsidRPr="00CD2ADD">
              <w:rPr>
                <w:color w:val="000000" w:themeColor="text1"/>
                <w:sz w:val="22"/>
                <w:szCs w:val="22"/>
              </w:rPr>
              <w:t>8</w:t>
            </w:r>
            <w:r w:rsidR="00636F1B" w:rsidRPr="00CD2ADD">
              <w:rPr>
                <w:color w:val="000000" w:themeColor="text1"/>
                <w:sz w:val="22"/>
                <w:szCs w:val="22"/>
              </w:rPr>
              <w:t>5</w:t>
            </w:r>
          </w:p>
        </w:tc>
        <w:tc>
          <w:tcPr>
            <w:tcW w:w="878" w:type="dxa"/>
            <w:noWrap/>
            <w:vAlign w:val="center"/>
            <w:hideMark/>
          </w:tcPr>
          <w:p w14:paraId="53961E14" w14:textId="5C54E955" w:rsidR="00636F1B" w:rsidRPr="00CD2ADD" w:rsidRDefault="00E00C70"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490</w:t>
            </w:r>
          </w:p>
        </w:tc>
        <w:tc>
          <w:tcPr>
            <w:tcW w:w="850" w:type="dxa"/>
            <w:noWrap/>
            <w:vAlign w:val="center"/>
            <w:hideMark/>
          </w:tcPr>
          <w:p w14:paraId="410CBBF5" w14:textId="4913C93A" w:rsidR="00636F1B" w:rsidRPr="00CD2ADD" w:rsidRDefault="00E00C70"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5</w:t>
            </w:r>
            <w:r w:rsidR="00636F1B" w:rsidRPr="00CD2ADD">
              <w:rPr>
                <w:color w:val="000000" w:themeColor="text1"/>
                <w:sz w:val="22"/>
                <w:szCs w:val="22"/>
              </w:rPr>
              <w:t>90</w:t>
            </w:r>
          </w:p>
        </w:tc>
        <w:tc>
          <w:tcPr>
            <w:tcW w:w="851" w:type="dxa"/>
            <w:vAlign w:val="center"/>
            <w:hideMark/>
          </w:tcPr>
          <w:p w14:paraId="209385EA" w14:textId="16A09880" w:rsidR="00636F1B" w:rsidRPr="00CD2ADD" w:rsidRDefault="00E00C70"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2</w:t>
            </w:r>
            <w:r w:rsidR="009D2973" w:rsidRPr="00CD2ADD">
              <w:rPr>
                <w:color w:val="000000" w:themeColor="text1"/>
                <w:sz w:val="22"/>
                <w:szCs w:val="22"/>
              </w:rPr>
              <w:t>0</w:t>
            </w:r>
            <w:r w:rsidR="00636F1B" w:rsidRPr="00CD2ADD">
              <w:rPr>
                <w:color w:val="000000" w:themeColor="text1"/>
                <w:sz w:val="22"/>
                <w:szCs w:val="22"/>
              </w:rPr>
              <w:t>0</w:t>
            </w:r>
          </w:p>
        </w:tc>
        <w:tc>
          <w:tcPr>
            <w:tcW w:w="792" w:type="dxa"/>
            <w:noWrap/>
            <w:vAlign w:val="center"/>
            <w:hideMark/>
          </w:tcPr>
          <w:p w14:paraId="568528AA" w14:textId="7105D4C0" w:rsidR="00636F1B" w:rsidRPr="00CD2ADD" w:rsidRDefault="00E00C70"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2</w:t>
            </w:r>
            <w:r w:rsidR="00636F1B" w:rsidRPr="00CD2ADD">
              <w:rPr>
                <w:color w:val="000000" w:themeColor="text1"/>
                <w:sz w:val="22"/>
                <w:szCs w:val="22"/>
              </w:rPr>
              <w:t>00</w:t>
            </w:r>
          </w:p>
        </w:tc>
      </w:tr>
      <w:tr w:rsidR="006E0F69" w:rsidRPr="00CD2ADD" w14:paraId="52D87F01" w14:textId="77777777" w:rsidTr="00537E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3F1CDB3E"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 xml:space="preserve">Costuri acoperite din bugetul de stat </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5113BAEE"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7CF71B64" w14:textId="34C2ECFB" w:rsidR="00636F1B" w:rsidRPr="00CD2ADD" w:rsidRDefault="00E00C70"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855</w:t>
            </w:r>
          </w:p>
        </w:tc>
        <w:tc>
          <w:tcPr>
            <w:tcW w:w="867" w:type="dxa"/>
            <w:noWrap/>
            <w:vAlign w:val="center"/>
            <w:hideMark/>
          </w:tcPr>
          <w:p w14:paraId="2EE2D0DA" w14:textId="097BCD6C" w:rsidR="00636F1B" w:rsidRPr="00CD2ADD" w:rsidRDefault="00336926"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285</w:t>
            </w:r>
          </w:p>
        </w:tc>
        <w:tc>
          <w:tcPr>
            <w:tcW w:w="878" w:type="dxa"/>
            <w:noWrap/>
            <w:vAlign w:val="center"/>
            <w:hideMark/>
          </w:tcPr>
          <w:p w14:paraId="4E73090C" w14:textId="52D3507E"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w:t>
            </w:r>
            <w:r w:rsidR="003B292E" w:rsidRPr="00CD2ADD">
              <w:rPr>
                <w:color w:val="000000" w:themeColor="text1"/>
                <w:sz w:val="22"/>
                <w:szCs w:val="22"/>
              </w:rPr>
              <w:t>0</w:t>
            </w:r>
            <w:r w:rsidR="00336926" w:rsidRPr="00CD2ADD">
              <w:rPr>
                <w:color w:val="000000" w:themeColor="text1"/>
                <w:sz w:val="22"/>
                <w:szCs w:val="22"/>
              </w:rPr>
              <w:t>0</w:t>
            </w:r>
          </w:p>
        </w:tc>
        <w:tc>
          <w:tcPr>
            <w:tcW w:w="850" w:type="dxa"/>
            <w:noWrap/>
            <w:vAlign w:val="center"/>
            <w:hideMark/>
          </w:tcPr>
          <w:p w14:paraId="2E2EE0A3" w14:textId="4CDB5BC5" w:rsidR="00636F1B" w:rsidRPr="00CD2ADD" w:rsidRDefault="009C4A6F"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100</w:t>
            </w:r>
          </w:p>
        </w:tc>
        <w:tc>
          <w:tcPr>
            <w:tcW w:w="851" w:type="dxa"/>
            <w:noWrap/>
            <w:vAlign w:val="center"/>
            <w:hideMark/>
          </w:tcPr>
          <w:p w14:paraId="576C876F" w14:textId="601BF1E8" w:rsidR="00636F1B" w:rsidRPr="00CD2ADD" w:rsidRDefault="009C4A6F"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100</w:t>
            </w:r>
          </w:p>
        </w:tc>
        <w:tc>
          <w:tcPr>
            <w:tcW w:w="792" w:type="dxa"/>
            <w:noWrap/>
            <w:vAlign w:val="center"/>
            <w:hideMark/>
          </w:tcPr>
          <w:p w14:paraId="79948C55" w14:textId="1C8F3AEF" w:rsidR="00636F1B" w:rsidRPr="00CD2ADD" w:rsidRDefault="009C4A6F"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100</w:t>
            </w:r>
          </w:p>
        </w:tc>
      </w:tr>
      <w:tr w:rsidR="006E0F69" w:rsidRPr="00CD2ADD" w14:paraId="19E1C292" w14:textId="77777777" w:rsidTr="00537E3E">
        <w:trPr>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568D3961"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Costuri acoperite din asistenta externa</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02DF2D49" w14:textId="77777777" w:rsidR="00636F1B" w:rsidRPr="00CD2ADD" w:rsidRDefault="00636F1B" w:rsidP="006E0F6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46D90457" w14:textId="22A5CCF8" w:rsidR="00636F1B" w:rsidRPr="00CD2ADD" w:rsidRDefault="00E00C70"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300</w:t>
            </w:r>
          </w:p>
        </w:tc>
        <w:tc>
          <w:tcPr>
            <w:tcW w:w="867" w:type="dxa"/>
            <w:vAlign w:val="center"/>
            <w:hideMark/>
          </w:tcPr>
          <w:p w14:paraId="0E8847A4"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78" w:type="dxa"/>
            <w:vAlign w:val="center"/>
            <w:hideMark/>
          </w:tcPr>
          <w:p w14:paraId="1D311461" w14:textId="1A5D42BE"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50" w:type="dxa"/>
            <w:vAlign w:val="center"/>
            <w:hideMark/>
          </w:tcPr>
          <w:p w14:paraId="7EE790BF" w14:textId="454B1B9F" w:rsidR="00636F1B" w:rsidRPr="00CD2ADD" w:rsidRDefault="00D75598"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100</w:t>
            </w:r>
          </w:p>
        </w:tc>
        <w:tc>
          <w:tcPr>
            <w:tcW w:w="851" w:type="dxa"/>
            <w:vAlign w:val="center"/>
            <w:hideMark/>
          </w:tcPr>
          <w:p w14:paraId="14A8E27B" w14:textId="25DA75B0" w:rsidR="00636F1B" w:rsidRPr="00CD2ADD" w:rsidRDefault="00D75598"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100</w:t>
            </w:r>
          </w:p>
        </w:tc>
        <w:tc>
          <w:tcPr>
            <w:tcW w:w="792" w:type="dxa"/>
            <w:vAlign w:val="center"/>
            <w:hideMark/>
          </w:tcPr>
          <w:p w14:paraId="2E053C29" w14:textId="57F3D97A" w:rsidR="00636F1B" w:rsidRPr="00CD2ADD" w:rsidRDefault="00D75598"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100</w:t>
            </w:r>
          </w:p>
        </w:tc>
      </w:tr>
      <w:tr w:rsidR="006E0F69" w:rsidRPr="00CD2ADD" w14:paraId="3C3BE2A7" w14:textId="77777777" w:rsidTr="00537E3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04F20E12"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Costuri neacoperite</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55127066"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3F6EEB2C" w14:textId="19FAC8B4"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w:t>
            </w:r>
            <w:r w:rsidR="00E00C70" w:rsidRPr="00CD2ADD">
              <w:rPr>
                <w:color w:val="000000" w:themeColor="text1"/>
                <w:sz w:val="22"/>
                <w:szCs w:val="22"/>
              </w:rPr>
              <w:t>,</w:t>
            </w:r>
            <w:r w:rsidR="009C4A6F" w:rsidRPr="00CD2ADD">
              <w:rPr>
                <w:color w:val="000000" w:themeColor="text1"/>
                <w:sz w:val="22"/>
                <w:szCs w:val="22"/>
              </w:rPr>
              <w:t>170</w:t>
            </w:r>
          </w:p>
        </w:tc>
        <w:tc>
          <w:tcPr>
            <w:tcW w:w="867" w:type="dxa"/>
            <w:vAlign w:val="center"/>
            <w:hideMark/>
          </w:tcPr>
          <w:p w14:paraId="1D40C2F7" w14:textId="6A639C7F" w:rsidR="00636F1B" w:rsidRPr="00CD2ADD" w:rsidRDefault="00336926"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390</w:t>
            </w:r>
          </w:p>
        </w:tc>
        <w:tc>
          <w:tcPr>
            <w:tcW w:w="878" w:type="dxa"/>
            <w:vAlign w:val="center"/>
            <w:hideMark/>
          </w:tcPr>
          <w:p w14:paraId="58843840" w14:textId="41A299A7" w:rsidR="00636F1B" w:rsidRPr="00CD2ADD" w:rsidRDefault="009C4A6F"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390</w:t>
            </w:r>
          </w:p>
        </w:tc>
        <w:tc>
          <w:tcPr>
            <w:tcW w:w="850" w:type="dxa"/>
            <w:vAlign w:val="center"/>
            <w:hideMark/>
          </w:tcPr>
          <w:p w14:paraId="636EC3C4" w14:textId="4F382B20" w:rsidR="00636F1B" w:rsidRPr="00CD2ADD" w:rsidRDefault="009C4A6F"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390</w:t>
            </w:r>
          </w:p>
        </w:tc>
        <w:tc>
          <w:tcPr>
            <w:tcW w:w="851" w:type="dxa"/>
            <w:vAlign w:val="center"/>
            <w:hideMark/>
          </w:tcPr>
          <w:p w14:paraId="2B593236" w14:textId="50654950"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792" w:type="dxa"/>
            <w:vAlign w:val="center"/>
            <w:hideMark/>
          </w:tcPr>
          <w:p w14:paraId="17E80CB3" w14:textId="38DB4EA8"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6E0F69" w:rsidRPr="00CD2ADD" w14:paraId="42DB1E9D" w14:textId="77777777" w:rsidTr="00537E3E">
        <w:trPr>
          <w:trHeight w:val="1129"/>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60730046" w14:textId="77777777" w:rsidR="00636F1B" w:rsidRPr="00CD2ADD" w:rsidRDefault="00636F1B" w:rsidP="006E0F69">
            <w:pPr>
              <w:rPr>
                <w:color w:val="000000" w:themeColor="text1"/>
                <w:sz w:val="22"/>
                <w:szCs w:val="22"/>
              </w:rPr>
            </w:pPr>
            <w:r w:rsidRPr="00CD2ADD">
              <w:rPr>
                <w:color w:val="000000" w:themeColor="text1"/>
                <w:sz w:val="22"/>
                <w:szCs w:val="22"/>
              </w:rPr>
              <w:t xml:space="preserve">Obiectiv specific 2.1: Până în 2030, cadrul legislativ din sectorul de mediu este armonizat și aliniat principiilor reducerii riscurilor de dezastre naturale și biologico-sociale, integrând dimensiunea mobilității umane și conexiunile migrație–mediu–climă. </w:t>
            </w:r>
          </w:p>
        </w:tc>
        <w:tc>
          <w:tcPr>
            <w:tcW w:w="1814" w:type="dxa"/>
            <w:vMerge w:val="restart"/>
            <w:tcBorders>
              <w:top w:val="single" w:sz="4" w:space="0" w:color="666666" w:themeColor="text1" w:themeTint="99"/>
              <w:left w:val="single" w:sz="4" w:space="0" w:color="auto"/>
              <w:bottom w:val="single" w:sz="4" w:space="0" w:color="auto"/>
              <w:right w:val="single" w:sz="4" w:space="0" w:color="auto"/>
            </w:tcBorders>
            <w:vAlign w:val="center"/>
            <w:hideMark/>
          </w:tcPr>
          <w:p w14:paraId="36DE74F1" w14:textId="77777777" w:rsidR="00636F1B" w:rsidRPr="00CD2ADD" w:rsidRDefault="00636F1B" w:rsidP="006E0F6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5101</w:t>
            </w:r>
            <w:r w:rsidRPr="00CD2ADD">
              <w:rPr>
                <w:color w:val="000000" w:themeColor="text1"/>
                <w:sz w:val="22"/>
                <w:szCs w:val="22"/>
              </w:rPr>
              <w:br/>
              <w:t>5401</w:t>
            </w:r>
            <w:r w:rsidRPr="00CD2ADD">
              <w:rPr>
                <w:color w:val="000000" w:themeColor="text1"/>
                <w:sz w:val="22"/>
                <w:szCs w:val="22"/>
              </w:rPr>
              <w:br/>
              <w:t>7001</w:t>
            </w:r>
            <w:r w:rsidRPr="00CD2ADD">
              <w:rPr>
                <w:color w:val="000000" w:themeColor="text1"/>
                <w:sz w:val="22"/>
                <w:szCs w:val="22"/>
              </w:rPr>
              <w:br/>
              <w:t>7004</w:t>
            </w:r>
            <w:r w:rsidRPr="00CD2ADD">
              <w:rPr>
                <w:color w:val="000000" w:themeColor="text1"/>
                <w:sz w:val="22"/>
                <w:szCs w:val="22"/>
              </w:rPr>
              <w:br/>
            </w:r>
            <w:r w:rsidRPr="00CD2ADD">
              <w:rPr>
                <w:color w:val="000000" w:themeColor="text1"/>
                <w:sz w:val="22"/>
                <w:szCs w:val="22"/>
              </w:rPr>
              <w:lastRenderedPageBreak/>
              <w:t>7011</w:t>
            </w:r>
            <w:r w:rsidRPr="00CD2ADD">
              <w:rPr>
                <w:color w:val="000000" w:themeColor="text1"/>
                <w:sz w:val="22"/>
                <w:szCs w:val="22"/>
              </w:rPr>
              <w:br/>
              <w:t>8001</w:t>
            </w:r>
          </w:p>
        </w:tc>
        <w:tc>
          <w:tcPr>
            <w:tcW w:w="1067" w:type="dxa"/>
            <w:tcBorders>
              <w:left w:val="single" w:sz="4" w:space="0" w:color="auto"/>
            </w:tcBorders>
            <w:vAlign w:val="center"/>
            <w:hideMark/>
          </w:tcPr>
          <w:p w14:paraId="0F391087" w14:textId="36873A38"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CD2ADD">
              <w:rPr>
                <w:b/>
                <w:bCs/>
                <w:color w:val="000000" w:themeColor="text1"/>
                <w:sz w:val="22"/>
                <w:szCs w:val="22"/>
              </w:rPr>
              <w:lastRenderedPageBreak/>
              <w:t>1,820</w:t>
            </w:r>
          </w:p>
        </w:tc>
        <w:tc>
          <w:tcPr>
            <w:tcW w:w="867" w:type="dxa"/>
            <w:vAlign w:val="center"/>
            <w:hideMark/>
          </w:tcPr>
          <w:p w14:paraId="1B3BCFC1" w14:textId="75D95721" w:rsidR="00636F1B" w:rsidRPr="00CD2ADD" w:rsidRDefault="009D2973"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4</w:t>
            </w:r>
            <w:r w:rsidR="00636F1B" w:rsidRPr="00CD2ADD">
              <w:rPr>
                <w:color w:val="000000" w:themeColor="text1"/>
                <w:sz w:val="22"/>
                <w:szCs w:val="22"/>
              </w:rPr>
              <w:t>20</w:t>
            </w:r>
          </w:p>
        </w:tc>
        <w:tc>
          <w:tcPr>
            <w:tcW w:w="878" w:type="dxa"/>
            <w:vAlign w:val="center"/>
            <w:hideMark/>
          </w:tcPr>
          <w:p w14:paraId="609DE83E" w14:textId="7C3DD265" w:rsidR="00636F1B" w:rsidRPr="00CD2ADD" w:rsidRDefault="009D2973"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8</w:t>
            </w:r>
            <w:r w:rsidR="00636F1B" w:rsidRPr="00CD2ADD">
              <w:rPr>
                <w:color w:val="000000" w:themeColor="text1"/>
                <w:sz w:val="22"/>
                <w:szCs w:val="22"/>
              </w:rPr>
              <w:t>00</w:t>
            </w:r>
          </w:p>
        </w:tc>
        <w:tc>
          <w:tcPr>
            <w:tcW w:w="850" w:type="dxa"/>
            <w:vAlign w:val="center"/>
            <w:hideMark/>
          </w:tcPr>
          <w:p w14:paraId="24E37727" w14:textId="6F1AF08C"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600</w:t>
            </w:r>
          </w:p>
        </w:tc>
        <w:tc>
          <w:tcPr>
            <w:tcW w:w="851" w:type="dxa"/>
            <w:noWrap/>
            <w:vAlign w:val="center"/>
            <w:hideMark/>
          </w:tcPr>
          <w:p w14:paraId="455EEAD6" w14:textId="778B18ED"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792" w:type="dxa"/>
            <w:noWrap/>
            <w:vAlign w:val="center"/>
            <w:hideMark/>
          </w:tcPr>
          <w:p w14:paraId="6563DB26" w14:textId="2E4835DC"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6E0F69" w:rsidRPr="00CD2ADD" w14:paraId="2B6E24C0" w14:textId="77777777" w:rsidTr="00537E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6B3256C2"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lastRenderedPageBreak/>
              <w:t xml:space="preserve">Costuri acoperite din bugetul de stat </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053735A2"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321143B8" w14:textId="73DF0B9A"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900</w:t>
            </w:r>
          </w:p>
        </w:tc>
        <w:tc>
          <w:tcPr>
            <w:tcW w:w="867" w:type="dxa"/>
            <w:noWrap/>
            <w:vAlign w:val="center"/>
            <w:hideMark/>
          </w:tcPr>
          <w:p w14:paraId="5B5FC8B4"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300</w:t>
            </w:r>
          </w:p>
        </w:tc>
        <w:tc>
          <w:tcPr>
            <w:tcW w:w="878" w:type="dxa"/>
            <w:noWrap/>
            <w:vAlign w:val="center"/>
            <w:hideMark/>
          </w:tcPr>
          <w:p w14:paraId="04A37996"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300</w:t>
            </w:r>
          </w:p>
        </w:tc>
        <w:tc>
          <w:tcPr>
            <w:tcW w:w="850" w:type="dxa"/>
            <w:noWrap/>
            <w:vAlign w:val="center"/>
            <w:hideMark/>
          </w:tcPr>
          <w:p w14:paraId="0E7C1AF4"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300</w:t>
            </w:r>
          </w:p>
        </w:tc>
        <w:tc>
          <w:tcPr>
            <w:tcW w:w="851" w:type="dxa"/>
            <w:noWrap/>
            <w:vAlign w:val="center"/>
            <w:hideMark/>
          </w:tcPr>
          <w:p w14:paraId="4A22C39A"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792" w:type="dxa"/>
            <w:noWrap/>
            <w:vAlign w:val="center"/>
            <w:hideMark/>
          </w:tcPr>
          <w:p w14:paraId="32B6D74B" w14:textId="4ECD098E"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6E0F69" w:rsidRPr="00CD2ADD" w14:paraId="7F4D6C88" w14:textId="77777777" w:rsidTr="00537E3E">
        <w:trPr>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3B849EAF"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Costuri acoperite din asistenta externa</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69C87D9B" w14:textId="77777777" w:rsidR="00636F1B" w:rsidRPr="00CD2ADD" w:rsidRDefault="00636F1B" w:rsidP="006E0F6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4B87A1F0" w14:textId="00239194"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720</w:t>
            </w:r>
          </w:p>
        </w:tc>
        <w:tc>
          <w:tcPr>
            <w:tcW w:w="867" w:type="dxa"/>
            <w:vAlign w:val="center"/>
            <w:hideMark/>
          </w:tcPr>
          <w:p w14:paraId="2D5C4CFB" w14:textId="3315DBB2"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120</w:t>
            </w:r>
          </w:p>
        </w:tc>
        <w:tc>
          <w:tcPr>
            <w:tcW w:w="878" w:type="dxa"/>
            <w:vAlign w:val="center"/>
            <w:hideMark/>
          </w:tcPr>
          <w:p w14:paraId="4901F606" w14:textId="7854DD42"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300</w:t>
            </w:r>
          </w:p>
        </w:tc>
        <w:tc>
          <w:tcPr>
            <w:tcW w:w="850" w:type="dxa"/>
            <w:vAlign w:val="center"/>
            <w:hideMark/>
          </w:tcPr>
          <w:p w14:paraId="6B4830E6" w14:textId="5D3ACD21"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300</w:t>
            </w:r>
          </w:p>
        </w:tc>
        <w:tc>
          <w:tcPr>
            <w:tcW w:w="851" w:type="dxa"/>
            <w:vAlign w:val="center"/>
            <w:hideMark/>
          </w:tcPr>
          <w:p w14:paraId="4B88D6E6"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792" w:type="dxa"/>
            <w:vAlign w:val="center"/>
            <w:hideMark/>
          </w:tcPr>
          <w:p w14:paraId="5BA90C65" w14:textId="33DC4DE5"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6E0F69" w:rsidRPr="00CD2ADD" w14:paraId="70993EF0" w14:textId="77777777" w:rsidTr="00537E3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5849A88C"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Costuri neacoperite</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1CD3E88A"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088CBC45" w14:textId="4A0B2819"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200</w:t>
            </w:r>
          </w:p>
        </w:tc>
        <w:tc>
          <w:tcPr>
            <w:tcW w:w="867" w:type="dxa"/>
            <w:vAlign w:val="center"/>
            <w:hideMark/>
          </w:tcPr>
          <w:p w14:paraId="1A1F5725" w14:textId="290E1C4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78" w:type="dxa"/>
            <w:vAlign w:val="center"/>
            <w:hideMark/>
          </w:tcPr>
          <w:p w14:paraId="3F5EE322" w14:textId="7740FCF2"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200</w:t>
            </w:r>
          </w:p>
        </w:tc>
        <w:tc>
          <w:tcPr>
            <w:tcW w:w="850" w:type="dxa"/>
            <w:vAlign w:val="center"/>
            <w:hideMark/>
          </w:tcPr>
          <w:p w14:paraId="363C6E23" w14:textId="1334D3A4"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51" w:type="dxa"/>
            <w:vAlign w:val="center"/>
            <w:hideMark/>
          </w:tcPr>
          <w:p w14:paraId="475A05F0" w14:textId="6CA7FAA4"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792" w:type="dxa"/>
            <w:vAlign w:val="center"/>
            <w:hideMark/>
          </w:tcPr>
          <w:p w14:paraId="63A29E21" w14:textId="03474B09"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6E0F69" w:rsidRPr="00CD2ADD" w14:paraId="2A8ED4AF" w14:textId="77777777" w:rsidTr="00537E3E">
        <w:trPr>
          <w:trHeight w:val="1323"/>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42106D0E" w14:textId="77777777" w:rsidR="00636F1B" w:rsidRPr="00CD2ADD" w:rsidRDefault="00636F1B" w:rsidP="006E0F69">
            <w:pPr>
              <w:rPr>
                <w:color w:val="000000" w:themeColor="text1"/>
                <w:sz w:val="22"/>
                <w:szCs w:val="22"/>
              </w:rPr>
            </w:pPr>
            <w:r w:rsidRPr="00CD2ADD">
              <w:rPr>
                <w:color w:val="000000" w:themeColor="text1"/>
                <w:sz w:val="22"/>
                <w:szCs w:val="22"/>
              </w:rPr>
              <w:t>Obiectiv specific 2.2: Până în 2030, mecanismele de coordonare interinstituțională și intersectorială pentru reducerea riscurilor de dezastre naturale și biologico-sociale sunt consolidate prin participarea structurată a sectorului de mediu și prin dezvoltarea de parteneriate strategice la nivel internațional</w:t>
            </w:r>
          </w:p>
        </w:tc>
        <w:tc>
          <w:tcPr>
            <w:tcW w:w="1814" w:type="dxa"/>
            <w:vMerge w:val="restart"/>
            <w:tcBorders>
              <w:top w:val="single" w:sz="4" w:space="0" w:color="666666" w:themeColor="text1" w:themeTint="99"/>
              <w:left w:val="single" w:sz="4" w:space="0" w:color="auto"/>
              <w:bottom w:val="single" w:sz="4" w:space="0" w:color="auto"/>
              <w:right w:val="single" w:sz="4" w:space="0" w:color="auto"/>
            </w:tcBorders>
            <w:vAlign w:val="center"/>
            <w:hideMark/>
          </w:tcPr>
          <w:p w14:paraId="0B349345" w14:textId="77777777" w:rsidR="00636F1B" w:rsidRPr="00CD2ADD" w:rsidRDefault="00636F1B" w:rsidP="006E0F6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7011</w:t>
            </w:r>
          </w:p>
        </w:tc>
        <w:tc>
          <w:tcPr>
            <w:tcW w:w="1067" w:type="dxa"/>
            <w:tcBorders>
              <w:left w:val="single" w:sz="4" w:space="0" w:color="auto"/>
            </w:tcBorders>
            <w:vAlign w:val="center"/>
            <w:hideMark/>
          </w:tcPr>
          <w:p w14:paraId="7B028818" w14:textId="377F8535" w:rsidR="00636F1B" w:rsidRPr="00CD2ADD" w:rsidRDefault="0096746E" w:rsidP="008026BF">
            <w:pP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CD2ADD">
              <w:rPr>
                <w:b/>
                <w:bCs/>
                <w:color w:val="000000" w:themeColor="text1"/>
                <w:sz w:val="22"/>
                <w:szCs w:val="22"/>
              </w:rPr>
              <w:t>2,</w:t>
            </w:r>
            <w:r w:rsidR="00636F1B" w:rsidRPr="00CD2ADD">
              <w:rPr>
                <w:b/>
                <w:bCs/>
                <w:color w:val="000000" w:themeColor="text1"/>
                <w:sz w:val="22"/>
                <w:szCs w:val="22"/>
              </w:rPr>
              <w:t>760</w:t>
            </w:r>
          </w:p>
        </w:tc>
        <w:tc>
          <w:tcPr>
            <w:tcW w:w="867" w:type="dxa"/>
            <w:vAlign w:val="center"/>
            <w:hideMark/>
          </w:tcPr>
          <w:p w14:paraId="2B2BEC3E"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40</w:t>
            </w:r>
          </w:p>
        </w:tc>
        <w:tc>
          <w:tcPr>
            <w:tcW w:w="878" w:type="dxa"/>
            <w:vAlign w:val="center"/>
            <w:hideMark/>
          </w:tcPr>
          <w:p w14:paraId="4F12D32D" w14:textId="7816D8A9" w:rsidR="00636F1B" w:rsidRPr="00CD2ADD" w:rsidRDefault="0096746E"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8</w:t>
            </w:r>
            <w:r w:rsidR="00636F1B" w:rsidRPr="00CD2ADD">
              <w:rPr>
                <w:color w:val="000000" w:themeColor="text1"/>
                <w:sz w:val="22"/>
                <w:szCs w:val="22"/>
              </w:rPr>
              <w:t>50</w:t>
            </w:r>
          </w:p>
        </w:tc>
        <w:tc>
          <w:tcPr>
            <w:tcW w:w="850" w:type="dxa"/>
            <w:vAlign w:val="center"/>
            <w:hideMark/>
          </w:tcPr>
          <w:p w14:paraId="203C3838" w14:textId="74A78255" w:rsidR="00636F1B" w:rsidRPr="00CD2ADD" w:rsidRDefault="0096746E"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7</w:t>
            </w:r>
            <w:r w:rsidR="00636F1B" w:rsidRPr="00CD2ADD">
              <w:rPr>
                <w:color w:val="000000" w:themeColor="text1"/>
                <w:sz w:val="22"/>
                <w:szCs w:val="22"/>
              </w:rPr>
              <w:t>90</w:t>
            </w:r>
          </w:p>
        </w:tc>
        <w:tc>
          <w:tcPr>
            <w:tcW w:w="851" w:type="dxa"/>
            <w:noWrap/>
            <w:vAlign w:val="center"/>
            <w:hideMark/>
          </w:tcPr>
          <w:p w14:paraId="41459223" w14:textId="05BA552C" w:rsidR="00636F1B" w:rsidRPr="00CD2ADD" w:rsidRDefault="0096746E"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7</w:t>
            </w:r>
            <w:r w:rsidR="00636F1B" w:rsidRPr="00CD2ADD">
              <w:rPr>
                <w:color w:val="000000" w:themeColor="text1"/>
                <w:sz w:val="22"/>
                <w:szCs w:val="22"/>
              </w:rPr>
              <w:t>90</w:t>
            </w:r>
          </w:p>
        </w:tc>
        <w:tc>
          <w:tcPr>
            <w:tcW w:w="792" w:type="dxa"/>
            <w:noWrap/>
            <w:vAlign w:val="center"/>
            <w:hideMark/>
          </w:tcPr>
          <w:p w14:paraId="250421BB" w14:textId="470EB689" w:rsidR="00636F1B" w:rsidRPr="00CD2ADD" w:rsidRDefault="0096746E"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2</w:t>
            </w:r>
            <w:r w:rsidR="00636F1B" w:rsidRPr="00CD2ADD">
              <w:rPr>
                <w:color w:val="000000" w:themeColor="text1"/>
                <w:sz w:val="22"/>
                <w:szCs w:val="22"/>
              </w:rPr>
              <w:t>90</w:t>
            </w:r>
          </w:p>
        </w:tc>
      </w:tr>
      <w:tr w:rsidR="006E0F69" w:rsidRPr="00CD2ADD" w14:paraId="3D86B7C6" w14:textId="77777777" w:rsidTr="00537E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4481F792"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 xml:space="preserve">Costuri acoperite din bugetul de stat </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49036625"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22726592" w14:textId="6D939ABF" w:rsidR="00636F1B" w:rsidRPr="00CD2ADD" w:rsidRDefault="00CE75F2"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1,2</w:t>
            </w:r>
            <w:r w:rsidR="00636F1B" w:rsidRPr="00CD2ADD">
              <w:rPr>
                <w:color w:val="000000" w:themeColor="text1"/>
                <w:sz w:val="22"/>
                <w:szCs w:val="22"/>
              </w:rPr>
              <w:t>60</w:t>
            </w:r>
          </w:p>
        </w:tc>
        <w:tc>
          <w:tcPr>
            <w:tcW w:w="867" w:type="dxa"/>
            <w:vAlign w:val="center"/>
            <w:hideMark/>
          </w:tcPr>
          <w:p w14:paraId="19AF5A7F"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40</w:t>
            </w:r>
          </w:p>
        </w:tc>
        <w:tc>
          <w:tcPr>
            <w:tcW w:w="878" w:type="dxa"/>
            <w:vAlign w:val="center"/>
            <w:hideMark/>
          </w:tcPr>
          <w:p w14:paraId="772F8669" w14:textId="592B5126" w:rsidR="00636F1B" w:rsidRPr="00CD2ADD" w:rsidRDefault="0096746E"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3</w:t>
            </w:r>
            <w:r w:rsidR="00636F1B" w:rsidRPr="00CD2ADD">
              <w:rPr>
                <w:color w:val="000000" w:themeColor="text1"/>
                <w:sz w:val="22"/>
                <w:szCs w:val="22"/>
              </w:rPr>
              <w:t>50</w:t>
            </w:r>
          </w:p>
        </w:tc>
        <w:tc>
          <w:tcPr>
            <w:tcW w:w="850" w:type="dxa"/>
            <w:vAlign w:val="center"/>
            <w:hideMark/>
          </w:tcPr>
          <w:p w14:paraId="754466E6" w14:textId="1ECF3E0E" w:rsidR="00636F1B" w:rsidRPr="00CD2ADD" w:rsidRDefault="0096746E"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2</w:t>
            </w:r>
            <w:r w:rsidR="00636F1B" w:rsidRPr="00CD2ADD">
              <w:rPr>
                <w:color w:val="000000" w:themeColor="text1"/>
                <w:sz w:val="22"/>
                <w:szCs w:val="22"/>
              </w:rPr>
              <w:t>90</w:t>
            </w:r>
          </w:p>
        </w:tc>
        <w:tc>
          <w:tcPr>
            <w:tcW w:w="851" w:type="dxa"/>
            <w:noWrap/>
            <w:vAlign w:val="center"/>
            <w:hideMark/>
          </w:tcPr>
          <w:p w14:paraId="5C2C7007" w14:textId="176A576A" w:rsidR="00636F1B" w:rsidRPr="00CD2ADD" w:rsidRDefault="0096746E"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2</w:t>
            </w:r>
            <w:r w:rsidR="00636F1B" w:rsidRPr="00CD2ADD">
              <w:rPr>
                <w:color w:val="000000" w:themeColor="text1"/>
                <w:sz w:val="22"/>
                <w:szCs w:val="22"/>
              </w:rPr>
              <w:t>90</w:t>
            </w:r>
          </w:p>
        </w:tc>
        <w:tc>
          <w:tcPr>
            <w:tcW w:w="792" w:type="dxa"/>
            <w:noWrap/>
            <w:vAlign w:val="center"/>
            <w:hideMark/>
          </w:tcPr>
          <w:p w14:paraId="2FD29ABB" w14:textId="03BEDEF1" w:rsidR="00636F1B" w:rsidRPr="00CD2ADD" w:rsidRDefault="0096746E"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2</w:t>
            </w:r>
            <w:r w:rsidR="00636F1B" w:rsidRPr="00CD2ADD">
              <w:rPr>
                <w:color w:val="000000" w:themeColor="text1"/>
                <w:sz w:val="22"/>
                <w:szCs w:val="22"/>
              </w:rPr>
              <w:t>90</w:t>
            </w:r>
          </w:p>
        </w:tc>
      </w:tr>
      <w:tr w:rsidR="006E0F69" w:rsidRPr="00CD2ADD" w14:paraId="0EBDA9B3" w14:textId="77777777" w:rsidTr="00537E3E">
        <w:trPr>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7444F77A"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Costuri acoperite din asistenta externa</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14D6E747" w14:textId="77777777" w:rsidR="00636F1B" w:rsidRPr="00CD2ADD" w:rsidRDefault="00636F1B" w:rsidP="006E0F6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13734E43"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i/>
                <w:iCs/>
                <w:color w:val="000000" w:themeColor="text1"/>
                <w:sz w:val="22"/>
                <w:szCs w:val="22"/>
              </w:rPr>
            </w:pPr>
          </w:p>
        </w:tc>
        <w:tc>
          <w:tcPr>
            <w:tcW w:w="867" w:type="dxa"/>
            <w:vAlign w:val="center"/>
            <w:hideMark/>
          </w:tcPr>
          <w:p w14:paraId="498E0E0C"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78" w:type="dxa"/>
            <w:vAlign w:val="center"/>
            <w:hideMark/>
          </w:tcPr>
          <w:p w14:paraId="69BDB48E"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50" w:type="dxa"/>
            <w:vAlign w:val="center"/>
            <w:hideMark/>
          </w:tcPr>
          <w:p w14:paraId="2DC48F64"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51" w:type="dxa"/>
            <w:vAlign w:val="center"/>
            <w:hideMark/>
          </w:tcPr>
          <w:p w14:paraId="68BDC711"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792" w:type="dxa"/>
            <w:vAlign w:val="center"/>
            <w:hideMark/>
          </w:tcPr>
          <w:p w14:paraId="538ACBEA" w14:textId="350F8AE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6E0F69" w:rsidRPr="00CD2ADD" w14:paraId="3FDBAA41" w14:textId="77777777" w:rsidTr="00537E3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1D23FBC4"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Costuri neacoperite</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087E497A"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6FD5746E" w14:textId="7F11691D" w:rsidR="00636F1B" w:rsidRPr="00CD2ADD" w:rsidRDefault="00CE75F2"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1,500</w:t>
            </w:r>
          </w:p>
        </w:tc>
        <w:tc>
          <w:tcPr>
            <w:tcW w:w="867" w:type="dxa"/>
            <w:vAlign w:val="center"/>
            <w:hideMark/>
          </w:tcPr>
          <w:p w14:paraId="6AE0991E" w14:textId="203B6CBC"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78" w:type="dxa"/>
            <w:vAlign w:val="center"/>
            <w:hideMark/>
          </w:tcPr>
          <w:p w14:paraId="455F0929" w14:textId="31D2B5A8" w:rsidR="00636F1B" w:rsidRPr="00CD2ADD" w:rsidRDefault="0096746E"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500</w:t>
            </w:r>
          </w:p>
        </w:tc>
        <w:tc>
          <w:tcPr>
            <w:tcW w:w="850" w:type="dxa"/>
            <w:vAlign w:val="center"/>
            <w:hideMark/>
          </w:tcPr>
          <w:p w14:paraId="69EF4E12" w14:textId="3BF9E764" w:rsidR="00636F1B" w:rsidRPr="00CD2ADD" w:rsidRDefault="0096746E"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500</w:t>
            </w:r>
          </w:p>
        </w:tc>
        <w:tc>
          <w:tcPr>
            <w:tcW w:w="851" w:type="dxa"/>
            <w:vAlign w:val="center"/>
            <w:hideMark/>
          </w:tcPr>
          <w:p w14:paraId="1C930320" w14:textId="4569D04B" w:rsidR="00636F1B" w:rsidRPr="00CD2ADD" w:rsidRDefault="0096746E"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500</w:t>
            </w:r>
          </w:p>
        </w:tc>
        <w:tc>
          <w:tcPr>
            <w:tcW w:w="792" w:type="dxa"/>
            <w:vAlign w:val="center"/>
            <w:hideMark/>
          </w:tcPr>
          <w:p w14:paraId="4EEB9C65" w14:textId="3319DCA0"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6E0F69" w:rsidRPr="00CD2ADD" w14:paraId="356E00ED" w14:textId="77777777" w:rsidTr="00537E3E">
        <w:trPr>
          <w:trHeight w:val="1488"/>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691F581A" w14:textId="77777777" w:rsidR="00636F1B" w:rsidRPr="00CD2ADD" w:rsidRDefault="00636F1B" w:rsidP="006E0F69">
            <w:pPr>
              <w:rPr>
                <w:color w:val="000000" w:themeColor="text1"/>
                <w:sz w:val="22"/>
                <w:szCs w:val="22"/>
              </w:rPr>
            </w:pPr>
            <w:r w:rsidRPr="00CD2ADD">
              <w:rPr>
                <w:color w:val="000000" w:themeColor="text1"/>
                <w:sz w:val="22"/>
                <w:szCs w:val="22"/>
              </w:rPr>
              <w:t>Obiectiv specific 2.3: Până în 2030, reducerea riscurilor de dezastre este pe deplin instituționalizată în cadrul structurilor publice din sectorul de mediu si al sănătății, prin clarificarea responsabilităților, desemnarea punctelor focale și consolidarea capacităților operaționale la nivel central și teritorial</w:t>
            </w:r>
          </w:p>
        </w:tc>
        <w:tc>
          <w:tcPr>
            <w:tcW w:w="1814" w:type="dxa"/>
            <w:vMerge w:val="restart"/>
            <w:tcBorders>
              <w:top w:val="single" w:sz="4" w:space="0" w:color="666666" w:themeColor="text1" w:themeTint="99"/>
              <w:left w:val="single" w:sz="4" w:space="0" w:color="auto"/>
              <w:bottom w:val="single" w:sz="4" w:space="0" w:color="auto"/>
              <w:right w:val="single" w:sz="4" w:space="0" w:color="auto"/>
            </w:tcBorders>
            <w:vAlign w:val="center"/>
            <w:hideMark/>
          </w:tcPr>
          <w:p w14:paraId="7283CB23" w14:textId="77777777" w:rsidR="00636F1B" w:rsidRPr="00CD2ADD" w:rsidRDefault="00636F1B" w:rsidP="006E0F6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7011</w:t>
            </w:r>
            <w:r w:rsidRPr="00CD2ADD">
              <w:rPr>
                <w:color w:val="000000" w:themeColor="text1"/>
                <w:sz w:val="22"/>
                <w:szCs w:val="22"/>
              </w:rPr>
              <w:br/>
              <w:t>8001</w:t>
            </w:r>
          </w:p>
        </w:tc>
        <w:tc>
          <w:tcPr>
            <w:tcW w:w="1067" w:type="dxa"/>
            <w:tcBorders>
              <w:left w:val="single" w:sz="4" w:space="0" w:color="auto"/>
            </w:tcBorders>
            <w:vAlign w:val="center"/>
            <w:hideMark/>
          </w:tcPr>
          <w:p w14:paraId="4514FAEC" w14:textId="3C0B51F9"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CD2ADD">
              <w:rPr>
                <w:b/>
                <w:bCs/>
                <w:color w:val="000000" w:themeColor="text1"/>
                <w:sz w:val="22"/>
                <w:szCs w:val="22"/>
              </w:rPr>
              <w:t>1,</w:t>
            </w:r>
            <w:r w:rsidR="00E11224" w:rsidRPr="00CD2ADD">
              <w:rPr>
                <w:b/>
                <w:bCs/>
                <w:color w:val="000000" w:themeColor="text1"/>
                <w:sz w:val="22"/>
                <w:szCs w:val="22"/>
              </w:rPr>
              <w:t>56</w:t>
            </w:r>
            <w:r w:rsidRPr="00CD2ADD">
              <w:rPr>
                <w:b/>
                <w:bCs/>
                <w:color w:val="000000" w:themeColor="text1"/>
                <w:sz w:val="22"/>
                <w:szCs w:val="22"/>
              </w:rPr>
              <w:t>0</w:t>
            </w:r>
          </w:p>
        </w:tc>
        <w:tc>
          <w:tcPr>
            <w:tcW w:w="867" w:type="dxa"/>
            <w:vAlign w:val="center"/>
            <w:hideMark/>
          </w:tcPr>
          <w:p w14:paraId="50EAF74A" w14:textId="1F7839A9" w:rsidR="00636F1B" w:rsidRPr="00CD2ADD" w:rsidRDefault="00E11224"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324</w:t>
            </w:r>
          </w:p>
        </w:tc>
        <w:tc>
          <w:tcPr>
            <w:tcW w:w="878" w:type="dxa"/>
            <w:vAlign w:val="center"/>
            <w:hideMark/>
          </w:tcPr>
          <w:p w14:paraId="611DBDA1" w14:textId="1DD76F1B"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60</w:t>
            </w:r>
            <w:r w:rsidR="00E11224" w:rsidRPr="00CD2ADD">
              <w:rPr>
                <w:color w:val="000000" w:themeColor="text1"/>
                <w:sz w:val="22"/>
                <w:szCs w:val="22"/>
              </w:rPr>
              <w:t>4</w:t>
            </w:r>
          </w:p>
        </w:tc>
        <w:tc>
          <w:tcPr>
            <w:tcW w:w="850" w:type="dxa"/>
            <w:vAlign w:val="center"/>
            <w:hideMark/>
          </w:tcPr>
          <w:p w14:paraId="4D00AAF8" w14:textId="5235FFE8" w:rsidR="00636F1B" w:rsidRPr="00CD2ADD" w:rsidRDefault="00E11224"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344</w:t>
            </w:r>
          </w:p>
        </w:tc>
        <w:tc>
          <w:tcPr>
            <w:tcW w:w="851" w:type="dxa"/>
            <w:noWrap/>
            <w:vAlign w:val="center"/>
            <w:hideMark/>
          </w:tcPr>
          <w:p w14:paraId="2DABD1FF" w14:textId="4B2D1E4C" w:rsidR="00636F1B" w:rsidRPr="00CD2ADD" w:rsidRDefault="00C87C1F"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144</w:t>
            </w:r>
          </w:p>
        </w:tc>
        <w:tc>
          <w:tcPr>
            <w:tcW w:w="792" w:type="dxa"/>
            <w:noWrap/>
            <w:vAlign w:val="center"/>
            <w:hideMark/>
          </w:tcPr>
          <w:p w14:paraId="33A3FEAD" w14:textId="3BD76079" w:rsidR="00636F1B" w:rsidRPr="00CD2ADD" w:rsidRDefault="00C87C1F"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144</w:t>
            </w:r>
          </w:p>
        </w:tc>
      </w:tr>
      <w:tr w:rsidR="006E0F69" w:rsidRPr="00CD2ADD" w14:paraId="5E269FF9" w14:textId="77777777" w:rsidTr="00537E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582641EA"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 xml:space="preserve">Costuri acoperite din bugetul de stat </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4EBB823A"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0A7FCB35" w14:textId="5EF4DC7E"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67" w:type="dxa"/>
            <w:noWrap/>
            <w:vAlign w:val="center"/>
            <w:hideMark/>
          </w:tcPr>
          <w:p w14:paraId="63A36573" w14:textId="27477F1C"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78" w:type="dxa"/>
            <w:noWrap/>
            <w:vAlign w:val="center"/>
            <w:hideMark/>
          </w:tcPr>
          <w:p w14:paraId="0E77EBA2"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50" w:type="dxa"/>
            <w:noWrap/>
            <w:vAlign w:val="center"/>
            <w:hideMark/>
          </w:tcPr>
          <w:p w14:paraId="29976D2F"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51" w:type="dxa"/>
            <w:noWrap/>
            <w:vAlign w:val="center"/>
            <w:hideMark/>
          </w:tcPr>
          <w:p w14:paraId="31447AEB"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792" w:type="dxa"/>
            <w:noWrap/>
            <w:vAlign w:val="center"/>
            <w:hideMark/>
          </w:tcPr>
          <w:p w14:paraId="2B2C50DB" w14:textId="300FB3F2"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6E0F69" w:rsidRPr="00CD2ADD" w14:paraId="355275AD" w14:textId="77777777" w:rsidTr="00537E3E">
        <w:trPr>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0AD3F910"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Costuri acoperite din asistenta externa</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010699FB" w14:textId="77777777" w:rsidR="00636F1B" w:rsidRPr="00CD2ADD" w:rsidRDefault="00636F1B" w:rsidP="006E0F6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754DEA60" w14:textId="260EFA31"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960</w:t>
            </w:r>
          </w:p>
        </w:tc>
        <w:tc>
          <w:tcPr>
            <w:tcW w:w="867" w:type="dxa"/>
            <w:vAlign w:val="center"/>
            <w:hideMark/>
          </w:tcPr>
          <w:p w14:paraId="49256DEB" w14:textId="66EA5E30"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224</w:t>
            </w:r>
          </w:p>
        </w:tc>
        <w:tc>
          <w:tcPr>
            <w:tcW w:w="878" w:type="dxa"/>
            <w:vAlign w:val="center"/>
            <w:hideMark/>
          </w:tcPr>
          <w:p w14:paraId="3BF6BE4B" w14:textId="65DDBAC3"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304</w:t>
            </w:r>
          </w:p>
        </w:tc>
        <w:tc>
          <w:tcPr>
            <w:tcW w:w="850" w:type="dxa"/>
            <w:vAlign w:val="center"/>
            <w:hideMark/>
          </w:tcPr>
          <w:p w14:paraId="03EF08A2" w14:textId="2B92D83D"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144</w:t>
            </w:r>
          </w:p>
        </w:tc>
        <w:tc>
          <w:tcPr>
            <w:tcW w:w="851" w:type="dxa"/>
            <w:vAlign w:val="center"/>
            <w:hideMark/>
          </w:tcPr>
          <w:p w14:paraId="042AE9F9" w14:textId="7A59F402"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144</w:t>
            </w:r>
          </w:p>
        </w:tc>
        <w:tc>
          <w:tcPr>
            <w:tcW w:w="792" w:type="dxa"/>
            <w:vAlign w:val="center"/>
            <w:hideMark/>
          </w:tcPr>
          <w:p w14:paraId="7D5EB4FE" w14:textId="6F11809F"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144</w:t>
            </w:r>
          </w:p>
        </w:tc>
      </w:tr>
      <w:tr w:rsidR="006E0F69" w:rsidRPr="00CD2ADD" w14:paraId="7AF40BBE" w14:textId="77777777" w:rsidTr="00537E3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37793C00"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Costuri neacoperite</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40FF90C9"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27623F1F" w14:textId="0BD7C273"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600</w:t>
            </w:r>
          </w:p>
        </w:tc>
        <w:tc>
          <w:tcPr>
            <w:tcW w:w="867" w:type="dxa"/>
            <w:vAlign w:val="center"/>
            <w:hideMark/>
          </w:tcPr>
          <w:p w14:paraId="7F1C4267" w14:textId="2E8EBCED" w:rsidR="00636F1B" w:rsidRPr="00CD2ADD" w:rsidRDefault="00C87C1F"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w:t>
            </w:r>
            <w:r w:rsidR="00636F1B" w:rsidRPr="00CD2ADD">
              <w:rPr>
                <w:color w:val="000000" w:themeColor="text1"/>
                <w:sz w:val="22"/>
                <w:szCs w:val="22"/>
              </w:rPr>
              <w:t>00</w:t>
            </w:r>
          </w:p>
        </w:tc>
        <w:tc>
          <w:tcPr>
            <w:tcW w:w="878" w:type="dxa"/>
            <w:vAlign w:val="center"/>
            <w:hideMark/>
          </w:tcPr>
          <w:p w14:paraId="7A2C67D2" w14:textId="13EF0FB2"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300</w:t>
            </w:r>
          </w:p>
        </w:tc>
        <w:tc>
          <w:tcPr>
            <w:tcW w:w="850" w:type="dxa"/>
            <w:vAlign w:val="center"/>
            <w:hideMark/>
          </w:tcPr>
          <w:p w14:paraId="1497CD9E" w14:textId="5B79D8DA" w:rsidR="00636F1B" w:rsidRPr="00CD2ADD" w:rsidRDefault="00C87C1F"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2</w:t>
            </w:r>
            <w:r w:rsidR="00636F1B" w:rsidRPr="00CD2ADD">
              <w:rPr>
                <w:color w:val="000000" w:themeColor="text1"/>
                <w:sz w:val="22"/>
                <w:szCs w:val="22"/>
              </w:rPr>
              <w:t>00</w:t>
            </w:r>
          </w:p>
        </w:tc>
        <w:tc>
          <w:tcPr>
            <w:tcW w:w="851" w:type="dxa"/>
            <w:vAlign w:val="center"/>
            <w:hideMark/>
          </w:tcPr>
          <w:p w14:paraId="1EB7D049" w14:textId="06E42938"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792" w:type="dxa"/>
            <w:vAlign w:val="center"/>
            <w:hideMark/>
          </w:tcPr>
          <w:p w14:paraId="0CBE489B" w14:textId="7A0E037C"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6E0F69" w:rsidRPr="00CD2ADD" w14:paraId="61A70845" w14:textId="77777777" w:rsidTr="00537E3E">
        <w:trPr>
          <w:trHeight w:val="1249"/>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7F736304" w14:textId="77777777" w:rsidR="00636F1B" w:rsidRPr="00CD2ADD" w:rsidRDefault="00636F1B" w:rsidP="006E0F69">
            <w:pPr>
              <w:rPr>
                <w:color w:val="000000" w:themeColor="text1"/>
                <w:sz w:val="22"/>
                <w:szCs w:val="22"/>
              </w:rPr>
            </w:pPr>
            <w:r w:rsidRPr="00CD2ADD">
              <w:rPr>
                <w:color w:val="000000" w:themeColor="text1"/>
                <w:sz w:val="22"/>
                <w:szCs w:val="22"/>
              </w:rPr>
              <w:t>Obiectiv specific 3.1: Până în 2030, suprafețele împădurite și terenurile cu vegetație forestieră degradată sunt extinse și restaurate în scopul reducerii riscurilor naturale si biologico-sociale și al consolidării rezilienței ecosistemelor și comunităților.</w:t>
            </w:r>
          </w:p>
        </w:tc>
        <w:tc>
          <w:tcPr>
            <w:tcW w:w="1814" w:type="dxa"/>
            <w:vMerge w:val="restart"/>
            <w:tcBorders>
              <w:top w:val="single" w:sz="4" w:space="0" w:color="666666" w:themeColor="text1" w:themeTint="99"/>
              <w:left w:val="single" w:sz="4" w:space="0" w:color="auto"/>
              <w:bottom w:val="single" w:sz="4" w:space="0" w:color="auto"/>
              <w:right w:val="single" w:sz="4" w:space="0" w:color="auto"/>
            </w:tcBorders>
            <w:vAlign w:val="center"/>
            <w:hideMark/>
          </w:tcPr>
          <w:p w14:paraId="08AA9F58" w14:textId="77777777" w:rsidR="00636F1B" w:rsidRPr="00CD2ADD" w:rsidRDefault="00636F1B" w:rsidP="006E0F6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5402</w:t>
            </w:r>
          </w:p>
        </w:tc>
        <w:tc>
          <w:tcPr>
            <w:tcW w:w="1067" w:type="dxa"/>
            <w:tcBorders>
              <w:left w:val="single" w:sz="4" w:space="0" w:color="auto"/>
            </w:tcBorders>
            <w:vAlign w:val="center"/>
            <w:hideMark/>
          </w:tcPr>
          <w:p w14:paraId="14AFB56F" w14:textId="0F9FE81B"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CD2ADD">
              <w:rPr>
                <w:b/>
                <w:bCs/>
                <w:color w:val="000000" w:themeColor="text1"/>
                <w:sz w:val="22"/>
                <w:szCs w:val="22"/>
              </w:rPr>
              <w:t>2,350</w:t>
            </w:r>
          </w:p>
        </w:tc>
        <w:tc>
          <w:tcPr>
            <w:tcW w:w="867" w:type="dxa"/>
            <w:noWrap/>
            <w:vAlign w:val="center"/>
            <w:hideMark/>
          </w:tcPr>
          <w:p w14:paraId="33D01B39" w14:textId="55E97DE0"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1,200</w:t>
            </w:r>
          </w:p>
        </w:tc>
        <w:tc>
          <w:tcPr>
            <w:tcW w:w="878" w:type="dxa"/>
            <w:vAlign w:val="center"/>
            <w:hideMark/>
          </w:tcPr>
          <w:p w14:paraId="51B12083" w14:textId="768CFDDE"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1,150</w:t>
            </w:r>
          </w:p>
        </w:tc>
        <w:tc>
          <w:tcPr>
            <w:tcW w:w="850" w:type="dxa"/>
            <w:vAlign w:val="center"/>
            <w:hideMark/>
          </w:tcPr>
          <w:p w14:paraId="13393462" w14:textId="19F419C6"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51" w:type="dxa"/>
            <w:noWrap/>
            <w:vAlign w:val="center"/>
            <w:hideMark/>
          </w:tcPr>
          <w:p w14:paraId="149B5192" w14:textId="448D789A"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792" w:type="dxa"/>
            <w:noWrap/>
            <w:vAlign w:val="center"/>
            <w:hideMark/>
          </w:tcPr>
          <w:p w14:paraId="259509D5" w14:textId="0258843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6E0F69" w:rsidRPr="00CD2ADD" w14:paraId="7F75A506" w14:textId="77777777" w:rsidTr="00537E3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5FF51B60"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 xml:space="preserve">Costuri acoperite din bugetul de stat </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592829AF"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74D4096B" w14:textId="3A4B4CFD"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2,350</w:t>
            </w:r>
          </w:p>
        </w:tc>
        <w:tc>
          <w:tcPr>
            <w:tcW w:w="867" w:type="dxa"/>
            <w:noWrap/>
            <w:vAlign w:val="center"/>
            <w:hideMark/>
          </w:tcPr>
          <w:p w14:paraId="057A4ED4" w14:textId="164E3459"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1,200</w:t>
            </w:r>
          </w:p>
        </w:tc>
        <w:tc>
          <w:tcPr>
            <w:tcW w:w="878" w:type="dxa"/>
            <w:vAlign w:val="center"/>
            <w:hideMark/>
          </w:tcPr>
          <w:p w14:paraId="402EBF5B" w14:textId="5C6BB3C0"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1,150</w:t>
            </w:r>
          </w:p>
        </w:tc>
        <w:tc>
          <w:tcPr>
            <w:tcW w:w="850" w:type="dxa"/>
            <w:noWrap/>
            <w:vAlign w:val="center"/>
            <w:hideMark/>
          </w:tcPr>
          <w:p w14:paraId="5C6FE391"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51" w:type="dxa"/>
            <w:noWrap/>
            <w:vAlign w:val="center"/>
            <w:hideMark/>
          </w:tcPr>
          <w:p w14:paraId="4B7A25E4"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792" w:type="dxa"/>
            <w:noWrap/>
            <w:vAlign w:val="center"/>
            <w:hideMark/>
          </w:tcPr>
          <w:p w14:paraId="280C6B1B" w14:textId="2ADBAEAF"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6E0F69" w:rsidRPr="00CD2ADD" w14:paraId="20B0D91C" w14:textId="77777777" w:rsidTr="00537E3E">
        <w:trPr>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5F48DC8D"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Costuri acoperite din asistenta externa</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0941F35B" w14:textId="77777777" w:rsidR="00636F1B" w:rsidRPr="00CD2ADD" w:rsidRDefault="00636F1B" w:rsidP="006E0F6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42218D46"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i/>
                <w:iCs/>
                <w:color w:val="000000" w:themeColor="text1"/>
                <w:sz w:val="22"/>
                <w:szCs w:val="22"/>
              </w:rPr>
            </w:pPr>
          </w:p>
        </w:tc>
        <w:tc>
          <w:tcPr>
            <w:tcW w:w="867" w:type="dxa"/>
            <w:vAlign w:val="center"/>
            <w:hideMark/>
          </w:tcPr>
          <w:p w14:paraId="1C359E82"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78" w:type="dxa"/>
            <w:vAlign w:val="center"/>
            <w:hideMark/>
          </w:tcPr>
          <w:p w14:paraId="500EA02A"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50" w:type="dxa"/>
            <w:vAlign w:val="center"/>
            <w:hideMark/>
          </w:tcPr>
          <w:p w14:paraId="5C235B46"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51" w:type="dxa"/>
            <w:vAlign w:val="center"/>
            <w:hideMark/>
          </w:tcPr>
          <w:p w14:paraId="53717B79"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792" w:type="dxa"/>
            <w:vAlign w:val="center"/>
            <w:hideMark/>
          </w:tcPr>
          <w:p w14:paraId="439AB224" w14:textId="48C9328F"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6E0F69" w:rsidRPr="00CD2ADD" w14:paraId="25FDEEFC" w14:textId="77777777" w:rsidTr="00537E3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3B85CC55"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Costuri neacoperite</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16FCA575"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75644567" w14:textId="69A5809F"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67" w:type="dxa"/>
            <w:vAlign w:val="center"/>
            <w:hideMark/>
          </w:tcPr>
          <w:p w14:paraId="22C780B3" w14:textId="0D444A74"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78" w:type="dxa"/>
            <w:vAlign w:val="center"/>
            <w:hideMark/>
          </w:tcPr>
          <w:p w14:paraId="5AA1054E" w14:textId="0FE8ECD4"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50" w:type="dxa"/>
            <w:vAlign w:val="center"/>
            <w:hideMark/>
          </w:tcPr>
          <w:p w14:paraId="6E55569A" w14:textId="75D24CB1"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51" w:type="dxa"/>
            <w:vAlign w:val="center"/>
            <w:hideMark/>
          </w:tcPr>
          <w:p w14:paraId="5AE846E8" w14:textId="1FD50DAD"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792" w:type="dxa"/>
            <w:vAlign w:val="center"/>
            <w:hideMark/>
          </w:tcPr>
          <w:p w14:paraId="1BF520F4" w14:textId="4B7A6490"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6E0F69" w:rsidRPr="00CD2ADD" w14:paraId="5F1DA876" w14:textId="77777777" w:rsidTr="00537E3E">
        <w:trPr>
          <w:trHeight w:val="929"/>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19C5F1D2" w14:textId="77777777" w:rsidR="00636F1B" w:rsidRPr="00CD2ADD" w:rsidRDefault="00636F1B" w:rsidP="006E0F69">
            <w:pPr>
              <w:rPr>
                <w:color w:val="000000" w:themeColor="text1"/>
                <w:sz w:val="22"/>
                <w:szCs w:val="22"/>
              </w:rPr>
            </w:pPr>
            <w:r w:rsidRPr="00CD2ADD">
              <w:rPr>
                <w:color w:val="000000" w:themeColor="text1"/>
                <w:sz w:val="22"/>
                <w:szCs w:val="22"/>
              </w:rPr>
              <w:t>Obiectiv specific 3.2: Până în 2030, ecosistemele acvatice și zonele umede sunt conservate și restaurate pentru reducerea riscurilor de inundații și consolidarea rezilienței teritoriale.</w:t>
            </w:r>
          </w:p>
        </w:tc>
        <w:tc>
          <w:tcPr>
            <w:tcW w:w="1814" w:type="dxa"/>
            <w:vMerge w:val="restart"/>
            <w:tcBorders>
              <w:top w:val="single" w:sz="4" w:space="0" w:color="666666" w:themeColor="text1" w:themeTint="99"/>
              <w:left w:val="single" w:sz="4" w:space="0" w:color="auto"/>
              <w:bottom w:val="single" w:sz="4" w:space="0" w:color="auto"/>
              <w:right w:val="single" w:sz="4" w:space="0" w:color="auto"/>
            </w:tcBorders>
            <w:vAlign w:val="center"/>
            <w:hideMark/>
          </w:tcPr>
          <w:p w14:paraId="59DAC893" w14:textId="77777777" w:rsidR="00636F1B" w:rsidRPr="00CD2ADD" w:rsidRDefault="00636F1B" w:rsidP="006E0F6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7004</w:t>
            </w:r>
          </w:p>
        </w:tc>
        <w:tc>
          <w:tcPr>
            <w:tcW w:w="1067" w:type="dxa"/>
            <w:tcBorders>
              <w:left w:val="single" w:sz="4" w:space="0" w:color="auto"/>
            </w:tcBorders>
            <w:vAlign w:val="center"/>
            <w:hideMark/>
          </w:tcPr>
          <w:p w14:paraId="394D8D97" w14:textId="4E0601A4"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CD2ADD">
              <w:rPr>
                <w:b/>
                <w:bCs/>
                <w:color w:val="000000" w:themeColor="text1"/>
                <w:sz w:val="22"/>
                <w:szCs w:val="22"/>
              </w:rPr>
              <w:t>1,200</w:t>
            </w:r>
          </w:p>
        </w:tc>
        <w:tc>
          <w:tcPr>
            <w:tcW w:w="867" w:type="dxa"/>
            <w:vAlign w:val="center"/>
            <w:hideMark/>
          </w:tcPr>
          <w:p w14:paraId="6F3D99B1" w14:textId="5779D0A3"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78" w:type="dxa"/>
            <w:noWrap/>
            <w:vAlign w:val="center"/>
            <w:hideMark/>
          </w:tcPr>
          <w:p w14:paraId="293E1237" w14:textId="4C8ECECF"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1,200</w:t>
            </w:r>
          </w:p>
        </w:tc>
        <w:tc>
          <w:tcPr>
            <w:tcW w:w="850" w:type="dxa"/>
            <w:vAlign w:val="center"/>
            <w:hideMark/>
          </w:tcPr>
          <w:p w14:paraId="4D4D85A5" w14:textId="1DA0C886"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51" w:type="dxa"/>
            <w:noWrap/>
            <w:vAlign w:val="center"/>
            <w:hideMark/>
          </w:tcPr>
          <w:p w14:paraId="320CF797" w14:textId="3C3970AE"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792" w:type="dxa"/>
            <w:noWrap/>
            <w:vAlign w:val="center"/>
            <w:hideMark/>
          </w:tcPr>
          <w:p w14:paraId="36831DDE" w14:textId="02A49F4D"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6E0F69" w:rsidRPr="00CD2ADD" w14:paraId="23E950DC" w14:textId="77777777" w:rsidTr="00537E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0FD49667"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 xml:space="preserve">Costuri acoperite din bugetul de stat </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699AB798"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6F823BAD" w14:textId="4AF9DDCE"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1,200</w:t>
            </w:r>
          </w:p>
        </w:tc>
        <w:tc>
          <w:tcPr>
            <w:tcW w:w="867" w:type="dxa"/>
            <w:noWrap/>
            <w:vAlign w:val="center"/>
            <w:hideMark/>
          </w:tcPr>
          <w:p w14:paraId="7238468B"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78" w:type="dxa"/>
            <w:noWrap/>
            <w:vAlign w:val="center"/>
            <w:hideMark/>
          </w:tcPr>
          <w:p w14:paraId="73F73582" w14:textId="2E543D36"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1,200</w:t>
            </w:r>
          </w:p>
        </w:tc>
        <w:tc>
          <w:tcPr>
            <w:tcW w:w="850" w:type="dxa"/>
            <w:noWrap/>
            <w:vAlign w:val="center"/>
            <w:hideMark/>
          </w:tcPr>
          <w:p w14:paraId="6DCCB588"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51" w:type="dxa"/>
            <w:noWrap/>
            <w:vAlign w:val="center"/>
            <w:hideMark/>
          </w:tcPr>
          <w:p w14:paraId="615D259B"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792" w:type="dxa"/>
            <w:noWrap/>
            <w:vAlign w:val="center"/>
            <w:hideMark/>
          </w:tcPr>
          <w:p w14:paraId="4D78873F" w14:textId="70BCFCEF"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6E0F69" w:rsidRPr="00CD2ADD" w14:paraId="0BA2B599" w14:textId="77777777" w:rsidTr="00537E3E">
        <w:trPr>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48CFBAA6"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Costuri acoperite din asistenta externa</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64384B05" w14:textId="77777777" w:rsidR="00636F1B" w:rsidRPr="00CD2ADD" w:rsidRDefault="00636F1B" w:rsidP="006E0F6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5EA2DB0D"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i/>
                <w:iCs/>
                <w:color w:val="000000" w:themeColor="text1"/>
                <w:sz w:val="22"/>
                <w:szCs w:val="22"/>
              </w:rPr>
            </w:pPr>
          </w:p>
        </w:tc>
        <w:tc>
          <w:tcPr>
            <w:tcW w:w="867" w:type="dxa"/>
            <w:vAlign w:val="center"/>
            <w:hideMark/>
          </w:tcPr>
          <w:p w14:paraId="28BA7291"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78" w:type="dxa"/>
            <w:vAlign w:val="center"/>
            <w:hideMark/>
          </w:tcPr>
          <w:p w14:paraId="13C9ED49"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50" w:type="dxa"/>
            <w:vAlign w:val="center"/>
            <w:hideMark/>
          </w:tcPr>
          <w:p w14:paraId="44A0BD5F"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51" w:type="dxa"/>
            <w:vAlign w:val="center"/>
            <w:hideMark/>
          </w:tcPr>
          <w:p w14:paraId="658DB3A9"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792" w:type="dxa"/>
            <w:vAlign w:val="center"/>
            <w:hideMark/>
          </w:tcPr>
          <w:p w14:paraId="0832458C" w14:textId="1D403F22"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6E0F69" w:rsidRPr="00CD2ADD" w14:paraId="22DC9BE4" w14:textId="77777777" w:rsidTr="00537E3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7C1D68B9"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lastRenderedPageBreak/>
              <w:t>Costuri neacoperite</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0F477F9D"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44F76DFF" w14:textId="44C2BAD1"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67" w:type="dxa"/>
            <w:vAlign w:val="center"/>
            <w:hideMark/>
          </w:tcPr>
          <w:p w14:paraId="63439FCF" w14:textId="7D85B7FE"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78" w:type="dxa"/>
            <w:vAlign w:val="center"/>
            <w:hideMark/>
          </w:tcPr>
          <w:p w14:paraId="3456AFAD" w14:textId="0DF083D6"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50" w:type="dxa"/>
            <w:vAlign w:val="center"/>
            <w:hideMark/>
          </w:tcPr>
          <w:p w14:paraId="7C9E53C4" w14:textId="5EFE6642"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51" w:type="dxa"/>
            <w:vAlign w:val="center"/>
            <w:hideMark/>
          </w:tcPr>
          <w:p w14:paraId="610070D3" w14:textId="60A5D0AF"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792" w:type="dxa"/>
            <w:vAlign w:val="center"/>
            <w:hideMark/>
          </w:tcPr>
          <w:p w14:paraId="68F53AC6" w14:textId="5443BA31"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6E0F69" w:rsidRPr="00CD2ADD" w14:paraId="18615604" w14:textId="77777777" w:rsidTr="00537E3E">
        <w:trPr>
          <w:trHeight w:val="1214"/>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04554B21" w14:textId="77777777" w:rsidR="00636F1B" w:rsidRPr="00CD2ADD" w:rsidRDefault="00636F1B" w:rsidP="006E0F69">
            <w:pPr>
              <w:rPr>
                <w:color w:val="000000" w:themeColor="text1"/>
                <w:sz w:val="22"/>
                <w:szCs w:val="22"/>
              </w:rPr>
            </w:pPr>
            <w:r w:rsidRPr="00CD2ADD">
              <w:rPr>
                <w:color w:val="000000" w:themeColor="text1"/>
                <w:sz w:val="22"/>
                <w:szCs w:val="22"/>
              </w:rPr>
              <w:t>Obiectiv specific 3.3: Până în 2030, practicile agricole și silvo-pastorale sustenabile sunt extinse pentru reducerea vulnerabilității terenurilor la riscuri naturale, biologico-sociale și la consolidarea adaptării în sectorul agricol.</w:t>
            </w:r>
          </w:p>
        </w:tc>
        <w:tc>
          <w:tcPr>
            <w:tcW w:w="1814" w:type="dxa"/>
            <w:vMerge w:val="restart"/>
            <w:tcBorders>
              <w:top w:val="single" w:sz="4" w:space="0" w:color="666666" w:themeColor="text1" w:themeTint="99"/>
              <w:left w:val="single" w:sz="4" w:space="0" w:color="auto"/>
              <w:bottom w:val="single" w:sz="4" w:space="0" w:color="auto"/>
              <w:right w:val="single" w:sz="4" w:space="0" w:color="auto"/>
            </w:tcBorders>
            <w:vAlign w:val="center"/>
            <w:hideMark/>
          </w:tcPr>
          <w:p w14:paraId="572FE789" w14:textId="77777777" w:rsidR="00636F1B" w:rsidRPr="00CD2ADD" w:rsidRDefault="00636F1B" w:rsidP="006E0F6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5101</w:t>
            </w:r>
            <w:r w:rsidRPr="00CD2ADD">
              <w:rPr>
                <w:color w:val="000000" w:themeColor="text1"/>
                <w:sz w:val="22"/>
                <w:szCs w:val="22"/>
              </w:rPr>
              <w:br/>
              <w:t>6903</w:t>
            </w:r>
          </w:p>
        </w:tc>
        <w:tc>
          <w:tcPr>
            <w:tcW w:w="1067" w:type="dxa"/>
            <w:tcBorders>
              <w:left w:val="single" w:sz="4" w:space="0" w:color="auto"/>
            </w:tcBorders>
            <w:vAlign w:val="center"/>
            <w:hideMark/>
          </w:tcPr>
          <w:p w14:paraId="63D25599" w14:textId="3578BFAB" w:rsidR="00636F1B" w:rsidRPr="00CD2ADD" w:rsidRDefault="001347BC" w:rsidP="008026BF">
            <w:pP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CD2ADD">
              <w:rPr>
                <w:b/>
                <w:bCs/>
                <w:color w:val="000000" w:themeColor="text1"/>
                <w:sz w:val="22"/>
                <w:szCs w:val="22"/>
              </w:rPr>
              <w:t>800</w:t>
            </w:r>
          </w:p>
        </w:tc>
        <w:tc>
          <w:tcPr>
            <w:tcW w:w="867" w:type="dxa"/>
            <w:noWrap/>
            <w:vAlign w:val="center"/>
            <w:hideMark/>
          </w:tcPr>
          <w:p w14:paraId="172ABED4" w14:textId="047734E4" w:rsidR="00636F1B" w:rsidRPr="00CD2ADD" w:rsidRDefault="001347BC"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300</w:t>
            </w:r>
          </w:p>
        </w:tc>
        <w:tc>
          <w:tcPr>
            <w:tcW w:w="878" w:type="dxa"/>
            <w:vAlign w:val="center"/>
            <w:hideMark/>
          </w:tcPr>
          <w:p w14:paraId="5DE7823C" w14:textId="5860F6D5" w:rsidR="00636F1B" w:rsidRPr="00CD2ADD" w:rsidRDefault="001347BC"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300</w:t>
            </w:r>
          </w:p>
        </w:tc>
        <w:tc>
          <w:tcPr>
            <w:tcW w:w="850" w:type="dxa"/>
            <w:vAlign w:val="center"/>
            <w:hideMark/>
          </w:tcPr>
          <w:p w14:paraId="157C32FB" w14:textId="06C83DD6" w:rsidR="00636F1B" w:rsidRPr="00CD2ADD" w:rsidRDefault="001347BC"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200</w:t>
            </w:r>
          </w:p>
        </w:tc>
        <w:tc>
          <w:tcPr>
            <w:tcW w:w="851" w:type="dxa"/>
            <w:noWrap/>
            <w:vAlign w:val="center"/>
            <w:hideMark/>
          </w:tcPr>
          <w:p w14:paraId="58BC9256" w14:textId="12A0E818"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792" w:type="dxa"/>
            <w:noWrap/>
            <w:vAlign w:val="center"/>
            <w:hideMark/>
          </w:tcPr>
          <w:p w14:paraId="5546CE33" w14:textId="41F4AC2C"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6E0F69" w:rsidRPr="00CD2ADD" w14:paraId="492FA8C6" w14:textId="77777777" w:rsidTr="00537E3E">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692DA8F9"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 xml:space="preserve">Costuri acoperite din bugetul de stat </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17B84A47"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140635E6" w14:textId="4EB38965"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400</w:t>
            </w:r>
          </w:p>
        </w:tc>
        <w:tc>
          <w:tcPr>
            <w:tcW w:w="867" w:type="dxa"/>
            <w:noWrap/>
            <w:vAlign w:val="center"/>
            <w:hideMark/>
          </w:tcPr>
          <w:p w14:paraId="4D4E838F" w14:textId="232583BB" w:rsidR="00636F1B" w:rsidRPr="00CD2ADD" w:rsidRDefault="001347BC"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200</w:t>
            </w:r>
          </w:p>
        </w:tc>
        <w:tc>
          <w:tcPr>
            <w:tcW w:w="878" w:type="dxa"/>
            <w:vAlign w:val="center"/>
            <w:hideMark/>
          </w:tcPr>
          <w:p w14:paraId="5819D7F8" w14:textId="59E26FB8" w:rsidR="00636F1B" w:rsidRPr="00CD2ADD" w:rsidRDefault="001347BC"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200</w:t>
            </w:r>
          </w:p>
        </w:tc>
        <w:tc>
          <w:tcPr>
            <w:tcW w:w="850" w:type="dxa"/>
            <w:vAlign w:val="center"/>
            <w:hideMark/>
          </w:tcPr>
          <w:p w14:paraId="727F28D2" w14:textId="6AFAA57A"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51" w:type="dxa"/>
            <w:noWrap/>
            <w:vAlign w:val="center"/>
            <w:hideMark/>
          </w:tcPr>
          <w:p w14:paraId="134DF76E"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792" w:type="dxa"/>
            <w:noWrap/>
            <w:vAlign w:val="center"/>
            <w:hideMark/>
          </w:tcPr>
          <w:p w14:paraId="3119E33F" w14:textId="2B59AAB8"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6E0F69" w:rsidRPr="00CD2ADD" w14:paraId="2C57B264" w14:textId="77777777" w:rsidTr="00537E3E">
        <w:trPr>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446A994F"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Costuri acoperite din asistenta externa</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48883C52" w14:textId="77777777" w:rsidR="00636F1B" w:rsidRPr="00CD2ADD" w:rsidRDefault="00636F1B" w:rsidP="006E0F6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2D7F00B7" w14:textId="1D25B578" w:rsidR="00636F1B" w:rsidRPr="00CD2ADD" w:rsidRDefault="001347BC" w:rsidP="008026BF">
            <w:pPr>
              <w:cnfStyle w:val="000000000000" w:firstRow="0" w:lastRow="0" w:firstColumn="0" w:lastColumn="0" w:oddVBand="0" w:evenVBand="0" w:oddHBand="0" w:evenHBand="0" w:firstRowFirstColumn="0" w:firstRowLastColumn="0" w:lastRowFirstColumn="0" w:lastRowLastColumn="0"/>
              <w:rPr>
                <w:i/>
                <w:iCs/>
                <w:color w:val="000000" w:themeColor="text1"/>
                <w:sz w:val="22"/>
                <w:szCs w:val="22"/>
              </w:rPr>
            </w:pPr>
            <w:r w:rsidRPr="00CD2ADD">
              <w:rPr>
                <w:i/>
                <w:iCs/>
                <w:color w:val="000000" w:themeColor="text1"/>
                <w:sz w:val="22"/>
                <w:szCs w:val="22"/>
              </w:rPr>
              <w:t>400</w:t>
            </w:r>
          </w:p>
        </w:tc>
        <w:tc>
          <w:tcPr>
            <w:tcW w:w="867" w:type="dxa"/>
            <w:vAlign w:val="center"/>
            <w:hideMark/>
          </w:tcPr>
          <w:p w14:paraId="7C4B27AC" w14:textId="2A8555DF" w:rsidR="00636F1B" w:rsidRPr="00CD2ADD" w:rsidRDefault="001347BC"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100</w:t>
            </w:r>
          </w:p>
        </w:tc>
        <w:tc>
          <w:tcPr>
            <w:tcW w:w="878" w:type="dxa"/>
            <w:vAlign w:val="center"/>
            <w:hideMark/>
          </w:tcPr>
          <w:p w14:paraId="6A3DDE5A" w14:textId="5607ECA6" w:rsidR="00636F1B" w:rsidRPr="00CD2ADD" w:rsidRDefault="001347BC"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100</w:t>
            </w:r>
          </w:p>
        </w:tc>
        <w:tc>
          <w:tcPr>
            <w:tcW w:w="850" w:type="dxa"/>
            <w:vAlign w:val="center"/>
            <w:hideMark/>
          </w:tcPr>
          <w:p w14:paraId="6288200C" w14:textId="03993003" w:rsidR="00636F1B" w:rsidRPr="00CD2ADD" w:rsidRDefault="001347BC"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200</w:t>
            </w:r>
          </w:p>
        </w:tc>
        <w:tc>
          <w:tcPr>
            <w:tcW w:w="851" w:type="dxa"/>
            <w:vAlign w:val="center"/>
            <w:hideMark/>
          </w:tcPr>
          <w:p w14:paraId="1B426825"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792" w:type="dxa"/>
            <w:vAlign w:val="center"/>
            <w:hideMark/>
          </w:tcPr>
          <w:p w14:paraId="5DA2099D" w14:textId="29F71AD4"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6E0F69" w:rsidRPr="00CD2ADD" w14:paraId="74CFF959" w14:textId="77777777" w:rsidTr="00537E3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3B635E73"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Costuri neacoperite</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6E2B3D7D"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0BE2CAD7" w14:textId="07CD0385"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67" w:type="dxa"/>
            <w:vAlign w:val="center"/>
            <w:hideMark/>
          </w:tcPr>
          <w:p w14:paraId="168C5946" w14:textId="5F0CCA40"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78" w:type="dxa"/>
            <w:vAlign w:val="center"/>
            <w:hideMark/>
          </w:tcPr>
          <w:p w14:paraId="21498AA1" w14:textId="08B7D74A"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50" w:type="dxa"/>
            <w:vAlign w:val="center"/>
            <w:hideMark/>
          </w:tcPr>
          <w:p w14:paraId="1D57FECF" w14:textId="0FCAE3CA"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51" w:type="dxa"/>
            <w:vAlign w:val="center"/>
            <w:hideMark/>
          </w:tcPr>
          <w:p w14:paraId="53D70724" w14:textId="75916ECE"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792" w:type="dxa"/>
            <w:vAlign w:val="center"/>
            <w:hideMark/>
          </w:tcPr>
          <w:p w14:paraId="7B39D5E7" w14:textId="6754DE6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6E0F69" w:rsidRPr="00CD2ADD" w14:paraId="1E6A46BA" w14:textId="77777777" w:rsidTr="00537E3E">
        <w:trPr>
          <w:trHeight w:val="653"/>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699DC40A" w14:textId="77777777" w:rsidR="00636F1B" w:rsidRPr="00CD2ADD" w:rsidRDefault="00636F1B" w:rsidP="006E0F69">
            <w:pPr>
              <w:rPr>
                <w:color w:val="000000" w:themeColor="text1"/>
                <w:sz w:val="22"/>
                <w:szCs w:val="22"/>
              </w:rPr>
            </w:pPr>
            <w:r w:rsidRPr="00CD2ADD">
              <w:rPr>
                <w:color w:val="000000" w:themeColor="text1"/>
                <w:sz w:val="22"/>
                <w:szCs w:val="22"/>
              </w:rPr>
              <w:t>Obiectivul Specific 4.1: Consolidarea anticipării, avertizării timpurii și a răspunsului rapid la dezastre naturale și biologico-sociale</w:t>
            </w:r>
          </w:p>
        </w:tc>
        <w:tc>
          <w:tcPr>
            <w:tcW w:w="1814" w:type="dxa"/>
            <w:vMerge w:val="restart"/>
            <w:tcBorders>
              <w:top w:val="single" w:sz="4" w:space="0" w:color="666666" w:themeColor="text1" w:themeTint="99"/>
              <w:left w:val="single" w:sz="4" w:space="0" w:color="auto"/>
              <w:bottom w:val="single" w:sz="4" w:space="0" w:color="auto"/>
              <w:right w:val="single" w:sz="4" w:space="0" w:color="auto"/>
            </w:tcBorders>
            <w:vAlign w:val="center"/>
            <w:hideMark/>
          </w:tcPr>
          <w:p w14:paraId="6476A572" w14:textId="77777777" w:rsidR="00636F1B" w:rsidRPr="00CD2ADD" w:rsidRDefault="00636F1B" w:rsidP="006E0F6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5101</w:t>
            </w:r>
            <w:r w:rsidRPr="00CD2ADD">
              <w:rPr>
                <w:color w:val="000000" w:themeColor="text1"/>
                <w:sz w:val="22"/>
                <w:szCs w:val="22"/>
              </w:rPr>
              <w:br/>
              <w:t>6903</w:t>
            </w:r>
          </w:p>
        </w:tc>
        <w:tc>
          <w:tcPr>
            <w:tcW w:w="1067" w:type="dxa"/>
            <w:tcBorders>
              <w:left w:val="single" w:sz="4" w:space="0" w:color="auto"/>
            </w:tcBorders>
            <w:vAlign w:val="center"/>
            <w:hideMark/>
          </w:tcPr>
          <w:p w14:paraId="36B6033F" w14:textId="158FE810"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CD2ADD">
              <w:rPr>
                <w:b/>
                <w:bCs/>
                <w:color w:val="000000" w:themeColor="text1"/>
                <w:sz w:val="22"/>
                <w:szCs w:val="22"/>
              </w:rPr>
              <w:t>108,089</w:t>
            </w:r>
          </w:p>
        </w:tc>
        <w:tc>
          <w:tcPr>
            <w:tcW w:w="867" w:type="dxa"/>
            <w:vAlign w:val="center"/>
            <w:hideMark/>
          </w:tcPr>
          <w:p w14:paraId="7FA752E3" w14:textId="079197D7" w:rsidR="00636F1B" w:rsidRPr="00CD2ADD" w:rsidRDefault="00F03CB2"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71,305</w:t>
            </w:r>
          </w:p>
        </w:tc>
        <w:tc>
          <w:tcPr>
            <w:tcW w:w="878" w:type="dxa"/>
            <w:noWrap/>
            <w:vAlign w:val="center"/>
            <w:hideMark/>
          </w:tcPr>
          <w:p w14:paraId="5123C7D9" w14:textId="6D640CE7" w:rsidR="00636F1B" w:rsidRPr="00CD2ADD" w:rsidRDefault="00F03CB2"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31,714</w:t>
            </w:r>
          </w:p>
        </w:tc>
        <w:tc>
          <w:tcPr>
            <w:tcW w:w="850" w:type="dxa"/>
            <w:noWrap/>
            <w:vAlign w:val="center"/>
            <w:hideMark/>
          </w:tcPr>
          <w:p w14:paraId="64B6B38F" w14:textId="1841CE7C"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2,996</w:t>
            </w:r>
          </w:p>
        </w:tc>
        <w:tc>
          <w:tcPr>
            <w:tcW w:w="851" w:type="dxa"/>
            <w:noWrap/>
            <w:vAlign w:val="center"/>
            <w:hideMark/>
          </w:tcPr>
          <w:p w14:paraId="50136C16" w14:textId="6FD74ADB"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1,990</w:t>
            </w:r>
          </w:p>
        </w:tc>
        <w:tc>
          <w:tcPr>
            <w:tcW w:w="792" w:type="dxa"/>
            <w:vAlign w:val="center"/>
            <w:hideMark/>
          </w:tcPr>
          <w:p w14:paraId="14265A7E" w14:textId="3AB4A8BC"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84</w:t>
            </w:r>
          </w:p>
        </w:tc>
      </w:tr>
      <w:tr w:rsidR="006E0F69" w:rsidRPr="00CD2ADD" w14:paraId="5D3807E8" w14:textId="77777777" w:rsidTr="00537E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6E2814D3"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 xml:space="preserve">Costuri acoperite din bugetul de stat </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12B3D8E4"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18946E95"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i/>
                <w:iCs/>
                <w:color w:val="000000" w:themeColor="text1"/>
                <w:sz w:val="22"/>
                <w:szCs w:val="22"/>
              </w:rPr>
            </w:pPr>
          </w:p>
        </w:tc>
        <w:tc>
          <w:tcPr>
            <w:tcW w:w="867" w:type="dxa"/>
            <w:noWrap/>
            <w:vAlign w:val="center"/>
            <w:hideMark/>
          </w:tcPr>
          <w:p w14:paraId="1163161C"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78" w:type="dxa"/>
            <w:noWrap/>
            <w:vAlign w:val="center"/>
            <w:hideMark/>
          </w:tcPr>
          <w:p w14:paraId="2153EAB1"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50" w:type="dxa"/>
            <w:noWrap/>
            <w:vAlign w:val="center"/>
            <w:hideMark/>
          </w:tcPr>
          <w:p w14:paraId="2B5F5CD2"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51" w:type="dxa"/>
            <w:noWrap/>
            <w:vAlign w:val="center"/>
            <w:hideMark/>
          </w:tcPr>
          <w:p w14:paraId="0478B9F0"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792" w:type="dxa"/>
            <w:noWrap/>
            <w:vAlign w:val="center"/>
            <w:hideMark/>
          </w:tcPr>
          <w:p w14:paraId="2681D0E7" w14:textId="3FBA08AB"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6E0F69" w:rsidRPr="00CD2ADD" w14:paraId="1E43BEB9" w14:textId="77777777" w:rsidTr="00537E3E">
        <w:trPr>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49942EE4"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Costuri acoperite din asistenta externa</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54D7B1F9" w14:textId="77777777" w:rsidR="00636F1B" w:rsidRPr="00CD2ADD" w:rsidRDefault="00636F1B" w:rsidP="006E0F6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71D392CB" w14:textId="04624B5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94,644</w:t>
            </w:r>
          </w:p>
        </w:tc>
        <w:tc>
          <w:tcPr>
            <w:tcW w:w="867" w:type="dxa"/>
            <w:vAlign w:val="center"/>
            <w:hideMark/>
          </w:tcPr>
          <w:p w14:paraId="5CB360D1" w14:textId="3CEC8456"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66,860</w:t>
            </w:r>
          </w:p>
        </w:tc>
        <w:tc>
          <w:tcPr>
            <w:tcW w:w="878" w:type="dxa"/>
            <w:vAlign w:val="center"/>
            <w:hideMark/>
          </w:tcPr>
          <w:p w14:paraId="6896217E" w14:textId="33BF0E64"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22,714</w:t>
            </w:r>
          </w:p>
        </w:tc>
        <w:tc>
          <w:tcPr>
            <w:tcW w:w="850" w:type="dxa"/>
            <w:vAlign w:val="center"/>
            <w:hideMark/>
          </w:tcPr>
          <w:p w14:paraId="628FCA5E" w14:textId="32A8A932"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2,996</w:t>
            </w:r>
          </w:p>
        </w:tc>
        <w:tc>
          <w:tcPr>
            <w:tcW w:w="851" w:type="dxa"/>
            <w:vAlign w:val="center"/>
            <w:hideMark/>
          </w:tcPr>
          <w:p w14:paraId="4153720F" w14:textId="5781EEBE"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1,990</w:t>
            </w:r>
          </w:p>
        </w:tc>
        <w:tc>
          <w:tcPr>
            <w:tcW w:w="792" w:type="dxa"/>
            <w:vAlign w:val="center"/>
            <w:hideMark/>
          </w:tcPr>
          <w:p w14:paraId="394B713B" w14:textId="513E7F20"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84</w:t>
            </w:r>
          </w:p>
        </w:tc>
      </w:tr>
      <w:tr w:rsidR="006E0F69" w:rsidRPr="00CD2ADD" w14:paraId="6B1B0199" w14:textId="77777777" w:rsidTr="00537E3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27F89454"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Costuri neacoperite</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065F1B2F"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09A28430" w14:textId="3FF0F6D9"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13,445</w:t>
            </w:r>
          </w:p>
        </w:tc>
        <w:tc>
          <w:tcPr>
            <w:tcW w:w="867" w:type="dxa"/>
            <w:vAlign w:val="center"/>
            <w:hideMark/>
          </w:tcPr>
          <w:p w14:paraId="3AB5DC10" w14:textId="5A7063A3"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4,445</w:t>
            </w:r>
          </w:p>
        </w:tc>
        <w:tc>
          <w:tcPr>
            <w:tcW w:w="878" w:type="dxa"/>
            <w:vAlign w:val="center"/>
            <w:hideMark/>
          </w:tcPr>
          <w:p w14:paraId="6DC8153F" w14:textId="5BAE8BC5"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9,000</w:t>
            </w:r>
          </w:p>
        </w:tc>
        <w:tc>
          <w:tcPr>
            <w:tcW w:w="850" w:type="dxa"/>
            <w:vAlign w:val="center"/>
            <w:hideMark/>
          </w:tcPr>
          <w:p w14:paraId="2FE3FE02" w14:textId="5234E898"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51" w:type="dxa"/>
            <w:vAlign w:val="center"/>
            <w:hideMark/>
          </w:tcPr>
          <w:p w14:paraId="589470C3" w14:textId="52CBFBDD"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792" w:type="dxa"/>
            <w:vAlign w:val="center"/>
            <w:hideMark/>
          </w:tcPr>
          <w:p w14:paraId="51B6C11B" w14:textId="768A35A8"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6E0F69" w:rsidRPr="00CD2ADD" w14:paraId="1D7E0C8B" w14:textId="77777777" w:rsidTr="00537E3E">
        <w:trPr>
          <w:trHeight w:val="1249"/>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06192DCA" w14:textId="77777777" w:rsidR="00636F1B" w:rsidRPr="00CD2ADD" w:rsidRDefault="00636F1B" w:rsidP="006E0F69">
            <w:pPr>
              <w:rPr>
                <w:color w:val="000000" w:themeColor="text1"/>
                <w:sz w:val="22"/>
                <w:szCs w:val="22"/>
              </w:rPr>
            </w:pPr>
            <w:r w:rsidRPr="00CD2ADD">
              <w:rPr>
                <w:color w:val="000000" w:themeColor="text1"/>
                <w:sz w:val="22"/>
                <w:szCs w:val="22"/>
              </w:rPr>
              <w:t>Obiectivul Specific 4.2: Până în 2030, sunt consolidate pregătirea tehnică și capacitatea sectorului de mediu de a gestiona consecințele dezastrelor naturale și biologico-sociale, asigurând o restabilire eficientă și durabilă a ecosistemelor și infrastructurii afectate.</w:t>
            </w:r>
          </w:p>
        </w:tc>
        <w:tc>
          <w:tcPr>
            <w:tcW w:w="1814" w:type="dxa"/>
            <w:vMerge w:val="restart"/>
            <w:tcBorders>
              <w:top w:val="single" w:sz="4" w:space="0" w:color="666666" w:themeColor="text1" w:themeTint="99"/>
              <w:left w:val="single" w:sz="4" w:space="0" w:color="auto"/>
              <w:bottom w:val="single" w:sz="4" w:space="0" w:color="auto"/>
              <w:right w:val="single" w:sz="4" w:space="0" w:color="auto"/>
            </w:tcBorders>
            <w:vAlign w:val="center"/>
            <w:hideMark/>
          </w:tcPr>
          <w:p w14:paraId="0EFE64BE" w14:textId="77777777" w:rsidR="00636F1B" w:rsidRPr="00CD2ADD" w:rsidRDefault="00636F1B" w:rsidP="006E0F6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5101</w:t>
            </w:r>
            <w:r w:rsidRPr="00CD2ADD">
              <w:rPr>
                <w:color w:val="000000" w:themeColor="text1"/>
                <w:sz w:val="22"/>
                <w:szCs w:val="22"/>
              </w:rPr>
              <w:br/>
              <w:t>5401</w:t>
            </w:r>
            <w:r w:rsidRPr="00CD2ADD">
              <w:rPr>
                <w:color w:val="000000" w:themeColor="text1"/>
                <w:sz w:val="22"/>
                <w:szCs w:val="22"/>
              </w:rPr>
              <w:br/>
              <w:t>7001</w:t>
            </w:r>
            <w:r w:rsidRPr="00CD2ADD">
              <w:rPr>
                <w:color w:val="000000" w:themeColor="text1"/>
                <w:sz w:val="22"/>
                <w:szCs w:val="22"/>
              </w:rPr>
              <w:br/>
              <w:t>8001</w:t>
            </w:r>
          </w:p>
        </w:tc>
        <w:tc>
          <w:tcPr>
            <w:tcW w:w="1067" w:type="dxa"/>
            <w:tcBorders>
              <w:left w:val="single" w:sz="4" w:space="0" w:color="auto"/>
            </w:tcBorders>
            <w:vAlign w:val="center"/>
            <w:hideMark/>
          </w:tcPr>
          <w:p w14:paraId="506B9601" w14:textId="496C23CA"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CD2ADD">
              <w:rPr>
                <w:b/>
                <w:bCs/>
                <w:color w:val="000000" w:themeColor="text1"/>
                <w:sz w:val="22"/>
                <w:szCs w:val="22"/>
              </w:rPr>
              <w:t>1,700</w:t>
            </w:r>
          </w:p>
        </w:tc>
        <w:tc>
          <w:tcPr>
            <w:tcW w:w="867" w:type="dxa"/>
            <w:noWrap/>
            <w:vAlign w:val="center"/>
            <w:hideMark/>
          </w:tcPr>
          <w:p w14:paraId="4A667B0E" w14:textId="76BF5568"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450</w:t>
            </w:r>
          </w:p>
        </w:tc>
        <w:tc>
          <w:tcPr>
            <w:tcW w:w="878" w:type="dxa"/>
            <w:vAlign w:val="center"/>
            <w:hideMark/>
          </w:tcPr>
          <w:p w14:paraId="588BA7FE" w14:textId="1874785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450</w:t>
            </w:r>
          </w:p>
        </w:tc>
        <w:tc>
          <w:tcPr>
            <w:tcW w:w="850" w:type="dxa"/>
            <w:vAlign w:val="center"/>
            <w:hideMark/>
          </w:tcPr>
          <w:p w14:paraId="00B8A84C" w14:textId="7C768453"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800</w:t>
            </w:r>
          </w:p>
        </w:tc>
        <w:tc>
          <w:tcPr>
            <w:tcW w:w="851" w:type="dxa"/>
            <w:noWrap/>
            <w:vAlign w:val="center"/>
            <w:hideMark/>
          </w:tcPr>
          <w:p w14:paraId="471D2A19" w14:textId="69BF638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792" w:type="dxa"/>
            <w:noWrap/>
            <w:vAlign w:val="center"/>
            <w:hideMark/>
          </w:tcPr>
          <w:p w14:paraId="44E4EDA8" w14:textId="6E5A2A2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6E0F69" w:rsidRPr="00CD2ADD" w14:paraId="40F139E8" w14:textId="77777777" w:rsidTr="00537E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07B3E10E"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 xml:space="preserve">Costuri acoperite din bugetul de stat </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1ACD7E2D"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586E3EA4" w14:textId="440AD74C"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1,250</w:t>
            </w:r>
          </w:p>
        </w:tc>
        <w:tc>
          <w:tcPr>
            <w:tcW w:w="867" w:type="dxa"/>
            <w:noWrap/>
            <w:vAlign w:val="center"/>
            <w:hideMark/>
          </w:tcPr>
          <w:p w14:paraId="1865FF8F" w14:textId="6240A50F"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300</w:t>
            </w:r>
          </w:p>
        </w:tc>
        <w:tc>
          <w:tcPr>
            <w:tcW w:w="878" w:type="dxa"/>
            <w:noWrap/>
            <w:vAlign w:val="center"/>
            <w:hideMark/>
          </w:tcPr>
          <w:p w14:paraId="1C09CC98" w14:textId="2AB39E54"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300</w:t>
            </w:r>
          </w:p>
        </w:tc>
        <w:tc>
          <w:tcPr>
            <w:tcW w:w="850" w:type="dxa"/>
            <w:noWrap/>
            <w:vAlign w:val="center"/>
            <w:hideMark/>
          </w:tcPr>
          <w:p w14:paraId="3EFAAD2C" w14:textId="3A556464"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650</w:t>
            </w:r>
          </w:p>
        </w:tc>
        <w:tc>
          <w:tcPr>
            <w:tcW w:w="851" w:type="dxa"/>
            <w:noWrap/>
            <w:vAlign w:val="center"/>
            <w:hideMark/>
          </w:tcPr>
          <w:p w14:paraId="31D2558A"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792" w:type="dxa"/>
            <w:noWrap/>
            <w:vAlign w:val="center"/>
            <w:hideMark/>
          </w:tcPr>
          <w:p w14:paraId="6D285FD4" w14:textId="78F9334E"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6E0F69" w:rsidRPr="00CD2ADD" w14:paraId="7684456E" w14:textId="77777777" w:rsidTr="00537E3E">
        <w:trPr>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014756B9"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Costuri acoperite din asistenta externa</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28D697BA" w14:textId="77777777" w:rsidR="00636F1B" w:rsidRPr="00CD2ADD" w:rsidRDefault="00636F1B" w:rsidP="006E0F6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4B878DF7"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i/>
                <w:iCs/>
                <w:color w:val="000000" w:themeColor="text1"/>
                <w:sz w:val="22"/>
                <w:szCs w:val="22"/>
              </w:rPr>
            </w:pPr>
          </w:p>
        </w:tc>
        <w:tc>
          <w:tcPr>
            <w:tcW w:w="867" w:type="dxa"/>
            <w:vAlign w:val="center"/>
            <w:hideMark/>
          </w:tcPr>
          <w:p w14:paraId="2A5E2871"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78" w:type="dxa"/>
            <w:vAlign w:val="center"/>
            <w:hideMark/>
          </w:tcPr>
          <w:p w14:paraId="794241D3"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50" w:type="dxa"/>
            <w:vAlign w:val="center"/>
            <w:hideMark/>
          </w:tcPr>
          <w:p w14:paraId="7DE4467E"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51" w:type="dxa"/>
            <w:vAlign w:val="center"/>
            <w:hideMark/>
          </w:tcPr>
          <w:p w14:paraId="39713FF1"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792" w:type="dxa"/>
            <w:vAlign w:val="center"/>
            <w:hideMark/>
          </w:tcPr>
          <w:p w14:paraId="48AED73E" w14:textId="0B323585"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6E0F69" w:rsidRPr="00CD2ADD" w14:paraId="1FD97301" w14:textId="77777777" w:rsidTr="00537E3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4B6879FB"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Costuri neacoperite</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021C771E"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191260B7" w14:textId="33CBDF2E"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450</w:t>
            </w:r>
          </w:p>
        </w:tc>
        <w:tc>
          <w:tcPr>
            <w:tcW w:w="867" w:type="dxa"/>
            <w:vAlign w:val="center"/>
            <w:hideMark/>
          </w:tcPr>
          <w:p w14:paraId="71150367" w14:textId="6BF57566"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150</w:t>
            </w:r>
          </w:p>
        </w:tc>
        <w:tc>
          <w:tcPr>
            <w:tcW w:w="878" w:type="dxa"/>
            <w:vAlign w:val="center"/>
            <w:hideMark/>
          </w:tcPr>
          <w:p w14:paraId="4E307CBB" w14:textId="685C50A0"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150</w:t>
            </w:r>
          </w:p>
        </w:tc>
        <w:tc>
          <w:tcPr>
            <w:tcW w:w="850" w:type="dxa"/>
            <w:vAlign w:val="center"/>
            <w:hideMark/>
          </w:tcPr>
          <w:p w14:paraId="352DE495" w14:textId="38F04F90"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150</w:t>
            </w:r>
          </w:p>
        </w:tc>
        <w:tc>
          <w:tcPr>
            <w:tcW w:w="851" w:type="dxa"/>
            <w:vAlign w:val="center"/>
            <w:hideMark/>
          </w:tcPr>
          <w:p w14:paraId="3CA6E904" w14:textId="7629226C"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792" w:type="dxa"/>
            <w:vAlign w:val="center"/>
            <w:hideMark/>
          </w:tcPr>
          <w:p w14:paraId="6A4623D4" w14:textId="231A84A5"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6E0F69" w:rsidRPr="00CD2ADD" w14:paraId="11077DDB" w14:textId="77777777" w:rsidTr="00537E3E">
        <w:trPr>
          <w:trHeight w:val="718"/>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741DB1EB" w14:textId="77777777" w:rsidR="00636F1B" w:rsidRPr="00CD2ADD" w:rsidRDefault="00636F1B" w:rsidP="006E0F69">
            <w:pPr>
              <w:rPr>
                <w:color w:val="000000" w:themeColor="text1"/>
                <w:sz w:val="22"/>
                <w:szCs w:val="22"/>
              </w:rPr>
            </w:pPr>
            <w:r w:rsidRPr="00CD2ADD">
              <w:rPr>
                <w:color w:val="000000" w:themeColor="text1"/>
                <w:sz w:val="22"/>
                <w:szCs w:val="22"/>
              </w:rPr>
              <w:t>Obiectivul Specific 5.1: Mobilizarea resurselor externe și accesul la fonduri internaționale pentru prevenire RRD  și adaptare</w:t>
            </w:r>
          </w:p>
        </w:tc>
        <w:tc>
          <w:tcPr>
            <w:tcW w:w="1814" w:type="dxa"/>
            <w:vMerge w:val="restart"/>
            <w:tcBorders>
              <w:top w:val="single" w:sz="4" w:space="0" w:color="666666" w:themeColor="text1" w:themeTint="99"/>
              <w:left w:val="single" w:sz="4" w:space="0" w:color="auto"/>
              <w:bottom w:val="single" w:sz="4" w:space="0" w:color="auto"/>
              <w:right w:val="single" w:sz="4" w:space="0" w:color="auto"/>
            </w:tcBorders>
            <w:vAlign w:val="center"/>
            <w:hideMark/>
          </w:tcPr>
          <w:p w14:paraId="323F8C4B" w14:textId="77777777" w:rsidR="00636F1B" w:rsidRPr="00CD2ADD" w:rsidRDefault="00636F1B" w:rsidP="006E0F6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7011</w:t>
            </w:r>
          </w:p>
        </w:tc>
        <w:tc>
          <w:tcPr>
            <w:tcW w:w="1067" w:type="dxa"/>
            <w:tcBorders>
              <w:left w:val="single" w:sz="4" w:space="0" w:color="auto"/>
            </w:tcBorders>
            <w:vAlign w:val="center"/>
            <w:hideMark/>
          </w:tcPr>
          <w:p w14:paraId="4AF5DFE7"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CD2ADD">
              <w:rPr>
                <w:b/>
                <w:bCs/>
                <w:color w:val="000000" w:themeColor="text1"/>
                <w:sz w:val="22"/>
                <w:szCs w:val="22"/>
              </w:rPr>
              <w:t>700</w:t>
            </w:r>
          </w:p>
        </w:tc>
        <w:tc>
          <w:tcPr>
            <w:tcW w:w="867" w:type="dxa"/>
            <w:vAlign w:val="center"/>
            <w:hideMark/>
          </w:tcPr>
          <w:p w14:paraId="559B85C5" w14:textId="4B5F67B6"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78" w:type="dxa"/>
            <w:vAlign w:val="center"/>
            <w:hideMark/>
          </w:tcPr>
          <w:p w14:paraId="4A67C323" w14:textId="6393C7B3"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50</w:t>
            </w:r>
          </w:p>
        </w:tc>
        <w:tc>
          <w:tcPr>
            <w:tcW w:w="850" w:type="dxa"/>
            <w:vAlign w:val="center"/>
            <w:hideMark/>
          </w:tcPr>
          <w:p w14:paraId="09B5F720" w14:textId="210B8F0D"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200</w:t>
            </w:r>
          </w:p>
        </w:tc>
        <w:tc>
          <w:tcPr>
            <w:tcW w:w="851" w:type="dxa"/>
            <w:vAlign w:val="center"/>
            <w:hideMark/>
          </w:tcPr>
          <w:p w14:paraId="24D63F33" w14:textId="4AB088AB"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450</w:t>
            </w:r>
          </w:p>
        </w:tc>
        <w:tc>
          <w:tcPr>
            <w:tcW w:w="792" w:type="dxa"/>
            <w:noWrap/>
            <w:vAlign w:val="center"/>
            <w:hideMark/>
          </w:tcPr>
          <w:p w14:paraId="4A434053" w14:textId="7177EDB9"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6E0F69" w:rsidRPr="00CD2ADD" w14:paraId="420E20AF" w14:textId="77777777" w:rsidTr="00537E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6773FBE5"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 xml:space="preserve">Costuri acoperite din bugetul de stat </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67936904"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1D309CB7"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i/>
                <w:iCs/>
                <w:color w:val="000000" w:themeColor="text1"/>
                <w:sz w:val="22"/>
                <w:szCs w:val="22"/>
              </w:rPr>
            </w:pPr>
          </w:p>
        </w:tc>
        <w:tc>
          <w:tcPr>
            <w:tcW w:w="867" w:type="dxa"/>
            <w:noWrap/>
            <w:vAlign w:val="center"/>
            <w:hideMark/>
          </w:tcPr>
          <w:p w14:paraId="6CF8DF49"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78" w:type="dxa"/>
            <w:noWrap/>
            <w:vAlign w:val="center"/>
            <w:hideMark/>
          </w:tcPr>
          <w:p w14:paraId="229AE650"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50" w:type="dxa"/>
            <w:noWrap/>
            <w:vAlign w:val="center"/>
            <w:hideMark/>
          </w:tcPr>
          <w:p w14:paraId="2B824908"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51" w:type="dxa"/>
            <w:noWrap/>
            <w:vAlign w:val="center"/>
            <w:hideMark/>
          </w:tcPr>
          <w:p w14:paraId="403873B3"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792" w:type="dxa"/>
            <w:noWrap/>
            <w:vAlign w:val="center"/>
            <w:hideMark/>
          </w:tcPr>
          <w:p w14:paraId="50BB71EB" w14:textId="20E7B7BD"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6E0F69" w:rsidRPr="00CD2ADD" w14:paraId="21C72D88" w14:textId="77777777" w:rsidTr="00537E3E">
        <w:trPr>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3308AB06"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Costuri acoperite din asistenta externa</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6E95C9A9" w14:textId="77777777" w:rsidR="00636F1B" w:rsidRPr="00CD2ADD" w:rsidRDefault="00636F1B" w:rsidP="006E0F6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0366595A"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i/>
                <w:iCs/>
                <w:color w:val="000000" w:themeColor="text1"/>
                <w:sz w:val="22"/>
                <w:szCs w:val="22"/>
              </w:rPr>
            </w:pPr>
          </w:p>
        </w:tc>
        <w:tc>
          <w:tcPr>
            <w:tcW w:w="867" w:type="dxa"/>
            <w:vAlign w:val="center"/>
            <w:hideMark/>
          </w:tcPr>
          <w:p w14:paraId="087E760A"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78" w:type="dxa"/>
            <w:vAlign w:val="center"/>
            <w:hideMark/>
          </w:tcPr>
          <w:p w14:paraId="768314C7"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50" w:type="dxa"/>
            <w:vAlign w:val="center"/>
            <w:hideMark/>
          </w:tcPr>
          <w:p w14:paraId="1DC10A82"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51" w:type="dxa"/>
            <w:vAlign w:val="center"/>
            <w:hideMark/>
          </w:tcPr>
          <w:p w14:paraId="11BCEC94" w14:textId="77777777"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792" w:type="dxa"/>
            <w:vAlign w:val="center"/>
            <w:hideMark/>
          </w:tcPr>
          <w:p w14:paraId="17CCAAF5" w14:textId="748085EE" w:rsidR="00636F1B" w:rsidRPr="00CD2ADD" w:rsidRDefault="00636F1B" w:rsidP="008026BF">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6E0F69" w:rsidRPr="00CD2ADD" w14:paraId="086B038C" w14:textId="77777777" w:rsidTr="00537E3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712A7A8B" w14:textId="77777777" w:rsidR="00636F1B" w:rsidRPr="00CD2ADD" w:rsidRDefault="00636F1B" w:rsidP="006E0F69">
            <w:pPr>
              <w:rPr>
                <w:b w:val="0"/>
                <w:bCs w:val="0"/>
                <w:i/>
                <w:iCs/>
                <w:color w:val="000000" w:themeColor="text1"/>
                <w:sz w:val="22"/>
                <w:szCs w:val="22"/>
              </w:rPr>
            </w:pPr>
            <w:r w:rsidRPr="00CD2ADD">
              <w:rPr>
                <w:b w:val="0"/>
                <w:bCs w:val="0"/>
                <w:i/>
                <w:iCs/>
                <w:color w:val="000000" w:themeColor="text1"/>
                <w:sz w:val="22"/>
                <w:szCs w:val="22"/>
              </w:rPr>
              <w:t>Costuri neacoperite</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05AC12EC" w14:textId="77777777" w:rsidR="00636F1B" w:rsidRPr="00CD2ADD" w:rsidRDefault="00636F1B" w:rsidP="006E0F69">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355E94EB" w14:textId="7777777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700</w:t>
            </w:r>
          </w:p>
        </w:tc>
        <w:tc>
          <w:tcPr>
            <w:tcW w:w="867" w:type="dxa"/>
            <w:vAlign w:val="center"/>
            <w:hideMark/>
          </w:tcPr>
          <w:p w14:paraId="0883C328" w14:textId="019EE51D"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78" w:type="dxa"/>
            <w:vAlign w:val="center"/>
            <w:hideMark/>
          </w:tcPr>
          <w:p w14:paraId="41E28975" w14:textId="6885E600"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50</w:t>
            </w:r>
          </w:p>
        </w:tc>
        <w:tc>
          <w:tcPr>
            <w:tcW w:w="850" w:type="dxa"/>
            <w:vAlign w:val="center"/>
            <w:hideMark/>
          </w:tcPr>
          <w:p w14:paraId="2AC022A0" w14:textId="61D45D09"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200</w:t>
            </w:r>
          </w:p>
        </w:tc>
        <w:tc>
          <w:tcPr>
            <w:tcW w:w="851" w:type="dxa"/>
            <w:vAlign w:val="center"/>
            <w:hideMark/>
          </w:tcPr>
          <w:p w14:paraId="27FD14CA" w14:textId="0A2B2211"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450</w:t>
            </w:r>
          </w:p>
        </w:tc>
        <w:tc>
          <w:tcPr>
            <w:tcW w:w="792" w:type="dxa"/>
            <w:vAlign w:val="center"/>
            <w:hideMark/>
          </w:tcPr>
          <w:p w14:paraId="331359DB" w14:textId="33C69827" w:rsidR="00636F1B" w:rsidRPr="00CD2ADD" w:rsidRDefault="00636F1B" w:rsidP="008026BF">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AD320A" w:rsidRPr="00CD2ADD" w14:paraId="3B8BA273" w14:textId="77777777" w:rsidTr="00AD320A">
        <w:trPr>
          <w:trHeight w:val="909"/>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0C73D54C" w14:textId="77777777" w:rsidR="00AD320A" w:rsidRPr="00CD2ADD" w:rsidRDefault="00AD320A" w:rsidP="00AD320A">
            <w:pPr>
              <w:rPr>
                <w:color w:val="000000" w:themeColor="text1"/>
                <w:sz w:val="22"/>
                <w:szCs w:val="22"/>
              </w:rPr>
            </w:pPr>
            <w:r w:rsidRPr="00CD2ADD">
              <w:rPr>
                <w:color w:val="000000" w:themeColor="text1"/>
                <w:sz w:val="22"/>
                <w:szCs w:val="22"/>
              </w:rPr>
              <w:t>Obiectivul Specific 5.2: Participarea activă la convențiile internaționale și integrarea riscurilor naturale în raportările și angajamentele Republicii Moldova</w:t>
            </w:r>
          </w:p>
        </w:tc>
        <w:tc>
          <w:tcPr>
            <w:tcW w:w="1814" w:type="dxa"/>
            <w:vMerge w:val="restart"/>
            <w:tcBorders>
              <w:top w:val="single" w:sz="4" w:space="0" w:color="666666" w:themeColor="text1" w:themeTint="99"/>
              <w:left w:val="single" w:sz="4" w:space="0" w:color="auto"/>
              <w:bottom w:val="single" w:sz="4" w:space="0" w:color="auto"/>
              <w:right w:val="single" w:sz="4" w:space="0" w:color="auto"/>
            </w:tcBorders>
            <w:vAlign w:val="center"/>
            <w:hideMark/>
          </w:tcPr>
          <w:p w14:paraId="52CA8A5E" w14:textId="77777777" w:rsidR="00AD320A" w:rsidRPr="00CD2ADD" w:rsidRDefault="00AD320A" w:rsidP="00AD320A">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7011</w:t>
            </w:r>
          </w:p>
        </w:tc>
        <w:tc>
          <w:tcPr>
            <w:tcW w:w="1067" w:type="dxa"/>
            <w:tcBorders>
              <w:left w:val="single" w:sz="4" w:space="0" w:color="auto"/>
            </w:tcBorders>
            <w:vAlign w:val="center"/>
            <w:hideMark/>
          </w:tcPr>
          <w:p w14:paraId="3F2B161C" w14:textId="4A558F24" w:rsidR="00AD320A" w:rsidRPr="00CD2ADD" w:rsidRDefault="00AD320A" w:rsidP="00AD320A">
            <w:pP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CD2ADD">
              <w:rPr>
                <w:b/>
                <w:bCs/>
                <w:color w:val="000000" w:themeColor="text1"/>
                <w:sz w:val="22"/>
                <w:szCs w:val="22"/>
              </w:rPr>
              <w:t>8</w:t>
            </w:r>
            <w:r w:rsidR="005D2569" w:rsidRPr="00CD2ADD">
              <w:rPr>
                <w:b/>
                <w:bCs/>
                <w:color w:val="000000" w:themeColor="text1"/>
                <w:sz w:val="22"/>
                <w:szCs w:val="22"/>
              </w:rPr>
              <w:t>8</w:t>
            </w:r>
            <w:r w:rsidRPr="00CD2ADD">
              <w:rPr>
                <w:b/>
                <w:bCs/>
                <w:color w:val="000000" w:themeColor="text1"/>
                <w:sz w:val="22"/>
                <w:szCs w:val="22"/>
              </w:rPr>
              <w:t>0</w:t>
            </w:r>
          </w:p>
        </w:tc>
        <w:tc>
          <w:tcPr>
            <w:tcW w:w="867" w:type="dxa"/>
            <w:vAlign w:val="center"/>
            <w:hideMark/>
          </w:tcPr>
          <w:p w14:paraId="72FC0177" w14:textId="1877B782" w:rsidR="00AD320A" w:rsidRPr="00CD2ADD" w:rsidRDefault="00AD320A"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78" w:type="dxa"/>
            <w:vAlign w:val="center"/>
          </w:tcPr>
          <w:p w14:paraId="48D13581" w14:textId="6D397447" w:rsidR="00AD320A" w:rsidRPr="00CD2ADD" w:rsidRDefault="005D2569"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220</w:t>
            </w:r>
          </w:p>
        </w:tc>
        <w:tc>
          <w:tcPr>
            <w:tcW w:w="850" w:type="dxa"/>
            <w:vAlign w:val="center"/>
          </w:tcPr>
          <w:p w14:paraId="1CFE78B2" w14:textId="2AC47587" w:rsidR="00AD320A" w:rsidRPr="00CD2ADD" w:rsidRDefault="005D2569"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220</w:t>
            </w:r>
          </w:p>
        </w:tc>
        <w:tc>
          <w:tcPr>
            <w:tcW w:w="851" w:type="dxa"/>
            <w:vAlign w:val="center"/>
          </w:tcPr>
          <w:p w14:paraId="69690E8B" w14:textId="4DDD83D3" w:rsidR="00AD320A" w:rsidRPr="00CD2ADD" w:rsidRDefault="005D2569"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220</w:t>
            </w:r>
          </w:p>
        </w:tc>
        <w:tc>
          <w:tcPr>
            <w:tcW w:w="792" w:type="dxa"/>
            <w:noWrap/>
            <w:vAlign w:val="center"/>
          </w:tcPr>
          <w:p w14:paraId="7E5FC814" w14:textId="46170FF1" w:rsidR="00AD320A" w:rsidRPr="00CD2ADD" w:rsidRDefault="005D2569"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220</w:t>
            </w:r>
          </w:p>
        </w:tc>
      </w:tr>
      <w:tr w:rsidR="00AD320A" w:rsidRPr="00CD2ADD" w14:paraId="448956BA" w14:textId="77777777" w:rsidTr="00AD320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76E3E0ED" w14:textId="77777777" w:rsidR="00AD320A" w:rsidRPr="00CD2ADD" w:rsidRDefault="00AD320A" w:rsidP="00AD320A">
            <w:pPr>
              <w:rPr>
                <w:b w:val="0"/>
                <w:bCs w:val="0"/>
                <w:i/>
                <w:iCs/>
                <w:color w:val="000000" w:themeColor="text1"/>
                <w:sz w:val="22"/>
                <w:szCs w:val="22"/>
              </w:rPr>
            </w:pPr>
            <w:r w:rsidRPr="00CD2ADD">
              <w:rPr>
                <w:b w:val="0"/>
                <w:bCs w:val="0"/>
                <w:i/>
                <w:iCs/>
                <w:color w:val="000000" w:themeColor="text1"/>
                <w:sz w:val="22"/>
                <w:szCs w:val="22"/>
              </w:rPr>
              <w:t xml:space="preserve">Costuri acoperite din bugetul de stat </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1F38EB6C" w14:textId="77777777" w:rsidR="00AD320A" w:rsidRPr="00CD2ADD" w:rsidRDefault="00AD320A" w:rsidP="00AD320A">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65AC4382" w14:textId="719664B4" w:rsidR="00AD320A" w:rsidRPr="00CD2ADD" w:rsidRDefault="005D2569"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80</w:t>
            </w:r>
          </w:p>
        </w:tc>
        <w:tc>
          <w:tcPr>
            <w:tcW w:w="867" w:type="dxa"/>
            <w:noWrap/>
            <w:vAlign w:val="center"/>
            <w:hideMark/>
          </w:tcPr>
          <w:p w14:paraId="1CA6B1B0" w14:textId="719EF0DD"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78" w:type="dxa"/>
            <w:noWrap/>
            <w:vAlign w:val="center"/>
          </w:tcPr>
          <w:p w14:paraId="41FB7026" w14:textId="6F2F7016" w:rsidR="00AD320A" w:rsidRPr="00CD2ADD" w:rsidRDefault="00EB1342"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20</w:t>
            </w:r>
          </w:p>
        </w:tc>
        <w:tc>
          <w:tcPr>
            <w:tcW w:w="850" w:type="dxa"/>
            <w:noWrap/>
            <w:vAlign w:val="center"/>
            <w:hideMark/>
          </w:tcPr>
          <w:p w14:paraId="660A3905" w14:textId="088526D1" w:rsidR="00AD320A" w:rsidRPr="00CD2ADD" w:rsidRDefault="00EB1342"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20</w:t>
            </w:r>
          </w:p>
        </w:tc>
        <w:tc>
          <w:tcPr>
            <w:tcW w:w="851" w:type="dxa"/>
            <w:noWrap/>
            <w:vAlign w:val="center"/>
            <w:hideMark/>
          </w:tcPr>
          <w:p w14:paraId="313A5F24" w14:textId="772ED98B" w:rsidR="00AD320A" w:rsidRPr="00CD2ADD" w:rsidRDefault="00EB1342"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20</w:t>
            </w:r>
          </w:p>
        </w:tc>
        <w:tc>
          <w:tcPr>
            <w:tcW w:w="792" w:type="dxa"/>
            <w:noWrap/>
            <w:vAlign w:val="center"/>
            <w:hideMark/>
          </w:tcPr>
          <w:p w14:paraId="2760B841" w14:textId="5B5C9D7C" w:rsidR="00AD320A" w:rsidRPr="00CD2ADD" w:rsidRDefault="00EB1342"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20</w:t>
            </w:r>
          </w:p>
        </w:tc>
      </w:tr>
      <w:tr w:rsidR="00AD320A" w:rsidRPr="00CD2ADD" w14:paraId="3B0D0B82" w14:textId="77777777" w:rsidTr="00AD320A">
        <w:trPr>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63D0F17D" w14:textId="77777777" w:rsidR="00AD320A" w:rsidRPr="00CD2ADD" w:rsidRDefault="00AD320A" w:rsidP="00AD320A">
            <w:pPr>
              <w:rPr>
                <w:b w:val="0"/>
                <w:bCs w:val="0"/>
                <w:i/>
                <w:iCs/>
                <w:color w:val="000000" w:themeColor="text1"/>
                <w:sz w:val="22"/>
                <w:szCs w:val="22"/>
              </w:rPr>
            </w:pPr>
            <w:r w:rsidRPr="00CD2ADD">
              <w:rPr>
                <w:b w:val="0"/>
                <w:bCs w:val="0"/>
                <w:i/>
                <w:iCs/>
                <w:color w:val="000000" w:themeColor="text1"/>
                <w:sz w:val="22"/>
                <w:szCs w:val="22"/>
              </w:rPr>
              <w:t>Costuri acoperite din asistenta externa</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61CD3308" w14:textId="77777777" w:rsidR="00AD320A" w:rsidRPr="00CD2ADD" w:rsidRDefault="00AD320A" w:rsidP="00AD320A">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182BA5F5" w14:textId="74396B16" w:rsidR="00AD320A" w:rsidRPr="00CD2ADD" w:rsidRDefault="005D2569" w:rsidP="00AD320A">
            <w:pPr>
              <w:cnfStyle w:val="000000000000" w:firstRow="0" w:lastRow="0" w:firstColumn="0" w:lastColumn="0" w:oddVBand="0" w:evenVBand="0" w:oddHBand="0" w:evenHBand="0" w:firstRowFirstColumn="0" w:firstRowLastColumn="0" w:lastRowFirstColumn="0" w:lastRowLastColumn="0"/>
              <w:rPr>
                <w:i/>
                <w:iCs/>
                <w:color w:val="000000" w:themeColor="text1"/>
                <w:sz w:val="22"/>
                <w:szCs w:val="22"/>
              </w:rPr>
            </w:pPr>
            <w:r w:rsidRPr="00CD2ADD">
              <w:rPr>
                <w:i/>
                <w:iCs/>
                <w:color w:val="000000" w:themeColor="text1"/>
                <w:sz w:val="22"/>
                <w:szCs w:val="22"/>
              </w:rPr>
              <w:t>800</w:t>
            </w:r>
          </w:p>
        </w:tc>
        <w:tc>
          <w:tcPr>
            <w:tcW w:w="867" w:type="dxa"/>
            <w:vAlign w:val="center"/>
            <w:hideMark/>
          </w:tcPr>
          <w:p w14:paraId="5D8A58A2" w14:textId="0C502242" w:rsidR="00AD320A" w:rsidRPr="00CD2ADD" w:rsidRDefault="00AD320A"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78" w:type="dxa"/>
            <w:vAlign w:val="center"/>
          </w:tcPr>
          <w:p w14:paraId="1F771446" w14:textId="1EB8BDB1" w:rsidR="00AD320A" w:rsidRPr="00CD2ADD" w:rsidRDefault="00EB1342"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2</w:t>
            </w:r>
            <w:r w:rsidR="00AD320A" w:rsidRPr="00CD2ADD">
              <w:rPr>
                <w:color w:val="000000" w:themeColor="text1"/>
                <w:sz w:val="22"/>
                <w:szCs w:val="22"/>
              </w:rPr>
              <w:t>00</w:t>
            </w:r>
          </w:p>
        </w:tc>
        <w:tc>
          <w:tcPr>
            <w:tcW w:w="850" w:type="dxa"/>
            <w:vAlign w:val="center"/>
            <w:hideMark/>
          </w:tcPr>
          <w:p w14:paraId="3651779B" w14:textId="2A6D3BA0" w:rsidR="00AD320A" w:rsidRPr="00CD2ADD" w:rsidRDefault="00EB1342"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200</w:t>
            </w:r>
          </w:p>
        </w:tc>
        <w:tc>
          <w:tcPr>
            <w:tcW w:w="851" w:type="dxa"/>
            <w:vAlign w:val="center"/>
            <w:hideMark/>
          </w:tcPr>
          <w:p w14:paraId="6E66354B" w14:textId="3B9534F4" w:rsidR="00AD320A" w:rsidRPr="00CD2ADD" w:rsidRDefault="00EB1342"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200</w:t>
            </w:r>
          </w:p>
        </w:tc>
        <w:tc>
          <w:tcPr>
            <w:tcW w:w="792" w:type="dxa"/>
            <w:vAlign w:val="center"/>
            <w:hideMark/>
          </w:tcPr>
          <w:p w14:paraId="62178318" w14:textId="661D4796" w:rsidR="00AD320A" w:rsidRPr="00CD2ADD" w:rsidRDefault="00EB1342"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200</w:t>
            </w:r>
          </w:p>
        </w:tc>
      </w:tr>
      <w:tr w:rsidR="00AD320A" w:rsidRPr="00CD2ADD" w14:paraId="145BAEED" w14:textId="77777777" w:rsidTr="00537E3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7E7F4141" w14:textId="77777777" w:rsidR="00AD320A" w:rsidRPr="00CD2ADD" w:rsidRDefault="00AD320A" w:rsidP="00AD320A">
            <w:pPr>
              <w:rPr>
                <w:b w:val="0"/>
                <w:bCs w:val="0"/>
                <w:i/>
                <w:iCs/>
                <w:color w:val="000000" w:themeColor="text1"/>
                <w:sz w:val="22"/>
                <w:szCs w:val="22"/>
              </w:rPr>
            </w:pPr>
            <w:r w:rsidRPr="00CD2ADD">
              <w:rPr>
                <w:b w:val="0"/>
                <w:bCs w:val="0"/>
                <w:i/>
                <w:iCs/>
                <w:color w:val="000000" w:themeColor="text1"/>
                <w:sz w:val="22"/>
                <w:szCs w:val="22"/>
              </w:rPr>
              <w:lastRenderedPageBreak/>
              <w:t>Costuri neacoperite</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72F7624E" w14:textId="77777777" w:rsidR="00AD320A" w:rsidRPr="00CD2ADD" w:rsidRDefault="00AD320A" w:rsidP="00AD320A">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178348BE" w14:textId="115B85AA"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67" w:type="dxa"/>
            <w:vAlign w:val="center"/>
            <w:hideMark/>
          </w:tcPr>
          <w:p w14:paraId="228A64FC" w14:textId="16389173"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78" w:type="dxa"/>
            <w:vAlign w:val="center"/>
            <w:hideMark/>
          </w:tcPr>
          <w:p w14:paraId="3250E7B9" w14:textId="279F1336"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50" w:type="dxa"/>
            <w:vAlign w:val="center"/>
            <w:hideMark/>
          </w:tcPr>
          <w:p w14:paraId="64D66551" w14:textId="43C97C14"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51" w:type="dxa"/>
            <w:vAlign w:val="center"/>
            <w:hideMark/>
          </w:tcPr>
          <w:p w14:paraId="0FF9CEB6" w14:textId="23A9DD2A"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792" w:type="dxa"/>
            <w:vAlign w:val="center"/>
            <w:hideMark/>
          </w:tcPr>
          <w:p w14:paraId="7D7BE060" w14:textId="46965C30"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AD320A" w:rsidRPr="00CD2ADD" w14:paraId="42606527" w14:textId="77777777" w:rsidTr="00537E3E">
        <w:trPr>
          <w:trHeight w:val="606"/>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1C526AE1" w14:textId="77777777" w:rsidR="00AD320A" w:rsidRPr="00CD2ADD" w:rsidRDefault="00AD320A" w:rsidP="00AD320A">
            <w:pPr>
              <w:rPr>
                <w:b w:val="0"/>
                <w:bCs w:val="0"/>
                <w:color w:val="000000" w:themeColor="text1"/>
                <w:sz w:val="22"/>
                <w:szCs w:val="22"/>
              </w:rPr>
            </w:pPr>
            <w:r w:rsidRPr="00CD2ADD">
              <w:rPr>
                <w:color w:val="000000" w:themeColor="text1"/>
                <w:sz w:val="22"/>
                <w:szCs w:val="22"/>
              </w:rPr>
              <w:t>Obiectivul Specific 5.3:</w:t>
            </w:r>
            <w:r w:rsidRPr="00CD2ADD">
              <w:rPr>
                <w:b w:val="0"/>
                <w:bCs w:val="0"/>
                <w:color w:val="000000" w:themeColor="text1"/>
                <w:sz w:val="22"/>
                <w:szCs w:val="22"/>
              </w:rPr>
              <w:t xml:space="preserve"> </w:t>
            </w:r>
            <w:r w:rsidRPr="00CD2ADD">
              <w:rPr>
                <w:color w:val="000000" w:themeColor="text1"/>
                <w:sz w:val="22"/>
                <w:szCs w:val="22"/>
              </w:rPr>
              <w:t>Consolidarea parteneriatelor strategice internaționale și regionale în domeniul reducerii riscurilor de dezastre</w:t>
            </w:r>
          </w:p>
        </w:tc>
        <w:tc>
          <w:tcPr>
            <w:tcW w:w="1814" w:type="dxa"/>
            <w:vMerge w:val="restart"/>
            <w:tcBorders>
              <w:top w:val="single" w:sz="4" w:space="0" w:color="666666" w:themeColor="text1" w:themeTint="99"/>
              <w:left w:val="single" w:sz="4" w:space="0" w:color="auto"/>
              <w:bottom w:val="single" w:sz="4" w:space="0" w:color="auto"/>
              <w:right w:val="single" w:sz="4" w:space="0" w:color="auto"/>
            </w:tcBorders>
            <w:vAlign w:val="center"/>
            <w:hideMark/>
          </w:tcPr>
          <w:p w14:paraId="20DAF6BB" w14:textId="77777777" w:rsidR="00AD320A" w:rsidRPr="00CD2ADD" w:rsidRDefault="00AD320A" w:rsidP="00AD320A">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7011</w:t>
            </w:r>
          </w:p>
        </w:tc>
        <w:tc>
          <w:tcPr>
            <w:tcW w:w="1067" w:type="dxa"/>
            <w:tcBorders>
              <w:left w:val="single" w:sz="4" w:space="0" w:color="auto"/>
            </w:tcBorders>
            <w:vAlign w:val="center"/>
            <w:hideMark/>
          </w:tcPr>
          <w:p w14:paraId="0B38383B" w14:textId="212D8D4F" w:rsidR="00AD320A" w:rsidRPr="00CD2ADD" w:rsidRDefault="00AD320A" w:rsidP="00AD320A">
            <w:pP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CD2ADD">
              <w:rPr>
                <w:b/>
                <w:bCs/>
                <w:color w:val="000000" w:themeColor="text1"/>
                <w:sz w:val="22"/>
                <w:szCs w:val="22"/>
              </w:rPr>
              <w:t>1,050</w:t>
            </w:r>
          </w:p>
        </w:tc>
        <w:tc>
          <w:tcPr>
            <w:tcW w:w="867" w:type="dxa"/>
            <w:vAlign w:val="center"/>
            <w:hideMark/>
          </w:tcPr>
          <w:p w14:paraId="06D1F02D" w14:textId="7B41C564" w:rsidR="00AD320A" w:rsidRPr="00CD2ADD" w:rsidRDefault="00AD320A"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50</w:t>
            </w:r>
          </w:p>
        </w:tc>
        <w:tc>
          <w:tcPr>
            <w:tcW w:w="878" w:type="dxa"/>
            <w:vAlign w:val="center"/>
            <w:hideMark/>
          </w:tcPr>
          <w:p w14:paraId="3EF79F6D" w14:textId="20E8E5E8" w:rsidR="00AD320A" w:rsidRPr="00CD2ADD" w:rsidRDefault="00AD320A"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50</w:t>
            </w:r>
          </w:p>
        </w:tc>
        <w:tc>
          <w:tcPr>
            <w:tcW w:w="850" w:type="dxa"/>
            <w:vAlign w:val="center"/>
            <w:hideMark/>
          </w:tcPr>
          <w:p w14:paraId="3CABF177" w14:textId="497176D7" w:rsidR="00AD320A" w:rsidRPr="00CD2ADD" w:rsidRDefault="00AD320A"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450</w:t>
            </w:r>
          </w:p>
        </w:tc>
        <w:tc>
          <w:tcPr>
            <w:tcW w:w="851" w:type="dxa"/>
            <w:noWrap/>
            <w:vAlign w:val="center"/>
            <w:hideMark/>
          </w:tcPr>
          <w:p w14:paraId="2B5B260B" w14:textId="2C912E89" w:rsidR="00AD320A" w:rsidRPr="00CD2ADD" w:rsidRDefault="00AD320A"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250</w:t>
            </w:r>
          </w:p>
        </w:tc>
        <w:tc>
          <w:tcPr>
            <w:tcW w:w="792" w:type="dxa"/>
            <w:noWrap/>
            <w:vAlign w:val="center"/>
            <w:hideMark/>
          </w:tcPr>
          <w:p w14:paraId="62CF363B" w14:textId="2C0ACDFF" w:rsidR="00AD320A" w:rsidRPr="00CD2ADD" w:rsidRDefault="00AD320A"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250</w:t>
            </w:r>
          </w:p>
        </w:tc>
      </w:tr>
      <w:tr w:rsidR="00AD320A" w:rsidRPr="00CD2ADD" w14:paraId="1F6DD4C1" w14:textId="77777777" w:rsidTr="00537E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07155C58" w14:textId="77777777" w:rsidR="00AD320A" w:rsidRPr="00CD2ADD" w:rsidRDefault="00AD320A" w:rsidP="00AD320A">
            <w:pPr>
              <w:rPr>
                <w:b w:val="0"/>
                <w:bCs w:val="0"/>
                <w:i/>
                <w:iCs/>
                <w:color w:val="000000" w:themeColor="text1"/>
                <w:sz w:val="22"/>
                <w:szCs w:val="22"/>
              </w:rPr>
            </w:pPr>
            <w:r w:rsidRPr="00CD2ADD">
              <w:rPr>
                <w:b w:val="0"/>
                <w:bCs w:val="0"/>
                <w:i/>
                <w:iCs/>
                <w:color w:val="000000" w:themeColor="text1"/>
                <w:sz w:val="22"/>
                <w:szCs w:val="22"/>
              </w:rPr>
              <w:t xml:space="preserve">Costuri acoperite din bugetul de stat </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598440E8" w14:textId="77777777" w:rsidR="00AD320A" w:rsidRPr="00CD2ADD" w:rsidRDefault="00AD320A" w:rsidP="00AD320A">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41BAF32D" w14:textId="0E8A2568"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400</w:t>
            </w:r>
          </w:p>
        </w:tc>
        <w:tc>
          <w:tcPr>
            <w:tcW w:w="867" w:type="dxa"/>
            <w:noWrap/>
            <w:vAlign w:val="center"/>
            <w:hideMark/>
          </w:tcPr>
          <w:p w14:paraId="3C0FD898" w14:textId="77777777"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78" w:type="dxa"/>
            <w:noWrap/>
            <w:vAlign w:val="center"/>
            <w:hideMark/>
          </w:tcPr>
          <w:p w14:paraId="46F5117D" w14:textId="77777777"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50" w:type="dxa"/>
            <w:noWrap/>
            <w:vAlign w:val="center"/>
            <w:hideMark/>
          </w:tcPr>
          <w:p w14:paraId="42ACD32F" w14:textId="295D2EC3"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200</w:t>
            </w:r>
          </w:p>
        </w:tc>
        <w:tc>
          <w:tcPr>
            <w:tcW w:w="851" w:type="dxa"/>
            <w:noWrap/>
            <w:vAlign w:val="center"/>
            <w:hideMark/>
          </w:tcPr>
          <w:p w14:paraId="7B2E85B1" w14:textId="4EA233BD"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100</w:t>
            </w:r>
          </w:p>
        </w:tc>
        <w:tc>
          <w:tcPr>
            <w:tcW w:w="792" w:type="dxa"/>
            <w:noWrap/>
            <w:vAlign w:val="center"/>
            <w:hideMark/>
          </w:tcPr>
          <w:p w14:paraId="42CBCC6A" w14:textId="1DCC5C20"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100</w:t>
            </w:r>
          </w:p>
        </w:tc>
      </w:tr>
      <w:tr w:rsidR="00AD320A" w:rsidRPr="00CD2ADD" w14:paraId="65927950" w14:textId="77777777" w:rsidTr="00537E3E">
        <w:trPr>
          <w:trHeight w:val="30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5387A636" w14:textId="77777777" w:rsidR="00AD320A" w:rsidRPr="00CD2ADD" w:rsidRDefault="00AD320A" w:rsidP="00AD320A">
            <w:pPr>
              <w:rPr>
                <w:b w:val="0"/>
                <w:bCs w:val="0"/>
                <w:i/>
                <w:iCs/>
                <w:color w:val="000000" w:themeColor="text1"/>
                <w:sz w:val="22"/>
                <w:szCs w:val="22"/>
              </w:rPr>
            </w:pPr>
            <w:r w:rsidRPr="00CD2ADD">
              <w:rPr>
                <w:b w:val="0"/>
                <w:bCs w:val="0"/>
                <w:i/>
                <w:iCs/>
                <w:color w:val="000000" w:themeColor="text1"/>
                <w:sz w:val="22"/>
                <w:szCs w:val="22"/>
              </w:rPr>
              <w:t>Costuri acoperite din asistenta externa</w:t>
            </w:r>
          </w:p>
        </w:tc>
        <w:tc>
          <w:tcPr>
            <w:tcW w:w="1814" w:type="dxa"/>
            <w:vMerge/>
            <w:tcBorders>
              <w:top w:val="single" w:sz="4" w:space="0" w:color="666666" w:themeColor="text1" w:themeTint="99"/>
              <w:left w:val="single" w:sz="4" w:space="0" w:color="auto"/>
              <w:bottom w:val="single" w:sz="4" w:space="0" w:color="auto"/>
              <w:right w:val="single" w:sz="4" w:space="0" w:color="auto"/>
            </w:tcBorders>
            <w:vAlign w:val="center"/>
            <w:hideMark/>
          </w:tcPr>
          <w:p w14:paraId="16004501" w14:textId="77777777" w:rsidR="00AD320A" w:rsidRPr="00CD2ADD" w:rsidRDefault="00AD320A" w:rsidP="00AD320A">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2363F39C" w14:textId="77777777" w:rsidR="00AD320A" w:rsidRPr="00CD2ADD" w:rsidRDefault="00AD320A" w:rsidP="00AD320A">
            <w:pPr>
              <w:cnfStyle w:val="000000000000" w:firstRow="0" w:lastRow="0" w:firstColumn="0" w:lastColumn="0" w:oddVBand="0" w:evenVBand="0" w:oddHBand="0" w:evenHBand="0" w:firstRowFirstColumn="0" w:firstRowLastColumn="0" w:lastRowFirstColumn="0" w:lastRowLastColumn="0"/>
              <w:rPr>
                <w:i/>
                <w:iCs/>
                <w:color w:val="000000" w:themeColor="text1"/>
                <w:sz w:val="22"/>
                <w:szCs w:val="22"/>
              </w:rPr>
            </w:pPr>
          </w:p>
        </w:tc>
        <w:tc>
          <w:tcPr>
            <w:tcW w:w="867" w:type="dxa"/>
            <w:vAlign w:val="center"/>
            <w:hideMark/>
          </w:tcPr>
          <w:p w14:paraId="4C855CA5" w14:textId="77777777" w:rsidR="00AD320A" w:rsidRPr="00CD2ADD" w:rsidRDefault="00AD320A"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78" w:type="dxa"/>
            <w:vAlign w:val="center"/>
            <w:hideMark/>
          </w:tcPr>
          <w:p w14:paraId="33400FE4" w14:textId="77777777" w:rsidR="00AD320A" w:rsidRPr="00CD2ADD" w:rsidRDefault="00AD320A"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50" w:type="dxa"/>
            <w:vAlign w:val="center"/>
            <w:hideMark/>
          </w:tcPr>
          <w:p w14:paraId="3BAE7186" w14:textId="77777777" w:rsidR="00AD320A" w:rsidRPr="00CD2ADD" w:rsidRDefault="00AD320A"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851" w:type="dxa"/>
            <w:vAlign w:val="center"/>
            <w:hideMark/>
          </w:tcPr>
          <w:p w14:paraId="2E45F766" w14:textId="77777777" w:rsidR="00AD320A" w:rsidRPr="00CD2ADD" w:rsidRDefault="00AD320A"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792" w:type="dxa"/>
            <w:vAlign w:val="center"/>
            <w:hideMark/>
          </w:tcPr>
          <w:p w14:paraId="4D30D61A" w14:textId="43F6FA16" w:rsidR="00AD320A" w:rsidRPr="00CD2ADD" w:rsidRDefault="00AD320A"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AD320A" w:rsidRPr="00CD2ADD" w14:paraId="6E6A841F" w14:textId="77777777" w:rsidTr="00537E3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hideMark/>
          </w:tcPr>
          <w:p w14:paraId="3F44D20C" w14:textId="77777777" w:rsidR="00AD320A" w:rsidRPr="00CD2ADD" w:rsidRDefault="00AD320A" w:rsidP="00AD320A">
            <w:pPr>
              <w:rPr>
                <w:b w:val="0"/>
                <w:bCs w:val="0"/>
                <w:i/>
                <w:iCs/>
                <w:color w:val="000000" w:themeColor="text1"/>
                <w:sz w:val="22"/>
                <w:szCs w:val="22"/>
              </w:rPr>
            </w:pPr>
            <w:r w:rsidRPr="00CD2ADD">
              <w:rPr>
                <w:b w:val="0"/>
                <w:bCs w:val="0"/>
                <w:i/>
                <w:iCs/>
                <w:color w:val="000000" w:themeColor="text1"/>
                <w:sz w:val="22"/>
                <w:szCs w:val="22"/>
              </w:rPr>
              <w:t>Costuri neacoperite</w:t>
            </w:r>
          </w:p>
        </w:tc>
        <w:tc>
          <w:tcPr>
            <w:tcW w:w="1814" w:type="dxa"/>
            <w:vMerge/>
            <w:tcBorders>
              <w:top w:val="single" w:sz="4" w:space="0" w:color="666666" w:themeColor="text1" w:themeTint="99"/>
              <w:left w:val="single" w:sz="4" w:space="0" w:color="auto"/>
              <w:bottom w:val="single" w:sz="4" w:space="0" w:color="666666" w:themeColor="text1" w:themeTint="99"/>
              <w:right w:val="single" w:sz="4" w:space="0" w:color="auto"/>
            </w:tcBorders>
            <w:vAlign w:val="center"/>
            <w:hideMark/>
          </w:tcPr>
          <w:p w14:paraId="4E3AE3FC" w14:textId="77777777" w:rsidR="00AD320A" w:rsidRPr="00CD2ADD" w:rsidRDefault="00AD320A" w:rsidP="00AD320A">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hideMark/>
          </w:tcPr>
          <w:p w14:paraId="44491B48" w14:textId="0FAE106C"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650</w:t>
            </w:r>
          </w:p>
        </w:tc>
        <w:tc>
          <w:tcPr>
            <w:tcW w:w="867" w:type="dxa"/>
            <w:vAlign w:val="center"/>
            <w:hideMark/>
          </w:tcPr>
          <w:p w14:paraId="43A85FBD" w14:textId="036CD699"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50</w:t>
            </w:r>
          </w:p>
        </w:tc>
        <w:tc>
          <w:tcPr>
            <w:tcW w:w="878" w:type="dxa"/>
            <w:vAlign w:val="center"/>
            <w:hideMark/>
          </w:tcPr>
          <w:p w14:paraId="2D6DB38C" w14:textId="75F98CE0"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50</w:t>
            </w:r>
          </w:p>
        </w:tc>
        <w:tc>
          <w:tcPr>
            <w:tcW w:w="850" w:type="dxa"/>
            <w:noWrap/>
            <w:vAlign w:val="center"/>
            <w:hideMark/>
          </w:tcPr>
          <w:p w14:paraId="648DCC30" w14:textId="35B665DD"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250</w:t>
            </w:r>
          </w:p>
        </w:tc>
        <w:tc>
          <w:tcPr>
            <w:tcW w:w="851" w:type="dxa"/>
            <w:noWrap/>
            <w:vAlign w:val="center"/>
            <w:hideMark/>
          </w:tcPr>
          <w:p w14:paraId="2EDF2E79" w14:textId="7B52C52A"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150</w:t>
            </w:r>
          </w:p>
        </w:tc>
        <w:tc>
          <w:tcPr>
            <w:tcW w:w="792" w:type="dxa"/>
            <w:noWrap/>
            <w:vAlign w:val="center"/>
            <w:hideMark/>
          </w:tcPr>
          <w:p w14:paraId="4306940D" w14:textId="39F81DDF"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150</w:t>
            </w:r>
          </w:p>
        </w:tc>
      </w:tr>
      <w:tr w:rsidR="00AD320A" w:rsidRPr="00CD2ADD" w14:paraId="32DFEA05" w14:textId="77777777" w:rsidTr="001C3955">
        <w:trPr>
          <w:trHeight w:val="545"/>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tcPr>
          <w:p w14:paraId="2E330A54" w14:textId="367B11BC" w:rsidR="00AD320A" w:rsidRPr="00CD2ADD" w:rsidRDefault="00AD320A" w:rsidP="00AD320A">
            <w:pPr>
              <w:rPr>
                <w:i/>
                <w:iCs/>
                <w:color w:val="000000" w:themeColor="text1"/>
                <w:sz w:val="22"/>
                <w:szCs w:val="22"/>
              </w:rPr>
            </w:pPr>
            <w:r w:rsidRPr="00CD2ADD">
              <w:rPr>
                <w:i/>
                <w:iCs/>
                <w:color w:val="000000" w:themeColor="text1"/>
                <w:sz w:val="22"/>
                <w:szCs w:val="22"/>
              </w:rPr>
              <w:t>TOTAL COST PROGRAM</w:t>
            </w:r>
          </w:p>
        </w:tc>
        <w:tc>
          <w:tcPr>
            <w:tcW w:w="1814" w:type="dxa"/>
            <w:vMerge w:val="restart"/>
            <w:tcBorders>
              <w:top w:val="single" w:sz="4" w:space="0" w:color="666666" w:themeColor="text1" w:themeTint="99"/>
              <w:left w:val="single" w:sz="4" w:space="0" w:color="auto"/>
              <w:right w:val="single" w:sz="4" w:space="0" w:color="auto"/>
            </w:tcBorders>
            <w:vAlign w:val="center"/>
          </w:tcPr>
          <w:p w14:paraId="3397EF42" w14:textId="66C28EE7" w:rsidR="00AD320A" w:rsidRPr="00CD2ADD" w:rsidRDefault="00AD320A" w:rsidP="00AD320A">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5101</w:t>
            </w:r>
            <w:r w:rsidRPr="00CD2ADD">
              <w:rPr>
                <w:color w:val="000000" w:themeColor="text1"/>
                <w:sz w:val="22"/>
                <w:szCs w:val="22"/>
              </w:rPr>
              <w:br/>
              <w:t>5102</w:t>
            </w:r>
            <w:r w:rsidRPr="00CD2ADD">
              <w:rPr>
                <w:color w:val="000000" w:themeColor="text1"/>
                <w:sz w:val="22"/>
                <w:szCs w:val="22"/>
              </w:rPr>
              <w:br/>
              <w:t>5103</w:t>
            </w:r>
          </w:p>
          <w:p w14:paraId="6DC87E29" w14:textId="77777777" w:rsidR="00AD320A" w:rsidRPr="00CD2ADD" w:rsidRDefault="00AD320A" w:rsidP="00AD320A">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5010</w:t>
            </w:r>
            <w:r w:rsidRPr="00CD2ADD">
              <w:rPr>
                <w:color w:val="000000" w:themeColor="text1"/>
                <w:sz w:val="22"/>
                <w:szCs w:val="22"/>
              </w:rPr>
              <w:br/>
              <w:t>5401</w:t>
            </w:r>
          </w:p>
          <w:p w14:paraId="033044B5" w14:textId="3F9CE3C2" w:rsidR="00AD320A" w:rsidRPr="00CD2ADD" w:rsidRDefault="00AD320A" w:rsidP="00AD320A">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5402</w:t>
            </w:r>
          </w:p>
          <w:p w14:paraId="4C2AEC05" w14:textId="25AD5402" w:rsidR="00AD320A" w:rsidRPr="00CD2ADD" w:rsidRDefault="00AD320A" w:rsidP="00AD320A">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6905</w:t>
            </w:r>
          </w:p>
          <w:p w14:paraId="4619B2C3" w14:textId="0AD1F45B" w:rsidR="00AD320A" w:rsidRPr="00CD2ADD" w:rsidRDefault="00AD320A" w:rsidP="00AD320A">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7001</w:t>
            </w:r>
          </w:p>
          <w:p w14:paraId="387F7054" w14:textId="2ECA4472" w:rsidR="00AD320A" w:rsidRPr="00CD2ADD" w:rsidRDefault="00AD320A" w:rsidP="00AD320A">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7004</w:t>
            </w:r>
          </w:p>
          <w:p w14:paraId="03E75010" w14:textId="00F0FB57" w:rsidR="00AD320A" w:rsidRPr="00CD2ADD" w:rsidRDefault="00AD320A" w:rsidP="00AD320A">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7007</w:t>
            </w:r>
          </w:p>
          <w:p w14:paraId="31519EDC" w14:textId="140F2BF6" w:rsidR="00AD320A" w:rsidRPr="00CD2ADD" w:rsidRDefault="00AD320A" w:rsidP="00AD320A">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7011</w:t>
            </w:r>
          </w:p>
          <w:p w14:paraId="7720029E" w14:textId="270392EB" w:rsidR="00AD320A" w:rsidRPr="00CD2ADD" w:rsidRDefault="00AD320A" w:rsidP="00AD320A">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8001</w:t>
            </w:r>
            <w:r w:rsidRPr="00CD2ADD">
              <w:rPr>
                <w:color w:val="000000" w:themeColor="text1"/>
                <w:sz w:val="22"/>
                <w:szCs w:val="22"/>
              </w:rPr>
              <w:br/>
              <w:t>1202</w:t>
            </w:r>
          </w:p>
        </w:tc>
        <w:tc>
          <w:tcPr>
            <w:tcW w:w="1067" w:type="dxa"/>
            <w:tcBorders>
              <w:left w:val="single" w:sz="4" w:space="0" w:color="auto"/>
            </w:tcBorders>
            <w:vAlign w:val="center"/>
          </w:tcPr>
          <w:p w14:paraId="221159E4" w14:textId="7EA2A768" w:rsidR="00AD320A" w:rsidRPr="00CD2ADD" w:rsidRDefault="00AD320A" w:rsidP="00AD320A">
            <w:pP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CD2ADD">
              <w:rPr>
                <w:b/>
                <w:bCs/>
                <w:color w:val="000000" w:themeColor="text1"/>
                <w:sz w:val="22"/>
                <w:szCs w:val="22"/>
              </w:rPr>
              <w:t>129,</w:t>
            </w:r>
            <w:r w:rsidR="00DB45B0" w:rsidRPr="00CD2ADD">
              <w:rPr>
                <w:b/>
                <w:bCs/>
                <w:color w:val="000000" w:themeColor="text1"/>
                <w:sz w:val="22"/>
                <w:szCs w:val="22"/>
              </w:rPr>
              <w:t>828</w:t>
            </w:r>
          </w:p>
        </w:tc>
        <w:tc>
          <w:tcPr>
            <w:tcW w:w="867" w:type="dxa"/>
            <w:vAlign w:val="center"/>
          </w:tcPr>
          <w:p w14:paraId="0EB2484A" w14:textId="62CFE0F1" w:rsidR="00AD320A" w:rsidRPr="00CD2ADD" w:rsidRDefault="00AE7A3A"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76,045</w:t>
            </w:r>
          </w:p>
        </w:tc>
        <w:tc>
          <w:tcPr>
            <w:tcW w:w="878" w:type="dxa"/>
            <w:vAlign w:val="center"/>
          </w:tcPr>
          <w:p w14:paraId="688BE4CB" w14:textId="546C5087" w:rsidR="00AD320A" w:rsidRPr="00CD2ADD" w:rsidRDefault="00AD320A"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3</w:t>
            </w:r>
            <w:r w:rsidR="00AE7A3A" w:rsidRPr="00CD2ADD">
              <w:rPr>
                <w:color w:val="000000" w:themeColor="text1"/>
                <w:sz w:val="22"/>
                <w:szCs w:val="22"/>
              </w:rPr>
              <w:t>9,189</w:t>
            </w:r>
          </w:p>
        </w:tc>
        <w:tc>
          <w:tcPr>
            <w:tcW w:w="850" w:type="dxa"/>
            <w:noWrap/>
            <w:vAlign w:val="center"/>
          </w:tcPr>
          <w:p w14:paraId="59D53C80" w14:textId="33E6FFCE" w:rsidR="00AD320A" w:rsidRPr="00CD2ADD" w:rsidRDefault="00AE7A3A"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8,281</w:t>
            </w:r>
          </w:p>
        </w:tc>
        <w:tc>
          <w:tcPr>
            <w:tcW w:w="851" w:type="dxa"/>
            <w:noWrap/>
            <w:vAlign w:val="center"/>
          </w:tcPr>
          <w:p w14:paraId="647EE4E5" w14:textId="1B5B536E" w:rsidR="00AD320A" w:rsidRPr="00CD2ADD" w:rsidRDefault="00AE7A3A"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4,685</w:t>
            </w:r>
          </w:p>
        </w:tc>
        <w:tc>
          <w:tcPr>
            <w:tcW w:w="792" w:type="dxa"/>
            <w:noWrap/>
            <w:vAlign w:val="center"/>
          </w:tcPr>
          <w:p w14:paraId="732022B2" w14:textId="4F802371" w:rsidR="00AD320A" w:rsidRPr="00CD2ADD" w:rsidRDefault="00AD320A"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1,</w:t>
            </w:r>
            <w:r w:rsidR="00AE7A3A" w:rsidRPr="00CD2ADD">
              <w:rPr>
                <w:color w:val="000000" w:themeColor="text1"/>
                <w:sz w:val="22"/>
                <w:szCs w:val="22"/>
              </w:rPr>
              <w:t>6</w:t>
            </w:r>
            <w:r w:rsidRPr="00CD2ADD">
              <w:rPr>
                <w:color w:val="000000" w:themeColor="text1"/>
                <w:sz w:val="22"/>
                <w:szCs w:val="22"/>
              </w:rPr>
              <w:t>29</w:t>
            </w:r>
          </w:p>
        </w:tc>
      </w:tr>
      <w:tr w:rsidR="00AD320A" w:rsidRPr="00CD2ADD" w14:paraId="301717D7" w14:textId="77777777" w:rsidTr="001C3955">
        <w:trPr>
          <w:cnfStyle w:val="000000100000" w:firstRow="0" w:lastRow="0" w:firstColumn="0" w:lastColumn="0" w:oddVBand="0" w:evenVBand="0" w:oddHBand="1"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tcPr>
          <w:p w14:paraId="53219642" w14:textId="3C04449A" w:rsidR="00AD320A" w:rsidRPr="00CD2ADD" w:rsidRDefault="00AD320A" w:rsidP="00AD320A">
            <w:pPr>
              <w:rPr>
                <w:i/>
                <w:iCs/>
                <w:color w:val="000000" w:themeColor="text1"/>
                <w:sz w:val="22"/>
                <w:szCs w:val="22"/>
              </w:rPr>
            </w:pPr>
            <w:r w:rsidRPr="00CD2ADD">
              <w:rPr>
                <w:i/>
                <w:iCs/>
                <w:color w:val="000000" w:themeColor="text1"/>
                <w:sz w:val="22"/>
                <w:szCs w:val="22"/>
              </w:rPr>
              <w:t xml:space="preserve">Costuri acoperite din bugetul de stat </w:t>
            </w:r>
          </w:p>
        </w:tc>
        <w:tc>
          <w:tcPr>
            <w:tcW w:w="1814" w:type="dxa"/>
            <w:vMerge/>
            <w:tcBorders>
              <w:left w:val="single" w:sz="4" w:space="0" w:color="auto"/>
              <w:right w:val="single" w:sz="4" w:space="0" w:color="auto"/>
            </w:tcBorders>
            <w:vAlign w:val="center"/>
          </w:tcPr>
          <w:p w14:paraId="4A8E5704" w14:textId="77777777" w:rsidR="00AD320A" w:rsidRPr="00CD2ADD" w:rsidRDefault="00AD320A" w:rsidP="00AD320A">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tcPr>
          <w:p w14:paraId="51AD03A7" w14:textId="7A6E0C11"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r w:rsidRPr="00CD2ADD">
              <w:rPr>
                <w:b/>
                <w:bCs/>
                <w:color w:val="000000" w:themeColor="text1"/>
                <w:sz w:val="22"/>
                <w:szCs w:val="22"/>
              </w:rPr>
              <w:t>1</w:t>
            </w:r>
            <w:r w:rsidR="00907828" w:rsidRPr="00CD2ADD">
              <w:rPr>
                <w:b/>
                <w:bCs/>
                <w:color w:val="000000" w:themeColor="text1"/>
                <w:sz w:val="22"/>
                <w:szCs w:val="22"/>
              </w:rPr>
              <w:t>3,</w:t>
            </w:r>
            <w:r w:rsidR="006506E1" w:rsidRPr="00CD2ADD">
              <w:rPr>
                <w:b/>
                <w:bCs/>
                <w:color w:val="000000" w:themeColor="text1"/>
                <w:sz w:val="22"/>
                <w:szCs w:val="22"/>
              </w:rPr>
              <w:t>289</w:t>
            </w:r>
          </w:p>
        </w:tc>
        <w:tc>
          <w:tcPr>
            <w:tcW w:w="867" w:type="dxa"/>
            <w:vAlign w:val="center"/>
          </w:tcPr>
          <w:p w14:paraId="7571F747" w14:textId="56B7EEE1" w:rsidR="00AD320A" w:rsidRPr="00CD2ADD" w:rsidRDefault="00AE7A3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3,</w:t>
            </w:r>
            <w:r w:rsidR="006506E1" w:rsidRPr="00CD2ADD">
              <w:rPr>
                <w:color w:val="000000" w:themeColor="text1"/>
                <w:sz w:val="22"/>
                <w:szCs w:val="22"/>
              </w:rPr>
              <w:t>601</w:t>
            </w:r>
          </w:p>
        </w:tc>
        <w:tc>
          <w:tcPr>
            <w:tcW w:w="878" w:type="dxa"/>
            <w:vAlign w:val="center"/>
          </w:tcPr>
          <w:p w14:paraId="3028684A" w14:textId="15EA6532"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4,</w:t>
            </w:r>
            <w:r w:rsidR="0060760D" w:rsidRPr="00CD2ADD">
              <w:rPr>
                <w:color w:val="000000" w:themeColor="text1"/>
                <w:sz w:val="22"/>
                <w:szCs w:val="22"/>
              </w:rPr>
              <w:t>931</w:t>
            </w:r>
          </w:p>
        </w:tc>
        <w:tc>
          <w:tcPr>
            <w:tcW w:w="850" w:type="dxa"/>
            <w:noWrap/>
            <w:vAlign w:val="center"/>
          </w:tcPr>
          <w:p w14:paraId="19359E5A" w14:textId="6A65DEB2" w:rsidR="00AD320A" w:rsidRPr="00CD2ADD" w:rsidRDefault="008B0A67"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2,651</w:t>
            </w:r>
          </w:p>
        </w:tc>
        <w:tc>
          <w:tcPr>
            <w:tcW w:w="851" w:type="dxa"/>
            <w:noWrap/>
            <w:vAlign w:val="center"/>
          </w:tcPr>
          <w:p w14:paraId="39089067" w14:textId="02DBB96E" w:rsidR="00AD320A" w:rsidRPr="00CD2ADD" w:rsidRDefault="000769C2"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1,151</w:t>
            </w:r>
          </w:p>
        </w:tc>
        <w:tc>
          <w:tcPr>
            <w:tcW w:w="792" w:type="dxa"/>
            <w:noWrap/>
            <w:vAlign w:val="center"/>
          </w:tcPr>
          <w:p w14:paraId="1898919E" w14:textId="44248CE2" w:rsidR="00AD320A" w:rsidRPr="00CD2ADD" w:rsidRDefault="000769C2"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9</w:t>
            </w:r>
            <w:r w:rsidR="00AD320A" w:rsidRPr="00CD2ADD">
              <w:rPr>
                <w:color w:val="000000" w:themeColor="text1"/>
                <w:sz w:val="22"/>
                <w:szCs w:val="22"/>
              </w:rPr>
              <w:t>51</w:t>
            </w:r>
          </w:p>
        </w:tc>
      </w:tr>
      <w:tr w:rsidR="00AD320A" w:rsidRPr="00CD2ADD" w14:paraId="480FE01A" w14:textId="77777777" w:rsidTr="001C3955">
        <w:trPr>
          <w:trHeight w:val="965"/>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tcPr>
          <w:p w14:paraId="00FA6ADA" w14:textId="245DF639" w:rsidR="00AD320A" w:rsidRPr="00CD2ADD" w:rsidRDefault="00AD320A" w:rsidP="00AD320A">
            <w:pPr>
              <w:rPr>
                <w:i/>
                <w:iCs/>
                <w:color w:val="000000" w:themeColor="text1"/>
                <w:sz w:val="22"/>
                <w:szCs w:val="22"/>
              </w:rPr>
            </w:pPr>
            <w:r w:rsidRPr="00CD2ADD">
              <w:rPr>
                <w:i/>
                <w:iCs/>
                <w:color w:val="000000" w:themeColor="text1"/>
                <w:sz w:val="22"/>
                <w:szCs w:val="22"/>
              </w:rPr>
              <w:t>Costuri acoperite din asistenta externa</w:t>
            </w:r>
          </w:p>
        </w:tc>
        <w:tc>
          <w:tcPr>
            <w:tcW w:w="1814" w:type="dxa"/>
            <w:vMerge/>
            <w:tcBorders>
              <w:left w:val="single" w:sz="4" w:space="0" w:color="auto"/>
              <w:right w:val="single" w:sz="4" w:space="0" w:color="auto"/>
            </w:tcBorders>
            <w:vAlign w:val="center"/>
          </w:tcPr>
          <w:p w14:paraId="21E1D536" w14:textId="77777777" w:rsidR="00AD320A" w:rsidRPr="00CD2ADD" w:rsidRDefault="00AD320A" w:rsidP="00AD320A">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tcPr>
          <w:p w14:paraId="6FBD2BF1" w14:textId="1E448BAF" w:rsidR="00AD320A" w:rsidRPr="00CD2ADD" w:rsidRDefault="00AD320A" w:rsidP="00AD320A">
            <w:pP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CD2ADD">
              <w:rPr>
                <w:b/>
                <w:bCs/>
                <w:color w:val="000000" w:themeColor="text1"/>
                <w:sz w:val="22"/>
                <w:szCs w:val="22"/>
              </w:rPr>
              <w:t>9</w:t>
            </w:r>
            <w:r w:rsidR="00907828" w:rsidRPr="00CD2ADD">
              <w:rPr>
                <w:b/>
                <w:bCs/>
                <w:color w:val="000000" w:themeColor="text1"/>
                <w:sz w:val="22"/>
                <w:szCs w:val="22"/>
              </w:rPr>
              <w:t>7,024</w:t>
            </w:r>
          </w:p>
        </w:tc>
        <w:tc>
          <w:tcPr>
            <w:tcW w:w="867" w:type="dxa"/>
            <w:vAlign w:val="center"/>
          </w:tcPr>
          <w:p w14:paraId="474BB227" w14:textId="29D1CFF0" w:rsidR="00AD320A" w:rsidRPr="00CD2ADD" w:rsidRDefault="00AD320A"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67,</w:t>
            </w:r>
            <w:r w:rsidR="0060760D" w:rsidRPr="00CD2ADD">
              <w:rPr>
                <w:color w:val="000000" w:themeColor="text1"/>
                <w:sz w:val="22"/>
                <w:szCs w:val="22"/>
              </w:rPr>
              <w:t>589</w:t>
            </w:r>
          </w:p>
        </w:tc>
        <w:tc>
          <w:tcPr>
            <w:tcW w:w="878" w:type="dxa"/>
            <w:vAlign w:val="center"/>
          </w:tcPr>
          <w:p w14:paraId="3DFE4C1F" w14:textId="4FA0B0D5" w:rsidR="00AD320A" w:rsidRPr="00CD2ADD" w:rsidRDefault="00AD320A"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23,</w:t>
            </w:r>
            <w:r w:rsidR="008B0A67" w:rsidRPr="00CD2ADD">
              <w:rPr>
                <w:color w:val="000000" w:themeColor="text1"/>
                <w:sz w:val="22"/>
                <w:szCs w:val="22"/>
              </w:rPr>
              <w:t>4</w:t>
            </w:r>
            <w:r w:rsidRPr="00CD2ADD">
              <w:rPr>
                <w:color w:val="000000" w:themeColor="text1"/>
                <w:sz w:val="22"/>
                <w:szCs w:val="22"/>
              </w:rPr>
              <w:t>18</w:t>
            </w:r>
          </w:p>
        </w:tc>
        <w:tc>
          <w:tcPr>
            <w:tcW w:w="850" w:type="dxa"/>
            <w:noWrap/>
            <w:vAlign w:val="center"/>
          </w:tcPr>
          <w:p w14:paraId="5FBB25D0" w14:textId="5A083A3B" w:rsidR="00AD320A" w:rsidRPr="00CD2ADD" w:rsidRDefault="00AD320A"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3,</w:t>
            </w:r>
            <w:r w:rsidR="000769C2" w:rsidRPr="00CD2ADD">
              <w:rPr>
                <w:color w:val="000000" w:themeColor="text1"/>
                <w:sz w:val="22"/>
                <w:szCs w:val="22"/>
              </w:rPr>
              <w:t>7</w:t>
            </w:r>
            <w:r w:rsidRPr="00CD2ADD">
              <w:rPr>
                <w:color w:val="000000" w:themeColor="text1"/>
                <w:sz w:val="22"/>
                <w:szCs w:val="22"/>
              </w:rPr>
              <w:t>40</w:t>
            </w:r>
          </w:p>
        </w:tc>
        <w:tc>
          <w:tcPr>
            <w:tcW w:w="851" w:type="dxa"/>
            <w:noWrap/>
            <w:vAlign w:val="center"/>
          </w:tcPr>
          <w:p w14:paraId="29A693A0" w14:textId="355AB106" w:rsidR="00AD320A" w:rsidRPr="00CD2ADD" w:rsidRDefault="00AD320A"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2,</w:t>
            </w:r>
            <w:r w:rsidR="000769C2" w:rsidRPr="00CD2ADD">
              <w:rPr>
                <w:color w:val="000000" w:themeColor="text1"/>
                <w:sz w:val="22"/>
                <w:szCs w:val="22"/>
              </w:rPr>
              <w:t>2</w:t>
            </w:r>
            <w:r w:rsidRPr="00CD2ADD">
              <w:rPr>
                <w:color w:val="000000" w:themeColor="text1"/>
                <w:sz w:val="22"/>
                <w:szCs w:val="22"/>
              </w:rPr>
              <w:t>34</w:t>
            </w:r>
          </w:p>
        </w:tc>
        <w:tc>
          <w:tcPr>
            <w:tcW w:w="792" w:type="dxa"/>
            <w:noWrap/>
            <w:vAlign w:val="center"/>
          </w:tcPr>
          <w:p w14:paraId="767A2CA6" w14:textId="5E6ECD04" w:rsidR="00AD320A" w:rsidRPr="00CD2ADD" w:rsidRDefault="000769C2" w:rsidP="00AD320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D2ADD">
              <w:rPr>
                <w:color w:val="000000" w:themeColor="text1"/>
                <w:sz w:val="22"/>
                <w:szCs w:val="22"/>
              </w:rPr>
              <w:t>3</w:t>
            </w:r>
            <w:r w:rsidR="00AD320A" w:rsidRPr="00CD2ADD">
              <w:rPr>
                <w:color w:val="000000" w:themeColor="text1"/>
                <w:sz w:val="22"/>
                <w:szCs w:val="22"/>
              </w:rPr>
              <w:t>28</w:t>
            </w:r>
          </w:p>
        </w:tc>
      </w:tr>
      <w:tr w:rsidR="00AD320A" w:rsidRPr="00CD2ADD" w14:paraId="10B94259" w14:textId="77777777" w:rsidTr="002C49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135" w:type="dxa"/>
            <w:tcBorders>
              <w:right w:val="single" w:sz="4" w:space="0" w:color="auto"/>
            </w:tcBorders>
          </w:tcPr>
          <w:p w14:paraId="6384695A" w14:textId="0025AFFB" w:rsidR="00AD320A" w:rsidRPr="00CD2ADD" w:rsidRDefault="00AD320A" w:rsidP="00AD320A">
            <w:pPr>
              <w:rPr>
                <w:i/>
                <w:iCs/>
                <w:color w:val="000000" w:themeColor="text1"/>
                <w:sz w:val="22"/>
                <w:szCs w:val="22"/>
              </w:rPr>
            </w:pPr>
            <w:r w:rsidRPr="00CD2ADD">
              <w:rPr>
                <w:i/>
                <w:iCs/>
                <w:color w:val="000000" w:themeColor="text1"/>
                <w:sz w:val="22"/>
                <w:szCs w:val="22"/>
              </w:rPr>
              <w:t>Costuri neacoperite</w:t>
            </w:r>
          </w:p>
        </w:tc>
        <w:tc>
          <w:tcPr>
            <w:tcW w:w="1814" w:type="dxa"/>
            <w:vMerge/>
            <w:tcBorders>
              <w:left w:val="single" w:sz="4" w:space="0" w:color="auto"/>
              <w:bottom w:val="single" w:sz="4" w:space="0" w:color="auto"/>
              <w:right w:val="single" w:sz="4" w:space="0" w:color="auto"/>
            </w:tcBorders>
            <w:vAlign w:val="center"/>
          </w:tcPr>
          <w:p w14:paraId="69CA923C" w14:textId="77777777" w:rsidR="00AD320A" w:rsidRPr="00CD2ADD" w:rsidRDefault="00AD320A" w:rsidP="00AD320A">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067" w:type="dxa"/>
            <w:tcBorders>
              <w:left w:val="single" w:sz="4" w:space="0" w:color="auto"/>
            </w:tcBorders>
            <w:vAlign w:val="center"/>
          </w:tcPr>
          <w:p w14:paraId="1B590142" w14:textId="581552A8"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r w:rsidRPr="00CD2ADD">
              <w:rPr>
                <w:b/>
                <w:bCs/>
                <w:color w:val="000000" w:themeColor="text1"/>
                <w:sz w:val="22"/>
                <w:szCs w:val="22"/>
              </w:rPr>
              <w:t>1</w:t>
            </w:r>
            <w:r w:rsidR="00AE7A3A" w:rsidRPr="00CD2ADD">
              <w:rPr>
                <w:b/>
                <w:bCs/>
                <w:color w:val="000000" w:themeColor="text1"/>
                <w:sz w:val="22"/>
                <w:szCs w:val="22"/>
              </w:rPr>
              <w:t xml:space="preserve">9, </w:t>
            </w:r>
            <w:r w:rsidR="006506E1" w:rsidRPr="00CD2ADD">
              <w:rPr>
                <w:b/>
                <w:bCs/>
                <w:color w:val="000000" w:themeColor="text1"/>
                <w:sz w:val="22"/>
                <w:szCs w:val="22"/>
              </w:rPr>
              <w:t>51</w:t>
            </w:r>
            <w:r w:rsidR="00AE7A3A" w:rsidRPr="00CD2ADD">
              <w:rPr>
                <w:b/>
                <w:bCs/>
                <w:color w:val="000000" w:themeColor="text1"/>
                <w:sz w:val="22"/>
                <w:szCs w:val="22"/>
              </w:rPr>
              <w:t>5</w:t>
            </w:r>
          </w:p>
        </w:tc>
        <w:tc>
          <w:tcPr>
            <w:tcW w:w="867" w:type="dxa"/>
            <w:vAlign w:val="center"/>
          </w:tcPr>
          <w:p w14:paraId="40920550" w14:textId="3C6B0375"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5,</w:t>
            </w:r>
            <w:r w:rsidR="0060760D" w:rsidRPr="00CD2ADD">
              <w:rPr>
                <w:color w:val="000000" w:themeColor="text1"/>
                <w:sz w:val="22"/>
                <w:szCs w:val="22"/>
              </w:rPr>
              <w:t>135</w:t>
            </w:r>
          </w:p>
        </w:tc>
        <w:tc>
          <w:tcPr>
            <w:tcW w:w="878" w:type="dxa"/>
            <w:vAlign w:val="center"/>
          </w:tcPr>
          <w:p w14:paraId="3CE29AB7" w14:textId="1982768F"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10,</w:t>
            </w:r>
            <w:r w:rsidR="008B0A67" w:rsidRPr="00CD2ADD">
              <w:rPr>
                <w:color w:val="000000" w:themeColor="text1"/>
                <w:sz w:val="22"/>
                <w:szCs w:val="22"/>
              </w:rPr>
              <w:t>8</w:t>
            </w:r>
            <w:r w:rsidRPr="00CD2ADD">
              <w:rPr>
                <w:color w:val="000000" w:themeColor="text1"/>
                <w:sz w:val="22"/>
                <w:szCs w:val="22"/>
              </w:rPr>
              <w:t>40</w:t>
            </w:r>
          </w:p>
        </w:tc>
        <w:tc>
          <w:tcPr>
            <w:tcW w:w="850" w:type="dxa"/>
            <w:noWrap/>
            <w:vAlign w:val="center"/>
          </w:tcPr>
          <w:p w14:paraId="5C56315A" w14:textId="57419E6E"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w:t>
            </w:r>
            <w:r w:rsidR="000769C2" w:rsidRPr="00CD2ADD">
              <w:rPr>
                <w:color w:val="000000" w:themeColor="text1"/>
                <w:sz w:val="22"/>
                <w:szCs w:val="22"/>
              </w:rPr>
              <w:t>8</w:t>
            </w:r>
            <w:r w:rsidRPr="00CD2ADD">
              <w:rPr>
                <w:color w:val="000000" w:themeColor="text1"/>
                <w:sz w:val="22"/>
                <w:szCs w:val="22"/>
              </w:rPr>
              <w:t>90</w:t>
            </w:r>
          </w:p>
        </w:tc>
        <w:tc>
          <w:tcPr>
            <w:tcW w:w="851" w:type="dxa"/>
            <w:noWrap/>
            <w:vAlign w:val="center"/>
          </w:tcPr>
          <w:p w14:paraId="71B01F7C" w14:textId="4F0100D6" w:rsidR="00AD320A" w:rsidRPr="00CD2ADD" w:rsidRDefault="000769C2"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1,300</w:t>
            </w:r>
          </w:p>
        </w:tc>
        <w:tc>
          <w:tcPr>
            <w:tcW w:w="792" w:type="dxa"/>
            <w:noWrap/>
            <w:vAlign w:val="center"/>
          </w:tcPr>
          <w:p w14:paraId="0CB4D76E" w14:textId="530B4DE9" w:rsidR="00AD320A" w:rsidRPr="00CD2ADD" w:rsidRDefault="00AD320A" w:rsidP="00AD320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D2ADD">
              <w:rPr>
                <w:color w:val="000000" w:themeColor="text1"/>
                <w:sz w:val="22"/>
                <w:szCs w:val="22"/>
              </w:rPr>
              <w:t>350</w:t>
            </w:r>
          </w:p>
        </w:tc>
      </w:tr>
    </w:tbl>
    <w:p w14:paraId="51554E85" w14:textId="77777777" w:rsidR="00041818" w:rsidRPr="00CD2ADD" w:rsidRDefault="00041818" w:rsidP="006E0F69">
      <w:pPr>
        <w:pStyle w:val="Heading1"/>
        <w:spacing w:before="0" w:after="120"/>
        <w:rPr>
          <w:rFonts w:ascii="Times New Roman" w:hAnsi="Times New Roman" w:cs="Times New Roman"/>
          <w:szCs w:val="32"/>
        </w:rPr>
        <w:sectPr w:rsidR="00041818" w:rsidRPr="00CD2ADD" w:rsidSect="00041818">
          <w:pgSz w:w="16838" w:h="11906" w:orient="landscape"/>
          <w:pgMar w:top="1080" w:right="1440" w:bottom="1080" w:left="1440" w:header="567" w:footer="567" w:gutter="0"/>
          <w:pgNumType w:start="0"/>
          <w:cols w:space="708"/>
          <w:titlePg/>
          <w:docGrid w:linePitch="360"/>
        </w:sectPr>
      </w:pPr>
      <w:bookmarkStart w:id="86" w:name="_Toc198493347"/>
    </w:p>
    <w:bookmarkEnd w:id="86"/>
    <w:p w14:paraId="1E1C38AC" w14:textId="7B056F58" w:rsidR="004325A0" w:rsidRPr="00CD2ADD" w:rsidRDefault="004325A0" w:rsidP="00E5345D">
      <w:pPr>
        <w:pStyle w:val="Heading1"/>
        <w:spacing w:before="0"/>
        <w:jc w:val="center"/>
        <w:rPr>
          <w:rFonts w:ascii="Times New Roman" w:hAnsi="Times New Roman" w:cs="Times New Roman"/>
          <w:b/>
          <w:bCs w:val="0"/>
          <w:color w:val="000000" w:themeColor="text1"/>
          <w:sz w:val="24"/>
          <w:szCs w:val="24"/>
        </w:rPr>
      </w:pPr>
      <w:r w:rsidRPr="00CD2ADD">
        <w:rPr>
          <w:rFonts w:ascii="Times New Roman" w:hAnsi="Times New Roman" w:cs="Times New Roman"/>
          <w:b/>
          <w:bCs w:val="0"/>
          <w:color w:val="000000" w:themeColor="text1"/>
          <w:sz w:val="24"/>
          <w:szCs w:val="24"/>
        </w:rPr>
        <w:lastRenderedPageBreak/>
        <w:t>Capitolul VII</w:t>
      </w:r>
    </w:p>
    <w:p w14:paraId="427ADA52" w14:textId="417DF467" w:rsidR="004325A0" w:rsidRPr="00CD2ADD" w:rsidRDefault="004325A0" w:rsidP="00E5345D">
      <w:pPr>
        <w:pStyle w:val="Heading1"/>
        <w:spacing w:before="0"/>
        <w:jc w:val="center"/>
        <w:rPr>
          <w:rFonts w:ascii="Times New Roman" w:hAnsi="Times New Roman" w:cs="Times New Roman"/>
          <w:b/>
          <w:bCs w:val="0"/>
          <w:color w:val="000000" w:themeColor="text1"/>
          <w:sz w:val="24"/>
          <w:szCs w:val="24"/>
        </w:rPr>
      </w:pPr>
      <w:r w:rsidRPr="00CD2ADD">
        <w:rPr>
          <w:rFonts w:ascii="Times New Roman" w:hAnsi="Times New Roman" w:cs="Times New Roman"/>
          <w:b/>
          <w:bCs w:val="0"/>
          <w:color w:val="000000" w:themeColor="text1"/>
          <w:sz w:val="24"/>
          <w:szCs w:val="24"/>
        </w:rPr>
        <w:t>RISCURI DE IMPLEMENTARE</w:t>
      </w:r>
    </w:p>
    <w:p w14:paraId="108FF42E" w14:textId="1F370DE1" w:rsidR="003E64D2" w:rsidRDefault="003E64D2" w:rsidP="00B737D1">
      <w:pPr>
        <w:pStyle w:val="ListParagraph"/>
        <w:numPr>
          <w:ilvl w:val="0"/>
          <w:numId w:val="65"/>
        </w:numPr>
        <w:tabs>
          <w:tab w:val="left" w:pos="851"/>
        </w:tabs>
        <w:spacing w:before="100" w:beforeAutospacing="1" w:after="100" w:afterAutospacing="1"/>
        <w:ind w:left="0" w:firstLine="360"/>
        <w:jc w:val="both"/>
        <w:rPr>
          <w:rFonts w:ascii="Times New Roman" w:hAnsi="Times New Roman" w:cs="Times New Roman"/>
          <w:color w:val="auto"/>
          <w:sz w:val="24"/>
          <w:szCs w:val="24"/>
        </w:rPr>
      </w:pPr>
      <w:r w:rsidRPr="00B737D1">
        <w:rPr>
          <w:rFonts w:ascii="Times New Roman" w:hAnsi="Times New Roman" w:cs="Times New Roman"/>
          <w:color w:val="auto"/>
          <w:sz w:val="24"/>
          <w:szCs w:val="24"/>
        </w:rPr>
        <w:t>Implementarea Programului Național de Reducere a Riscurilor de Dezastru în domeniul mediului poate fi afectată de un set complex de riscuri instituționale, financiare, tehnice și climatice. Identificarea timpurie și gestionarea acestor riscuri este esențială pentru atingerea obiectivelor programului. Tabelul de mai jos sintetizează principalele riscuri anticipate și măsurile de atenuare recomandate.</w:t>
      </w:r>
    </w:p>
    <w:p w14:paraId="4890DFCA" w14:textId="6D147DEE" w:rsidR="00E95D62" w:rsidRDefault="00E95D62" w:rsidP="00E95D62">
      <w:pPr>
        <w:pStyle w:val="ListParagraph"/>
        <w:tabs>
          <w:tab w:val="left" w:pos="851"/>
        </w:tabs>
        <w:spacing w:after="0"/>
        <w:ind w:left="360" w:firstLine="0"/>
        <w:jc w:val="right"/>
        <w:rPr>
          <w:rFonts w:ascii="Times New Roman" w:hAnsi="Times New Roman" w:cs="Times New Roman"/>
          <w:b/>
          <w:bCs/>
          <w:color w:val="auto"/>
          <w:sz w:val="24"/>
          <w:szCs w:val="24"/>
        </w:rPr>
      </w:pPr>
      <w:r w:rsidRPr="00E95D62">
        <w:rPr>
          <w:rFonts w:ascii="Times New Roman" w:hAnsi="Times New Roman" w:cs="Times New Roman"/>
          <w:b/>
          <w:bCs/>
          <w:color w:val="auto"/>
          <w:sz w:val="24"/>
          <w:szCs w:val="24"/>
        </w:rPr>
        <w:t>Tabelul 23</w:t>
      </w:r>
    </w:p>
    <w:p w14:paraId="3983FFB7" w14:textId="205BBC25" w:rsidR="00E95D62" w:rsidRPr="00E95D62" w:rsidRDefault="00E95D62" w:rsidP="00E95D62">
      <w:pPr>
        <w:pStyle w:val="ListParagraph"/>
        <w:tabs>
          <w:tab w:val="left" w:pos="851"/>
        </w:tabs>
        <w:spacing w:before="100" w:beforeAutospacing="1" w:after="100" w:afterAutospacing="1"/>
        <w:ind w:left="360" w:firstLine="0"/>
        <w:jc w:val="center"/>
        <w:rPr>
          <w:rFonts w:ascii="Times New Roman" w:hAnsi="Times New Roman" w:cs="Times New Roman"/>
          <w:b/>
          <w:bCs/>
          <w:color w:val="auto"/>
          <w:sz w:val="24"/>
          <w:szCs w:val="24"/>
        </w:rPr>
      </w:pPr>
      <w:r w:rsidRPr="00E95D62">
        <w:rPr>
          <w:rFonts w:ascii="Times New Roman" w:hAnsi="Times New Roman" w:cs="Times New Roman"/>
          <w:b/>
          <w:bCs/>
          <w:color w:val="auto"/>
          <w:sz w:val="24"/>
          <w:szCs w:val="24"/>
          <w:lang w:val="ro-RO"/>
        </w:rPr>
        <w:t>Riscurile pentru implementarea Programului</w:t>
      </w:r>
    </w:p>
    <w:tbl>
      <w:tblPr>
        <w:tblStyle w:val="GridTable7ColourfulAccent11"/>
        <w:tblW w:w="0" w:type="auto"/>
        <w:tblLook w:val="04A0" w:firstRow="1" w:lastRow="0" w:firstColumn="1" w:lastColumn="0" w:noHBand="0" w:noVBand="1"/>
      </w:tblPr>
      <w:tblGrid>
        <w:gridCol w:w="2410"/>
        <w:gridCol w:w="992"/>
        <w:gridCol w:w="6344"/>
      </w:tblGrid>
      <w:tr w:rsidR="003E64D2" w:rsidRPr="00CD2ADD" w14:paraId="245A9568" w14:textId="77777777" w:rsidTr="005B12F9">
        <w:trPr>
          <w:cnfStyle w:val="100000000000" w:firstRow="1" w:lastRow="0" w:firstColumn="0" w:lastColumn="0" w:oddVBand="0" w:evenVBand="0" w:oddHBand="0" w:evenHBand="0" w:firstRowFirstColumn="0" w:firstRowLastColumn="0" w:lastRowFirstColumn="0" w:lastRowLastColumn="0"/>
          <w:trHeight w:val="499"/>
        </w:trPr>
        <w:tc>
          <w:tcPr>
            <w:cnfStyle w:val="001000000100" w:firstRow="0" w:lastRow="0" w:firstColumn="1" w:lastColumn="0" w:oddVBand="0" w:evenVBand="0" w:oddHBand="0" w:evenHBand="0" w:firstRowFirstColumn="1" w:firstRowLastColumn="0" w:lastRowFirstColumn="0" w:lastRowLastColumn="0"/>
            <w:tcW w:w="2410" w:type="dxa"/>
            <w:hideMark/>
          </w:tcPr>
          <w:p w14:paraId="7D9746E6" w14:textId="77777777" w:rsidR="003E64D2" w:rsidRPr="00CD2ADD" w:rsidRDefault="003E64D2" w:rsidP="003E64D2">
            <w:pPr>
              <w:jc w:val="left"/>
              <w:rPr>
                <w:sz w:val="21"/>
                <w:szCs w:val="21"/>
              </w:rPr>
            </w:pPr>
            <w:r w:rsidRPr="00CD2ADD">
              <w:rPr>
                <w:sz w:val="21"/>
                <w:szCs w:val="21"/>
              </w:rPr>
              <w:t>Riscuri anticipate</w:t>
            </w:r>
          </w:p>
        </w:tc>
        <w:tc>
          <w:tcPr>
            <w:tcW w:w="992" w:type="dxa"/>
            <w:hideMark/>
          </w:tcPr>
          <w:p w14:paraId="2F87DC9E" w14:textId="77777777" w:rsidR="003E64D2" w:rsidRPr="00CD2ADD" w:rsidRDefault="003E64D2" w:rsidP="003E64D2">
            <w:pPr>
              <w:cnfStyle w:val="100000000000" w:firstRow="1" w:lastRow="0" w:firstColumn="0" w:lastColumn="0" w:oddVBand="0" w:evenVBand="0" w:oddHBand="0" w:evenHBand="0" w:firstRowFirstColumn="0" w:firstRowLastColumn="0" w:lastRowFirstColumn="0" w:lastRowLastColumn="0"/>
              <w:rPr>
                <w:sz w:val="21"/>
                <w:szCs w:val="21"/>
              </w:rPr>
            </w:pPr>
            <w:r w:rsidRPr="00CD2ADD">
              <w:rPr>
                <w:sz w:val="21"/>
                <w:szCs w:val="21"/>
              </w:rPr>
              <w:t>Nivelul riscului</w:t>
            </w:r>
          </w:p>
        </w:tc>
        <w:tc>
          <w:tcPr>
            <w:tcW w:w="6344" w:type="dxa"/>
            <w:hideMark/>
          </w:tcPr>
          <w:p w14:paraId="0A276501" w14:textId="406FB225" w:rsidR="003E64D2" w:rsidRPr="00CD2ADD" w:rsidRDefault="003E64D2" w:rsidP="003E64D2">
            <w:pPr>
              <w:jc w:val="center"/>
              <w:cnfStyle w:val="100000000000" w:firstRow="1" w:lastRow="0" w:firstColumn="0" w:lastColumn="0" w:oddVBand="0" w:evenVBand="0" w:oddHBand="0" w:evenHBand="0" w:firstRowFirstColumn="0" w:firstRowLastColumn="0" w:lastRowFirstColumn="0" w:lastRowLastColumn="0"/>
              <w:rPr>
                <w:sz w:val="21"/>
                <w:szCs w:val="21"/>
              </w:rPr>
            </w:pPr>
            <w:r w:rsidRPr="00CD2ADD">
              <w:rPr>
                <w:sz w:val="21"/>
                <w:szCs w:val="21"/>
              </w:rPr>
              <w:t>Măsuri de atenuare propuse</w:t>
            </w:r>
          </w:p>
        </w:tc>
      </w:tr>
      <w:tr w:rsidR="003E64D2" w:rsidRPr="00CD2ADD" w14:paraId="5112C841" w14:textId="77777777" w:rsidTr="005B12F9">
        <w:trPr>
          <w:cnfStyle w:val="000000100000" w:firstRow="0" w:lastRow="0" w:firstColumn="0" w:lastColumn="0" w:oddVBand="0" w:evenVBand="0" w:oddHBand="1" w:evenHBand="0" w:firstRowFirstColumn="0" w:firstRowLastColumn="0" w:lastRowFirstColumn="0" w:lastRowLastColumn="0"/>
          <w:trHeight w:val="2704"/>
        </w:trPr>
        <w:tc>
          <w:tcPr>
            <w:cnfStyle w:val="001000000000" w:firstRow="0" w:lastRow="0" w:firstColumn="1" w:lastColumn="0" w:oddVBand="0" w:evenVBand="0" w:oddHBand="0" w:evenHBand="0" w:firstRowFirstColumn="0" w:firstRowLastColumn="0" w:lastRowFirstColumn="0" w:lastRowLastColumn="0"/>
            <w:tcW w:w="2410" w:type="dxa"/>
            <w:hideMark/>
          </w:tcPr>
          <w:p w14:paraId="4222798B" w14:textId="77777777" w:rsidR="003E64D2" w:rsidRPr="00CD2ADD" w:rsidRDefault="003E64D2" w:rsidP="003E64D2">
            <w:pPr>
              <w:jc w:val="left"/>
              <w:rPr>
                <w:sz w:val="21"/>
                <w:szCs w:val="21"/>
              </w:rPr>
            </w:pPr>
            <w:r w:rsidRPr="00CD2ADD">
              <w:rPr>
                <w:sz w:val="21"/>
                <w:szCs w:val="21"/>
              </w:rPr>
              <w:t>1. Subfinanțarea măsurilor de prevenire, adaptare și restaurare ecologică</w:t>
            </w:r>
          </w:p>
        </w:tc>
        <w:tc>
          <w:tcPr>
            <w:tcW w:w="992" w:type="dxa"/>
            <w:hideMark/>
          </w:tcPr>
          <w:p w14:paraId="3F9D9D44" w14:textId="77777777" w:rsidR="003E64D2" w:rsidRPr="00CD2ADD" w:rsidRDefault="003E64D2" w:rsidP="003E64D2">
            <w:pPr>
              <w:cnfStyle w:val="000000100000" w:firstRow="0" w:lastRow="0" w:firstColumn="0" w:lastColumn="0" w:oddVBand="0" w:evenVBand="0" w:oddHBand="1" w:evenHBand="0" w:firstRowFirstColumn="0" w:firstRowLastColumn="0" w:lastRowFirstColumn="0" w:lastRowLastColumn="0"/>
              <w:rPr>
                <w:sz w:val="21"/>
                <w:szCs w:val="21"/>
              </w:rPr>
            </w:pPr>
            <w:r w:rsidRPr="00CD2ADD">
              <w:rPr>
                <w:sz w:val="21"/>
                <w:szCs w:val="21"/>
              </w:rPr>
              <w:t>Înalt</w:t>
            </w:r>
          </w:p>
        </w:tc>
        <w:tc>
          <w:tcPr>
            <w:tcW w:w="6344" w:type="dxa"/>
            <w:hideMark/>
          </w:tcPr>
          <w:p w14:paraId="1CA71664" w14:textId="28E68D25" w:rsidR="003E64D2" w:rsidRPr="00CD2ADD" w:rsidRDefault="003E64D2" w:rsidP="003E64D2">
            <w:pPr>
              <w:cnfStyle w:val="000000100000" w:firstRow="0" w:lastRow="0" w:firstColumn="0" w:lastColumn="0" w:oddVBand="0" w:evenVBand="0" w:oddHBand="1" w:evenHBand="0" w:firstRowFirstColumn="0" w:firstRowLastColumn="0" w:lastRowFirstColumn="0" w:lastRowLastColumn="0"/>
              <w:rPr>
                <w:sz w:val="21"/>
                <w:szCs w:val="21"/>
              </w:rPr>
            </w:pPr>
            <w:r w:rsidRPr="00CD2ADD">
              <w:rPr>
                <w:sz w:val="21"/>
                <w:szCs w:val="21"/>
              </w:rPr>
              <w:t>- Prioritizarea investițiilor cu cel mai mare impact preventiv și co-beneficii climatice (ex. fâșii riverane, diguri verzi, împăduriri, managementul apelor).</w:t>
            </w:r>
            <w:r w:rsidRPr="00CD2ADD">
              <w:rPr>
                <w:sz w:val="21"/>
                <w:szCs w:val="21"/>
              </w:rPr>
              <w:br/>
              <w:t>- Integrarea măsurilor RRD în proiectele existente de mediu, agricultură și dezvoltare regională pentru a accesa finanțare multiplă (cross-financing).</w:t>
            </w:r>
            <w:r w:rsidRPr="00CD2ADD">
              <w:rPr>
                <w:sz w:val="21"/>
                <w:szCs w:val="21"/>
              </w:rPr>
              <w:br/>
              <w:t>- Mobilizarea fondurilor internaționale relevante (GCF, LIFE, Horizon Europe, Green Agenda WB).</w:t>
            </w:r>
            <w:r w:rsidRPr="00CD2ADD">
              <w:rPr>
                <w:sz w:val="21"/>
                <w:szCs w:val="21"/>
              </w:rPr>
              <w:br/>
              <w:t>- Propunerea unui buget multianual dedicat PNRRD, corelat cu obiectivele de adaptare și schimbări climatice din PNASC și SNDD.</w:t>
            </w:r>
          </w:p>
        </w:tc>
      </w:tr>
      <w:tr w:rsidR="003E64D2" w:rsidRPr="00CD2ADD" w14:paraId="690B0F21" w14:textId="77777777" w:rsidTr="005B12F9">
        <w:trPr>
          <w:trHeight w:val="2017"/>
        </w:trPr>
        <w:tc>
          <w:tcPr>
            <w:cnfStyle w:val="001000000000" w:firstRow="0" w:lastRow="0" w:firstColumn="1" w:lastColumn="0" w:oddVBand="0" w:evenVBand="0" w:oddHBand="0" w:evenHBand="0" w:firstRowFirstColumn="0" w:firstRowLastColumn="0" w:lastRowFirstColumn="0" w:lastRowLastColumn="0"/>
            <w:tcW w:w="2410" w:type="dxa"/>
            <w:hideMark/>
          </w:tcPr>
          <w:p w14:paraId="58993BDB" w14:textId="77777777" w:rsidR="003E64D2" w:rsidRPr="00CD2ADD" w:rsidRDefault="003E64D2" w:rsidP="003E64D2">
            <w:pPr>
              <w:jc w:val="left"/>
              <w:rPr>
                <w:sz w:val="21"/>
                <w:szCs w:val="21"/>
              </w:rPr>
            </w:pPr>
            <w:r w:rsidRPr="00CD2ADD">
              <w:rPr>
                <w:sz w:val="21"/>
                <w:szCs w:val="21"/>
              </w:rPr>
              <w:t>2. Lipsa de capacitate instituțională și resurse umane specializate în instituțiile de mediu pentru aplicarea integrată a RRD</w:t>
            </w:r>
          </w:p>
        </w:tc>
        <w:tc>
          <w:tcPr>
            <w:tcW w:w="992" w:type="dxa"/>
            <w:hideMark/>
          </w:tcPr>
          <w:p w14:paraId="099A1D06" w14:textId="77777777" w:rsidR="003E64D2" w:rsidRPr="00CD2ADD" w:rsidRDefault="003E64D2" w:rsidP="003E64D2">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Mediu</w:t>
            </w:r>
          </w:p>
        </w:tc>
        <w:tc>
          <w:tcPr>
            <w:tcW w:w="6344" w:type="dxa"/>
            <w:hideMark/>
          </w:tcPr>
          <w:p w14:paraId="78582832" w14:textId="77777777" w:rsidR="003E64D2" w:rsidRPr="00CD2ADD" w:rsidRDefault="003E64D2" w:rsidP="003E64D2">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Desemnarea unui punct focal RRD în cadrul MM și în agențiile subordonate.</w:t>
            </w:r>
            <w:r w:rsidRPr="00CD2ADD">
              <w:rPr>
                <w:sz w:val="21"/>
                <w:szCs w:val="21"/>
              </w:rPr>
              <w:br/>
              <w:t>- Plan de formare profesională pentru personal tehnic (GIS, elaborare hărți de risc, modelare hidrologică etc.).</w:t>
            </w:r>
            <w:r w:rsidRPr="00CD2ADD">
              <w:rPr>
                <w:sz w:val="21"/>
                <w:szCs w:val="21"/>
              </w:rPr>
              <w:br/>
              <w:t>- Instruiri comune MM–IGSU–autorități locale pentru planificare integrată și interoperabilitate.</w:t>
            </w:r>
            <w:r w:rsidRPr="00CD2ADD">
              <w:rPr>
                <w:sz w:val="21"/>
                <w:szCs w:val="21"/>
              </w:rPr>
              <w:br/>
              <w:t>- Încurajarea retenției experților prin asigurarea de posturi permanente și crearea unei rețele de experți sectoriali RRD.</w:t>
            </w:r>
          </w:p>
        </w:tc>
      </w:tr>
      <w:tr w:rsidR="00486071" w:rsidRPr="00CD2ADD" w14:paraId="2426C1B0" w14:textId="77777777" w:rsidTr="005B12F9">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410" w:type="dxa"/>
            <w:hideMark/>
          </w:tcPr>
          <w:p w14:paraId="685066B0" w14:textId="3A72D7CC" w:rsidR="003E64D2" w:rsidRPr="00CD2ADD" w:rsidRDefault="003E64D2" w:rsidP="003E64D2">
            <w:pPr>
              <w:jc w:val="left"/>
              <w:rPr>
                <w:sz w:val="21"/>
                <w:szCs w:val="21"/>
              </w:rPr>
            </w:pPr>
            <w:r w:rsidRPr="00CD2ADD">
              <w:rPr>
                <w:sz w:val="21"/>
                <w:szCs w:val="21"/>
              </w:rPr>
              <w:t>3. Coordonare insuficientă între instituțiile de mediu</w:t>
            </w:r>
            <w:r w:rsidR="009C02F7" w:rsidRPr="00CD2ADD">
              <w:rPr>
                <w:sz w:val="21"/>
                <w:szCs w:val="21"/>
              </w:rPr>
              <w:t xml:space="preserve"> </w:t>
            </w:r>
            <w:r w:rsidRPr="00CD2ADD">
              <w:rPr>
                <w:sz w:val="21"/>
                <w:szCs w:val="21"/>
              </w:rPr>
              <w:t>și alte sectoare (agricultură, sănătate, infrastructură,</w:t>
            </w:r>
            <w:r w:rsidR="00545E7A" w:rsidRPr="00CD2ADD">
              <w:rPr>
                <w:sz w:val="21"/>
                <w:szCs w:val="21"/>
              </w:rPr>
              <w:t xml:space="preserve"> migrație,</w:t>
            </w:r>
            <w:r w:rsidRPr="00CD2ADD">
              <w:rPr>
                <w:sz w:val="21"/>
                <w:szCs w:val="21"/>
              </w:rPr>
              <w:t xml:space="preserve"> autorități locale)</w:t>
            </w:r>
          </w:p>
        </w:tc>
        <w:tc>
          <w:tcPr>
            <w:tcW w:w="992" w:type="dxa"/>
            <w:hideMark/>
          </w:tcPr>
          <w:p w14:paraId="6F8057E2" w14:textId="77777777" w:rsidR="003E64D2" w:rsidRPr="00CD2ADD" w:rsidRDefault="003E64D2" w:rsidP="003E64D2">
            <w:pPr>
              <w:cnfStyle w:val="000000100000" w:firstRow="0" w:lastRow="0" w:firstColumn="0" w:lastColumn="0" w:oddVBand="0" w:evenVBand="0" w:oddHBand="1" w:evenHBand="0" w:firstRowFirstColumn="0" w:firstRowLastColumn="0" w:lastRowFirstColumn="0" w:lastRowLastColumn="0"/>
              <w:rPr>
                <w:sz w:val="21"/>
                <w:szCs w:val="21"/>
              </w:rPr>
            </w:pPr>
            <w:r w:rsidRPr="00CD2ADD">
              <w:rPr>
                <w:sz w:val="21"/>
                <w:szCs w:val="21"/>
              </w:rPr>
              <w:t>Mediu</w:t>
            </w:r>
          </w:p>
        </w:tc>
        <w:tc>
          <w:tcPr>
            <w:tcW w:w="6344" w:type="dxa"/>
            <w:hideMark/>
          </w:tcPr>
          <w:p w14:paraId="29B87329" w14:textId="77777777" w:rsidR="003E64D2" w:rsidRPr="00CD2ADD" w:rsidRDefault="003E64D2" w:rsidP="003E64D2">
            <w:pPr>
              <w:cnfStyle w:val="000000100000" w:firstRow="0" w:lastRow="0" w:firstColumn="0" w:lastColumn="0" w:oddVBand="0" w:evenVBand="0" w:oddHBand="1" w:evenHBand="0" w:firstRowFirstColumn="0" w:firstRowLastColumn="0" w:lastRowFirstColumn="0" w:lastRowLastColumn="0"/>
              <w:rPr>
                <w:sz w:val="21"/>
                <w:szCs w:val="21"/>
              </w:rPr>
            </w:pPr>
            <w:r w:rsidRPr="00CD2ADD">
              <w:rPr>
                <w:sz w:val="21"/>
                <w:szCs w:val="21"/>
              </w:rPr>
              <w:t>- Operaționalizarea Platformei Naționale RRD cu un grup tehnic sectorial mediu-climă.</w:t>
            </w:r>
            <w:r w:rsidRPr="00CD2ADD">
              <w:rPr>
                <w:sz w:val="21"/>
                <w:szCs w:val="21"/>
              </w:rPr>
              <w:br/>
              <w:t>- Semnarea de protocoale de colaborare interinstituțională (MM, MAIA, MHLSP, MADR, IGSU).</w:t>
            </w:r>
            <w:r w:rsidRPr="00CD2ADD">
              <w:rPr>
                <w:sz w:val="21"/>
                <w:szCs w:val="21"/>
              </w:rPr>
              <w:br/>
              <w:t>- Planificare intersectorială a investițiilor (ex. integrarea datelor SHS în planurile locale).</w:t>
            </w:r>
            <w:r w:rsidRPr="00CD2ADD">
              <w:rPr>
                <w:sz w:val="21"/>
                <w:szCs w:val="21"/>
              </w:rPr>
              <w:br/>
              <w:t>- Realizarea unui sistem digital de partajare și alertare în timp real (interoperabil clima.gov.md și INDS).</w:t>
            </w:r>
          </w:p>
        </w:tc>
      </w:tr>
      <w:tr w:rsidR="003E64D2" w:rsidRPr="00CD2ADD" w14:paraId="0D1FD321" w14:textId="77777777" w:rsidTr="005B12F9">
        <w:trPr>
          <w:trHeight w:val="3016"/>
        </w:trPr>
        <w:tc>
          <w:tcPr>
            <w:cnfStyle w:val="001000000000" w:firstRow="0" w:lastRow="0" w:firstColumn="1" w:lastColumn="0" w:oddVBand="0" w:evenVBand="0" w:oddHBand="0" w:evenHBand="0" w:firstRowFirstColumn="0" w:firstRowLastColumn="0" w:lastRowFirstColumn="0" w:lastRowLastColumn="0"/>
            <w:tcW w:w="2410" w:type="dxa"/>
            <w:hideMark/>
          </w:tcPr>
          <w:p w14:paraId="7DE155F3" w14:textId="77777777" w:rsidR="003E64D2" w:rsidRPr="00CD2ADD" w:rsidRDefault="003E64D2" w:rsidP="003E64D2">
            <w:pPr>
              <w:jc w:val="left"/>
              <w:rPr>
                <w:sz w:val="21"/>
                <w:szCs w:val="21"/>
              </w:rPr>
            </w:pPr>
            <w:r w:rsidRPr="00CD2ADD">
              <w:rPr>
                <w:sz w:val="21"/>
                <w:szCs w:val="21"/>
              </w:rPr>
              <w:t>4. Inerția instituțională și lipsa de voință politică susținută</w:t>
            </w:r>
          </w:p>
        </w:tc>
        <w:tc>
          <w:tcPr>
            <w:tcW w:w="992" w:type="dxa"/>
            <w:hideMark/>
          </w:tcPr>
          <w:p w14:paraId="48AB4363" w14:textId="77777777" w:rsidR="003E64D2" w:rsidRPr="00CD2ADD" w:rsidRDefault="003E64D2" w:rsidP="003E64D2">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Mediu</w:t>
            </w:r>
          </w:p>
        </w:tc>
        <w:tc>
          <w:tcPr>
            <w:tcW w:w="6344" w:type="dxa"/>
            <w:hideMark/>
          </w:tcPr>
          <w:p w14:paraId="0B71104D" w14:textId="77777777" w:rsidR="00A356F4" w:rsidRPr="00CD2ADD" w:rsidRDefault="003E64D2" w:rsidP="00A356F4">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Includerea Programului în documentele strategice naționale (ex. PNASC, SNDD, SNAC, Planul de acțiuni pentru aderare la UE).</w:t>
            </w:r>
            <w:r w:rsidRPr="00CD2ADD">
              <w:rPr>
                <w:sz w:val="21"/>
                <w:szCs w:val="21"/>
              </w:rPr>
              <w:br/>
              <w:t>- Stabilirea unui mecanism anual de raportare și evaluare în cadrul CNSC.</w:t>
            </w:r>
            <w:r w:rsidRPr="00CD2ADD">
              <w:rPr>
                <w:sz w:val="21"/>
                <w:szCs w:val="21"/>
              </w:rPr>
              <w:br/>
              <w:t>- Implicarea partenerilor de dezvoltare în co-monitorizare.</w:t>
            </w:r>
            <w:r w:rsidRPr="00CD2ADD">
              <w:rPr>
                <w:sz w:val="21"/>
                <w:szCs w:val="21"/>
              </w:rPr>
              <w:br/>
              <w:t>- Sensibilizarea decidenților cu dovezi privind impactul economic al inacțiunii (ex. costuri ale secetei 2020, inundații 2010).</w:t>
            </w:r>
            <w:r w:rsidR="00050C46" w:rsidRPr="00CD2ADD">
              <w:rPr>
                <w:sz w:val="21"/>
                <w:szCs w:val="21"/>
              </w:rPr>
              <w:t xml:space="preserve"> </w:t>
            </w:r>
          </w:p>
          <w:p w14:paraId="6D450D65" w14:textId="30320EDD" w:rsidR="00787A2D" w:rsidRPr="00CD2ADD" w:rsidRDefault="00787A2D" w:rsidP="00A356F4">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Integrarea riscurilor prin prisma mobilității umane (migrație internă, emigrare, strămutare) ilustrând modul în care dezastrele afectează direct viața, mijloacele de trai și dinamica demografică a comunităților expuse.</w:t>
            </w:r>
          </w:p>
        </w:tc>
      </w:tr>
      <w:tr w:rsidR="00486071" w:rsidRPr="00CD2ADD" w14:paraId="0F0629E4" w14:textId="77777777" w:rsidTr="005B12F9">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410" w:type="dxa"/>
            <w:hideMark/>
          </w:tcPr>
          <w:p w14:paraId="18F36126" w14:textId="77777777" w:rsidR="003E64D2" w:rsidRPr="00CD2ADD" w:rsidRDefault="003E64D2" w:rsidP="003E64D2">
            <w:pPr>
              <w:jc w:val="left"/>
              <w:rPr>
                <w:sz w:val="21"/>
                <w:szCs w:val="21"/>
              </w:rPr>
            </w:pPr>
            <w:r w:rsidRPr="00CD2ADD">
              <w:rPr>
                <w:sz w:val="21"/>
                <w:szCs w:val="21"/>
              </w:rPr>
              <w:t xml:space="preserve">5. Lipsa datelor integrate și actualizate pentru </w:t>
            </w:r>
            <w:r w:rsidRPr="00CD2ADD">
              <w:rPr>
                <w:sz w:val="21"/>
                <w:szCs w:val="21"/>
              </w:rPr>
              <w:lastRenderedPageBreak/>
              <w:t>planificarea riscurilor de mediu</w:t>
            </w:r>
          </w:p>
        </w:tc>
        <w:tc>
          <w:tcPr>
            <w:tcW w:w="992" w:type="dxa"/>
            <w:hideMark/>
          </w:tcPr>
          <w:p w14:paraId="4BE29F35" w14:textId="77777777" w:rsidR="003E64D2" w:rsidRPr="00CD2ADD" w:rsidRDefault="003E64D2" w:rsidP="003E64D2">
            <w:pPr>
              <w:cnfStyle w:val="000000100000" w:firstRow="0" w:lastRow="0" w:firstColumn="0" w:lastColumn="0" w:oddVBand="0" w:evenVBand="0" w:oddHBand="1" w:evenHBand="0" w:firstRowFirstColumn="0" w:firstRowLastColumn="0" w:lastRowFirstColumn="0" w:lastRowLastColumn="0"/>
              <w:rPr>
                <w:sz w:val="21"/>
                <w:szCs w:val="21"/>
              </w:rPr>
            </w:pPr>
            <w:r w:rsidRPr="00CD2ADD">
              <w:rPr>
                <w:sz w:val="21"/>
                <w:szCs w:val="21"/>
              </w:rPr>
              <w:lastRenderedPageBreak/>
              <w:t>Mediu</w:t>
            </w:r>
          </w:p>
        </w:tc>
        <w:tc>
          <w:tcPr>
            <w:tcW w:w="6344" w:type="dxa"/>
            <w:hideMark/>
          </w:tcPr>
          <w:p w14:paraId="50029B21" w14:textId="69F674A8" w:rsidR="003E64D2" w:rsidRPr="00CD2ADD" w:rsidRDefault="003E64D2" w:rsidP="003E64D2">
            <w:pPr>
              <w:cnfStyle w:val="000000100000" w:firstRow="0" w:lastRow="0" w:firstColumn="0" w:lastColumn="0" w:oddVBand="0" w:evenVBand="0" w:oddHBand="1" w:evenHBand="0" w:firstRowFirstColumn="0" w:firstRowLastColumn="0" w:lastRowFirstColumn="0" w:lastRowLastColumn="0"/>
              <w:rPr>
                <w:sz w:val="21"/>
                <w:szCs w:val="21"/>
              </w:rPr>
            </w:pPr>
            <w:r w:rsidRPr="00CD2ADD">
              <w:rPr>
                <w:sz w:val="21"/>
                <w:szCs w:val="21"/>
              </w:rPr>
              <w:t>- Dezvoltarea sistemului integrat de date climatice și de risc (GIS + clima.gov.md).</w:t>
            </w:r>
            <w:r w:rsidRPr="00CD2ADD">
              <w:rPr>
                <w:sz w:val="21"/>
                <w:szCs w:val="21"/>
              </w:rPr>
              <w:br/>
            </w:r>
            <w:r w:rsidRPr="00CD2ADD">
              <w:rPr>
                <w:sz w:val="21"/>
                <w:szCs w:val="21"/>
              </w:rPr>
              <w:lastRenderedPageBreak/>
              <w:t xml:space="preserve">- Interoperabilizarea platformelor SHS, AGCC, </w:t>
            </w:r>
            <w:r w:rsidR="004D250C" w:rsidRPr="00CD2ADD">
              <w:rPr>
                <w:sz w:val="21"/>
                <w:szCs w:val="21"/>
              </w:rPr>
              <w:t>Instituția Publică Administrația Națională “Apele Moldovei”</w:t>
            </w:r>
            <w:r w:rsidR="00011ADD" w:rsidRPr="00CD2ADD">
              <w:rPr>
                <w:sz w:val="21"/>
                <w:szCs w:val="21"/>
              </w:rPr>
              <w:t>, BNS</w:t>
            </w:r>
            <w:r w:rsidRPr="00CD2ADD">
              <w:rPr>
                <w:sz w:val="21"/>
                <w:szCs w:val="21"/>
              </w:rPr>
              <w:t xml:space="preserve"> </w:t>
            </w:r>
            <w:r w:rsidR="00011ADD" w:rsidRPr="00CD2ADD">
              <w:rPr>
                <w:sz w:val="21"/>
                <w:szCs w:val="21"/>
              </w:rPr>
              <w:t xml:space="preserve">, Registrul de stat al populației </w:t>
            </w:r>
            <w:r w:rsidRPr="00CD2ADD">
              <w:rPr>
                <w:sz w:val="21"/>
                <w:szCs w:val="21"/>
              </w:rPr>
              <w:t>și INDS.</w:t>
            </w:r>
            <w:r w:rsidRPr="00CD2ADD">
              <w:rPr>
                <w:sz w:val="21"/>
                <w:szCs w:val="21"/>
              </w:rPr>
              <w:br/>
              <w:t>- Hărți de risc actualizate pentru toate tipurile de hazard (secetă, inundații, incendii, eroziune sol etc.).</w:t>
            </w:r>
            <w:r w:rsidRPr="00CD2ADD">
              <w:rPr>
                <w:sz w:val="21"/>
                <w:szCs w:val="21"/>
              </w:rPr>
              <w:br/>
              <w:t>- Protocol de partajare de date între instituții și autoritățile locale.</w:t>
            </w:r>
          </w:p>
        </w:tc>
      </w:tr>
      <w:tr w:rsidR="003E64D2" w:rsidRPr="00CD2ADD" w14:paraId="31EA5AB0" w14:textId="77777777" w:rsidTr="005B12F9">
        <w:trPr>
          <w:trHeight w:val="1258"/>
        </w:trPr>
        <w:tc>
          <w:tcPr>
            <w:cnfStyle w:val="001000000000" w:firstRow="0" w:lastRow="0" w:firstColumn="1" w:lastColumn="0" w:oddVBand="0" w:evenVBand="0" w:oddHBand="0" w:evenHBand="0" w:firstRowFirstColumn="0" w:firstRowLastColumn="0" w:lastRowFirstColumn="0" w:lastRowLastColumn="0"/>
            <w:tcW w:w="2410" w:type="dxa"/>
            <w:hideMark/>
          </w:tcPr>
          <w:p w14:paraId="7A81CEB1" w14:textId="77777777" w:rsidR="003E64D2" w:rsidRPr="00CD2ADD" w:rsidRDefault="003E64D2" w:rsidP="003E64D2">
            <w:pPr>
              <w:jc w:val="left"/>
              <w:rPr>
                <w:sz w:val="21"/>
                <w:szCs w:val="21"/>
              </w:rPr>
            </w:pPr>
            <w:r w:rsidRPr="00CD2ADD">
              <w:rPr>
                <w:sz w:val="21"/>
                <w:szCs w:val="21"/>
              </w:rPr>
              <w:lastRenderedPageBreak/>
              <w:t>6. Vulnerabilitatea crescută a infrastructurii ecologice în fața schimbărilor climatice</w:t>
            </w:r>
          </w:p>
        </w:tc>
        <w:tc>
          <w:tcPr>
            <w:tcW w:w="992" w:type="dxa"/>
            <w:hideMark/>
          </w:tcPr>
          <w:p w14:paraId="60E34559" w14:textId="77777777" w:rsidR="003E64D2" w:rsidRPr="00CD2ADD" w:rsidRDefault="003E64D2" w:rsidP="003E64D2">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Mediu – Înalt</w:t>
            </w:r>
          </w:p>
        </w:tc>
        <w:tc>
          <w:tcPr>
            <w:tcW w:w="6344" w:type="dxa"/>
            <w:hideMark/>
          </w:tcPr>
          <w:p w14:paraId="09E85AA6" w14:textId="0D6749D9" w:rsidR="003E64D2" w:rsidRPr="00CD2ADD" w:rsidRDefault="003E64D2" w:rsidP="003E64D2">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Planuri de întreținere și restaurare ecologică pe termen lung (fâșii riverane, păduri, baraje verzi).</w:t>
            </w:r>
            <w:r w:rsidRPr="00CD2ADD">
              <w:rPr>
                <w:sz w:val="21"/>
                <w:szCs w:val="21"/>
              </w:rPr>
              <w:br/>
              <w:t>- Promovarea infrastructurii bazate pe natură (</w:t>
            </w:r>
            <w:r w:rsidRPr="00CD2ADD">
              <w:rPr>
                <w:sz w:val="21"/>
              </w:rPr>
              <w:t>Nature-based Solutions)</w:t>
            </w:r>
            <w:r w:rsidRPr="00CD2ADD">
              <w:rPr>
                <w:sz w:val="21"/>
                <w:szCs w:val="21"/>
              </w:rPr>
              <w:t xml:space="preserve"> în zone de risc.</w:t>
            </w:r>
            <w:r w:rsidRPr="00CD2ADD">
              <w:rPr>
                <w:sz w:val="21"/>
                <w:szCs w:val="21"/>
              </w:rPr>
              <w:br/>
              <w:t>- Integrarea cerințelor de adaptare și RRD în documentația tehnică pentru proiecte de infrastructură în mediu.</w:t>
            </w:r>
          </w:p>
        </w:tc>
      </w:tr>
      <w:tr w:rsidR="00486071" w:rsidRPr="00CD2ADD" w14:paraId="38F576EE" w14:textId="77777777" w:rsidTr="005B12F9">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410" w:type="dxa"/>
            <w:hideMark/>
          </w:tcPr>
          <w:p w14:paraId="06A5D740" w14:textId="77777777" w:rsidR="003E64D2" w:rsidRPr="00CD2ADD" w:rsidRDefault="003E64D2" w:rsidP="003E64D2">
            <w:pPr>
              <w:jc w:val="left"/>
              <w:rPr>
                <w:sz w:val="21"/>
                <w:szCs w:val="21"/>
              </w:rPr>
            </w:pPr>
            <w:r w:rsidRPr="00CD2ADD">
              <w:rPr>
                <w:sz w:val="21"/>
                <w:szCs w:val="21"/>
              </w:rPr>
              <w:t>7. Nivel redus de conștientizare publică privind rolul ecosistemelor în reducerea riscurilor</w:t>
            </w:r>
          </w:p>
        </w:tc>
        <w:tc>
          <w:tcPr>
            <w:tcW w:w="992" w:type="dxa"/>
            <w:hideMark/>
          </w:tcPr>
          <w:p w14:paraId="233F6667" w14:textId="77777777" w:rsidR="003E64D2" w:rsidRPr="00CD2ADD" w:rsidRDefault="003E64D2" w:rsidP="003E64D2">
            <w:pPr>
              <w:cnfStyle w:val="000000100000" w:firstRow="0" w:lastRow="0" w:firstColumn="0" w:lastColumn="0" w:oddVBand="0" w:evenVBand="0" w:oddHBand="1" w:evenHBand="0" w:firstRowFirstColumn="0" w:firstRowLastColumn="0" w:lastRowFirstColumn="0" w:lastRowLastColumn="0"/>
              <w:rPr>
                <w:sz w:val="21"/>
                <w:szCs w:val="21"/>
              </w:rPr>
            </w:pPr>
            <w:r w:rsidRPr="00CD2ADD">
              <w:rPr>
                <w:sz w:val="21"/>
                <w:szCs w:val="21"/>
              </w:rPr>
              <w:t>Mediu</w:t>
            </w:r>
          </w:p>
        </w:tc>
        <w:tc>
          <w:tcPr>
            <w:tcW w:w="6344" w:type="dxa"/>
            <w:hideMark/>
          </w:tcPr>
          <w:p w14:paraId="52484114" w14:textId="63B0F539" w:rsidR="003E64D2" w:rsidRPr="00CD2ADD" w:rsidRDefault="003E64D2" w:rsidP="003E64D2">
            <w:pPr>
              <w:cnfStyle w:val="000000100000" w:firstRow="0" w:lastRow="0" w:firstColumn="0" w:lastColumn="0" w:oddVBand="0" w:evenVBand="0" w:oddHBand="1" w:evenHBand="0" w:firstRowFirstColumn="0" w:firstRowLastColumn="0" w:lastRowFirstColumn="0" w:lastRowLastColumn="0"/>
              <w:rPr>
                <w:sz w:val="21"/>
                <w:szCs w:val="21"/>
              </w:rPr>
            </w:pPr>
            <w:r w:rsidRPr="00CD2ADD">
              <w:rPr>
                <w:sz w:val="21"/>
                <w:szCs w:val="21"/>
              </w:rPr>
              <w:t>- Campanii de educare și informare în școli, mass-media, rural și urban.</w:t>
            </w:r>
            <w:r w:rsidRPr="00CD2ADD">
              <w:rPr>
                <w:sz w:val="21"/>
                <w:szCs w:val="21"/>
              </w:rPr>
              <w:br/>
              <w:t>- Programe-pilot de implicare civică</w:t>
            </w:r>
            <w:r w:rsidR="00632D21" w:rsidRPr="00CD2ADD">
              <w:rPr>
                <w:sz w:val="21"/>
                <w:szCs w:val="21"/>
              </w:rPr>
              <w:t>, inclusiv a sectorului privat si diasporei</w:t>
            </w:r>
            <w:r w:rsidRPr="00CD2ADD">
              <w:rPr>
                <w:sz w:val="21"/>
                <w:szCs w:val="21"/>
              </w:rPr>
              <w:t xml:space="preserve"> (monitorizarea apei, împăduriri comunitare etc.).</w:t>
            </w:r>
            <w:r w:rsidRPr="00CD2ADD">
              <w:rPr>
                <w:sz w:val="21"/>
                <w:szCs w:val="21"/>
              </w:rPr>
              <w:br/>
              <w:t>- Integrarea riscurilor în curriculumul educațional și în formările APL.</w:t>
            </w:r>
          </w:p>
        </w:tc>
      </w:tr>
      <w:tr w:rsidR="00956E1A" w:rsidRPr="00CD2ADD" w14:paraId="51116CBA" w14:textId="77777777" w:rsidTr="005B12F9">
        <w:trPr>
          <w:trHeight w:val="1138"/>
        </w:trPr>
        <w:tc>
          <w:tcPr>
            <w:cnfStyle w:val="001000000000" w:firstRow="0" w:lastRow="0" w:firstColumn="1" w:lastColumn="0" w:oddVBand="0" w:evenVBand="0" w:oddHBand="0" w:evenHBand="0" w:firstRowFirstColumn="0" w:firstRowLastColumn="0" w:lastRowFirstColumn="0" w:lastRowLastColumn="0"/>
            <w:tcW w:w="2410" w:type="dxa"/>
          </w:tcPr>
          <w:p w14:paraId="404EDAB4" w14:textId="18315A7A" w:rsidR="00956E1A" w:rsidRPr="00CD2ADD" w:rsidRDefault="00956E1A" w:rsidP="00956E1A">
            <w:pPr>
              <w:jc w:val="left"/>
              <w:rPr>
                <w:sz w:val="21"/>
                <w:szCs w:val="21"/>
              </w:rPr>
            </w:pPr>
            <w:r w:rsidRPr="00CD2ADD">
              <w:rPr>
                <w:sz w:val="21"/>
                <w:szCs w:val="21"/>
              </w:rPr>
              <w:t>8. Risc reputațional în cazul eșecului unor inițiative pilot sau măsuri inovatoare</w:t>
            </w:r>
          </w:p>
        </w:tc>
        <w:tc>
          <w:tcPr>
            <w:tcW w:w="992" w:type="dxa"/>
          </w:tcPr>
          <w:p w14:paraId="2C29042F" w14:textId="5AD4EBB0" w:rsidR="00956E1A" w:rsidRPr="00CD2ADD" w:rsidRDefault="00956E1A" w:rsidP="003E64D2">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Scăzut-Mediu</w:t>
            </w:r>
          </w:p>
        </w:tc>
        <w:tc>
          <w:tcPr>
            <w:tcW w:w="6344" w:type="dxa"/>
          </w:tcPr>
          <w:p w14:paraId="076AF02D" w14:textId="77777777" w:rsidR="00956E1A" w:rsidRPr="00CD2ADD" w:rsidRDefault="00956E1A" w:rsidP="00956E1A">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Pilotarea pe scară redusă cu mecanisme de ajustare rapidă</w:t>
            </w:r>
          </w:p>
          <w:p w14:paraId="3F771FDB" w14:textId="77777777" w:rsidR="00956E1A" w:rsidRPr="00CD2ADD" w:rsidRDefault="00956E1A" w:rsidP="00956E1A">
            <w:pPr>
              <w:cnfStyle w:val="000000000000" w:firstRow="0" w:lastRow="0" w:firstColumn="0" w:lastColumn="0" w:oddVBand="0" w:evenVBand="0" w:oddHBand="0" w:evenHBand="0" w:firstRowFirstColumn="0" w:firstRowLastColumn="0" w:lastRowFirstColumn="0" w:lastRowLastColumn="0"/>
              <w:rPr>
                <w:sz w:val="21"/>
                <w:szCs w:val="21"/>
              </w:rPr>
            </w:pPr>
            <w:r w:rsidRPr="00CD2ADD">
              <w:rPr>
                <w:sz w:val="21"/>
                <w:szCs w:val="21"/>
              </w:rPr>
              <w:t>- Comunicarea transparentă privind riscurile și lecțiile învățate</w:t>
            </w:r>
          </w:p>
          <w:p w14:paraId="3C923BEB" w14:textId="2B9BF86A" w:rsidR="00956E1A" w:rsidRPr="00CD2ADD" w:rsidRDefault="00956E1A" w:rsidP="00956E1A">
            <w:pPr>
              <w:cnfStyle w:val="000000000000" w:firstRow="0" w:lastRow="0" w:firstColumn="0" w:lastColumn="0" w:oddVBand="0" w:evenVBand="0" w:oddHBand="0" w:evenHBand="0" w:firstRowFirstColumn="0" w:firstRowLastColumn="0" w:lastRowFirstColumn="0" w:lastRowLastColumn="0"/>
              <w:rPr>
                <w:szCs w:val="21"/>
              </w:rPr>
            </w:pPr>
            <w:r w:rsidRPr="00CD2ADD">
              <w:rPr>
                <w:sz w:val="21"/>
                <w:szCs w:val="21"/>
              </w:rPr>
              <w:t>- Documentarea și diseminarea bunelor practici</w:t>
            </w:r>
          </w:p>
        </w:tc>
      </w:tr>
    </w:tbl>
    <w:p w14:paraId="4C47B1FE" w14:textId="77777777" w:rsidR="000F0944" w:rsidRPr="00CD2ADD" w:rsidRDefault="000F0944" w:rsidP="00552ED0">
      <w:pPr>
        <w:rPr>
          <w:lang w:eastAsia="en-US"/>
        </w:rPr>
      </w:pPr>
    </w:p>
    <w:p w14:paraId="0FF0E0DA" w14:textId="77777777" w:rsidR="000F0944" w:rsidRPr="00CD2ADD" w:rsidRDefault="000F0944" w:rsidP="005B12F9">
      <w:pPr>
        <w:jc w:val="center"/>
        <w:rPr>
          <w:lang w:eastAsia="en-US"/>
        </w:rPr>
      </w:pPr>
    </w:p>
    <w:p w14:paraId="6969F7F7" w14:textId="57A1909C" w:rsidR="004325A0" w:rsidRPr="00CD2ADD" w:rsidRDefault="004325A0" w:rsidP="008C22E7">
      <w:pPr>
        <w:pStyle w:val="Heading1"/>
        <w:spacing w:before="0"/>
        <w:jc w:val="center"/>
        <w:rPr>
          <w:rFonts w:ascii="Times New Roman" w:hAnsi="Times New Roman" w:cs="Times New Roman"/>
          <w:b/>
          <w:bCs w:val="0"/>
          <w:color w:val="000000" w:themeColor="text1"/>
          <w:sz w:val="24"/>
          <w:szCs w:val="24"/>
        </w:rPr>
      </w:pPr>
      <w:r w:rsidRPr="00CD2ADD">
        <w:rPr>
          <w:rFonts w:ascii="Times New Roman" w:hAnsi="Times New Roman" w:cs="Times New Roman"/>
          <w:b/>
          <w:bCs w:val="0"/>
          <w:color w:val="000000" w:themeColor="text1"/>
          <w:sz w:val="24"/>
          <w:szCs w:val="24"/>
        </w:rPr>
        <w:t>Capitolul VIII</w:t>
      </w:r>
    </w:p>
    <w:p w14:paraId="5EA3730D" w14:textId="6DBB1E40" w:rsidR="004325A0" w:rsidRPr="00CD2ADD" w:rsidRDefault="004325A0" w:rsidP="008C22E7">
      <w:pPr>
        <w:pStyle w:val="Heading1"/>
        <w:spacing w:before="0"/>
        <w:jc w:val="center"/>
        <w:rPr>
          <w:rFonts w:ascii="Times New Roman" w:hAnsi="Times New Roman" w:cs="Times New Roman"/>
          <w:b/>
          <w:bCs w:val="0"/>
          <w:color w:val="000000" w:themeColor="text1"/>
          <w:sz w:val="24"/>
          <w:szCs w:val="24"/>
        </w:rPr>
      </w:pPr>
      <w:r w:rsidRPr="00CD2ADD">
        <w:rPr>
          <w:rFonts w:ascii="Times New Roman" w:hAnsi="Times New Roman" w:cs="Times New Roman"/>
          <w:b/>
          <w:bCs w:val="0"/>
          <w:color w:val="000000" w:themeColor="text1"/>
          <w:sz w:val="24"/>
          <w:szCs w:val="24"/>
        </w:rPr>
        <w:t>AUTORITĂȚI ȘI INSTITUȚII RESPONSABILE DE IMPLEMENTARE</w:t>
      </w:r>
    </w:p>
    <w:p w14:paraId="7971F80B" w14:textId="77777777" w:rsidR="004325A0" w:rsidRPr="00E95D62" w:rsidRDefault="004325A0" w:rsidP="004325A0">
      <w:pPr>
        <w:jc w:val="center"/>
        <w:rPr>
          <w:b/>
          <w:lang w:eastAsia="en-US"/>
        </w:rPr>
      </w:pPr>
    </w:p>
    <w:p w14:paraId="2D35DBA2" w14:textId="7A671E05" w:rsidR="00191221" w:rsidRPr="00E95D62" w:rsidRDefault="00DE2BB6" w:rsidP="00E40AB3">
      <w:pPr>
        <w:pStyle w:val="ListParagraph"/>
        <w:numPr>
          <w:ilvl w:val="0"/>
          <w:numId w:val="65"/>
        </w:numPr>
        <w:tabs>
          <w:tab w:val="left" w:pos="851"/>
        </w:tabs>
        <w:spacing w:after="120"/>
        <w:ind w:left="0" w:firstLine="426"/>
        <w:jc w:val="both"/>
        <w:rPr>
          <w:rFonts w:ascii="Times New Roman" w:hAnsi="Times New Roman" w:cs="Times New Roman"/>
          <w:color w:val="auto"/>
          <w:sz w:val="24"/>
          <w:szCs w:val="24"/>
        </w:rPr>
      </w:pPr>
      <w:r w:rsidRPr="00E95D62">
        <w:rPr>
          <w:rFonts w:ascii="Times New Roman" w:hAnsi="Times New Roman" w:cs="Times New Roman"/>
          <w:color w:val="auto"/>
          <w:sz w:val="24"/>
          <w:szCs w:val="24"/>
        </w:rPr>
        <w:t>Un element central în elaborarea PNRRD</w:t>
      </w:r>
      <w:r w:rsidR="00390DD3">
        <w:rPr>
          <w:rFonts w:ascii="Times New Roman" w:hAnsi="Times New Roman" w:cs="Times New Roman"/>
          <w:color w:val="auto"/>
          <w:sz w:val="24"/>
          <w:szCs w:val="24"/>
        </w:rPr>
        <w:t>N</w:t>
      </w:r>
      <w:r w:rsidRPr="00E95D62">
        <w:rPr>
          <w:rFonts w:ascii="Times New Roman" w:hAnsi="Times New Roman" w:cs="Times New Roman"/>
          <w:color w:val="auto"/>
          <w:sz w:val="24"/>
          <w:szCs w:val="24"/>
        </w:rPr>
        <w:t xml:space="preserve"> a fost desfășurarea unui proces consultativ structurat și progresiv, derulat în mai multe etape pentru a asigura validarea tehnică și politică a documentului, precum și integrarea contribuțiilor instituțiilor naționale, partenerilor de dezvoltare și societății civile. Procesul a debutat cu o reuniune tehnică pe 7 aprilie 2025, organizată în parteneriat cu UNDRR și OIM, dedicată validării </w:t>
      </w:r>
      <w:r w:rsidR="000F3CA8" w:rsidRPr="00E95D62">
        <w:rPr>
          <w:rFonts w:ascii="Times New Roman" w:hAnsi="Times New Roman" w:cs="Times New Roman"/>
          <w:color w:val="auto"/>
          <w:sz w:val="24"/>
          <w:szCs w:val="24"/>
        </w:rPr>
        <w:t xml:space="preserve">liniilor directoare </w:t>
      </w:r>
      <w:r w:rsidRPr="00E95D62">
        <w:rPr>
          <w:rFonts w:ascii="Times New Roman" w:hAnsi="Times New Roman" w:cs="Times New Roman"/>
          <w:color w:val="auto"/>
          <w:sz w:val="24"/>
          <w:szCs w:val="24"/>
        </w:rPr>
        <w:t>metodologi</w:t>
      </w:r>
      <w:r w:rsidR="000F3CA8" w:rsidRPr="00E95D62">
        <w:rPr>
          <w:rFonts w:ascii="Times New Roman" w:hAnsi="Times New Roman" w:cs="Times New Roman"/>
          <w:color w:val="auto"/>
          <w:sz w:val="24"/>
          <w:szCs w:val="24"/>
        </w:rPr>
        <w:t>ce</w:t>
      </w:r>
      <w:r w:rsidRPr="00E95D62">
        <w:rPr>
          <w:rFonts w:ascii="Times New Roman" w:hAnsi="Times New Roman" w:cs="Times New Roman"/>
          <w:color w:val="auto"/>
          <w:sz w:val="24"/>
          <w:szCs w:val="24"/>
        </w:rPr>
        <w:t xml:space="preserve"> de elaborare a Programului. A urmat consultarea sectorială din 28 mai 2025, desfășurată împreună cu Ministerul Mediului, care a reunit instituțiile de mediu (</w:t>
      </w:r>
      <w:r w:rsidR="00012199" w:rsidRPr="00E95D62">
        <w:rPr>
          <w:rFonts w:ascii="Times New Roman" w:hAnsi="Times New Roman" w:cs="Times New Roman"/>
          <w:color w:val="auto"/>
          <w:sz w:val="24"/>
          <w:szCs w:val="24"/>
        </w:rPr>
        <w:t xml:space="preserve">IP AN </w:t>
      </w:r>
      <w:r w:rsidR="00390DD3" w:rsidRPr="00FC6E1B">
        <w:rPr>
          <w:rFonts w:ascii="Times New Roman" w:hAnsi="Times New Roman" w:cs="Times New Roman"/>
          <w:color w:val="000000" w:themeColor="text1"/>
          <w:sz w:val="24"/>
          <w:szCs w:val="24"/>
        </w:rPr>
        <w:t>„</w:t>
      </w:r>
      <w:r w:rsidRPr="00E95D62">
        <w:rPr>
          <w:rFonts w:ascii="Times New Roman" w:hAnsi="Times New Roman" w:cs="Times New Roman"/>
          <w:color w:val="auto"/>
          <w:sz w:val="24"/>
          <w:szCs w:val="24"/>
        </w:rPr>
        <w:t>Apele Moldovei</w:t>
      </w:r>
      <w:r w:rsidR="00390DD3" w:rsidRPr="00FC6E1B">
        <w:rPr>
          <w:rFonts w:ascii="Times New Roman" w:hAnsi="Times New Roman" w:cs="Times New Roman"/>
          <w:color w:val="000000" w:themeColor="text1"/>
          <w:sz w:val="24"/>
          <w:szCs w:val="24"/>
        </w:rPr>
        <w:t>”</w:t>
      </w:r>
      <w:r w:rsidRPr="00E95D62">
        <w:rPr>
          <w:rFonts w:ascii="Times New Roman" w:hAnsi="Times New Roman" w:cs="Times New Roman"/>
          <w:color w:val="auto"/>
          <w:sz w:val="24"/>
          <w:szCs w:val="24"/>
        </w:rPr>
        <w:t xml:space="preserve">, SHS, </w:t>
      </w:r>
      <w:r w:rsidR="00390DD3">
        <w:rPr>
          <w:rFonts w:ascii="Times New Roman" w:hAnsi="Times New Roman" w:cs="Times New Roman"/>
          <w:color w:val="auto"/>
          <w:sz w:val="24"/>
          <w:szCs w:val="24"/>
        </w:rPr>
        <w:t xml:space="preserve">Agenția </w:t>
      </w:r>
      <w:r w:rsidR="00390DD3" w:rsidRPr="00FC6E1B">
        <w:rPr>
          <w:rFonts w:ascii="Times New Roman" w:hAnsi="Times New Roman" w:cs="Times New Roman"/>
          <w:color w:val="000000" w:themeColor="text1"/>
          <w:sz w:val="24"/>
          <w:szCs w:val="24"/>
        </w:rPr>
        <w:t>„</w:t>
      </w:r>
      <w:r w:rsidR="00390DD3">
        <w:rPr>
          <w:rFonts w:ascii="Times New Roman" w:hAnsi="Times New Roman" w:cs="Times New Roman"/>
          <w:color w:val="auto"/>
          <w:sz w:val="24"/>
          <w:szCs w:val="24"/>
        </w:rPr>
        <w:t>Moldsilva</w:t>
      </w:r>
      <w:r w:rsidR="00390DD3" w:rsidRPr="00FC6E1B">
        <w:rPr>
          <w:rFonts w:ascii="Times New Roman" w:hAnsi="Times New Roman" w:cs="Times New Roman"/>
          <w:color w:val="000000" w:themeColor="text1"/>
          <w:sz w:val="24"/>
          <w:szCs w:val="24"/>
        </w:rPr>
        <w:t>”</w:t>
      </w:r>
      <w:r w:rsidR="00390DD3">
        <w:rPr>
          <w:rFonts w:ascii="Times New Roman" w:hAnsi="Times New Roman" w:cs="Times New Roman"/>
          <w:color w:val="auto"/>
          <w:sz w:val="24"/>
          <w:szCs w:val="24"/>
        </w:rPr>
        <w:t xml:space="preserve"> </w:t>
      </w:r>
      <w:r w:rsidRPr="00E95D62">
        <w:rPr>
          <w:rFonts w:ascii="Times New Roman" w:hAnsi="Times New Roman" w:cs="Times New Roman"/>
          <w:color w:val="auto"/>
          <w:sz w:val="24"/>
          <w:szCs w:val="24"/>
        </w:rPr>
        <w:t xml:space="preserve">etc.) și actorii responsabili de gestionarea riscurilor, precum IGSU, </w:t>
      </w:r>
      <w:r w:rsidR="00953BD9" w:rsidRPr="00E95D62">
        <w:rPr>
          <w:rFonts w:ascii="Times New Roman" w:hAnsi="Times New Roman" w:cs="Times New Roman"/>
          <w:color w:val="auto"/>
          <w:sz w:val="24"/>
          <w:szCs w:val="24"/>
        </w:rPr>
        <w:t xml:space="preserve">MAIA </w:t>
      </w:r>
      <w:r w:rsidRPr="00E95D62">
        <w:rPr>
          <w:rFonts w:ascii="Times New Roman" w:hAnsi="Times New Roman" w:cs="Times New Roman"/>
          <w:color w:val="auto"/>
          <w:sz w:val="24"/>
          <w:szCs w:val="24"/>
        </w:rPr>
        <w:t>contribuind la rafinarea propunerilor inițiale de măsuri. Ulterior, pe 13 iunie 2025, a fost organizată o consultare publică extinsă, cu participarea instituțiilor guvernamentale, partenerilor internaționali și reprezentanților societății civile, în vederea validării versiunii intermediare a Programului și consolidării abordării intersectoriale. Acest proces a fost completat de consultarea organizată în cadrul Grupului Tematic UNRG-4, pe 27 iunie 2025, care a permis identificarea sinergiilor cu inițiativele DRR/DRM aflate deja în derulare la nivel ONU. De asemenea, au avut loc întrevederi bilaterale cu parteneri de dezvoltare și cu instituțiile din subordinea Ministerului Mediului pentru colectarea de date, validarea analizelor și armonizarea priorităților sectoriale. Toate documentele aferente acestui proces, minute, prezentări, agende și liste de participanți, vor fi anexate la nota de fundamentare a Programului.</w:t>
      </w:r>
    </w:p>
    <w:p w14:paraId="4FA068AA" w14:textId="4F0C9640" w:rsidR="0012600D" w:rsidRPr="00FC6E1B" w:rsidRDefault="003E64D2" w:rsidP="00FC6E1B">
      <w:pPr>
        <w:pStyle w:val="ListParagraph"/>
        <w:numPr>
          <w:ilvl w:val="0"/>
          <w:numId w:val="65"/>
        </w:numPr>
        <w:spacing w:after="120"/>
        <w:ind w:left="0" w:firstLine="284"/>
        <w:jc w:val="both"/>
        <w:rPr>
          <w:rFonts w:ascii="Times New Roman" w:hAnsi="Times New Roman" w:cs="Times New Roman"/>
          <w:color w:val="auto"/>
          <w:sz w:val="24"/>
          <w:szCs w:val="24"/>
        </w:rPr>
      </w:pPr>
      <w:r w:rsidRPr="00E95D62">
        <w:rPr>
          <w:rFonts w:ascii="Times New Roman" w:hAnsi="Times New Roman" w:cs="Times New Roman"/>
          <w:color w:val="auto"/>
          <w:sz w:val="24"/>
          <w:szCs w:val="24"/>
        </w:rPr>
        <w:t xml:space="preserve">Pentru elaborarea </w:t>
      </w:r>
      <w:r w:rsidR="001706A9" w:rsidRPr="00E95D62">
        <w:rPr>
          <w:rFonts w:ascii="Times New Roman" w:hAnsi="Times New Roman" w:cs="Times New Roman"/>
          <w:color w:val="auto"/>
          <w:sz w:val="24"/>
          <w:szCs w:val="24"/>
        </w:rPr>
        <w:t xml:space="preserve">Programului </w:t>
      </w:r>
      <w:r w:rsidRPr="00E95D62">
        <w:rPr>
          <w:rFonts w:ascii="Times New Roman" w:hAnsi="Times New Roman" w:cs="Times New Roman"/>
          <w:color w:val="auto"/>
          <w:sz w:val="24"/>
          <w:szCs w:val="24"/>
        </w:rPr>
        <w:t xml:space="preserve">au fost consultați reprezentanți ai instituțiilor naționale relevante, precum </w:t>
      </w:r>
      <w:r w:rsidR="00E40AB3">
        <w:rPr>
          <w:rFonts w:ascii="Times New Roman" w:hAnsi="Times New Roman" w:cs="Times New Roman"/>
          <w:color w:val="auto"/>
          <w:sz w:val="24"/>
          <w:szCs w:val="24"/>
        </w:rPr>
        <w:t>ș</w:t>
      </w:r>
      <w:r w:rsidRPr="00E95D62">
        <w:rPr>
          <w:rFonts w:ascii="Times New Roman" w:hAnsi="Times New Roman" w:cs="Times New Roman"/>
          <w:color w:val="auto"/>
          <w:sz w:val="24"/>
          <w:szCs w:val="24"/>
        </w:rPr>
        <w:t xml:space="preserve">i actori activi </w:t>
      </w:r>
      <w:r w:rsidR="00E40AB3">
        <w:rPr>
          <w:rFonts w:ascii="Times New Roman" w:hAnsi="Times New Roman" w:cs="Times New Roman"/>
          <w:color w:val="auto"/>
          <w:sz w:val="24"/>
          <w:szCs w:val="24"/>
        </w:rPr>
        <w:t>î</w:t>
      </w:r>
      <w:r w:rsidRPr="00E95D62">
        <w:rPr>
          <w:rFonts w:ascii="Times New Roman" w:hAnsi="Times New Roman" w:cs="Times New Roman"/>
          <w:color w:val="auto"/>
          <w:sz w:val="24"/>
          <w:szCs w:val="24"/>
        </w:rPr>
        <w:t xml:space="preserve">n domeniul cooperării internaționale precum UNDRR, UNDP, </w:t>
      </w:r>
      <w:r w:rsidR="00986A8D" w:rsidRPr="00E95D62">
        <w:rPr>
          <w:rFonts w:ascii="Times New Roman" w:hAnsi="Times New Roman" w:cs="Times New Roman"/>
          <w:color w:val="auto"/>
          <w:sz w:val="24"/>
          <w:szCs w:val="24"/>
        </w:rPr>
        <w:t>IOM</w:t>
      </w:r>
      <w:r w:rsidR="00FB2C38" w:rsidRPr="00E95D62">
        <w:rPr>
          <w:rFonts w:ascii="Times New Roman" w:hAnsi="Times New Roman" w:cs="Times New Roman"/>
          <w:color w:val="auto"/>
          <w:sz w:val="24"/>
          <w:szCs w:val="24"/>
        </w:rPr>
        <w:t>, FAO,</w:t>
      </w:r>
      <w:r w:rsidR="00E16EAD" w:rsidRPr="00E95D62">
        <w:rPr>
          <w:rFonts w:ascii="Times New Roman" w:hAnsi="Times New Roman" w:cs="Times New Roman"/>
          <w:color w:val="auto"/>
          <w:sz w:val="24"/>
          <w:szCs w:val="24"/>
        </w:rPr>
        <w:t xml:space="preserve"> UNICEF, UNFPA,</w:t>
      </w:r>
      <w:r w:rsidR="00FB2C38" w:rsidRPr="00E95D62">
        <w:rPr>
          <w:rFonts w:ascii="Times New Roman" w:hAnsi="Times New Roman" w:cs="Times New Roman"/>
          <w:color w:val="auto"/>
          <w:sz w:val="24"/>
          <w:szCs w:val="24"/>
        </w:rPr>
        <w:t xml:space="preserve"> </w:t>
      </w:r>
      <w:r w:rsidRPr="00E95D62">
        <w:rPr>
          <w:rFonts w:ascii="Times New Roman" w:hAnsi="Times New Roman" w:cs="Times New Roman"/>
          <w:color w:val="auto"/>
          <w:sz w:val="24"/>
          <w:szCs w:val="24"/>
        </w:rPr>
        <w:t>Delegația UE</w:t>
      </w:r>
      <w:r w:rsidR="001706A9" w:rsidRPr="00E95D62">
        <w:rPr>
          <w:rFonts w:ascii="Times New Roman" w:hAnsi="Times New Roman" w:cs="Times New Roman"/>
          <w:color w:val="auto"/>
          <w:sz w:val="24"/>
          <w:szCs w:val="24"/>
        </w:rPr>
        <w:t>, Banca Mondial</w:t>
      </w:r>
      <w:r w:rsidR="00E40AB3">
        <w:rPr>
          <w:rFonts w:ascii="Times New Roman" w:hAnsi="Times New Roman" w:cs="Times New Roman"/>
          <w:color w:val="auto"/>
          <w:sz w:val="24"/>
          <w:szCs w:val="24"/>
        </w:rPr>
        <w:t>ă</w:t>
      </w:r>
      <w:r w:rsidRPr="00E95D62">
        <w:rPr>
          <w:rFonts w:ascii="Times New Roman" w:hAnsi="Times New Roman" w:cs="Times New Roman"/>
          <w:color w:val="auto"/>
          <w:sz w:val="24"/>
          <w:szCs w:val="24"/>
        </w:rPr>
        <w:t xml:space="preserve">. Contribuțiile acestor actori au fost esențiale pentru ancorarea </w:t>
      </w:r>
      <w:r w:rsidR="001706A9" w:rsidRPr="00E95D62">
        <w:rPr>
          <w:rFonts w:ascii="Times New Roman" w:hAnsi="Times New Roman" w:cs="Times New Roman"/>
          <w:color w:val="auto"/>
          <w:sz w:val="24"/>
          <w:szCs w:val="24"/>
        </w:rPr>
        <w:t xml:space="preserve">Programului </w:t>
      </w:r>
      <w:r w:rsidRPr="00E95D62">
        <w:rPr>
          <w:rFonts w:ascii="Times New Roman" w:hAnsi="Times New Roman" w:cs="Times New Roman"/>
          <w:color w:val="auto"/>
          <w:sz w:val="24"/>
          <w:szCs w:val="24"/>
        </w:rPr>
        <w:t xml:space="preserve">în realitățile instituționale ale Republicii Moldova și pentru alinierea recomandărilor la obiectivele naționale de dezvoltare și reziliență. </w:t>
      </w:r>
      <w:r w:rsidR="000F0944" w:rsidRPr="00E95D62">
        <w:rPr>
          <w:rFonts w:ascii="Times New Roman" w:hAnsi="Times New Roman" w:cs="Times New Roman"/>
          <w:color w:val="auto"/>
          <w:sz w:val="24"/>
          <w:szCs w:val="24"/>
        </w:rPr>
        <w:t xml:space="preserve">Lista principalilor actori relevanți </w:t>
      </w:r>
      <w:r w:rsidR="00E40AB3">
        <w:rPr>
          <w:rFonts w:ascii="Times New Roman" w:hAnsi="Times New Roman" w:cs="Times New Roman"/>
          <w:color w:val="auto"/>
          <w:sz w:val="24"/>
          <w:szCs w:val="24"/>
        </w:rPr>
        <w:t>î</w:t>
      </w:r>
      <w:r w:rsidR="000F0944" w:rsidRPr="00E95D62">
        <w:rPr>
          <w:rFonts w:ascii="Times New Roman" w:hAnsi="Times New Roman" w:cs="Times New Roman"/>
          <w:color w:val="auto"/>
          <w:sz w:val="24"/>
          <w:szCs w:val="24"/>
        </w:rPr>
        <w:t>n procesul de elaborare al PNRRD</w:t>
      </w:r>
      <w:r w:rsidR="001706A9" w:rsidRPr="00E95D62">
        <w:rPr>
          <w:rFonts w:ascii="Times New Roman" w:hAnsi="Times New Roman" w:cs="Times New Roman"/>
          <w:color w:val="auto"/>
          <w:sz w:val="24"/>
          <w:szCs w:val="24"/>
        </w:rPr>
        <w:t>N</w:t>
      </w:r>
      <w:r w:rsidR="000D3561" w:rsidRPr="00E95D62">
        <w:rPr>
          <w:rFonts w:ascii="Times New Roman" w:hAnsi="Times New Roman" w:cs="Times New Roman"/>
          <w:color w:val="auto"/>
          <w:sz w:val="24"/>
          <w:szCs w:val="24"/>
        </w:rPr>
        <w:t xml:space="preserve">: </w:t>
      </w:r>
    </w:p>
    <w:p w14:paraId="62479D53" w14:textId="6EA7C02F" w:rsidR="00FC6E1B" w:rsidRDefault="00FC6E1B" w:rsidP="00FC6E1B">
      <w:pPr>
        <w:pStyle w:val="ListParagraph"/>
        <w:numPr>
          <w:ilvl w:val="0"/>
          <w:numId w:val="67"/>
        </w:numPr>
        <w:spacing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Ministerul Mediului;</w:t>
      </w:r>
    </w:p>
    <w:p w14:paraId="57DC2569" w14:textId="3484BF97" w:rsidR="0012600D" w:rsidRPr="00FC6E1B" w:rsidRDefault="0012600D" w:rsidP="00FC6E1B">
      <w:pPr>
        <w:pStyle w:val="ListParagraph"/>
        <w:numPr>
          <w:ilvl w:val="0"/>
          <w:numId w:val="67"/>
        </w:numPr>
        <w:spacing w:after="120"/>
        <w:jc w:val="both"/>
        <w:rPr>
          <w:rFonts w:ascii="Times New Roman" w:hAnsi="Times New Roman" w:cs="Times New Roman"/>
          <w:color w:val="000000" w:themeColor="text1"/>
          <w:sz w:val="24"/>
          <w:szCs w:val="24"/>
        </w:rPr>
      </w:pPr>
      <w:r w:rsidRPr="00FC6E1B">
        <w:rPr>
          <w:rFonts w:ascii="Times New Roman" w:hAnsi="Times New Roman" w:cs="Times New Roman"/>
          <w:color w:val="000000" w:themeColor="text1"/>
          <w:sz w:val="24"/>
          <w:szCs w:val="24"/>
        </w:rPr>
        <w:t>Instituția Publică Administrația Națională “Apele Moldovei”</w:t>
      </w:r>
      <w:r w:rsidR="00FC6E1B">
        <w:rPr>
          <w:rFonts w:ascii="Times New Roman" w:hAnsi="Times New Roman" w:cs="Times New Roman"/>
          <w:color w:val="000000" w:themeColor="text1"/>
          <w:sz w:val="24"/>
          <w:szCs w:val="24"/>
        </w:rPr>
        <w:t>;</w:t>
      </w:r>
    </w:p>
    <w:p w14:paraId="33941D50" w14:textId="1B293B93" w:rsidR="0012600D" w:rsidRPr="00FC6E1B" w:rsidRDefault="0012600D" w:rsidP="00FC6E1B">
      <w:pPr>
        <w:pStyle w:val="ListParagraph"/>
        <w:numPr>
          <w:ilvl w:val="0"/>
          <w:numId w:val="67"/>
        </w:numPr>
        <w:spacing w:after="120"/>
        <w:jc w:val="both"/>
        <w:rPr>
          <w:rFonts w:ascii="Times New Roman" w:hAnsi="Times New Roman" w:cs="Times New Roman"/>
          <w:color w:val="000000" w:themeColor="text1"/>
          <w:sz w:val="24"/>
          <w:szCs w:val="24"/>
        </w:rPr>
      </w:pPr>
      <w:r w:rsidRPr="00FC6E1B">
        <w:rPr>
          <w:rFonts w:ascii="Times New Roman" w:hAnsi="Times New Roman" w:cs="Times New Roman"/>
          <w:color w:val="000000" w:themeColor="text1"/>
          <w:sz w:val="24"/>
          <w:szCs w:val="24"/>
        </w:rPr>
        <w:t>Agenția „Moldsilva”</w:t>
      </w:r>
      <w:r w:rsidR="00FC6E1B">
        <w:rPr>
          <w:rFonts w:ascii="Times New Roman" w:hAnsi="Times New Roman" w:cs="Times New Roman"/>
          <w:color w:val="000000" w:themeColor="text1"/>
          <w:sz w:val="24"/>
          <w:szCs w:val="24"/>
        </w:rPr>
        <w:t>;</w:t>
      </w:r>
    </w:p>
    <w:p w14:paraId="54355CAE" w14:textId="17DF26E2" w:rsidR="0012600D" w:rsidRPr="00FC6E1B" w:rsidRDefault="0012600D" w:rsidP="00FC6E1B">
      <w:pPr>
        <w:pStyle w:val="ListParagraph"/>
        <w:numPr>
          <w:ilvl w:val="0"/>
          <w:numId w:val="67"/>
        </w:numPr>
        <w:spacing w:after="120"/>
        <w:jc w:val="both"/>
        <w:rPr>
          <w:rFonts w:ascii="Times New Roman" w:hAnsi="Times New Roman" w:cs="Times New Roman"/>
          <w:color w:val="000000" w:themeColor="text1"/>
          <w:sz w:val="24"/>
          <w:szCs w:val="24"/>
        </w:rPr>
      </w:pPr>
      <w:r w:rsidRPr="00FC6E1B">
        <w:rPr>
          <w:rFonts w:ascii="Times New Roman" w:hAnsi="Times New Roman" w:cs="Times New Roman"/>
          <w:color w:val="000000" w:themeColor="text1"/>
          <w:sz w:val="24"/>
          <w:szCs w:val="24"/>
        </w:rPr>
        <w:lastRenderedPageBreak/>
        <w:t>Agenția pentru Geologie și Resurse Minerale</w:t>
      </w:r>
      <w:r w:rsidR="00FC6E1B">
        <w:rPr>
          <w:rFonts w:ascii="Times New Roman" w:hAnsi="Times New Roman" w:cs="Times New Roman"/>
          <w:color w:val="000000" w:themeColor="text1"/>
          <w:sz w:val="24"/>
          <w:szCs w:val="24"/>
        </w:rPr>
        <w:t>;</w:t>
      </w:r>
    </w:p>
    <w:p w14:paraId="1E315827" w14:textId="66E37395" w:rsidR="0012600D" w:rsidRPr="00FC6E1B" w:rsidRDefault="0012600D" w:rsidP="00FC6E1B">
      <w:pPr>
        <w:pStyle w:val="ListParagraph"/>
        <w:numPr>
          <w:ilvl w:val="0"/>
          <w:numId w:val="67"/>
        </w:numPr>
        <w:spacing w:after="120"/>
        <w:jc w:val="both"/>
        <w:rPr>
          <w:rFonts w:ascii="Times New Roman" w:hAnsi="Times New Roman" w:cs="Times New Roman"/>
          <w:color w:val="000000" w:themeColor="text1"/>
          <w:sz w:val="24"/>
          <w:szCs w:val="24"/>
        </w:rPr>
      </w:pPr>
      <w:r w:rsidRPr="00FC6E1B">
        <w:rPr>
          <w:rFonts w:ascii="Times New Roman" w:hAnsi="Times New Roman" w:cs="Times New Roman"/>
          <w:color w:val="000000" w:themeColor="text1"/>
          <w:sz w:val="24"/>
          <w:szCs w:val="24"/>
        </w:rPr>
        <w:t>Inspectoratul pentru Protecția Mediului</w:t>
      </w:r>
      <w:r w:rsidR="00FC6E1B">
        <w:rPr>
          <w:rFonts w:ascii="Times New Roman" w:hAnsi="Times New Roman" w:cs="Times New Roman"/>
          <w:color w:val="000000" w:themeColor="text1"/>
          <w:sz w:val="24"/>
          <w:szCs w:val="24"/>
        </w:rPr>
        <w:t>;</w:t>
      </w:r>
    </w:p>
    <w:p w14:paraId="660F9AF2" w14:textId="3ED5FFE8" w:rsidR="0012600D" w:rsidRPr="00FC6E1B" w:rsidRDefault="0012600D" w:rsidP="00FC6E1B">
      <w:pPr>
        <w:pStyle w:val="ListParagraph"/>
        <w:numPr>
          <w:ilvl w:val="0"/>
          <w:numId w:val="67"/>
        </w:numPr>
        <w:spacing w:after="120"/>
        <w:jc w:val="both"/>
        <w:rPr>
          <w:rFonts w:ascii="Times New Roman" w:hAnsi="Times New Roman" w:cs="Times New Roman"/>
          <w:color w:val="000000" w:themeColor="text1"/>
          <w:sz w:val="24"/>
          <w:szCs w:val="24"/>
        </w:rPr>
      </w:pPr>
      <w:r w:rsidRPr="00FC6E1B">
        <w:rPr>
          <w:rFonts w:ascii="Times New Roman" w:hAnsi="Times New Roman" w:cs="Times New Roman"/>
          <w:color w:val="000000" w:themeColor="text1"/>
          <w:sz w:val="24"/>
          <w:szCs w:val="24"/>
        </w:rPr>
        <w:t>Serviciul Hidrometeorologic de Stat</w:t>
      </w:r>
      <w:r w:rsidR="00FC6E1B">
        <w:rPr>
          <w:rFonts w:ascii="Times New Roman" w:hAnsi="Times New Roman" w:cs="Times New Roman"/>
          <w:color w:val="000000" w:themeColor="text1"/>
          <w:sz w:val="24"/>
          <w:szCs w:val="24"/>
        </w:rPr>
        <w:t>;</w:t>
      </w:r>
    </w:p>
    <w:p w14:paraId="7FB81A64" w14:textId="32C74CE3" w:rsidR="0012600D" w:rsidRPr="00FC6E1B" w:rsidRDefault="0012600D" w:rsidP="00FC6E1B">
      <w:pPr>
        <w:pStyle w:val="ListParagraph"/>
        <w:numPr>
          <w:ilvl w:val="0"/>
          <w:numId w:val="67"/>
        </w:numPr>
        <w:spacing w:after="120"/>
        <w:jc w:val="both"/>
        <w:rPr>
          <w:rFonts w:ascii="Times New Roman" w:hAnsi="Times New Roman" w:cs="Times New Roman"/>
          <w:color w:val="000000" w:themeColor="text1"/>
          <w:sz w:val="24"/>
          <w:szCs w:val="24"/>
        </w:rPr>
      </w:pPr>
      <w:r w:rsidRPr="00FC6E1B">
        <w:rPr>
          <w:rFonts w:ascii="Times New Roman" w:hAnsi="Times New Roman" w:cs="Times New Roman"/>
          <w:color w:val="000000" w:themeColor="text1"/>
          <w:sz w:val="24"/>
          <w:szCs w:val="24"/>
        </w:rPr>
        <w:t>Agenția de Mediu</w:t>
      </w:r>
      <w:r w:rsidR="00FC6E1B">
        <w:rPr>
          <w:rFonts w:ascii="Times New Roman" w:hAnsi="Times New Roman" w:cs="Times New Roman"/>
          <w:color w:val="000000" w:themeColor="text1"/>
          <w:sz w:val="24"/>
          <w:szCs w:val="24"/>
        </w:rPr>
        <w:t>;</w:t>
      </w:r>
    </w:p>
    <w:p w14:paraId="54D95E6B" w14:textId="22DD5FA2" w:rsidR="0012600D" w:rsidRPr="00FC6E1B" w:rsidRDefault="0012600D" w:rsidP="00FC6E1B">
      <w:pPr>
        <w:pStyle w:val="ListParagraph"/>
        <w:numPr>
          <w:ilvl w:val="0"/>
          <w:numId w:val="67"/>
        </w:numPr>
        <w:spacing w:after="120"/>
        <w:jc w:val="both"/>
        <w:rPr>
          <w:rFonts w:ascii="Times New Roman" w:hAnsi="Times New Roman" w:cs="Times New Roman"/>
          <w:color w:val="000000" w:themeColor="text1"/>
          <w:sz w:val="24"/>
          <w:szCs w:val="24"/>
        </w:rPr>
      </w:pPr>
      <w:r w:rsidRPr="00FC6E1B">
        <w:rPr>
          <w:rFonts w:ascii="Times New Roman" w:hAnsi="Times New Roman" w:cs="Times New Roman"/>
          <w:color w:val="000000" w:themeColor="text1"/>
          <w:sz w:val="24"/>
          <w:szCs w:val="24"/>
        </w:rPr>
        <w:t>I.P. „Oficiul Național de Implementare a Proiectelor în domeniul Mediului”</w:t>
      </w:r>
      <w:r w:rsidR="00FC6E1B">
        <w:rPr>
          <w:rFonts w:ascii="Times New Roman" w:hAnsi="Times New Roman" w:cs="Times New Roman"/>
          <w:color w:val="000000" w:themeColor="text1"/>
          <w:sz w:val="24"/>
          <w:szCs w:val="24"/>
        </w:rPr>
        <w:t>;</w:t>
      </w:r>
    </w:p>
    <w:p w14:paraId="320824E2" w14:textId="21AA820D" w:rsidR="0012600D" w:rsidRPr="00FC6E1B" w:rsidRDefault="0012600D" w:rsidP="00FC6E1B">
      <w:pPr>
        <w:pStyle w:val="ListParagraph"/>
        <w:numPr>
          <w:ilvl w:val="0"/>
          <w:numId w:val="67"/>
        </w:numPr>
        <w:spacing w:after="120"/>
        <w:jc w:val="both"/>
        <w:rPr>
          <w:rFonts w:ascii="Times New Roman" w:hAnsi="Times New Roman" w:cs="Times New Roman"/>
          <w:color w:val="000000" w:themeColor="text1"/>
          <w:sz w:val="24"/>
          <w:szCs w:val="24"/>
        </w:rPr>
      </w:pPr>
      <w:r w:rsidRPr="00FC6E1B">
        <w:rPr>
          <w:rFonts w:ascii="Times New Roman" w:hAnsi="Times New Roman" w:cs="Times New Roman"/>
          <w:color w:val="000000" w:themeColor="text1"/>
          <w:sz w:val="24"/>
          <w:szCs w:val="24"/>
        </w:rPr>
        <w:t>Agenția Geodezie, Cartografie si Cadastru</w:t>
      </w:r>
      <w:r w:rsidR="00FC6E1B">
        <w:rPr>
          <w:rFonts w:ascii="Times New Roman" w:hAnsi="Times New Roman" w:cs="Times New Roman"/>
          <w:color w:val="000000" w:themeColor="text1"/>
          <w:sz w:val="24"/>
          <w:szCs w:val="24"/>
        </w:rPr>
        <w:t>;</w:t>
      </w:r>
    </w:p>
    <w:p w14:paraId="7D7BCF29" w14:textId="254BE90B" w:rsidR="0012600D" w:rsidRPr="00FC6E1B" w:rsidRDefault="0012600D" w:rsidP="00FC6E1B">
      <w:pPr>
        <w:pStyle w:val="ListParagraph"/>
        <w:numPr>
          <w:ilvl w:val="0"/>
          <w:numId w:val="67"/>
        </w:numPr>
        <w:spacing w:after="120"/>
        <w:jc w:val="both"/>
        <w:rPr>
          <w:rFonts w:ascii="Times New Roman" w:hAnsi="Times New Roman" w:cs="Times New Roman"/>
          <w:color w:val="000000" w:themeColor="text1"/>
          <w:sz w:val="24"/>
          <w:szCs w:val="24"/>
        </w:rPr>
      </w:pPr>
      <w:r w:rsidRPr="00FC6E1B">
        <w:rPr>
          <w:rFonts w:ascii="Times New Roman" w:hAnsi="Times New Roman" w:cs="Times New Roman"/>
          <w:color w:val="000000" w:themeColor="text1"/>
          <w:sz w:val="24"/>
          <w:szCs w:val="24"/>
        </w:rPr>
        <w:t>Inspectoratul National de Supraveghere Tehnica</w:t>
      </w:r>
      <w:r w:rsidR="00FC6E1B">
        <w:rPr>
          <w:rFonts w:ascii="Times New Roman" w:hAnsi="Times New Roman" w:cs="Times New Roman"/>
          <w:color w:val="000000" w:themeColor="text1"/>
          <w:sz w:val="24"/>
          <w:szCs w:val="24"/>
        </w:rPr>
        <w:t>;</w:t>
      </w:r>
    </w:p>
    <w:p w14:paraId="11C748AA" w14:textId="6C3806F0" w:rsidR="0012600D" w:rsidRPr="00FC6E1B" w:rsidRDefault="0012600D" w:rsidP="00FC6E1B">
      <w:pPr>
        <w:pStyle w:val="ListParagraph"/>
        <w:numPr>
          <w:ilvl w:val="0"/>
          <w:numId w:val="67"/>
        </w:numPr>
        <w:spacing w:after="120"/>
        <w:jc w:val="both"/>
        <w:rPr>
          <w:rFonts w:ascii="Times New Roman" w:hAnsi="Times New Roman" w:cs="Times New Roman"/>
          <w:color w:val="000000" w:themeColor="text1"/>
          <w:sz w:val="24"/>
          <w:szCs w:val="24"/>
        </w:rPr>
      </w:pPr>
      <w:r w:rsidRPr="00FC6E1B">
        <w:rPr>
          <w:rFonts w:ascii="Times New Roman" w:hAnsi="Times New Roman" w:cs="Times New Roman"/>
          <w:color w:val="000000" w:themeColor="text1"/>
          <w:sz w:val="24"/>
          <w:szCs w:val="24"/>
        </w:rPr>
        <w:t>Institutul de Geologie  si Seismologie</w:t>
      </w:r>
      <w:r w:rsidR="00FC6E1B">
        <w:rPr>
          <w:rFonts w:ascii="Times New Roman" w:hAnsi="Times New Roman" w:cs="Times New Roman"/>
          <w:color w:val="000000" w:themeColor="text1"/>
          <w:sz w:val="24"/>
          <w:szCs w:val="24"/>
        </w:rPr>
        <w:t>;</w:t>
      </w:r>
    </w:p>
    <w:p w14:paraId="253B6379" w14:textId="3C6F0B04" w:rsidR="0012600D" w:rsidRPr="00FC6E1B" w:rsidRDefault="0012600D" w:rsidP="00FC6E1B">
      <w:pPr>
        <w:pStyle w:val="ListParagraph"/>
        <w:numPr>
          <w:ilvl w:val="0"/>
          <w:numId w:val="67"/>
        </w:numPr>
        <w:spacing w:after="120"/>
        <w:jc w:val="both"/>
        <w:rPr>
          <w:rFonts w:ascii="Times New Roman" w:hAnsi="Times New Roman" w:cs="Times New Roman"/>
          <w:color w:val="000000" w:themeColor="text1"/>
          <w:sz w:val="24"/>
          <w:szCs w:val="24"/>
        </w:rPr>
      </w:pPr>
      <w:r w:rsidRPr="00FC6E1B">
        <w:rPr>
          <w:rFonts w:ascii="Times New Roman" w:hAnsi="Times New Roman" w:cs="Times New Roman"/>
          <w:color w:val="000000" w:themeColor="text1"/>
          <w:sz w:val="24"/>
          <w:szCs w:val="24"/>
        </w:rPr>
        <w:t>Ministerul Afacerilor Interne, prin Inspectoratul General pentru Situații de Urgență (IGSU)</w:t>
      </w:r>
      <w:r w:rsidR="00FC6E1B">
        <w:rPr>
          <w:rFonts w:ascii="Times New Roman" w:hAnsi="Times New Roman" w:cs="Times New Roman"/>
          <w:color w:val="000000" w:themeColor="text1"/>
          <w:sz w:val="24"/>
          <w:szCs w:val="24"/>
        </w:rPr>
        <w:t>;</w:t>
      </w:r>
    </w:p>
    <w:p w14:paraId="7263D7E5" w14:textId="0B066C9A" w:rsidR="0012600D" w:rsidRPr="00FC6E1B" w:rsidRDefault="0012600D" w:rsidP="00FC6E1B">
      <w:pPr>
        <w:pStyle w:val="ListParagraph"/>
        <w:numPr>
          <w:ilvl w:val="0"/>
          <w:numId w:val="67"/>
        </w:numPr>
        <w:spacing w:after="120"/>
        <w:jc w:val="both"/>
        <w:rPr>
          <w:rFonts w:ascii="Times New Roman" w:hAnsi="Times New Roman" w:cs="Times New Roman"/>
          <w:color w:val="000000" w:themeColor="text1"/>
          <w:sz w:val="24"/>
          <w:szCs w:val="24"/>
        </w:rPr>
      </w:pPr>
      <w:r w:rsidRPr="00FC6E1B">
        <w:rPr>
          <w:rFonts w:ascii="Times New Roman" w:hAnsi="Times New Roman" w:cs="Times New Roman"/>
          <w:color w:val="000000" w:themeColor="text1"/>
          <w:sz w:val="24"/>
          <w:szCs w:val="24"/>
        </w:rPr>
        <w:t>Ministerul Afacerilor Interne, prin Inspectoratul General pentru Migrație (IGM)</w:t>
      </w:r>
      <w:r w:rsidR="00FC6E1B">
        <w:rPr>
          <w:rFonts w:ascii="Times New Roman" w:hAnsi="Times New Roman" w:cs="Times New Roman"/>
          <w:color w:val="000000" w:themeColor="text1"/>
          <w:sz w:val="24"/>
          <w:szCs w:val="24"/>
        </w:rPr>
        <w:t>;</w:t>
      </w:r>
    </w:p>
    <w:p w14:paraId="7B5E5C35" w14:textId="108102C0" w:rsidR="0012600D" w:rsidRPr="00FC6E1B" w:rsidRDefault="0012600D" w:rsidP="00FC6E1B">
      <w:pPr>
        <w:pStyle w:val="ListParagraph"/>
        <w:numPr>
          <w:ilvl w:val="0"/>
          <w:numId w:val="67"/>
        </w:numPr>
        <w:spacing w:after="120"/>
        <w:jc w:val="both"/>
        <w:rPr>
          <w:rFonts w:ascii="Times New Roman" w:hAnsi="Times New Roman" w:cs="Times New Roman"/>
          <w:color w:val="000000" w:themeColor="text1"/>
          <w:sz w:val="24"/>
          <w:szCs w:val="24"/>
        </w:rPr>
      </w:pPr>
      <w:r w:rsidRPr="00FC6E1B">
        <w:rPr>
          <w:rFonts w:ascii="Times New Roman" w:hAnsi="Times New Roman" w:cs="Times New Roman"/>
          <w:color w:val="000000" w:themeColor="text1"/>
          <w:sz w:val="24"/>
          <w:szCs w:val="24"/>
        </w:rPr>
        <w:t>Ministerul Agriculturii si Industriei Alimentare</w:t>
      </w:r>
      <w:r w:rsidR="00FC6E1B">
        <w:rPr>
          <w:rFonts w:ascii="Times New Roman" w:hAnsi="Times New Roman" w:cs="Times New Roman"/>
          <w:color w:val="000000" w:themeColor="text1"/>
          <w:sz w:val="24"/>
          <w:szCs w:val="24"/>
        </w:rPr>
        <w:t>;</w:t>
      </w:r>
    </w:p>
    <w:p w14:paraId="6E044C5F" w14:textId="40533912" w:rsidR="0012600D" w:rsidRPr="00FC6E1B" w:rsidRDefault="0012600D" w:rsidP="00FC6E1B">
      <w:pPr>
        <w:pStyle w:val="ListParagraph"/>
        <w:numPr>
          <w:ilvl w:val="0"/>
          <w:numId w:val="67"/>
        </w:numPr>
        <w:spacing w:after="120"/>
        <w:jc w:val="both"/>
        <w:rPr>
          <w:rFonts w:ascii="Times New Roman" w:hAnsi="Times New Roman" w:cs="Times New Roman"/>
          <w:color w:val="000000" w:themeColor="text1"/>
          <w:sz w:val="24"/>
          <w:szCs w:val="24"/>
        </w:rPr>
      </w:pPr>
      <w:r w:rsidRPr="00FC6E1B">
        <w:rPr>
          <w:rFonts w:ascii="Times New Roman" w:hAnsi="Times New Roman" w:cs="Times New Roman"/>
          <w:color w:val="000000" w:themeColor="text1"/>
          <w:sz w:val="24"/>
          <w:szCs w:val="24"/>
        </w:rPr>
        <w:t>Ministerul Dezvoltării Economice și Digitalizării</w:t>
      </w:r>
      <w:r w:rsidR="00FC6E1B">
        <w:rPr>
          <w:rFonts w:ascii="Times New Roman" w:hAnsi="Times New Roman" w:cs="Times New Roman"/>
          <w:color w:val="000000" w:themeColor="text1"/>
          <w:sz w:val="24"/>
          <w:szCs w:val="24"/>
        </w:rPr>
        <w:t>;</w:t>
      </w:r>
    </w:p>
    <w:p w14:paraId="35F2C0BD" w14:textId="53C13FA7" w:rsidR="0012600D" w:rsidRPr="00FC6E1B" w:rsidRDefault="0012600D" w:rsidP="00FC6E1B">
      <w:pPr>
        <w:pStyle w:val="ListParagraph"/>
        <w:numPr>
          <w:ilvl w:val="0"/>
          <w:numId w:val="67"/>
        </w:numPr>
        <w:spacing w:after="120"/>
        <w:jc w:val="both"/>
        <w:rPr>
          <w:rFonts w:ascii="Times New Roman" w:hAnsi="Times New Roman" w:cs="Times New Roman"/>
          <w:color w:val="000000" w:themeColor="text1"/>
          <w:sz w:val="24"/>
          <w:szCs w:val="24"/>
        </w:rPr>
      </w:pPr>
      <w:r w:rsidRPr="00FC6E1B">
        <w:rPr>
          <w:rFonts w:ascii="Times New Roman" w:hAnsi="Times New Roman" w:cs="Times New Roman"/>
          <w:color w:val="000000" w:themeColor="text1"/>
          <w:sz w:val="24"/>
          <w:szCs w:val="24"/>
        </w:rPr>
        <w:t>Ministerul Energiei</w:t>
      </w:r>
      <w:r w:rsidR="00FC6E1B">
        <w:rPr>
          <w:rFonts w:ascii="Times New Roman" w:hAnsi="Times New Roman" w:cs="Times New Roman"/>
          <w:color w:val="000000" w:themeColor="text1"/>
          <w:sz w:val="24"/>
          <w:szCs w:val="24"/>
        </w:rPr>
        <w:t>;</w:t>
      </w:r>
    </w:p>
    <w:p w14:paraId="3CD8DF9D" w14:textId="37B3DAE3" w:rsidR="0012600D" w:rsidRPr="00FC6E1B" w:rsidRDefault="0012600D" w:rsidP="00FC6E1B">
      <w:pPr>
        <w:pStyle w:val="ListParagraph"/>
        <w:numPr>
          <w:ilvl w:val="0"/>
          <w:numId w:val="67"/>
        </w:numPr>
        <w:spacing w:after="120"/>
        <w:jc w:val="both"/>
        <w:rPr>
          <w:rFonts w:ascii="Times New Roman" w:hAnsi="Times New Roman" w:cs="Times New Roman"/>
          <w:color w:val="000000" w:themeColor="text1"/>
          <w:sz w:val="24"/>
          <w:szCs w:val="24"/>
        </w:rPr>
      </w:pPr>
      <w:r w:rsidRPr="00FC6E1B">
        <w:rPr>
          <w:rFonts w:ascii="Times New Roman" w:hAnsi="Times New Roman" w:cs="Times New Roman"/>
          <w:color w:val="000000" w:themeColor="text1"/>
          <w:sz w:val="24"/>
          <w:szCs w:val="24"/>
        </w:rPr>
        <w:t>Ministerul Infrastructurii și Dezvoltării Regionale</w:t>
      </w:r>
      <w:r w:rsidR="00FC6E1B">
        <w:rPr>
          <w:rFonts w:ascii="Times New Roman" w:hAnsi="Times New Roman" w:cs="Times New Roman"/>
          <w:color w:val="000000" w:themeColor="text1"/>
          <w:sz w:val="24"/>
          <w:szCs w:val="24"/>
        </w:rPr>
        <w:t>;</w:t>
      </w:r>
    </w:p>
    <w:p w14:paraId="6707526A" w14:textId="09E0FB8D" w:rsidR="0012600D" w:rsidRPr="00FC6E1B" w:rsidRDefault="0012600D" w:rsidP="00FC6E1B">
      <w:pPr>
        <w:pStyle w:val="ListParagraph"/>
        <w:numPr>
          <w:ilvl w:val="0"/>
          <w:numId w:val="67"/>
        </w:numPr>
        <w:spacing w:after="120"/>
        <w:jc w:val="both"/>
        <w:rPr>
          <w:rFonts w:ascii="Times New Roman" w:hAnsi="Times New Roman" w:cs="Times New Roman"/>
          <w:color w:val="000000" w:themeColor="text1"/>
          <w:sz w:val="24"/>
          <w:szCs w:val="24"/>
        </w:rPr>
      </w:pPr>
      <w:r w:rsidRPr="00FC6E1B">
        <w:rPr>
          <w:rFonts w:ascii="Times New Roman" w:hAnsi="Times New Roman" w:cs="Times New Roman"/>
          <w:color w:val="000000" w:themeColor="text1"/>
          <w:sz w:val="24"/>
          <w:szCs w:val="24"/>
        </w:rPr>
        <w:t>Ministerul Sănătății</w:t>
      </w:r>
      <w:r w:rsidR="00FC6E1B">
        <w:rPr>
          <w:rFonts w:ascii="Times New Roman" w:hAnsi="Times New Roman" w:cs="Times New Roman"/>
          <w:color w:val="000000" w:themeColor="text1"/>
          <w:sz w:val="24"/>
          <w:szCs w:val="24"/>
        </w:rPr>
        <w:t>;</w:t>
      </w:r>
    </w:p>
    <w:p w14:paraId="1EF1982F" w14:textId="171F15D5" w:rsidR="0012600D" w:rsidRPr="00FC6E1B" w:rsidRDefault="0012600D" w:rsidP="00FC6E1B">
      <w:pPr>
        <w:pStyle w:val="ListParagraph"/>
        <w:numPr>
          <w:ilvl w:val="0"/>
          <w:numId w:val="67"/>
        </w:numPr>
        <w:spacing w:after="120"/>
        <w:jc w:val="both"/>
        <w:rPr>
          <w:rFonts w:ascii="Times New Roman" w:hAnsi="Times New Roman" w:cs="Times New Roman"/>
          <w:color w:val="000000" w:themeColor="text1"/>
          <w:sz w:val="24"/>
          <w:szCs w:val="24"/>
        </w:rPr>
      </w:pPr>
      <w:r w:rsidRPr="00FC6E1B">
        <w:rPr>
          <w:rFonts w:ascii="Times New Roman" w:hAnsi="Times New Roman" w:cs="Times New Roman"/>
          <w:color w:val="000000" w:themeColor="text1"/>
          <w:sz w:val="24"/>
          <w:szCs w:val="24"/>
        </w:rPr>
        <w:t>Ministerul Educației și Cercetării cu instituțiile subordonate (Institutul de Zoologie, Institutul de Ecologie și Geografie)</w:t>
      </w:r>
      <w:r w:rsidR="00FC6E1B">
        <w:rPr>
          <w:rFonts w:ascii="Times New Roman" w:hAnsi="Times New Roman" w:cs="Times New Roman"/>
          <w:color w:val="000000" w:themeColor="text1"/>
          <w:sz w:val="24"/>
          <w:szCs w:val="24"/>
        </w:rPr>
        <w:t>;</w:t>
      </w:r>
    </w:p>
    <w:p w14:paraId="3567F73A" w14:textId="1E955C68" w:rsidR="0012600D" w:rsidRPr="00FC6E1B" w:rsidRDefault="0012600D" w:rsidP="00FC6E1B">
      <w:pPr>
        <w:pStyle w:val="ListParagraph"/>
        <w:numPr>
          <w:ilvl w:val="0"/>
          <w:numId w:val="67"/>
        </w:numPr>
        <w:spacing w:after="120"/>
        <w:jc w:val="both"/>
        <w:rPr>
          <w:rFonts w:ascii="Times New Roman" w:hAnsi="Times New Roman" w:cs="Times New Roman"/>
          <w:color w:val="000000" w:themeColor="text1"/>
          <w:sz w:val="24"/>
          <w:szCs w:val="24"/>
        </w:rPr>
      </w:pPr>
      <w:r w:rsidRPr="00FC6E1B">
        <w:rPr>
          <w:rFonts w:ascii="Times New Roman" w:hAnsi="Times New Roman" w:cs="Times New Roman"/>
          <w:color w:val="000000" w:themeColor="text1"/>
          <w:sz w:val="24"/>
          <w:szCs w:val="24"/>
        </w:rPr>
        <w:t>Agenția Națională pentru Siguranța Alimentelor (ANSA)</w:t>
      </w:r>
      <w:r w:rsidR="00FC6E1B">
        <w:rPr>
          <w:rFonts w:ascii="Times New Roman" w:hAnsi="Times New Roman" w:cs="Times New Roman"/>
          <w:color w:val="000000" w:themeColor="text1"/>
          <w:sz w:val="24"/>
          <w:szCs w:val="24"/>
        </w:rPr>
        <w:t>;</w:t>
      </w:r>
    </w:p>
    <w:p w14:paraId="4853B1CA" w14:textId="398AFF88" w:rsidR="0012600D" w:rsidRPr="0012600D" w:rsidRDefault="0012600D" w:rsidP="00FC6E1B">
      <w:pPr>
        <w:pStyle w:val="ListParagraph"/>
        <w:numPr>
          <w:ilvl w:val="0"/>
          <w:numId w:val="67"/>
        </w:numPr>
        <w:spacing w:after="120"/>
        <w:jc w:val="both"/>
      </w:pPr>
      <w:r w:rsidRPr="00FC6E1B">
        <w:rPr>
          <w:rFonts w:ascii="Times New Roman" w:hAnsi="Times New Roman" w:cs="Times New Roman"/>
          <w:color w:val="000000" w:themeColor="text1"/>
          <w:sz w:val="24"/>
          <w:szCs w:val="24"/>
        </w:rPr>
        <w:t>Agenția Națională de Sănătate Publică (ANSP</w:t>
      </w:r>
      <w:r w:rsidRPr="0012600D">
        <w:t>)</w:t>
      </w:r>
      <w:r w:rsidR="00FC6E1B">
        <w:t>.</w:t>
      </w:r>
    </w:p>
    <w:p w14:paraId="0B620A51" w14:textId="16E560FF" w:rsidR="00E40AB3" w:rsidRPr="008E6F84" w:rsidRDefault="00E40AB3" w:rsidP="00296CA7">
      <w:pPr>
        <w:pStyle w:val="ListParagraph"/>
        <w:numPr>
          <w:ilvl w:val="0"/>
          <w:numId w:val="65"/>
        </w:numPr>
        <w:spacing w:after="120"/>
        <w:ind w:left="0" w:firstLine="284"/>
        <w:jc w:val="both"/>
        <w:rPr>
          <w:rFonts w:ascii="Times New Roman" w:hAnsi="Times New Roman" w:cs="Times New Roman"/>
          <w:color w:val="000000" w:themeColor="text1"/>
          <w:sz w:val="24"/>
          <w:szCs w:val="24"/>
        </w:rPr>
      </w:pPr>
      <w:r w:rsidRPr="008E6F84">
        <w:rPr>
          <w:rFonts w:ascii="Times New Roman" w:hAnsi="Times New Roman" w:cs="Times New Roman"/>
          <w:color w:val="000000" w:themeColor="text1"/>
          <w:sz w:val="24"/>
          <w:szCs w:val="24"/>
        </w:rPr>
        <w:t>Responsabilitățile autorităților naționale, a</w:t>
      </w:r>
      <w:r w:rsidR="00390DD3" w:rsidRPr="008E6F84">
        <w:rPr>
          <w:rFonts w:ascii="Times New Roman" w:hAnsi="Times New Roman" w:cs="Times New Roman"/>
          <w:color w:val="000000" w:themeColor="text1"/>
          <w:sz w:val="24"/>
          <w:szCs w:val="24"/>
        </w:rPr>
        <w:t>le</w:t>
      </w:r>
      <w:r w:rsidRPr="008E6F84">
        <w:rPr>
          <w:rFonts w:ascii="Times New Roman" w:hAnsi="Times New Roman" w:cs="Times New Roman"/>
          <w:color w:val="000000" w:themeColor="text1"/>
          <w:sz w:val="24"/>
          <w:szCs w:val="24"/>
        </w:rPr>
        <w:t xml:space="preserve"> agențiilor și instituțiilor publice</w:t>
      </w:r>
      <w:r w:rsidR="0012600D" w:rsidRPr="008E6F84">
        <w:rPr>
          <w:rFonts w:ascii="Times New Roman" w:hAnsi="Times New Roman" w:cs="Times New Roman"/>
          <w:color w:val="000000" w:themeColor="text1"/>
          <w:sz w:val="24"/>
          <w:szCs w:val="24"/>
        </w:rPr>
        <w:t xml:space="preserve">, </w:t>
      </w:r>
      <w:r w:rsidR="00390DD3" w:rsidRPr="008E6F84">
        <w:rPr>
          <w:rFonts w:ascii="Times New Roman" w:hAnsi="Times New Roman" w:cs="Times New Roman"/>
          <w:color w:val="000000" w:themeColor="text1"/>
          <w:sz w:val="24"/>
          <w:szCs w:val="24"/>
        </w:rPr>
        <w:t xml:space="preserve">precum și </w:t>
      </w:r>
      <w:r w:rsidR="0012600D" w:rsidRPr="008E6F84">
        <w:rPr>
          <w:rFonts w:ascii="Times New Roman" w:hAnsi="Times New Roman" w:cs="Times New Roman"/>
          <w:color w:val="000000" w:themeColor="text1"/>
          <w:sz w:val="24"/>
          <w:szCs w:val="24"/>
        </w:rPr>
        <w:t>a</w:t>
      </w:r>
      <w:r w:rsidR="00390DD3" w:rsidRPr="008E6F84">
        <w:rPr>
          <w:rFonts w:ascii="Times New Roman" w:hAnsi="Times New Roman" w:cs="Times New Roman"/>
          <w:color w:val="000000" w:themeColor="text1"/>
          <w:sz w:val="24"/>
          <w:szCs w:val="24"/>
        </w:rPr>
        <w:t>le</w:t>
      </w:r>
      <w:r w:rsidR="0012600D" w:rsidRPr="008E6F84">
        <w:rPr>
          <w:rFonts w:ascii="Times New Roman" w:hAnsi="Times New Roman" w:cs="Times New Roman"/>
          <w:color w:val="000000" w:themeColor="text1"/>
          <w:sz w:val="24"/>
          <w:szCs w:val="24"/>
        </w:rPr>
        <w:t xml:space="preserve"> autorităților publice locale</w:t>
      </w:r>
      <w:r w:rsidR="00296CA7" w:rsidRPr="008E6F84">
        <w:rPr>
          <w:rFonts w:ascii="Times New Roman" w:hAnsi="Times New Roman" w:cs="Times New Roman"/>
          <w:color w:val="000000" w:themeColor="text1"/>
          <w:sz w:val="24"/>
          <w:szCs w:val="24"/>
        </w:rPr>
        <w:t xml:space="preserve"> implicate</w:t>
      </w:r>
      <w:r w:rsidRPr="008E6F84">
        <w:rPr>
          <w:rFonts w:ascii="Times New Roman" w:hAnsi="Times New Roman" w:cs="Times New Roman"/>
          <w:color w:val="000000" w:themeColor="text1"/>
          <w:sz w:val="24"/>
          <w:szCs w:val="24"/>
        </w:rPr>
        <w:t xml:space="preserve"> în dezvoltarea și implementarea acțiunilor în domeniul RRD sunt incluse în capitolul 2 și în Planul de acțiuni al PNRRD</w:t>
      </w:r>
      <w:r w:rsidR="00390DD3" w:rsidRPr="008E6F84">
        <w:rPr>
          <w:rFonts w:ascii="Times New Roman" w:hAnsi="Times New Roman" w:cs="Times New Roman"/>
          <w:color w:val="000000" w:themeColor="text1"/>
          <w:sz w:val="24"/>
          <w:szCs w:val="24"/>
        </w:rPr>
        <w:t>N</w:t>
      </w:r>
      <w:r w:rsidRPr="008E6F84">
        <w:rPr>
          <w:rFonts w:ascii="Times New Roman" w:hAnsi="Times New Roman" w:cs="Times New Roman"/>
          <w:color w:val="000000" w:themeColor="text1"/>
          <w:sz w:val="24"/>
          <w:szCs w:val="24"/>
        </w:rPr>
        <w:t xml:space="preserve"> (anexa</w:t>
      </w:r>
      <w:r w:rsidR="0012600D" w:rsidRPr="008E6F84">
        <w:rPr>
          <w:rFonts w:ascii="Times New Roman" w:hAnsi="Times New Roman" w:cs="Times New Roman"/>
          <w:color w:val="000000" w:themeColor="text1"/>
          <w:sz w:val="24"/>
          <w:szCs w:val="24"/>
        </w:rPr>
        <w:t xml:space="preserve"> </w:t>
      </w:r>
      <w:r w:rsidR="00390DD3" w:rsidRPr="008E6F84">
        <w:rPr>
          <w:rFonts w:ascii="Times New Roman" w:hAnsi="Times New Roman" w:cs="Times New Roman"/>
          <w:color w:val="000000" w:themeColor="text1"/>
          <w:sz w:val="24"/>
          <w:szCs w:val="24"/>
        </w:rPr>
        <w:t xml:space="preserve">nr. </w:t>
      </w:r>
      <w:r w:rsidRPr="008E6F84">
        <w:rPr>
          <w:rFonts w:ascii="Times New Roman" w:hAnsi="Times New Roman" w:cs="Times New Roman"/>
          <w:color w:val="000000" w:themeColor="text1"/>
          <w:sz w:val="24"/>
          <w:szCs w:val="24"/>
        </w:rPr>
        <w:t>1), unde</w:t>
      </w:r>
      <w:r w:rsidR="00390DD3" w:rsidRPr="008E6F84">
        <w:rPr>
          <w:rFonts w:ascii="Times New Roman" w:hAnsi="Times New Roman" w:cs="Times New Roman"/>
          <w:color w:val="000000" w:themeColor="text1"/>
          <w:sz w:val="24"/>
          <w:szCs w:val="24"/>
        </w:rPr>
        <w:t xml:space="preserve">, pentru </w:t>
      </w:r>
      <w:r w:rsidRPr="008E6F84">
        <w:rPr>
          <w:rFonts w:ascii="Times New Roman" w:hAnsi="Times New Roman" w:cs="Times New Roman"/>
          <w:color w:val="000000" w:themeColor="text1"/>
          <w:sz w:val="24"/>
          <w:szCs w:val="24"/>
        </w:rPr>
        <w:t>fiecare acțiune</w:t>
      </w:r>
      <w:r w:rsidR="00390DD3" w:rsidRPr="008E6F84">
        <w:rPr>
          <w:rFonts w:ascii="Times New Roman" w:hAnsi="Times New Roman" w:cs="Times New Roman"/>
          <w:color w:val="000000" w:themeColor="text1"/>
          <w:sz w:val="24"/>
          <w:szCs w:val="24"/>
        </w:rPr>
        <w:t>, sunt</w:t>
      </w:r>
      <w:r w:rsidRPr="008E6F84">
        <w:rPr>
          <w:rFonts w:ascii="Times New Roman" w:hAnsi="Times New Roman" w:cs="Times New Roman"/>
          <w:color w:val="000000" w:themeColor="text1"/>
          <w:sz w:val="24"/>
          <w:szCs w:val="24"/>
        </w:rPr>
        <w:t xml:space="preserve"> indicat</w:t>
      </w:r>
      <w:r w:rsidR="00390DD3" w:rsidRPr="008E6F84">
        <w:rPr>
          <w:rFonts w:ascii="Times New Roman" w:hAnsi="Times New Roman" w:cs="Times New Roman"/>
          <w:color w:val="000000" w:themeColor="text1"/>
          <w:sz w:val="24"/>
          <w:szCs w:val="24"/>
        </w:rPr>
        <w:t>e</w:t>
      </w:r>
      <w:r w:rsidRPr="008E6F84">
        <w:rPr>
          <w:rFonts w:ascii="Times New Roman" w:hAnsi="Times New Roman" w:cs="Times New Roman"/>
          <w:color w:val="000000" w:themeColor="text1"/>
          <w:sz w:val="24"/>
          <w:szCs w:val="24"/>
        </w:rPr>
        <w:t xml:space="preserve"> autorit</w:t>
      </w:r>
      <w:r w:rsidR="00390DD3" w:rsidRPr="008E6F84">
        <w:rPr>
          <w:rFonts w:ascii="Times New Roman" w:hAnsi="Times New Roman" w:cs="Times New Roman"/>
          <w:color w:val="000000" w:themeColor="text1"/>
          <w:sz w:val="24"/>
          <w:szCs w:val="24"/>
        </w:rPr>
        <w:t>ățile</w:t>
      </w:r>
      <w:r w:rsidRPr="008E6F84">
        <w:rPr>
          <w:rFonts w:ascii="Times New Roman" w:hAnsi="Times New Roman" w:cs="Times New Roman"/>
          <w:color w:val="000000" w:themeColor="text1"/>
          <w:sz w:val="24"/>
          <w:szCs w:val="24"/>
        </w:rPr>
        <w:t xml:space="preserve"> responsabilă de atingerea indicatorilor asumați în termenul stabilit. </w:t>
      </w:r>
    </w:p>
    <w:p w14:paraId="52E0C17E" w14:textId="77777777" w:rsidR="003C0C4F" w:rsidRPr="008E6F84" w:rsidRDefault="004E61F5" w:rsidP="004E61F5">
      <w:pPr>
        <w:pStyle w:val="ListParagraph"/>
        <w:numPr>
          <w:ilvl w:val="0"/>
          <w:numId w:val="65"/>
        </w:numPr>
        <w:spacing w:after="120"/>
        <w:ind w:left="0" w:firstLine="284"/>
        <w:jc w:val="both"/>
        <w:rPr>
          <w:rFonts w:ascii="Times New Roman" w:hAnsi="Times New Roman" w:cs="Times New Roman"/>
          <w:color w:val="000000" w:themeColor="text1"/>
          <w:sz w:val="24"/>
          <w:szCs w:val="24"/>
        </w:rPr>
      </w:pPr>
      <w:r w:rsidRPr="008E6F84">
        <w:rPr>
          <w:rFonts w:ascii="Times New Roman" w:hAnsi="Times New Roman" w:cs="Times New Roman"/>
          <w:color w:val="000000" w:themeColor="text1"/>
          <w:sz w:val="24"/>
          <w:szCs w:val="24"/>
        </w:rPr>
        <w:t xml:space="preserve">De asemenea, la implementarea Programului vor participa </w:t>
      </w:r>
      <w:r w:rsidR="003C0C4F" w:rsidRPr="008E6F84">
        <w:rPr>
          <w:rFonts w:ascii="Times New Roman" w:hAnsi="Times New Roman" w:cs="Times New Roman"/>
          <w:color w:val="000000" w:themeColor="text1"/>
          <w:sz w:val="24"/>
          <w:szCs w:val="24"/>
        </w:rPr>
        <w:t>actorii relevanți din societatea civilă și partenerii de dezvoltare:</w:t>
      </w:r>
    </w:p>
    <w:p w14:paraId="08F3605F" w14:textId="77777777" w:rsidR="003C0C4F" w:rsidRPr="008E6F84" w:rsidRDefault="004E61F5" w:rsidP="003C0C4F">
      <w:pPr>
        <w:pStyle w:val="ListParagraph"/>
        <w:numPr>
          <w:ilvl w:val="0"/>
          <w:numId w:val="69"/>
        </w:numPr>
        <w:spacing w:after="120"/>
        <w:jc w:val="both"/>
        <w:rPr>
          <w:rFonts w:ascii="Times New Roman" w:hAnsi="Times New Roman" w:cs="Times New Roman"/>
          <w:color w:val="000000" w:themeColor="text1"/>
          <w:sz w:val="24"/>
          <w:szCs w:val="24"/>
        </w:rPr>
      </w:pPr>
      <w:r w:rsidRPr="008E6F84">
        <w:rPr>
          <w:rFonts w:ascii="Times New Roman" w:hAnsi="Times New Roman" w:cs="Times New Roman"/>
          <w:color w:val="000000" w:themeColor="text1"/>
          <w:sz w:val="24"/>
          <w:szCs w:val="24"/>
        </w:rPr>
        <w:t>ONG-urile specializate în agroecologie și schimbări climatice</w:t>
      </w:r>
      <w:r w:rsidR="003C0C4F" w:rsidRPr="008E6F84">
        <w:rPr>
          <w:rFonts w:ascii="Times New Roman" w:hAnsi="Times New Roman" w:cs="Times New Roman"/>
          <w:color w:val="000000" w:themeColor="text1"/>
          <w:sz w:val="24"/>
          <w:szCs w:val="24"/>
        </w:rPr>
        <w:t>;</w:t>
      </w:r>
    </w:p>
    <w:p w14:paraId="3592ECD2" w14:textId="4798E791" w:rsidR="003C0C4F" w:rsidRPr="008E6F84" w:rsidRDefault="0045521F" w:rsidP="003C0C4F">
      <w:pPr>
        <w:pStyle w:val="ListParagraph"/>
        <w:numPr>
          <w:ilvl w:val="0"/>
          <w:numId w:val="69"/>
        </w:numPr>
        <w:spacing w:after="120"/>
        <w:jc w:val="both"/>
        <w:rPr>
          <w:rFonts w:ascii="Times New Roman" w:hAnsi="Times New Roman" w:cs="Times New Roman"/>
          <w:color w:val="000000" w:themeColor="text1"/>
          <w:sz w:val="24"/>
          <w:szCs w:val="24"/>
        </w:rPr>
      </w:pPr>
      <w:r w:rsidRPr="008E6F84">
        <w:rPr>
          <w:rFonts w:ascii="Times New Roman" w:hAnsi="Times New Roman" w:cs="Times New Roman"/>
          <w:color w:val="000000" w:themeColor="text1"/>
          <w:sz w:val="24"/>
          <w:szCs w:val="24"/>
        </w:rPr>
        <w:t>Organizația Internațională pentru Migrație (</w:t>
      </w:r>
      <w:r w:rsidR="004E61F5" w:rsidRPr="008E6F84">
        <w:rPr>
          <w:rFonts w:ascii="Times New Roman" w:hAnsi="Times New Roman" w:cs="Times New Roman"/>
          <w:color w:val="000000" w:themeColor="text1"/>
          <w:sz w:val="24"/>
          <w:szCs w:val="24"/>
        </w:rPr>
        <w:t>OIM</w:t>
      </w:r>
      <w:r w:rsidRPr="008E6F84">
        <w:rPr>
          <w:rFonts w:ascii="Times New Roman" w:hAnsi="Times New Roman" w:cs="Times New Roman"/>
          <w:color w:val="000000" w:themeColor="text1"/>
          <w:sz w:val="24"/>
          <w:szCs w:val="24"/>
        </w:rPr>
        <w:t>)</w:t>
      </w:r>
      <w:r w:rsidR="003C0C4F" w:rsidRPr="008E6F84">
        <w:rPr>
          <w:rFonts w:ascii="Times New Roman" w:hAnsi="Times New Roman" w:cs="Times New Roman"/>
          <w:color w:val="000000" w:themeColor="text1"/>
          <w:sz w:val="24"/>
          <w:szCs w:val="24"/>
        </w:rPr>
        <w:t>;</w:t>
      </w:r>
    </w:p>
    <w:p w14:paraId="6F45BE10" w14:textId="643F5746" w:rsidR="003C0C4F" w:rsidRPr="008E6F84" w:rsidRDefault="0045521F" w:rsidP="003C0C4F">
      <w:pPr>
        <w:pStyle w:val="ListParagraph"/>
        <w:numPr>
          <w:ilvl w:val="0"/>
          <w:numId w:val="69"/>
        </w:numPr>
        <w:spacing w:after="120"/>
        <w:jc w:val="both"/>
        <w:rPr>
          <w:rFonts w:ascii="Times New Roman" w:hAnsi="Times New Roman" w:cs="Times New Roman"/>
          <w:color w:val="000000" w:themeColor="text1"/>
          <w:sz w:val="24"/>
          <w:szCs w:val="24"/>
        </w:rPr>
      </w:pPr>
      <w:r w:rsidRPr="008E6F84">
        <w:rPr>
          <w:rFonts w:ascii="Times New Roman" w:hAnsi="Times New Roman" w:cs="Times New Roman"/>
          <w:color w:val="000000" w:themeColor="text1"/>
          <w:sz w:val="24"/>
          <w:szCs w:val="24"/>
        </w:rPr>
        <w:t>Programul Națiunilor Unite pentru Dezvoltare (</w:t>
      </w:r>
      <w:r w:rsidR="004E61F5" w:rsidRPr="008E6F84">
        <w:rPr>
          <w:rFonts w:ascii="Times New Roman" w:hAnsi="Times New Roman" w:cs="Times New Roman"/>
          <w:color w:val="000000" w:themeColor="text1"/>
          <w:sz w:val="24"/>
          <w:szCs w:val="24"/>
        </w:rPr>
        <w:t>PNUD</w:t>
      </w:r>
      <w:r w:rsidRPr="008E6F84">
        <w:rPr>
          <w:rFonts w:ascii="Times New Roman" w:hAnsi="Times New Roman" w:cs="Times New Roman"/>
          <w:color w:val="000000" w:themeColor="text1"/>
          <w:sz w:val="24"/>
          <w:szCs w:val="24"/>
        </w:rPr>
        <w:t>)</w:t>
      </w:r>
      <w:r w:rsidR="003C0C4F" w:rsidRPr="008E6F84">
        <w:rPr>
          <w:rFonts w:ascii="Times New Roman" w:hAnsi="Times New Roman" w:cs="Times New Roman"/>
          <w:color w:val="000000" w:themeColor="text1"/>
          <w:sz w:val="24"/>
          <w:szCs w:val="24"/>
        </w:rPr>
        <w:t>;</w:t>
      </w:r>
    </w:p>
    <w:p w14:paraId="739DE4DE" w14:textId="31EA1E76" w:rsidR="00E40AB3" w:rsidRPr="008E6F84" w:rsidRDefault="004E61F5" w:rsidP="003C0C4F">
      <w:pPr>
        <w:pStyle w:val="ListParagraph"/>
        <w:numPr>
          <w:ilvl w:val="0"/>
          <w:numId w:val="69"/>
        </w:numPr>
        <w:spacing w:after="120"/>
        <w:jc w:val="both"/>
        <w:rPr>
          <w:rFonts w:ascii="Times New Roman" w:hAnsi="Times New Roman" w:cs="Times New Roman"/>
          <w:color w:val="000000" w:themeColor="text1"/>
          <w:sz w:val="24"/>
          <w:szCs w:val="24"/>
        </w:rPr>
      </w:pPr>
      <w:r w:rsidRPr="008E6F84">
        <w:rPr>
          <w:rFonts w:ascii="Times New Roman" w:hAnsi="Times New Roman" w:cs="Times New Roman"/>
          <w:color w:val="000000" w:themeColor="text1"/>
          <w:sz w:val="24"/>
          <w:szCs w:val="24"/>
        </w:rPr>
        <w:t>U</w:t>
      </w:r>
      <w:r w:rsidR="0045521F" w:rsidRPr="008E6F84">
        <w:rPr>
          <w:rFonts w:ascii="Times New Roman" w:hAnsi="Times New Roman" w:cs="Times New Roman"/>
          <w:color w:val="000000" w:themeColor="text1"/>
          <w:sz w:val="24"/>
          <w:szCs w:val="24"/>
        </w:rPr>
        <w:t xml:space="preserve">niunea </w:t>
      </w:r>
      <w:r w:rsidRPr="008E6F84">
        <w:rPr>
          <w:rFonts w:ascii="Times New Roman" w:hAnsi="Times New Roman" w:cs="Times New Roman"/>
          <w:color w:val="000000" w:themeColor="text1"/>
          <w:sz w:val="24"/>
          <w:szCs w:val="24"/>
        </w:rPr>
        <w:t>E</w:t>
      </w:r>
      <w:r w:rsidR="0045521F" w:rsidRPr="008E6F84">
        <w:rPr>
          <w:rFonts w:ascii="Times New Roman" w:hAnsi="Times New Roman" w:cs="Times New Roman"/>
          <w:color w:val="000000" w:themeColor="text1"/>
          <w:sz w:val="24"/>
          <w:szCs w:val="24"/>
        </w:rPr>
        <w:t>uropeană (UE)</w:t>
      </w:r>
      <w:r w:rsidR="003C0C4F" w:rsidRPr="008E6F84">
        <w:rPr>
          <w:rFonts w:ascii="Times New Roman" w:hAnsi="Times New Roman" w:cs="Times New Roman"/>
          <w:color w:val="000000" w:themeColor="text1"/>
          <w:sz w:val="24"/>
          <w:szCs w:val="24"/>
        </w:rPr>
        <w:t>.</w:t>
      </w:r>
    </w:p>
    <w:p w14:paraId="4769A953" w14:textId="77777777" w:rsidR="005B12F9" w:rsidRPr="00CD2ADD" w:rsidRDefault="005B12F9" w:rsidP="005B12F9">
      <w:pPr>
        <w:pStyle w:val="ListParagraph"/>
        <w:spacing w:after="120"/>
        <w:ind w:firstLine="0"/>
        <w:jc w:val="both"/>
        <w:rPr>
          <w:rFonts w:ascii="Times New Roman" w:hAnsi="Times New Roman" w:cs="Times New Roman"/>
        </w:rPr>
      </w:pPr>
    </w:p>
    <w:p w14:paraId="210EEE2D" w14:textId="55C1FE0F" w:rsidR="004325A0" w:rsidRPr="00CD2ADD" w:rsidRDefault="004325A0" w:rsidP="008C22E7">
      <w:pPr>
        <w:pStyle w:val="Heading1"/>
        <w:spacing w:before="0"/>
        <w:jc w:val="center"/>
        <w:rPr>
          <w:rFonts w:ascii="Times New Roman" w:hAnsi="Times New Roman" w:cs="Times New Roman"/>
          <w:b/>
          <w:bCs w:val="0"/>
          <w:color w:val="000000" w:themeColor="text1"/>
          <w:sz w:val="24"/>
          <w:szCs w:val="24"/>
        </w:rPr>
      </w:pPr>
      <w:r w:rsidRPr="00CD2ADD">
        <w:rPr>
          <w:rFonts w:ascii="Times New Roman" w:hAnsi="Times New Roman" w:cs="Times New Roman"/>
          <w:b/>
          <w:bCs w:val="0"/>
          <w:color w:val="000000" w:themeColor="text1"/>
          <w:sz w:val="24"/>
          <w:szCs w:val="24"/>
        </w:rPr>
        <w:t>Capitolul IX</w:t>
      </w:r>
    </w:p>
    <w:p w14:paraId="3DB8C4B3" w14:textId="1388732E" w:rsidR="004325A0" w:rsidRPr="00CD2ADD" w:rsidRDefault="004325A0" w:rsidP="008C22E7">
      <w:pPr>
        <w:pStyle w:val="Heading1"/>
        <w:spacing w:before="0"/>
        <w:jc w:val="center"/>
        <w:rPr>
          <w:rFonts w:ascii="Times New Roman" w:hAnsi="Times New Roman" w:cs="Times New Roman"/>
          <w:b/>
          <w:bCs w:val="0"/>
          <w:color w:val="000000" w:themeColor="text1"/>
          <w:sz w:val="24"/>
          <w:szCs w:val="24"/>
        </w:rPr>
      </w:pPr>
      <w:r w:rsidRPr="00CD2ADD">
        <w:rPr>
          <w:rFonts w:ascii="Times New Roman" w:hAnsi="Times New Roman" w:cs="Times New Roman"/>
          <w:b/>
          <w:bCs w:val="0"/>
          <w:color w:val="000000" w:themeColor="text1"/>
          <w:sz w:val="24"/>
          <w:szCs w:val="24"/>
        </w:rPr>
        <w:t>PROCEDURI DE MONITORIZARE, EVALUARE ȘI RAPORTARE</w:t>
      </w:r>
    </w:p>
    <w:p w14:paraId="38DCF0D8" w14:textId="77777777" w:rsidR="004325A0" w:rsidRPr="00E95D62" w:rsidRDefault="004325A0" w:rsidP="004325A0">
      <w:pPr>
        <w:jc w:val="center"/>
        <w:rPr>
          <w:b/>
          <w:bCs/>
          <w:lang w:eastAsia="en-US"/>
        </w:rPr>
      </w:pPr>
    </w:p>
    <w:p w14:paraId="26501FC7" w14:textId="6D040E70" w:rsidR="003C3F37" w:rsidRPr="00E95D62" w:rsidRDefault="003C3F37" w:rsidP="00E95D62">
      <w:pPr>
        <w:pStyle w:val="ListParagraph"/>
        <w:numPr>
          <w:ilvl w:val="0"/>
          <w:numId w:val="66"/>
        </w:numPr>
        <w:tabs>
          <w:tab w:val="left" w:pos="0"/>
          <w:tab w:val="left" w:pos="142"/>
        </w:tabs>
        <w:spacing w:after="120"/>
        <w:ind w:left="0" w:firstLine="284"/>
        <w:jc w:val="both"/>
        <w:rPr>
          <w:rFonts w:ascii="Times New Roman" w:hAnsi="Times New Roman" w:cs="Times New Roman"/>
          <w:color w:val="auto"/>
          <w:sz w:val="24"/>
          <w:szCs w:val="24"/>
        </w:rPr>
      </w:pPr>
      <w:r w:rsidRPr="00E95D62">
        <w:rPr>
          <w:rFonts w:ascii="Times New Roman" w:hAnsi="Times New Roman" w:cs="Times New Roman"/>
          <w:color w:val="auto"/>
          <w:sz w:val="24"/>
          <w:szCs w:val="24"/>
        </w:rPr>
        <w:t xml:space="preserve">Implementarea Programului Național de Reducere a Riscurilor de Dezastre </w:t>
      </w:r>
      <w:r w:rsidR="001A6B5F" w:rsidRPr="00E95D62">
        <w:rPr>
          <w:rFonts w:ascii="Times New Roman" w:hAnsi="Times New Roman" w:cs="Times New Roman"/>
          <w:color w:val="auto"/>
          <w:sz w:val="24"/>
          <w:szCs w:val="24"/>
        </w:rPr>
        <w:t xml:space="preserve">Naturale </w:t>
      </w:r>
      <w:r w:rsidRPr="00E95D62">
        <w:rPr>
          <w:rFonts w:ascii="Times New Roman" w:hAnsi="Times New Roman" w:cs="Times New Roman"/>
          <w:color w:val="auto"/>
          <w:sz w:val="24"/>
          <w:szCs w:val="24"/>
        </w:rPr>
        <w:t>se va desfășura în concordanță cu Planul de acțiuni privind implementarea Programului</w:t>
      </w:r>
      <w:r w:rsidR="00A432BD" w:rsidRPr="00E95D62">
        <w:rPr>
          <w:rFonts w:ascii="Times New Roman" w:hAnsi="Times New Roman" w:cs="Times New Roman"/>
          <w:color w:val="auto"/>
          <w:sz w:val="24"/>
          <w:szCs w:val="24"/>
        </w:rPr>
        <w:t xml:space="preserve">. </w:t>
      </w:r>
    </w:p>
    <w:p w14:paraId="006F1848" w14:textId="77777777" w:rsidR="00E95D62" w:rsidRPr="00E95D62" w:rsidRDefault="003C3F37" w:rsidP="00E95D62">
      <w:pPr>
        <w:pStyle w:val="ListParagraph"/>
        <w:numPr>
          <w:ilvl w:val="0"/>
          <w:numId w:val="66"/>
        </w:numPr>
        <w:tabs>
          <w:tab w:val="left" w:pos="0"/>
          <w:tab w:val="left" w:pos="142"/>
        </w:tabs>
        <w:spacing w:after="120"/>
        <w:ind w:left="0" w:firstLine="284"/>
        <w:jc w:val="both"/>
        <w:rPr>
          <w:rFonts w:ascii="Times New Roman" w:hAnsi="Times New Roman" w:cs="Times New Roman"/>
          <w:color w:val="auto"/>
          <w:sz w:val="24"/>
          <w:szCs w:val="24"/>
        </w:rPr>
      </w:pPr>
      <w:r w:rsidRPr="00E95D62">
        <w:rPr>
          <w:rFonts w:ascii="Times New Roman" w:hAnsi="Times New Roman" w:cs="Times New Roman"/>
          <w:color w:val="auto"/>
          <w:sz w:val="24"/>
          <w:szCs w:val="24"/>
        </w:rPr>
        <w:t>Monitorizarea și raportarea implementării Programului se vor realiza pe întreaga durată a acestuia de către Ministerul Mediului, în strânsă cooperare cu autoritățile și instituțiile responsabile de implementarea măsurilor sectoriale. Scopul procesului este determinarea gradului de realizare a acțiunilor, evaluarea conformității acțiunilor întreprinse cu cele planificate, identificarea cauzelor eventualelor întârzieri și formularea recomandărilor necesare îmbunătățirii implementării. Instituțiile responsabile atât la nivel central cât și autoritățile administrației publice locale vor asigura realizarea măsurilor din domeniul lor de competență și vor transmite anual, până la data de 1</w:t>
      </w:r>
      <w:r w:rsidR="002613B0" w:rsidRPr="00E95D62">
        <w:rPr>
          <w:rFonts w:ascii="Times New Roman" w:hAnsi="Times New Roman" w:cs="Times New Roman"/>
          <w:color w:val="auto"/>
          <w:sz w:val="24"/>
          <w:szCs w:val="24"/>
        </w:rPr>
        <w:t>0</w:t>
      </w:r>
      <w:r w:rsidRPr="00E95D62">
        <w:rPr>
          <w:rFonts w:ascii="Times New Roman" w:hAnsi="Times New Roman" w:cs="Times New Roman"/>
          <w:color w:val="auto"/>
          <w:sz w:val="24"/>
          <w:szCs w:val="24"/>
        </w:rPr>
        <w:t xml:space="preserve"> februarie, Ministerului Mediului rapoartele de progres privind acțiunile realizate în anul precedent.</w:t>
      </w:r>
    </w:p>
    <w:p w14:paraId="770E3D73" w14:textId="77777777" w:rsidR="00E95D62" w:rsidRPr="00E95D62" w:rsidRDefault="003C3F37" w:rsidP="00E95D62">
      <w:pPr>
        <w:pStyle w:val="ListParagraph"/>
        <w:numPr>
          <w:ilvl w:val="0"/>
          <w:numId w:val="66"/>
        </w:numPr>
        <w:tabs>
          <w:tab w:val="left" w:pos="0"/>
          <w:tab w:val="left" w:pos="142"/>
        </w:tabs>
        <w:spacing w:after="120"/>
        <w:ind w:left="0" w:firstLine="284"/>
        <w:jc w:val="both"/>
        <w:rPr>
          <w:rFonts w:ascii="Times New Roman" w:hAnsi="Times New Roman" w:cs="Times New Roman"/>
          <w:color w:val="auto"/>
          <w:sz w:val="24"/>
          <w:szCs w:val="24"/>
        </w:rPr>
      </w:pPr>
      <w:r w:rsidRPr="00E95D62">
        <w:rPr>
          <w:rFonts w:ascii="Times New Roman" w:hAnsi="Times New Roman" w:cs="Times New Roman"/>
          <w:color w:val="auto"/>
          <w:sz w:val="24"/>
          <w:szCs w:val="24"/>
        </w:rPr>
        <w:t>Ministerul Mediului va elabora raportul anual de progres privind implementarea Programului, în baza rapoartelor autorităților responsabile. În cazul măsurilor implementate de mai multe instituții, responsabilitatea de coordonare și raportare primară revine primei instituții indicate în Planul de acțiuni, aceasta având obligația de a centraliza informațiile de la executorii secundari. Rapoartele de progres vor include, obligatoriu, date cantitative și calitative privind stadiul realizării obiectivelor specifice și indicatorilor de rezultat, conform cadrului de monitorizare al Programului.</w:t>
      </w:r>
    </w:p>
    <w:p w14:paraId="018AEF2F" w14:textId="77777777" w:rsidR="00E95D62" w:rsidRPr="00E95D62" w:rsidRDefault="003C3F37" w:rsidP="00E95D62">
      <w:pPr>
        <w:pStyle w:val="ListParagraph"/>
        <w:numPr>
          <w:ilvl w:val="0"/>
          <w:numId w:val="66"/>
        </w:numPr>
        <w:tabs>
          <w:tab w:val="left" w:pos="0"/>
          <w:tab w:val="left" w:pos="142"/>
        </w:tabs>
        <w:spacing w:after="120"/>
        <w:ind w:left="0" w:firstLine="284"/>
        <w:jc w:val="both"/>
        <w:rPr>
          <w:rFonts w:ascii="Times New Roman" w:hAnsi="Times New Roman" w:cs="Times New Roman"/>
          <w:color w:val="auto"/>
          <w:sz w:val="24"/>
          <w:szCs w:val="24"/>
        </w:rPr>
      </w:pPr>
      <w:r w:rsidRPr="00E95D62">
        <w:rPr>
          <w:rFonts w:ascii="Times New Roman" w:hAnsi="Times New Roman" w:cs="Times New Roman"/>
          <w:color w:val="auto"/>
          <w:sz w:val="24"/>
          <w:szCs w:val="24"/>
        </w:rPr>
        <w:lastRenderedPageBreak/>
        <w:t>Evaluarea implementării Programului va oferi o imagine obiectivă asupra relevanței, eficacității, coerenței și impactului măsurilor. Evaluările se vor desfășura după cum urmează:</w:t>
      </w:r>
      <w:r w:rsidR="0002190E" w:rsidRPr="00E95D62">
        <w:rPr>
          <w:rFonts w:ascii="Times New Roman" w:hAnsi="Times New Roman" w:cs="Times New Roman"/>
          <w:color w:val="auto"/>
          <w:sz w:val="24"/>
          <w:szCs w:val="24"/>
        </w:rPr>
        <w:t xml:space="preserve"> </w:t>
      </w:r>
      <w:r w:rsidRPr="00E95D62">
        <w:rPr>
          <w:rFonts w:ascii="Times New Roman" w:hAnsi="Times New Roman" w:cs="Times New Roman"/>
          <w:color w:val="auto"/>
          <w:sz w:val="24"/>
          <w:szCs w:val="24"/>
        </w:rPr>
        <w:t>raport de evaluare intermediară după finalizarea primei etape (3 ani)</w:t>
      </w:r>
      <w:r w:rsidR="0002190E" w:rsidRPr="00E95D62">
        <w:rPr>
          <w:rFonts w:ascii="Times New Roman" w:hAnsi="Times New Roman" w:cs="Times New Roman"/>
          <w:color w:val="auto"/>
          <w:sz w:val="24"/>
          <w:szCs w:val="24"/>
        </w:rPr>
        <w:t xml:space="preserve"> și </w:t>
      </w:r>
      <w:r w:rsidRPr="00E95D62">
        <w:rPr>
          <w:rFonts w:ascii="Times New Roman" w:hAnsi="Times New Roman" w:cs="Times New Roman"/>
          <w:color w:val="auto"/>
          <w:sz w:val="24"/>
          <w:szCs w:val="24"/>
        </w:rPr>
        <w:t>raport de evaluare finală după încheierea implementării Programului (5 ani).</w:t>
      </w:r>
      <w:r w:rsidR="0002190E" w:rsidRPr="00E95D62">
        <w:rPr>
          <w:rFonts w:ascii="Times New Roman" w:hAnsi="Times New Roman" w:cs="Times New Roman"/>
          <w:color w:val="auto"/>
          <w:sz w:val="24"/>
          <w:szCs w:val="24"/>
        </w:rPr>
        <w:t xml:space="preserve"> </w:t>
      </w:r>
      <w:r w:rsidRPr="00E95D62">
        <w:rPr>
          <w:rFonts w:ascii="Times New Roman" w:hAnsi="Times New Roman" w:cs="Times New Roman"/>
          <w:color w:val="auto"/>
          <w:sz w:val="24"/>
          <w:szCs w:val="24"/>
        </w:rPr>
        <w:t>Ministerul Mediului va prezenta Cancelariei de Stat</w:t>
      </w:r>
      <w:r w:rsidR="0002190E" w:rsidRPr="00E95D62">
        <w:rPr>
          <w:rFonts w:ascii="Times New Roman" w:hAnsi="Times New Roman" w:cs="Times New Roman"/>
          <w:color w:val="auto"/>
          <w:sz w:val="24"/>
          <w:szCs w:val="24"/>
        </w:rPr>
        <w:t xml:space="preserve"> </w:t>
      </w:r>
      <w:r w:rsidRPr="00E95D62">
        <w:rPr>
          <w:rFonts w:ascii="Times New Roman" w:hAnsi="Times New Roman" w:cs="Times New Roman"/>
          <w:color w:val="auto"/>
          <w:sz w:val="24"/>
          <w:szCs w:val="24"/>
        </w:rPr>
        <w:t>raportul de evaluare intermediară până la 15 aprilie 2029</w:t>
      </w:r>
      <w:r w:rsidR="0002190E" w:rsidRPr="00E95D62">
        <w:rPr>
          <w:rFonts w:ascii="Times New Roman" w:hAnsi="Times New Roman" w:cs="Times New Roman"/>
          <w:color w:val="auto"/>
          <w:sz w:val="24"/>
          <w:szCs w:val="24"/>
        </w:rPr>
        <w:t xml:space="preserve"> </w:t>
      </w:r>
      <w:r w:rsidRPr="00E95D62">
        <w:rPr>
          <w:rFonts w:ascii="Times New Roman" w:hAnsi="Times New Roman" w:cs="Times New Roman"/>
          <w:color w:val="auto"/>
          <w:sz w:val="24"/>
          <w:szCs w:val="24"/>
        </w:rPr>
        <w:t>raportul de evaluare finală până la 15 aprilie 2031,</w:t>
      </w:r>
      <w:r w:rsidR="0002190E" w:rsidRPr="00E95D62">
        <w:rPr>
          <w:rFonts w:ascii="Times New Roman" w:hAnsi="Times New Roman" w:cs="Times New Roman"/>
          <w:color w:val="auto"/>
          <w:sz w:val="24"/>
          <w:szCs w:val="24"/>
        </w:rPr>
        <w:t xml:space="preserve"> </w:t>
      </w:r>
      <w:r w:rsidRPr="00E95D62">
        <w:rPr>
          <w:rFonts w:ascii="Times New Roman" w:hAnsi="Times New Roman" w:cs="Times New Roman"/>
          <w:color w:val="auto"/>
          <w:sz w:val="24"/>
          <w:szCs w:val="24"/>
        </w:rPr>
        <w:t>în conformitate cu Ghidul metodologic pentru evaluarea intermediară și ex post a politicilor publice, respectând criteriile de relevanță, eficacitate, eficiență, durabilitate, impact și coerență.</w:t>
      </w:r>
    </w:p>
    <w:p w14:paraId="64B94232" w14:textId="77777777" w:rsidR="00E95D62" w:rsidRPr="00E95D62" w:rsidRDefault="003C3F37" w:rsidP="00E95D62">
      <w:pPr>
        <w:pStyle w:val="ListParagraph"/>
        <w:numPr>
          <w:ilvl w:val="0"/>
          <w:numId w:val="66"/>
        </w:numPr>
        <w:tabs>
          <w:tab w:val="left" w:pos="0"/>
          <w:tab w:val="left" w:pos="142"/>
        </w:tabs>
        <w:spacing w:after="120"/>
        <w:ind w:left="0" w:firstLine="284"/>
        <w:jc w:val="both"/>
        <w:rPr>
          <w:rFonts w:ascii="Times New Roman" w:hAnsi="Times New Roman" w:cs="Times New Roman"/>
          <w:color w:val="auto"/>
          <w:sz w:val="24"/>
          <w:szCs w:val="24"/>
        </w:rPr>
      </w:pPr>
      <w:r w:rsidRPr="00E95D62">
        <w:rPr>
          <w:rFonts w:ascii="Times New Roman" w:hAnsi="Times New Roman" w:cs="Times New Roman"/>
          <w:color w:val="auto"/>
          <w:sz w:val="24"/>
          <w:szCs w:val="24"/>
        </w:rPr>
        <w:t>Rapoartele de evaluare vor include următoarele elemente:</w:t>
      </w:r>
      <w:r w:rsidR="00220C45" w:rsidRPr="00E95D62">
        <w:rPr>
          <w:rFonts w:ascii="Times New Roman" w:hAnsi="Times New Roman" w:cs="Times New Roman"/>
          <w:color w:val="auto"/>
          <w:sz w:val="24"/>
          <w:szCs w:val="24"/>
        </w:rPr>
        <w:t xml:space="preserve"> </w:t>
      </w:r>
      <w:r w:rsidRPr="00E95D62">
        <w:rPr>
          <w:rFonts w:ascii="Times New Roman" w:hAnsi="Times New Roman" w:cs="Times New Roman"/>
          <w:color w:val="auto"/>
          <w:sz w:val="24"/>
          <w:szCs w:val="24"/>
        </w:rPr>
        <w:t xml:space="preserve">sumar executiv </w:t>
      </w:r>
      <w:r w:rsidR="00220C45" w:rsidRPr="00E95D62">
        <w:rPr>
          <w:rFonts w:ascii="Times New Roman" w:hAnsi="Times New Roman" w:cs="Times New Roman"/>
          <w:color w:val="auto"/>
          <w:sz w:val="24"/>
          <w:szCs w:val="24"/>
        </w:rPr>
        <w:t>(</w:t>
      </w:r>
      <w:r w:rsidRPr="00E95D62">
        <w:rPr>
          <w:rFonts w:ascii="Times New Roman" w:hAnsi="Times New Roman" w:cs="Times New Roman"/>
          <w:color w:val="auto"/>
          <w:sz w:val="24"/>
          <w:szCs w:val="24"/>
        </w:rPr>
        <w:t>descrierea scopului și obiectivelor Programului, principalele rezultate, concluzii și recomandări</w:t>
      </w:r>
      <w:r w:rsidR="00220C45" w:rsidRPr="00E95D62">
        <w:rPr>
          <w:rFonts w:ascii="Times New Roman" w:hAnsi="Times New Roman" w:cs="Times New Roman"/>
          <w:color w:val="auto"/>
          <w:sz w:val="24"/>
          <w:szCs w:val="24"/>
        </w:rPr>
        <w:t>)</w:t>
      </w:r>
      <w:r w:rsidRPr="00E95D62">
        <w:rPr>
          <w:rFonts w:ascii="Times New Roman" w:hAnsi="Times New Roman" w:cs="Times New Roman"/>
          <w:color w:val="auto"/>
          <w:sz w:val="24"/>
          <w:szCs w:val="24"/>
        </w:rPr>
        <w:t>;</w:t>
      </w:r>
      <w:r w:rsidR="00220C45" w:rsidRPr="00E95D62">
        <w:rPr>
          <w:rFonts w:ascii="Times New Roman" w:hAnsi="Times New Roman" w:cs="Times New Roman"/>
          <w:color w:val="auto"/>
          <w:sz w:val="24"/>
          <w:szCs w:val="24"/>
        </w:rPr>
        <w:t xml:space="preserve"> </w:t>
      </w:r>
      <w:r w:rsidRPr="00E95D62">
        <w:rPr>
          <w:rFonts w:ascii="Times New Roman" w:hAnsi="Times New Roman" w:cs="Times New Roman"/>
          <w:color w:val="auto"/>
          <w:sz w:val="24"/>
          <w:szCs w:val="24"/>
        </w:rPr>
        <w:t xml:space="preserve">introducere </w:t>
      </w:r>
      <w:r w:rsidR="00220C45" w:rsidRPr="00E95D62">
        <w:rPr>
          <w:rFonts w:ascii="Times New Roman" w:hAnsi="Times New Roman" w:cs="Times New Roman"/>
          <w:color w:val="auto"/>
          <w:sz w:val="24"/>
          <w:szCs w:val="24"/>
        </w:rPr>
        <w:t>(</w:t>
      </w:r>
      <w:r w:rsidRPr="00E95D62">
        <w:rPr>
          <w:rFonts w:ascii="Times New Roman" w:hAnsi="Times New Roman" w:cs="Times New Roman"/>
          <w:color w:val="auto"/>
          <w:sz w:val="24"/>
          <w:szCs w:val="24"/>
        </w:rPr>
        <w:t>prezentarea Programului, scopul și metodologia evaluării, limitările procesului</w:t>
      </w:r>
      <w:r w:rsidR="00220C45" w:rsidRPr="00E95D62">
        <w:rPr>
          <w:rFonts w:ascii="Times New Roman" w:hAnsi="Times New Roman" w:cs="Times New Roman"/>
          <w:color w:val="auto"/>
          <w:sz w:val="24"/>
          <w:szCs w:val="24"/>
        </w:rPr>
        <w:t xml:space="preserve">);  </w:t>
      </w:r>
      <w:r w:rsidRPr="00E95D62">
        <w:rPr>
          <w:rFonts w:ascii="Times New Roman" w:hAnsi="Times New Roman" w:cs="Times New Roman"/>
          <w:color w:val="auto"/>
          <w:sz w:val="24"/>
          <w:szCs w:val="24"/>
        </w:rPr>
        <w:t>constatări</w:t>
      </w:r>
      <w:r w:rsidR="00220C45" w:rsidRPr="00E95D62">
        <w:rPr>
          <w:rFonts w:ascii="Times New Roman" w:hAnsi="Times New Roman" w:cs="Times New Roman"/>
          <w:color w:val="auto"/>
          <w:sz w:val="24"/>
          <w:szCs w:val="24"/>
        </w:rPr>
        <w:t xml:space="preserve"> (</w:t>
      </w:r>
      <w:r w:rsidRPr="00E95D62">
        <w:rPr>
          <w:rFonts w:ascii="Times New Roman" w:hAnsi="Times New Roman" w:cs="Times New Roman"/>
          <w:color w:val="auto"/>
          <w:sz w:val="24"/>
          <w:szCs w:val="24"/>
        </w:rPr>
        <w:t>analiza detaliată a progresului conform criteriilor de evaluare, inclusiv impactul pentru evaluarea finală</w:t>
      </w:r>
      <w:r w:rsidR="00220C45" w:rsidRPr="00E95D62">
        <w:rPr>
          <w:rFonts w:ascii="Times New Roman" w:hAnsi="Times New Roman" w:cs="Times New Roman"/>
          <w:color w:val="auto"/>
          <w:sz w:val="24"/>
          <w:szCs w:val="24"/>
        </w:rPr>
        <w:t xml:space="preserve">); </w:t>
      </w:r>
      <w:r w:rsidRPr="00E95D62">
        <w:rPr>
          <w:rFonts w:ascii="Times New Roman" w:hAnsi="Times New Roman" w:cs="Times New Roman"/>
          <w:color w:val="auto"/>
          <w:sz w:val="24"/>
          <w:szCs w:val="24"/>
        </w:rPr>
        <w:t xml:space="preserve">concluzii </w:t>
      </w:r>
      <w:r w:rsidR="00220C45" w:rsidRPr="00E95D62">
        <w:rPr>
          <w:rFonts w:ascii="Times New Roman" w:hAnsi="Times New Roman" w:cs="Times New Roman"/>
          <w:color w:val="auto"/>
          <w:sz w:val="24"/>
          <w:szCs w:val="24"/>
        </w:rPr>
        <w:t>(</w:t>
      </w:r>
      <w:r w:rsidRPr="00E95D62">
        <w:rPr>
          <w:rFonts w:ascii="Times New Roman" w:hAnsi="Times New Roman" w:cs="Times New Roman"/>
          <w:color w:val="auto"/>
          <w:sz w:val="24"/>
          <w:szCs w:val="24"/>
        </w:rPr>
        <w:t>sinteza concluziilor generate de procesul evaluării</w:t>
      </w:r>
      <w:r w:rsidR="00220C45" w:rsidRPr="00E95D62">
        <w:rPr>
          <w:rFonts w:ascii="Times New Roman" w:hAnsi="Times New Roman" w:cs="Times New Roman"/>
          <w:color w:val="auto"/>
          <w:sz w:val="24"/>
          <w:szCs w:val="24"/>
        </w:rPr>
        <w:t>)</w:t>
      </w:r>
      <w:r w:rsidRPr="00E95D62">
        <w:rPr>
          <w:rFonts w:ascii="Times New Roman" w:hAnsi="Times New Roman" w:cs="Times New Roman"/>
          <w:color w:val="auto"/>
          <w:sz w:val="24"/>
          <w:szCs w:val="24"/>
        </w:rPr>
        <w:t>;</w:t>
      </w:r>
      <w:r w:rsidR="00220C45" w:rsidRPr="00E95D62">
        <w:rPr>
          <w:rFonts w:ascii="Times New Roman" w:hAnsi="Times New Roman" w:cs="Times New Roman"/>
          <w:color w:val="auto"/>
          <w:sz w:val="24"/>
          <w:szCs w:val="24"/>
        </w:rPr>
        <w:t xml:space="preserve"> </w:t>
      </w:r>
      <w:r w:rsidRPr="00E95D62">
        <w:rPr>
          <w:rFonts w:ascii="Times New Roman" w:hAnsi="Times New Roman" w:cs="Times New Roman"/>
          <w:color w:val="auto"/>
          <w:sz w:val="24"/>
          <w:szCs w:val="24"/>
        </w:rPr>
        <w:t xml:space="preserve">recomandări </w:t>
      </w:r>
      <w:r w:rsidR="00220C45" w:rsidRPr="00E95D62">
        <w:rPr>
          <w:rFonts w:ascii="Times New Roman" w:hAnsi="Times New Roman" w:cs="Times New Roman"/>
          <w:color w:val="auto"/>
          <w:sz w:val="24"/>
          <w:szCs w:val="24"/>
        </w:rPr>
        <w:t>(</w:t>
      </w:r>
      <w:r w:rsidRPr="00E95D62">
        <w:rPr>
          <w:rFonts w:ascii="Times New Roman" w:hAnsi="Times New Roman" w:cs="Times New Roman"/>
          <w:color w:val="auto"/>
          <w:sz w:val="24"/>
          <w:szCs w:val="24"/>
        </w:rPr>
        <w:t>acțiuni propuse pentru îmbunătățirea implementării în domeniile relevante și ajustarea intervențiilor planificate (în cazul evaluării intermediare).</w:t>
      </w:r>
    </w:p>
    <w:p w14:paraId="09D57963" w14:textId="77777777" w:rsidR="00E95D62" w:rsidRPr="00E95D62" w:rsidRDefault="003C3F37" w:rsidP="00E95D62">
      <w:pPr>
        <w:pStyle w:val="ListParagraph"/>
        <w:numPr>
          <w:ilvl w:val="0"/>
          <w:numId w:val="66"/>
        </w:numPr>
        <w:tabs>
          <w:tab w:val="left" w:pos="0"/>
          <w:tab w:val="left" w:pos="142"/>
        </w:tabs>
        <w:spacing w:after="120"/>
        <w:ind w:left="0" w:firstLine="284"/>
        <w:jc w:val="both"/>
        <w:rPr>
          <w:rFonts w:ascii="Times New Roman" w:hAnsi="Times New Roman" w:cs="Times New Roman"/>
          <w:color w:val="auto"/>
          <w:sz w:val="24"/>
          <w:szCs w:val="24"/>
        </w:rPr>
      </w:pPr>
      <w:r w:rsidRPr="00E95D62">
        <w:rPr>
          <w:rFonts w:ascii="Times New Roman" w:hAnsi="Times New Roman" w:cs="Times New Roman"/>
          <w:color w:val="auto"/>
          <w:sz w:val="24"/>
          <w:szCs w:val="24"/>
        </w:rPr>
        <w:t>Rapoartele de evaluare vor fi elaborate de unitatea de analiză, monitorizare și evaluare a politicilor din cadrul Ministerului Mediului, cu sprijinul instituțiilor responsabile de implementare.</w:t>
      </w:r>
      <w:r w:rsidR="0002190E" w:rsidRPr="00E95D62">
        <w:rPr>
          <w:rFonts w:ascii="Times New Roman" w:hAnsi="Times New Roman" w:cs="Times New Roman"/>
          <w:color w:val="auto"/>
          <w:sz w:val="24"/>
          <w:szCs w:val="24"/>
        </w:rPr>
        <w:t xml:space="preserve"> </w:t>
      </w:r>
    </w:p>
    <w:p w14:paraId="1C5CDF18" w14:textId="77777777" w:rsidR="00E95D62" w:rsidRPr="00E95D62" w:rsidRDefault="003C3F37" w:rsidP="00E95D62">
      <w:pPr>
        <w:pStyle w:val="ListParagraph"/>
        <w:numPr>
          <w:ilvl w:val="0"/>
          <w:numId w:val="66"/>
        </w:numPr>
        <w:tabs>
          <w:tab w:val="left" w:pos="0"/>
          <w:tab w:val="left" w:pos="142"/>
        </w:tabs>
        <w:spacing w:after="120"/>
        <w:ind w:left="0" w:firstLine="284"/>
        <w:jc w:val="both"/>
        <w:rPr>
          <w:rFonts w:ascii="Times New Roman" w:hAnsi="Times New Roman" w:cs="Times New Roman"/>
          <w:color w:val="auto"/>
          <w:sz w:val="24"/>
          <w:szCs w:val="24"/>
        </w:rPr>
      </w:pPr>
      <w:r w:rsidRPr="00E95D62">
        <w:rPr>
          <w:rFonts w:ascii="Times New Roman" w:hAnsi="Times New Roman" w:cs="Times New Roman"/>
          <w:color w:val="auto"/>
          <w:sz w:val="24"/>
          <w:szCs w:val="24"/>
        </w:rPr>
        <w:t>Pentru asigurarea unui proces transparent și eficient de monitorizare și evaluare, se vor utiliza următoarele metode și instrumente:</w:t>
      </w:r>
      <w:r w:rsidR="006B56C5" w:rsidRPr="00E95D62">
        <w:rPr>
          <w:rFonts w:ascii="Times New Roman" w:hAnsi="Times New Roman" w:cs="Times New Roman"/>
          <w:color w:val="auto"/>
          <w:sz w:val="24"/>
          <w:szCs w:val="24"/>
        </w:rPr>
        <w:t xml:space="preserve"> Procesul de monitorizare și evaluare va utiliza metode precum analiza calitativă și cantitativă a datelor, integrarea informațiilor statistice și operaționale furnizate de instituțiile responsabile, elaborarea de note informative pentru procesul decizional și, după caz, constituirea unor grupuri de lucru tematice pentru aprofundarea unor subiecte specifice, inclusiv riscurile climatice, managementul datelor sau consolidarea capacităților locale.</w:t>
      </w:r>
    </w:p>
    <w:p w14:paraId="6EE1CE7C" w14:textId="77777777" w:rsidR="00E95D62" w:rsidRPr="00E95D62" w:rsidRDefault="00CB33F2" w:rsidP="00E95D62">
      <w:pPr>
        <w:pStyle w:val="ListParagraph"/>
        <w:numPr>
          <w:ilvl w:val="0"/>
          <w:numId w:val="66"/>
        </w:numPr>
        <w:tabs>
          <w:tab w:val="left" w:pos="0"/>
          <w:tab w:val="left" w:pos="142"/>
        </w:tabs>
        <w:spacing w:after="120"/>
        <w:ind w:left="0" w:firstLine="284"/>
        <w:jc w:val="both"/>
        <w:rPr>
          <w:rFonts w:ascii="Times New Roman" w:hAnsi="Times New Roman" w:cs="Times New Roman"/>
          <w:color w:val="auto"/>
          <w:sz w:val="24"/>
          <w:szCs w:val="24"/>
        </w:rPr>
      </w:pPr>
      <w:r w:rsidRPr="00E95D62">
        <w:rPr>
          <w:rFonts w:ascii="Times New Roman" w:hAnsi="Times New Roman" w:cs="Times New Roman"/>
          <w:color w:val="auto"/>
          <w:sz w:val="24"/>
          <w:szCs w:val="24"/>
        </w:rPr>
        <w:t>Rapoartele elaborate pe baza acestor metode și instrumente vor fi supuse procesului de consultare și aprobare în condițiile stabilite, iar recomandările și concluziile incluse vor servi drept bază pentru revizuirea intervențiilor planificate.</w:t>
      </w:r>
    </w:p>
    <w:p w14:paraId="088A8826" w14:textId="77777777" w:rsidR="00E95D62" w:rsidRPr="00E95D62" w:rsidRDefault="00CB33F2" w:rsidP="00E95D62">
      <w:pPr>
        <w:pStyle w:val="ListParagraph"/>
        <w:numPr>
          <w:ilvl w:val="0"/>
          <w:numId w:val="66"/>
        </w:numPr>
        <w:tabs>
          <w:tab w:val="left" w:pos="0"/>
          <w:tab w:val="left" w:pos="142"/>
        </w:tabs>
        <w:spacing w:after="120"/>
        <w:ind w:left="0" w:firstLine="284"/>
        <w:jc w:val="both"/>
        <w:rPr>
          <w:rFonts w:ascii="Times New Roman" w:hAnsi="Times New Roman" w:cs="Times New Roman"/>
          <w:color w:val="auto"/>
          <w:sz w:val="24"/>
          <w:szCs w:val="24"/>
        </w:rPr>
      </w:pPr>
      <w:r w:rsidRPr="00E95D62">
        <w:rPr>
          <w:rFonts w:ascii="Times New Roman" w:hAnsi="Times New Roman" w:cs="Times New Roman"/>
          <w:color w:val="auto"/>
          <w:sz w:val="24"/>
          <w:szCs w:val="24"/>
        </w:rPr>
        <w:t>În cazul în care evaluarea intermediară atestă devieri de la activitățile planificate (acțiunile, indicatorii de rezultat și monitorizare), raportul evaluării intermediare poate constitui temei pentru inițierea procesului de modificare a Planului de acțiuni privind implementarea Programului.</w:t>
      </w:r>
    </w:p>
    <w:p w14:paraId="4783631E" w14:textId="5762E8D1" w:rsidR="004E4EA3" w:rsidRPr="00E95D62" w:rsidRDefault="006B56C5" w:rsidP="00E95D62">
      <w:pPr>
        <w:pStyle w:val="ListParagraph"/>
        <w:numPr>
          <w:ilvl w:val="0"/>
          <w:numId w:val="66"/>
        </w:numPr>
        <w:tabs>
          <w:tab w:val="left" w:pos="0"/>
          <w:tab w:val="left" w:pos="142"/>
        </w:tabs>
        <w:spacing w:after="120"/>
        <w:ind w:left="0" w:firstLine="284"/>
        <w:jc w:val="both"/>
        <w:rPr>
          <w:rFonts w:ascii="Times New Roman" w:hAnsi="Times New Roman" w:cs="Times New Roman"/>
          <w:color w:val="auto"/>
          <w:sz w:val="24"/>
          <w:szCs w:val="24"/>
        </w:rPr>
      </w:pPr>
      <w:r w:rsidRPr="00E95D62">
        <w:rPr>
          <w:rFonts w:ascii="Times New Roman" w:hAnsi="Times New Roman" w:cs="Times New Roman"/>
          <w:color w:val="auto"/>
          <w:sz w:val="24"/>
          <w:szCs w:val="24"/>
        </w:rPr>
        <w:t>Rapoartele anuale de progres, precum și rapoartele de evaluare intermediară și finală vor fi publicate pe pagina web oficială a Ministerului Mediului, contribuind astfel la consolidarea transparenței, responsabilității instituționale și încrederii publice în realizarea obiectivelor naționale de reducere a riscurilor de dezastre naturale.</w:t>
      </w:r>
    </w:p>
    <w:p w14:paraId="1B26ADFD" w14:textId="77777777" w:rsidR="009474CF" w:rsidRPr="00CD2ADD" w:rsidRDefault="009474CF" w:rsidP="00CB33F2">
      <w:pPr>
        <w:spacing w:after="120"/>
        <w:jc w:val="both"/>
        <w:rPr>
          <w:i/>
          <w:iCs/>
          <w:sz w:val="22"/>
          <w:szCs w:val="22"/>
          <w:lang w:eastAsia="en-US"/>
        </w:rPr>
      </w:pPr>
    </w:p>
    <w:p w14:paraId="20DD5A78" w14:textId="4FF5B123" w:rsidR="00CF1A5B" w:rsidRPr="00CD2ADD" w:rsidRDefault="00CF1A5B" w:rsidP="00491D04">
      <w:pPr>
        <w:spacing w:after="120"/>
        <w:jc w:val="both"/>
        <w:rPr>
          <w:i/>
          <w:iCs/>
          <w:sz w:val="22"/>
          <w:szCs w:val="22"/>
          <w:lang w:eastAsia="en-US"/>
        </w:rPr>
        <w:sectPr w:rsidR="00CF1A5B" w:rsidRPr="00CD2ADD" w:rsidSect="00041818">
          <w:pgSz w:w="11906" w:h="16838"/>
          <w:pgMar w:top="1440" w:right="1080" w:bottom="1440" w:left="1080" w:header="567" w:footer="567" w:gutter="0"/>
          <w:pgNumType w:start="0"/>
          <w:cols w:space="708"/>
          <w:titlePg/>
          <w:docGrid w:linePitch="360"/>
        </w:sectPr>
      </w:pPr>
    </w:p>
    <w:p w14:paraId="09E11C2D" w14:textId="77777777" w:rsidR="00590F8B" w:rsidRPr="00CD2ADD" w:rsidRDefault="00590F8B" w:rsidP="00590F8B">
      <w:pPr>
        <w:spacing w:after="120"/>
        <w:ind w:left="10081"/>
        <w:jc w:val="right"/>
        <w:rPr>
          <w:color w:val="000000" w:themeColor="text1"/>
        </w:rPr>
      </w:pPr>
      <w:r w:rsidRPr="00CD2ADD">
        <w:rPr>
          <w:color w:val="000000" w:themeColor="text1"/>
        </w:rPr>
        <w:lastRenderedPageBreak/>
        <w:t xml:space="preserve">                 Anexa nr. 1 </w:t>
      </w:r>
    </w:p>
    <w:p w14:paraId="1C02A099" w14:textId="38A48137" w:rsidR="00590F8B" w:rsidRPr="00CD2ADD" w:rsidRDefault="00590F8B" w:rsidP="00590F8B">
      <w:pPr>
        <w:spacing w:after="120"/>
        <w:ind w:left="10081"/>
        <w:jc w:val="right"/>
        <w:rPr>
          <w:color w:val="000000" w:themeColor="text1"/>
        </w:rPr>
      </w:pPr>
      <w:r w:rsidRPr="00CD2ADD">
        <w:rPr>
          <w:color w:val="000000" w:themeColor="text1"/>
        </w:rPr>
        <w:t>la Hotărârea Guvernului nr.../202</w:t>
      </w:r>
      <w:r w:rsidR="00595010">
        <w:rPr>
          <w:color w:val="000000" w:themeColor="text1"/>
        </w:rPr>
        <w:t>6</w:t>
      </w:r>
    </w:p>
    <w:p w14:paraId="2BD7D48A" w14:textId="0C8779F2" w:rsidR="00590F8B" w:rsidRPr="00CD2ADD" w:rsidRDefault="00590F8B" w:rsidP="008C22E7">
      <w:pPr>
        <w:pStyle w:val="Heading1"/>
        <w:jc w:val="center"/>
        <w:rPr>
          <w:rFonts w:ascii="Times New Roman" w:hAnsi="Times New Roman" w:cs="Times New Roman"/>
          <w:b/>
          <w:bCs w:val="0"/>
          <w:color w:val="000000" w:themeColor="text1"/>
          <w:sz w:val="24"/>
          <w:szCs w:val="24"/>
        </w:rPr>
      </w:pPr>
      <w:r w:rsidRPr="00CD2ADD">
        <w:rPr>
          <w:rFonts w:ascii="Times New Roman" w:hAnsi="Times New Roman" w:cs="Times New Roman"/>
          <w:b/>
          <w:bCs w:val="0"/>
          <w:color w:val="000000" w:themeColor="text1"/>
          <w:sz w:val="24"/>
          <w:szCs w:val="24"/>
        </w:rPr>
        <w:t>PLANUL DE ACȚIUNI</w:t>
      </w:r>
    </w:p>
    <w:p w14:paraId="12018C80" w14:textId="77777777" w:rsidR="00590F8B" w:rsidRPr="00CD2ADD" w:rsidRDefault="00590F8B" w:rsidP="00590F8B">
      <w:pPr>
        <w:jc w:val="center"/>
        <w:rPr>
          <w:rFonts w:eastAsia="Calibri"/>
          <w:b/>
          <w:bCs/>
        </w:rPr>
      </w:pPr>
      <w:r w:rsidRPr="00CD2ADD">
        <w:rPr>
          <w:b/>
          <w:bCs/>
        </w:rPr>
        <w:t>privind implementarea Programului național de reducere a riscurilor de dezastre naturale si biologico-sociale pentru anii 2026-2030</w:t>
      </w:r>
    </w:p>
    <w:tbl>
      <w:tblPr>
        <w:tblStyle w:val="TableGrid"/>
        <w:tblW w:w="0" w:type="auto"/>
        <w:tblLayout w:type="fixed"/>
        <w:tblLook w:val="04A0" w:firstRow="1" w:lastRow="0" w:firstColumn="1" w:lastColumn="0" w:noHBand="0" w:noVBand="1"/>
      </w:tblPr>
      <w:tblGrid>
        <w:gridCol w:w="514"/>
        <w:gridCol w:w="2033"/>
        <w:gridCol w:w="1701"/>
        <w:gridCol w:w="850"/>
        <w:gridCol w:w="851"/>
        <w:gridCol w:w="709"/>
        <w:gridCol w:w="992"/>
        <w:gridCol w:w="1134"/>
        <w:gridCol w:w="709"/>
        <w:gridCol w:w="708"/>
        <w:gridCol w:w="709"/>
        <w:gridCol w:w="709"/>
        <w:gridCol w:w="709"/>
        <w:gridCol w:w="1134"/>
        <w:gridCol w:w="1926"/>
      </w:tblGrid>
      <w:tr w:rsidR="00590F8B" w:rsidRPr="00CD2ADD" w14:paraId="2C1721C8" w14:textId="77777777" w:rsidTr="002C4956">
        <w:trPr>
          <w:tblHeader/>
        </w:trPr>
        <w:tc>
          <w:tcPr>
            <w:tcW w:w="514" w:type="dxa"/>
            <w:vMerge w:val="restart"/>
            <w:shd w:val="clear" w:color="auto" w:fill="DAE9F7" w:themeFill="text2" w:themeFillTint="1A"/>
          </w:tcPr>
          <w:p w14:paraId="6077C039" w14:textId="77777777" w:rsidR="00590F8B" w:rsidRPr="00CD2ADD" w:rsidRDefault="00590F8B" w:rsidP="002C4956">
            <w:pPr>
              <w:jc w:val="center"/>
              <w:rPr>
                <w:b/>
                <w:bCs/>
                <w:sz w:val="20"/>
                <w:szCs w:val="20"/>
              </w:rPr>
            </w:pPr>
            <w:r w:rsidRPr="00CD2ADD">
              <w:rPr>
                <w:b/>
                <w:bCs/>
                <w:sz w:val="20"/>
                <w:szCs w:val="20"/>
              </w:rPr>
              <w:t>Nr. crt.</w:t>
            </w:r>
          </w:p>
        </w:tc>
        <w:tc>
          <w:tcPr>
            <w:tcW w:w="2033" w:type="dxa"/>
            <w:vMerge w:val="restart"/>
            <w:shd w:val="clear" w:color="auto" w:fill="DAE9F7" w:themeFill="text2" w:themeFillTint="1A"/>
          </w:tcPr>
          <w:p w14:paraId="6D162D9C" w14:textId="77777777" w:rsidR="00590F8B" w:rsidRPr="00CD2ADD" w:rsidRDefault="00590F8B" w:rsidP="002C4956">
            <w:pPr>
              <w:jc w:val="center"/>
              <w:rPr>
                <w:b/>
                <w:bCs/>
                <w:sz w:val="20"/>
                <w:szCs w:val="20"/>
              </w:rPr>
            </w:pPr>
            <w:r w:rsidRPr="00CD2ADD">
              <w:rPr>
                <w:b/>
                <w:bCs/>
                <w:sz w:val="20"/>
                <w:szCs w:val="20"/>
              </w:rPr>
              <w:t>Acțiuni unice</w:t>
            </w:r>
          </w:p>
          <w:p w14:paraId="06E0B0E3" w14:textId="77777777" w:rsidR="00590F8B" w:rsidRPr="00CD2ADD" w:rsidRDefault="00590F8B" w:rsidP="002C4956">
            <w:pPr>
              <w:jc w:val="center"/>
              <w:rPr>
                <w:b/>
                <w:bCs/>
                <w:sz w:val="20"/>
                <w:szCs w:val="20"/>
              </w:rPr>
            </w:pPr>
            <w:r w:rsidRPr="00CD2ADD">
              <w:rPr>
                <w:b/>
                <w:bCs/>
                <w:sz w:val="20"/>
                <w:szCs w:val="20"/>
              </w:rPr>
              <w:t>identificabile</w:t>
            </w:r>
          </w:p>
        </w:tc>
        <w:tc>
          <w:tcPr>
            <w:tcW w:w="1701" w:type="dxa"/>
            <w:vMerge w:val="restart"/>
            <w:shd w:val="clear" w:color="auto" w:fill="DAE9F7" w:themeFill="text2" w:themeFillTint="1A"/>
          </w:tcPr>
          <w:p w14:paraId="74EEA7A3" w14:textId="77777777" w:rsidR="00590F8B" w:rsidRPr="00CD2ADD" w:rsidRDefault="00590F8B" w:rsidP="002C4956">
            <w:pPr>
              <w:jc w:val="center"/>
              <w:rPr>
                <w:b/>
                <w:bCs/>
                <w:sz w:val="20"/>
                <w:szCs w:val="20"/>
              </w:rPr>
            </w:pPr>
            <w:r w:rsidRPr="00CD2ADD">
              <w:rPr>
                <w:b/>
                <w:bCs/>
                <w:sz w:val="20"/>
                <w:szCs w:val="20"/>
              </w:rPr>
              <w:t>Indicatori de monitorizare</w:t>
            </w:r>
          </w:p>
        </w:tc>
        <w:tc>
          <w:tcPr>
            <w:tcW w:w="850" w:type="dxa"/>
            <w:vMerge w:val="restart"/>
            <w:shd w:val="clear" w:color="auto" w:fill="DAE9F7" w:themeFill="text2" w:themeFillTint="1A"/>
          </w:tcPr>
          <w:p w14:paraId="02A21ABE" w14:textId="77777777" w:rsidR="00590F8B" w:rsidRPr="00CD2ADD" w:rsidRDefault="00590F8B" w:rsidP="002C4956">
            <w:pPr>
              <w:jc w:val="center"/>
              <w:rPr>
                <w:b/>
                <w:bCs/>
                <w:sz w:val="20"/>
                <w:szCs w:val="20"/>
              </w:rPr>
            </w:pPr>
            <w:r w:rsidRPr="00CD2ADD">
              <w:rPr>
                <w:b/>
                <w:bCs/>
                <w:sz w:val="20"/>
                <w:szCs w:val="20"/>
              </w:rPr>
              <w:t>Cost total (mii lei)</w:t>
            </w:r>
          </w:p>
        </w:tc>
        <w:tc>
          <w:tcPr>
            <w:tcW w:w="2552" w:type="dxa"/>
            <w:gridSpan w:val="3"/>
            <w:shd w:val="clear" w:color="auto" w:fill="DAE9F7" w:themeFill="text2" w:themeFillTint="1A"/>
          </w:tcPr>
          <w:p w14:paraId="1FE8AEB0" w14:textId="77777777" w:rsidR="00590F8B" w:rsidRPr="00CD2ADD" w:rsidRDefault="00590F8B" w:rsidP="002C4956">
            <w:pPr>
              <w:jc w:val="center"/>
              <w:rPr>
                <w:b/>
                <w:bCs/>
                <w:sz w:val="20"/>
                <w:szCs w:val="20"/>
              </w:rPr>
            </w:pPr>
            <w:r w:rsidRPr="00CD2ADD">
              <w:rPr>
                <w:b/>
                <w:bCs/>
                <w:sz w:val="20"/>
                <w:szCs w:val="20"/>
              </w:rPr>
              <w:t>Surse de finanțare (mii lei)</w:t>
            </w:r>
          </w:p>
        </w:tc>
        <w:tc>
          <w:tcPr>
            <w:tcW w:w="1134" w:type="dxa"/>
            <w:vMerge w:val="restart"/>
            <w:shd w:val="clear" w:color="auto" w:fill="DAE9F7" w:themeFill="text2" w:themeFillTint="1A"/>
          </w:tcPr>
          <w:p w14:paraId="3C824A3E" w14:textId="77777777" w:rsidR="00590F8B" w:rsidRPr="00CD2ADD" w:rsidRDefault="00590F8B" w:rsidP="002C4956">
            <w:pPr>
              <w:jc w:val="center"/>
              <w:rPr>
                <w:b/>
                <w:bCs/>
                <w:sz w:val="20"/>
                <w:szCs w:val="20"/>
              </w:rPr>
            </w:pPr>
            <w:r w:rsidRPr="00CD2ADD">
              <w:rPr>
                <w:b/>
                <w:bCs/>
                <w:sz w:val="20"/>
                <w:szCs w:val="20"/>
              </w:rPr>
              <w:t>Codul programului/</w:t>
            </w:r>
          </w:p>
          <w:p w14:paraId="6D66EEC2" w14:textId="77777777" w:rsidR="00590F8B" w:rsidRPr="00CD2ADD" w:rsidRDefault="00590F8B" w:rsidP="002C4956">
            <w:pPr>
              <w:jc w:val="center"/>
              <w:rPr>
                <w:b/>
                <w:bCs/>
                <w:sz w:val="20"/>
                <w:szCs w:val="20"/>
              </w:rPr>
            </w:pPr>
            <w:r w:rsidRPr="00CD2ADD">
              <w:rPr>
                <w:b/>
                <w:bCs/>
                <w:sz w:val="20"/>
                <w:szCs w:val="20"/>
              </w:rPr>
              <w:t>subprogramului bugetar; Sursa de finanțare externă</w:t>
            </w:r>
          </w:p>
        </w:tc>
        <w:tc>
          <w:tcPr>
            <w:tcW w:w="3544" w:type="dxa"/>
            <w:gridSpan w:val="5"/>
            <w:shd w:val="clear" w:color="auto" w:fill="DAE9F7" w:themeFill="text2" w:themeFillTint="1A"/>
          </w:tcPr>
          <w:p w14:paraId="20E27832" w14:textId="77777777" w:rsidR="00590F8B" w:rsidRPr="00CD2ADD" w:rsidRDefault="00590F8B" w:rsidP="002C4956">
            <w:pPr>
              <w:jc w:val="center"/>
              <w:rPr>
                <w:b/>
                <w:bCs/>
                <w:sz w:val="20"/>
                <w:szCs w:val="20"/>
              </w:rPr>
            </w:pPr>
            <w:r w:rsidRPr="00CD2ADD">
              <w:rPr>
                <w:b/>
                <w:bCs/>
                <w:sz w:val="20"/>
                <w:szCs w:val="20"/>
              </w:rPr>
              <w:t>Costuri acoperite din bugetul de stat și asistență externă (mii lei)</w:t>
            </w:r>
          </w:p>
        </w:tc>
        <w:tc>
          <w:tcPr>
            <w:tcW w:w="1134" w:type="dxa"/>
            <w:vMerge w:val="restart"/>
            <w:shd w:val="clear" w:color="auto" w:fill="DAE9F7" w:themeFill="text2" w:themeFillTint="1A"/>
          </w:tcPr>
          <w:p w14:paraId="2B29E969" w14:textId="77777777" w:rsidR="00590F8B" w:rsidRPr="00CD2ADD" w:rsidRDefault="00590F8B" w:rsidP="002C4956">
            <w:pPr>
              <w:jc w:val="center"/>
              <w:rPr>
                <w:b/>
                <w:bCs/>
                <w:sz w:val="20"/>
                <w:szCs w:val="20"/>
              </w:rPr>
            </w:pPr>
            <w:r w:rsidRPr="00CD2ADD">
              <w:rPr>
                <w:b/>
                <w:bCs/>
                <w:sz w:val="20"/>
                <w:szCs w:val="20"/>
              </w:rPr>
              <w:t>Termene de realizare (trimestru/ an)</w:t>
            </w:r>
          </w:p>
        </w:tc>
        <w:tc>
          <w:tcPr>
            <w:tcW w:w="1926" w:type="dxa"/>
            <w:vMerge w:val="restart"/>
            <w:shd w:val="clear" w:color="auto" w:fill="DAE9F7" w:themeFill="text2" w:themeFillTint="1A"/>
          </w:tcPr>
          <w:p w14:paraId="01EC336B" w14:textId="77777777" w:rsidR="00590F8B" w:rsidRPr="00CD2ADD" w:rsidRDefault="00590F8B" w:rsidP="002C4956">
            <w:pPr>
              <w:rPr>
                <w:b/>
                <w:bCs/>
                <w:sz w:val="20"/>
                <w:szCs w:val="20"/>
              </w:rPr>
            </w:pPr>
          </w:p>
          <w:p w14:paraId="5D7D5447" w14:textId="77777777" w:rsidR="00590F8B" w:rsidRPr="00CD2ADD" w:rsidRDefault="00590F8B" w:rsidP="002C4956">
            <w:pPr>
              <w:jc w:val="center"/>
              <w:rPr>
                <w:b/>
                <w:bCs/>
                <w:sz w:val="20"/>
                <w:szCs w:val="20"/>
              </w:rPr>
            </w:pPr>
            <w:r w:rsidRPr="00CD2ADD">
              <w:rPr>
                <w:b/>
                <w:bCs/>
                <w:sz w:val="20"/>
                <w:szCs w:val="20"/>
              </w:rPr>
              <w:t>Instituție responsabilă/ co executori</w:t>
            </w:r>
          </w:p>
        </w:tc>
      </w:tr>
      <w:tr w:rsidR="00590F8B" w:rsidRPr="00CD2ADD" w14:paraId="79F36156" w14:textId="77777777" w:rsidTr="002C4956">
        <w:trPr>
          <w:trHeight w:val="219"/>
          <w:tblHeader/>
        </w:trPr>
        <w:tc>
          <w:tcPr>
            <w:tcW w:w="514" w:type="dxa"/>
            <w:vMerge/>
            <w:shd w:val="clear" w:color="auto" w:fill="DAE9F7" w:themeFill="text2" w:themeFillTint="1A"/>
          </w:tcPr>
          <w:p w14:paraId="0E77B50D" w14:textId="77777777" w:rsidR="00590F8B" w:rsidRPr="00CD2ADD" w:rsidRDefault="00590F8B" w:rsidP="002C4956">
            <w:pPr>
              <w:jc w:val="center"/>
              <w:rPr>
                <w:sz w:val="20"/>
                <w:szCs w:val="20"/>
              </w:rPr>
            </w:pPr>
          </w:p>
        </w:tc>
        <w:tc>
          <w:tcPr>
            <w:tcW w:w="2033" w:type="dxa"/>
            <w:vMerge/>
            <w:shd w:val="clear" w:color="auto" w:fill="DAE9F7" w:themeFill="text2" w:themeFillTint="1A"/>
          </w:tcPr>
          <w:p w14:paraId="21695A76" w14:textId="77777777" w:rsidR="00590F8B" w:rsidRPr="00CD2ADD" w:rsidRDefault="00590F8B" w:rsidP="002C4956">
            <w:pPr>
              <w:jc w:val="center"/>
              <w:rPr>
                <w:sz w:val="20"/>
                <w:szCs w:val="20"/>
              </w:rPr>
            </w:pPr>
          </w:p>
        </w:tc>
        <w:tc>
          <w:tcPr>
            <w:tcW w:w="1701" w:type="dxa"/>
            <w:vMerge/>
            <w:shd w:val="clear" w:color="auto" w:fill="DAE9F7" w:themeFill="text2" w:themeFillTint="1A"/>
          </w:tcPr>
          <w:p w14:paraId="61C0372F" w14:textId="77777777" w:rsidR="00590F8B" w:rsidRPr="00CD2ADD" w:rsidRDefault="00590F8B" w:rsidP="002C4956">
            <w:pPr>
              <w:jc w:val="center"/>
              <w:rPr>
                <w:sz w:val="20"/>
                <w:szCs w:val="20"/>
              </w:rPr>
            </w:pPr>
          </w:p>
        </w:tc>
        <w:tc>
          <w:tcPr>
            <w:tcW w:w="850" w:type="dxa"/>
            <w:vMerge/>
            <w:shd w:val="clear" w:color="auto" w:fill="DAE9F7" w:themeFill="text2" w:themeFillTint="1A"/>
          </w:tcPr>
          <w:p w14:paraId="2611E982" w14:textId="77777777" w:rsidR="00590F8B" w:rsidRPr="00CD2ADD" w:rsidRDefault="00590F8B" w:rsidP="002C4956">
            <w:pPr>
              <w:jc w:val="center"/>
              <w:rPr>
                <w:sz w:val="20"/>
                <w:szCs w:val="20"/>
              </w:rPr>
            </w:pPr>
          </w:p>
        </w:tc>
        <w:tc>
          <w:tcPr>
            <w:tcW w:w="851" w:type="dxa"/>
            <w:shd w:val="clear" w:color="auto" w:fill="DAE9F7" w:themeFill="text2" w:themeFillTint="1A"/>
          </w:tcPr>
          <w:p w14:paraId="1837D521" w14:textId="77777777" w:rsidR="00590F8B" w:rsidRPr="00CD2ADD" w:rsidRDefault="00590F8B" w:rsidP="002C4956">
            <w:pPr>
              <w:jc w:val="center"/>
              <w:rPr>
                <w:b/>
                <w:bCs/>
                <w:sz w:val="20"/>
                <w:szCs w:val="20"/>
              </w:rPr>
            </w:pPr>
            <w:r w:rsidRPr="00CD2ADD">
              <w:rPr>
                <w:b/>
                <w:bCs/>
                <w:sz w:val="20"/>
                <w:szCs w:val="20"/>
              </w:rPr>
              <w:t>Buget stat</w:t>
            </w:r>
          </w:p>
        </w:tc>
        <w:tc>
          <w:tcPr>
            <w:tcW w:w="709" w:type="dxa"/>
            <w:shd w:val="clear" w:color="auto" w:fill="DAE9F7" w:themeFill="text2" w:themeFillTint="1A"/>
          </w:tcPr>
          <w:p w14:paraId="30F80F9B" w14:textId="77777777" w:rsidR="00590F8B" w:rsidRPr="00CD2ADD" w:rsidRDefault="00590F8B" w:rsidP="002C4956">
            <w:pPr>
              <w:jc w:val="center"/>
              <w:rPr>
                <w:b/>
                <w:bCs/>
                <w:sz w:val="20"/>
                <w:szCs w:val="20"/>
              </w:rPr>
            </w:pPr>
            <w:r w:rsidRPr="00CD2ADD">
              <w:rPr>
                <w:b/>
                <w:bCs/>
                <w:sz w:val="20"/>
                <w:szCs w:val="20"/>
              </w:rPr>
              <w:t>Asistentă externă</w:t>
            </w:r>
          </w:p>
        </w:tc>
        <w:tc>
          <w:tcPr>
            <w:tcW w:w="992" w:type="dxa"/>
            <w:shd w:val="clear" w:color="auto" w:fill="DAE9F7" w:themeFill="text2" w:themeFillTint="1A"/>
          </w:tcPr>
          <w:p w14:paraId="377B8520" w14:textId="77777777" w:rsidR="00590F8B" w:rsidRPr="00CD2ADD" w:rsidRDefault="00590F8B" w:rsidP="002C4956">
            <w:pPr>
              <w:jc w:val="center"/>
              <w:rPr>
                <w:b/>
                <w:bCs/>
                <w:sz w:val="20"/>
                <w:szCs w:val="20"/>
              </w:rPr>
            </w:pPr>
            <w:r w:rsidRPr="00CD2ADD">
              <w:rPr>
                <w:b/>
                <w:bCs/>
                <w:sz w:val="20"/>
                <w:szCs w:val="20"/>
              </w:rPr>
              <w:t>Costuri neacoperite</w:t>
            </w:r>
          </w:p>
        </w:tc>
        <w:tc>
          <w:tcPr>
            <w:tcW w:w="1134" w:type="dxa"/>
            <w:vMerge/>
            <w:shd w:val="clear" w:color="auto" w:fill="DAE9F7" w:themeFill="text2" w:themeFillTint="1A"/>
          </w:tcPr>
          <w:p w14:paraId="18AEF1F9" w14:textId="77777777" w:rsidR="00590F8B" w:rsidRPr="00CD2ADD" w:rsidRDefault="00590F8B" w:rsidP="002C4956">
            <w:pPr>
              <w:jc w:val="center"/>
              <w:rPr>
                <w:sz w:val="20"/>
                <w:szCs w:val="20"/>
              </w:rPr>
            </w:pPr>
          </w:p>
        </w:tc>
        <w:tc>
          <w:tcPr>
            <w:tcW w:w="709" w:type="dxa"/>
            <w:shd w:val="clear" w:color="auto" w:fill="DAE9F7" w:themeFill="text2" w:themeFillTint="1A"/>
          </w:tcPr>
          <w:p w14:paraId="0A858CAA" w14:textId="77777777" w:rsidR="00590F8B" w:rsidRPr="00CD2ADD" w:rsidRDefault="00590F8B" w:rsidP="002C4956">
            <w:pPr>
              <w:jc w:val="center"/>
              <w:rPr>
                <w:b/>
                <w:bCs/>
                <w:sz w:val="20"/>
                <w:szCs w:val="20"/>
              </w:rPr>
            </w:pPr>
            <w:r w:rsidRPr="00CD2ADD">
              <w:rPr>
                <w:b/>
                <w:bCs/>
                <w:sz w:val="20"/>
                <w:szCs w:val="20"/>
              </w:rPr>
              <w:t>2026</w:t>
            </w:r>
          </w:p>
        </w:tc>
        <w:tc>
          <w:tcPr>
            <w:tcW w:w="708" w:type="dxa"/>
            <w:shd w:val="clear" w:color="auto" w:fill="DAE9F7" w:themeFill="text2" w:themeFillTint="1A"/>
          </w:tcPr>
          <w:p w14:paraId="407219DE" w14:textId="77777777" w:rsidR="00590F8B" w:rsidRPr="00CD2ADD" w:rsidRDefault="00590F8B" w:rsidP="002C4956">
            <w:pPr>
              <w:jc w:val="center"/>
              <w:rPr>
                <w:b/>
                <w:bCs/>
                <w:sz w:val="20"/>
                <w:szCs w:val="20"/>
              </w:rPr>
            </w:pPr>
            <w:r w:rsidRPr="00CD2ADD">
              <w:rPr>
                <w:b/>
                <w:bCs/>
                <w:sz w:val="20"/>
                <w:szCs w:val="20"/>
              </w:rPr>
              <w:t>2027</w:t>
            </w:r>
          </w:p>
        </w:tc>
        <w:tc>
          <w:tcPr>
            <w:tcW w:w="709" w:type="dxa"/>
            <w:shd w:val="clear" w:color="auto" w:fill="DAE9F7" w:themeFill="text2" w:themeFillTint="1A"/>
          </w:tcPr>
          <w:p w14:paraId="745737C1" w14:textId="77777777" w:rsidR="00590F8B" w:rsidRPr="00CD2ADD" w:rsidRDefault="00590F8B" w:rsidP="002C4956">
            <w:pPr>
              <w:jc w:val="center"/>
              <w:rPr>
                <w:b/>
                <w:bCs/>
                <w:sz w:val="20"/>
                <w:szCs w:val="20"/>
              </w:rPr>
            </w:pPr>
            <w:r w:rsidRPr="00CD2ADD">
              <w:rPr>
                <w:b/>
                <w:bCs/>
                <w:sz w:val="20"/>
                <w:szCs w:val="20"/>
              </w:rPr>
              <w:t>2028</w:t>
            </w:r>
          </w:p>
        </w:tc>
        <w:tc>
          <w:tcPr>
            <w:tcW w:w="709" w:type="dxa"/>
            <w:shd w:val="clear" w:color="auto" w:fill="DAE9F7" w:themeFill="text2" w:themeFillTint="1A"/>
          </w:tcPr>
          <w:p w14:paraId="5102ECB6" w14:textId="77777777" w:rsidR="00590F8B" w:rsidRPr="00CD2ADD" w:rsidRDefault="00590F8B" w:rsidP="002C4956">
            <w:pPr>
              <w:jc w:val="center"/>
              <w:rPr>
                <w:b/>
                <w:bCs/>
                <w:sz w:val="20"/>
                <w:szCs w:val="20"/>
              </w:rPr>
            </w:pPr>
            <w:r w:rsidRPr="00CD2ADD">
              <w:rPr>
                <w:b/>
                <w:bCs/>
                <w:sz w:val="20"/>
                <w:szCs w:val="20"/>
              </w:rPr>
              <w:t>2029</w:t>
            </w:r>
          </w:p>
        </w:tc>
        <w:tc>
          <w:tcPr>
            <w:tcW w:w="709" w:type="dxa"/>
            <w:shd w:val="clear" w:color="auto" w:fill="DAE9F7" w:themeFill="text2" w:themeFillTint="1A"/>
          </w:tcPr>
          <w:p w14:paraId="783FD6DC" w14:textId="77777777" w:rsidR="00590F8B" w:rsidRPr="00CD2ADD" w:rsidRDefault="00590F8B" w:rsidP="002C4956">
            <w:pPr>
              <w:jc w:val="center"/>
              <w:rPr>
                <w:b/>
                <w:bCs/>
                <w:sz w:val="20"/>
                <w:szCs w:val="20"/>
              </w:rPr>
            </w:pPr>
            <w:r w:rsidRPr="00CD2ADD">
              <w:rPr>
                <w:b/>
                <w:bCs/>
                <w:sz w:val="20"/>
                <w:szCs w:val="20"/>
              </w:rPr>
              <w:t>2030</w:t>
            </w:r>
          </w:p>
        </w:tc>
        <w:tc>
          <w:tcPr>
            <w:tcW w:w="1134" w:type="dxa"/>
            <w:vMerge/>
            <w:shd w:val="clear" w:color="auto" w:fill="DAE9F7" w:themeFill="text2" w:themeFillTint="1A"/>
          </w:tcPr>
          <w:p w14:paraId="4422A078" w14:textId="77777777" w:rsidR="00590F8B" w:rsidRPr="00CD2ADD" w:rsidRDefault="00590F8B" w:rsidP="002C4956">
            <w:pPr>
              <w:jc w:val="center"/>
              <w:rPr>
                <w:sz w:val="20"/>
                <w:szCs w:val="20"/>
              </w:rPr>
            </w:pPr>
          </w:p>
        </w:tc>
        <w:tc>
          <w:tcPr>
            <w:tcW w:w="1926" w:type="dxa"/>
            <w:vMerge/>
            <w:shd w:val="clear" w:color="auto" w:fill="DAE9F7" w:themeFill="text2" w:themeFillTint="1A"/>
          </w:tcPr>
          <w:p w14:paraId="7F7300D1" w14:textId="77777777" w:rsidR="00590F8B" w:rsidRPr="00CD2ADD" w:rsidRDefault="00590F8B" w:rsidP="002C4956">
            <w:pPr>
              <w:jc w:val="center"/>
              <w:rPr>
                <w:sz w:val="20"/>
                <w:szCs w:val="20"/>
              </w:rPr>
            </w:pPr>
          </w:p>
        </w:tc>
      </w:tr>
      <w:tr w:rsidR="00590F8B" w:rsidRPr="00CD2ADD" w14:paraId="15B2B40B" w14:textId="77777777" w:rsidTr="002C4956">
        <w:trPr>
          <w:tblHeader/>
        </w:trPr>
        <w:tc>
          <w:tcPr>
            <w:tcW w:w="514" w:type="dxa"/>
            <w:shd w:val="clear" w:color="auto" w:fill="DAE9F7" w:themeFill="text2" w:themeFillTint="1A"/>
          </w:tcPr>
          <w:p w14:paraId="08EA138F" w14:textId="77777777" w:rsidR="00590F8B" w:rsidRPr="00CD2ADD" w:rsidRDefault="00590F8B" w:rsidP="002C4956">
            <w:pPr>
              <w:jc w:val="center"/>
              <w:rPr>
                <w:b/>
                <w:bCs/>
                <w:sz w:val="20"/>
                <w:szCs w:val="20"/>
              </w:rPr>
            </w:pPr>
            <w:r w:rsidRPr="00CD2ADD">
              <w:rPr>
                <w:b/>
                <w:bCs/>
                <w:sz w:val="20"/>
                <w:szCs w:val="20"/>
              </w:rPr>
              <w:t>1</w:t>
            </w:r>
          </w:p>
        </w:tc>
        <w:tc>
          <w:tcPr>
            <w:tcW w:w="2033" w:type="dxa"/>
            <w:shd w:val="clear" w:color="auto" w:fill="DAE9F7" w:themeFill="text2" w:themeFillTint="1A"/>
          </w:tcPr>
          <w:p w14:paraId="16FD1D68" w14:textId="77777777" w:rsidR="00590F8B" w:rsidRPr="00CD2ADD" w:rsidRDefault="00590F8B" w:rsidP="002C4956">
            <w:pPr>
              <w:jc w:val="center"/>
              <w:rPr>
                <w:b/>
                <w:bCs/>
                <w:sz w:val="20"/>
                <w:szCs w:val="20"/>
              </w:rPr>
            </w:pPr>
            <w:r w:rsidRPr="00CD2ADD">
              <w:rPr>
                <w:b/>
                <w:bCs/>
                <w:sz w:val="20"/>
                <w:szCs w:val="20"/>
              </w:rPr>
              <w:t>2</w:t>
            </w:r>
          </w:p>
        </w:tc>
        <w:tc>
          <w:tcPr>
            <w:tcW w:w="1701" w:type="dxa"/>
            <w:shd w:val="clear" w:color="auto" w:fill="DAE9F7" w:themeFill="text2" w:themeFillTint="1A"/>
          </w:tcPr>
          <w:p w14:paraId="075DEB10" w14:textId="77777777" w:rsidR="00590F8B" w:rsidRPr="00CD2ADD" w:rsidRDefault="00590F8B" w:rsidP="002C4956">
            <w:pPr>
              <w:jc w:val="center"/>
              <w:rPr>
                <w:b/>
                <w:bCs/>
                <w:sz w:val="20"/>
                <w:szCs w:val="20"/>
              </w:rPr>
            </w:pPr>
            <w:r w:rsidRPr="00CD2ADD">
              <w:rPr>
                <w:b/>
                <w:bCs/>
                <w:sz w:val="20"/>
                <w:szCs w:val="20"/>
              </w:rPr>
              <w:t>3</w:t>
            </w:r>
          </w:p>
        </w:tc>
        <w:tc>
          <w:tcPr>
            <w:tcW w:w="850" w:type="dxa"/>
            <w:shd w:val="clear" w:color="auto" w:fill="DAE9F7" w:themeFill="text2" w:themeFillTint="1A"/>
          </w:tcPr>
          <w:p w14:paraId="390F74D8" w14:textId="77777777" w:rsidR="00590F8B" w:rsidRPr="00CD2ADD" w:rsidRDefault="00590F8B" w:rsidP="002C4956">
            <w:pPr>
              <w:jc w:val="center"/>
              <w:rPr>
                <w:b/>
                <w:bCs/>
                <w:sz w:val="20"/>
                <w:szCs w:val="20"/>
              </w:rPr>
            </w:pPr>
            <w:r w:rsidRPr="00CD2ADD">
              <w:rPr>
                <w:b/>
                <w:bCs/>
                <w:sz w:val="20"/>
                <w:szCs w:val="20"/>
              </w:rPr>
              <w:t>4</w:t>
            </w:r>
          </w:p>
        </w:tc>
        <w:tc>
          <w:tcPr>
            <w:tcW w:w="851" w:type="dxa"/>
            <w:shd w:val="clear" w:color="auto" w:fill="DAE9F7" w:themeFill="text2" w:themeFillTint="1A"/>
          </w:tcPr>
          <w:p w14:paraId="21024681" w14:textId="77777777" w:rsidR="00590F8B" w:rsidRPr="00CD2ADD" w:rsidRDefault="00590F8B" w:rsidP="002C4956">
            <w:pPr>
              <w:jc w:val="center"/>
              <w:rPr>
                <w:b/>
                <w:bCs/>
                <w:sz w:val="20"/>
                <w:szCs w:val="20"/>
              </w:rPr>
            </w:pPr>
            <w:r w:rsidRPr="00CD2ADD">
              <w:rPr>
                <w:b/>
                <w:bCs/>
                <w:sz w:val="20"/>
                <w:szCs w:val="20"/>
              </w:rPr>
              <w:t>5</w:t>
            </w:r>
          </w:p>
        </w:tc>
        <w:tc>
          <w:tcPr>
            <w:tcW w:w="709" w:type="dxa"/>
            <w:shd w:val="clear" w:color="auto" w:fill="DAE9F7" w:themeFill="text2" w:themeFillTint="1A"/>
          </w:tcPr>
          <w:p w14:paraId="6F579A01" w14:textId="77777777" w:rsidR="00590F8B" w:rsidRPr="00CD2ADD" w:rsidRDefault="00590F8B" w:rsidP="002C4956">
            <w:pPr>
              <w:jc w:val="center"/>
              <w:rPr>
                <w:b/>
                <w:bCs/>
                <w:sz w:val="20"/>
                <w:szCs w:val="20"/>
              </w:rPr>
            </w:pPr>
            <w:r w:rsidRPr="00CD2ADD">
              <w:rPr>
                <w:b/>
                <w:bCs/>
                <w:sz w:val="20"/>
                <w:szCs w:val="20"/>
              </w:rPr>
              <w:t>6</w:t>
            </w:r>
          </w:p>
        </w:tc>
        <w:tc>
          <w:tcPr>
            <w:tcW w:w="992" w:type="dxa"/>
            <w:shd w:val="clear" w:color="auto" w:fill="DAE9F7" w:themeFill="text2" w:themeFillTint="1A"/>
          </w:tcPr>
          <w:p w14:paraId="0EBBFBB9" w14:textId="77777777" w:rsidR="00590F8B" w:rsidRPr="00CD2ADD" w:rsidRDefault="00590F8B" w:rsidP="002C4956">
            <w:pPr>
              <w:jc w:val="center"/>
              <w:rPr>
                <w:b/>
                <w:bCs/>
                <w:sz w:val="20"/>
                <w:szCs w:val="20"/>
              </w:rPr>
            </w:pPr>
            <w:r w:rsidRPr="00CD2ADD">
              <w:rPr>
                <w:b/>
                <w:bCs/>
                <w:sz w:val="20"/>
                <w:szCs w:val="20"/>
              </w:rPr>
              <w:t>7</w:t>
            </w:r>
          </w:p>
        </w:tc>
        <w:tc>
          <w:tcPr>
            <w:tcW w:w="1134" w:type="dxa"/>
            <w:shd w:val="clear" w:color="auto" w:fill="DAE9F7" w:themeFill="text2" w:themeFillTint="1A"/>
          </w:tcPr>
          <w:p w14:paraId="5CB49649" w14:textId="77777777" w:rsidR="00590F8B" w:rsidRPr="00CD2ADD" w:rsidRDefault="00590F8B" w:rsidP="002C4956">
            <w:pPr>
              <w:jc w:val="center"/>
              <w:rPr>
                <w:b/>
                <w:bCs/>
                <w:sz w:val="20"/>
                <w:szCs w:val="20"/>
              </w:rPr>
            </w:pPr>
            <w:r w:rsidRPr="00CD2ADD">
              <w:rPr>
                <w:b/>
                <w:bCs/>
                <w:sz w:val="20"/>
                <w:szCs w:val="20"/>
              </w:rPr>
              <w:t>8</w:t>
            </w:r>
          </w:p>
        </w:tc>
        <w:tc>
          <w:tcPr>
            <w:tcW w:w="709" w:type="dxa"/>
            <w:shd w:val="clear" w:color="auto" w:fill="DAE9F7" w:themeFill="text2" w:themeFillTint="1A"/>
          </w:tcPr>
          <w:p w14:paraId="16F6638F" w14:textId="77777777" w:rsidR="00590F8B" w:rsidRPr="00CD2ADD" w:rsidRDefault="00590F8B" w:rsidP="002C4956">
            <w:pPr>
              <w:jc w:val="center"/>
              <w:rPr>
                <w:b/>
                <w:bCs/>
                <w:sz w:val="20"/>
                <w:szCs w:val="20"/>
              </w:rPr>
            </w:pPr>
            <w:r w:rsidRPr="00CD2ADD">
              <w:rPr>
                <w:b/>
                <w:bCs/>
                <w:sz w:val="20"/>
                <w:szCs w:val="20"/>
              </w:rPr>
              <w:t>9</w:t>
            </w:r>
          </w:p>
        </w:tc>
        <w:tc>
          <w:tcPr>
            <w:tcW w:w="708" w:type="dxa"/>
            <w:shd w:val="clear" w:color="auto" w:fill="DAE9F7" w:themeFill="text2" w:themeFillTint="1A"/>
          </w:tcPr>
          <w:p w14:paraId="05563427" w14:textId="77777777" w:rsidR="00590F8B" w:rsidRPr="00CD2ADD" w:rsidRDefault="00590F8B" w:rsidP="002C4956">
            <w:pPr>
              <w:jc w:val="center"/>
              <w:rPr>
                <w:b/>
                <w:bCs/>
                <w:sz w:val="20"/>
                <w:szCs w:val="20"/>
              </w:rPr>
            </w:pPr>
            <w:r w:rsidRPr="00CD2ADD">
              <w:rPr>
                <w:b/>
                <w:bCs/>
                <w:sz w:val="20"/>
                <w:szCs w:val="20"/>
              </w:rPr>
              <w:t>10</w:t>
            </w:r>
          </w:p>
        </w:tc>
        <w:tc>
          <w:tcPr>
            <w:tcW w:w="709" w:type="dxa"/>
            <w:shd w:val="clear" w:color="auto" w:fill="DAE9F7" w:themeFill="text2" w:themeFillTint="1A"/>
          </w:tcPr>
          <w:p w14:paraId="571B6F6B" w14:textId="77777777" w:rsidR="00590F8B" w:rsidRPr="00CD2ADD" w:rsidRDefault="00590F8B" w:rsidP="002C4956">
            <w:pPr>
              <w:jc w:val="center"/>
              <w:rPr>
                <w:b/>
                <w:bCs/>
                <w:sz w:val="20"/>
                <w:szCs w:val="20"/>
              </w:rPr>
            </w:pPr>
            <w:r w:rsidRPr="00CD2ADD">
              <w:rPr>
                <w:b/>
                <w:bCs/>
                <w:sz w:val="20"/>
                <w:szCs w:val="20"/>
              </w:rPr>
              <w:t>11</w:t>
            </w:r>
          </w:p>
        </w:tc>
        <w:tc>
          <w:tcPr>
            <w:tcW w:w="709" w:type="dxa"/>
            <w:shd w:val="clear" w:color="auto" w:fill="DAE9F7" w:themeFill="text2" w:themeFillTint="1A"/>
          </w:tcPr>
          <w:p w14:paraId="528E3F00" w14:textId="77777777" w:rsidR="00590F8B" w:rsidRPr="00CD2ADD" w:rsidRDefault="00590F8B" w:rsidP="002C4956">
            <w:pPr>
              <w:jc w:val="center"/>
              <w:rPr>
                <w:b/>
                <w:bCs/>
                <w:sz w:val="20"/>
                <w:szCs w:val="20"/>
              </w:rPr>
            </w:pPr>
            <w:r w:rsidRPr="00CD2ADD">
              <w:rPr>
                <w:b/>
                <w:bCs/>
                <w:sz w:val="20"/>
                <w:szCs w:val="20"/>
              </w:rPr>
              <w:t>12</w:t>
            </w:r>
          </w:p>
        </w:tc>
        <w:tc>
          <w:tcPr>
            <w:tcW w:w="709" w:type="dxa"/>
            <w:shd w:val="clear" w:color="auto" w:fill="DAE9F7" w:themeFill="text2" w:themeFillTint="1A"/>
          </w:tcPr>
          <w:p w14:paraId="3613C8C1" w14:textId="77777777" w:rsidR="00590F8B" w:rsidRPr="00CD2ADD" w:rsidRDefault="00590F8B" w:rsidP="002C4956">
            <w:pPr>
              <w:jc w:val="center"/>
              <w:rPr>
                <w:b/>
                <w:bCs/>
                <w:sz w:val="20"/>
                <w:szCs w:val="20"/>
              </w:rPr>
            </w:pPr>
            <w:r w:rsidRPr="00CD2ADD">
              <w:rPr>
                <w:b/>
                <w:bCs/>
                <w:sz w:val="20"/>
                <w:szCs w:val="20"/>
              </w:rPr>
              <w:t>13</w:t>
            </w:r>
          </w:p>
        </w:tc>
        <w:tc>
          <w:tcPr>
            <w:tcW w:w="1134" w:type="dxa"/>
            <w:shd w:val="clear" w:color="auto" w:fill="DAE9F7" w:themeFill="text2" w:themeFillTint="1A"/>
          </w:tcPr>
          <w:p w14:paraId="30096137" w14:textId="77777777" w:rsidR="00590F8B" w:rsidRPr="00CD2ADD" w:rsidRDefault="00590F8B" w:rsidP="002C4956">
            <w:pPr>
              <w:jc w:val="center"/>
              <w:rPr>
                <w:b/>
                <w:bCs/>
                <w:sz w:val="20"/>
                <w:szCs w:val="20"/>
              </w:rPr>
            </w:pPr>
            <w:r w:rsidRPr="00CD2ADD">
              <w:rPr>
                <w:b/>
                <w:bCs/>
                <w:sz w:val="20"/>
                <w:szCs w:val="20"/>
              </w:rPr>
              <w:t>14</w:t>
            </w:r>
          </w:p>
        </w:tc>
        <w:tc>
          <w:tcPr>
            <w:tcW w:w="1926" w:type="dxa"/>
            <w:shd w:val="clear" w:color="auto" w:fill="DAE9F7" w:themeFill="text2" w:themeFillTint="1A"/>
          </w:tcPr>
          <w:p w14:paraId="72E3514C" w14:textId="77777777" w:rsidR="00590F8B" w:rsidRPr="00CD2ADD" w:rsidRDefault="00590F8B" w:rsidP="002C4956">
            <w:pPr>
              <w:jc w:val="center"/>
              <w:rPr>
                <w:b/>
                <w:bCs/>
                <w:sz w:val="20"/>
                <w:szCs w:val="20"/>
              </w:rPr>
            </w:pPr>
            <w:r w:rsidRPr="00CD2ADD">
              <w:rPr>
                <w:b/>
                <w:bCs/>
                <w:sz w:val="20"/>
                <w:szCs w:val="20"/>
              </w:rPr>
              <w:t>15</w:t>
            </w:r>
          </w:p>
        </w:tc>
      </w:tr>
      <w:tr w:rsidR="00590F8B" w:rsidRPr="00CD2ADD" w14:paraId="4D0BEBB1" w14:textId="77777777" w:rsidTr="002C4956">
        <w:trPr>
          <w:trHeight w:val="90"/>
        </w:trPr>
        <w:tc>
          <w:tcPr>
            <w:tcW w:w="15388" w:type="dxa"/>
            <w:gridSpan w:val="15"/>
            <w:shd w:val="clear" w:color="auto" w:fill="FAE2D5" w:themeFill="accent2" w:themeFillTint="33"/>
          </w:tcPr>
          <w:p w14:paraId="03B1BEF9" w14:textId="77777777" w:rsidR="00590F8B" w:rsidRPr="00CD2ADD" w:rsidRDefault="00590F8B" w:rsidP="002C4956">
            <w:pPr>
              <w:rPr>
                <w:b/>
                <w:bCs/>
                <w:sz w:val="20"/>
                <w:szCs w:val="20"/>
              </w:rPr>
            </w:pPr>
            <w:r w:rsidRPr="00CD2ADD">
              <w:rPr>
                <w:b/>
                <w:bCs/>
                <w:sz w:val="20"/>
                <w:szCs w:val="20"/>
              </w:rPr>
              <w:t>Obiectiv general 1: Înțelegerea riscului de dezastre naturale și biologico-sociale, printr-o mai bună cunoaștere a hazardelor, vulnerabilităților și interdependențelor ecosistemice, în vederea fundamentării politicilor publice și a măsurilor de prevenție.</w:t>
            </w:r>
          </w:p>
          <w:p w14:paraId="54F81A0B" w14:textId="77777777" w:rsidR="00590F8B" w:rsidRPr="00CD2ADD" w:rsidRDefault="00590F8B" w:rsidP="002C4956">
            <w:pPr>
              <w:rPr>
                <w:i/>
                <w:iCs/>
                <w:sz w:val="20"/>
                <w:szCs w:val="20"/>
                <w:u w:val="single"/>
              </w:rPr>
            </w:pPr>
            <w:r w:rsidRPr="00CD2ADD">
              <w:rPr>
                <w:i/>
                <w:iCs/>
                <w:sz w:val="20"/>
                <w:szCs w:val="20"/>
                <w:u w:val="single"/>
              </w:rPr>
              <w:t>Contribuie la: ODD 1 -Ținta 1.5, ODD 3 -Ținta 3.d, ODD 6 - Țintele 6.3, 6.5, 6.6, ODD 11 - Ținta 11.5, ODD 13 - Ținta 13.1</w:t>
            </w:r>
          </w:p>
        </w:tc>
      </w:tr>
      <w:tr w:rsidR="00590F8B" w:rsidRPr="00CD2ADD" w14:paraId="6FDC80DC" w14:textId="77777777" w:rsidTr="002C4956">
        <w:tc>
          <w:tcPr>
            <w:tcW w:w="15388" w:type="dxa"/>
            <w:gridSpan w:val="15"/>
            <w:shd w:val="clear" w:color="auto" w:fill="D9F2D0" w:themeFill="accent6" w:themeFillTint="33"/>
          </w:tcPr>
          <w:p w14:paraId="5D5DBB04" w14:textId="77777777" w:rsidR="00590F8B" w:rsidRPr="00CD2ADD" w:rsidRDefault="00590F8B" w:rsidP="002C4956">
            <w:pPr>
              <w:rPr>
                <w:b/>
                <w:bCs/>
                <w:sz w:val="20"/>
                <w:szCs w:val="20"/>
              </w:rPr>
            </w:pPr>
            <w:r w:rsidRPr="00CD2ADD">
              <w:rPr>
                <w:b/>
                <w:bCs/>
                <w:sz w:val="20"/>
                <w:szCs w:val="20"/>
              </w:rPr>
              <w:t>Obiectiv specific 1.1: Până în anul 2030, Ministerul Mediului și gestionarii de risc consolidează sistemul național integrat de date geospațiale (INDS) prin elaborarea și actualizarea hărților climatice, de risc și multi-hazard pentru toate tipurile de riscuri naturale și biologico-sociale identificate în PNRRDN</w:t>
            </w:r>
          </w:p>
        </w:tc>
      </w:tr>
      <w:tr w:rsidR="00162A6F" w:rsidRPr="00CD2ADD" w14:paraId="406F4911" w14:textId="77777777" w:rsidTr="002C4956">
        <w:tc>
          <w:tcPr>
            <w:tcW w:w="514" w:type="dxa"/>
          </w:tcPr>
          <w:p w14:paraId="79487426" w14:textId="14E8EC6A" w:rsidR="00162A6F" w:rsidRPr="00CD2ADD" w:rsidRDefault="00162A6F" w:rsidP="00162A6F">
            <w:pPr>
              <w:rPr>
                <w:sz w:val="20"/>
                <w:szCs w:val="20"/>
              </w:rPr>
            </w:pPr>
            <w:r w:rsidRPr="00CD2ADD">
              <w:rPr>
                <w:sz w:val="20"/>
                <w:szCs w:val="20"/>
              </w:rPr>
              <w:t>1.</w:t>
            </w:r>
          </w:p>
        </w:tc>
        <w:tc>
          <w:tcPr>
            <w:tcW w:w="2033" w:type="dxa"/>
          </w:tcPr>
          <w:p w14:paraId="6B9CDC4C" w14:textId="46C268D6" w:rsidR="00162A6F" w:rsidRPr="00CD2ADD" w:rsidRDefault="00162A6F" w:rsidP="00162A6F">
            <w:pPr>
              <w:rPr>
                <w:sz w:val="20"/>
                <w:szCs w:val="20"/>
              </w:rPr>
            </w:pPr>
            <w:r w:rsidRPr="00CD2ADD">
              <w:rPr>
                <w:sz w:val="20"/>
                <w:szCs w:val="20"/>
              </w:rPr>
              <w:t>1.1.1 Elaborarea sau actualizarea hărților de risc geospațiale pentru toate dezastrele naturale identificate în PNRRDN</w:t>
            </w:r>
          </w:p>
        </w:tc>
        <w:tc>
          <w:tcPr>
            <w:tcW w:w="1701" w:type="dxa"/>
          </w:tcPr>
          <w:p w14:paraId="7BBC519B" w14:textId="2B3CBAC7" w:rsidR="00162A6F" w:rsidRPr="00CD2ADD" w:rsidRDefault="00162A6F" w:rsidP="00162A6F">
            <w:pPr>
              <w:rPr>
                <w:sz w:val="20"/>
                <w:szCs w:val="20"/>
              </w:rPr>
            </w:pPr>
            <w:r w:rsidRPr="00CD2ADD">
              <w:rPr>
                <w:sz w:val="20"/>
                <w:szCs w:val="20"/>
              </w:rPr>
              <w:t>- 12 hărți de risc, una pentru fiecare dezastru natural identificat în PNRRDN elaborate si hărți dedicate dezastrelor biologico-sociale</w:t>
            </w:r>
          </w:p>
        </w:tc>
        <w:tc>
          <w:tcPr>
            <w:tcW w:w="850" w:type="dxa"/>
          </w:tcPr>
          <w:p w14:paraId="0293AD36" w14:textId="53D62062" w:rsidR="00162A6F" w:rsidRPr="00CD2ADD" w:rsidRDefault="00162A6F" w:rsidP="00162A6F">
            <w:pPr>
              <w:rPr>
                <w:sz w:val="20"/>
                <w:szCs w:val="20"/>
              </w:rPr>
            </w:pPr>
            <w:r w:rsidRPr="00CD2ADD">
              <w:rPr>
                <w:sz w:val="20"/>
                <w:szCs w:val="20"/>
              </w:rPr>
              <w:t>420</w:t>
            </w:r>
          </w:p>
        </w:tc>
        <w:tc>
          <w:tcPr>
            <w:tcW w:w="851" w:type="dxa"/>
          </w:tcPr>
          <w:p w14:paraId="76689481" w14:textId="58A5435D" w:rsidR="00162A6F" w:rsidRPr="00CD2ADD" w:rsidRDefault="00162A6F" w:rsidP="00162A6F">
            <w:pPr>
              <w:rPr>
                <w:sz w:val="20"/>
                <w:szCs w:val="20"/>
              </w:rPr>
            </w:pPr>
            <w:r w:rsidRPr="00CD2ADD">
              <w:rPr>
                <w:sz w:val="20"/>
                <w:szCs w:val="20"/>
              </w:rPr>
              <w:t>420</w:t>
            </w:r>
          </w:p>
        </w:tc>
        <w:tc>
          <w:tcPr>
            <w:tcW w:w="709" w:type="dxa"/>
          </w:tcPr>
          <w:p w14:paraId="2516194B" w14:textId="77777777" w:rsidR="00162A6F" w:rsidRPr="00CD2ADD" w:rsidRDefault="00162A6F" w:rsidP="00162A6F">
            <w:pPr>
              <w:rPr>
                <w:sz w:val="20"/>
                <w:szCs w:val="20"/>
              </w:rPr>
            </w:pPr>
          </w:p>
        </w:tc>
        <w:tc>
          <w:tcPr>
            <w:tcW w:w="992" w:type="dxa"/>
          </w:tcPr>
          <w:p w14:paraId="5BD52989" w14:textId="77777777" w:rsidR="00162A6F" w:rsidRPr="00CD2ADD" w:rsidRDefault="00162A6F" w:rsidP="00162A6F">
            <w:pPr>
              <w:rPr>
                <w:sz w:val="20"/>
                <w:szCs w:val="20"/>
              </w:rPr>
            </w:pPr>
          </w:p>
        </w:tc>
        <w:tc>
          <w:tcPr>
            <w:tcW w:w="1134" w:type="dxa"/>
          </w:tcPr>
          <w:p w14:paraId="571638FA" w14:textId="77777777" w:rsidR="00162A6F" w:rsidRPr="00CD2ADD" w:rsidRDefault="00162A6F" w:rsidP="00162A6F">
            <w:pPr>
              <w:rPr>
                <w:sz w:val="20"/>
                <w:szCs w:val="20"/>
              </w:rPr>
            </w:pPr>
            <w:r w:rsidRPr="00CD2ADD">
              <w:rPr>
                <w:sz w:val="20"/>
                <w:szCs w:val="20"/>
              </w:rPr>
              <w:t>5010</w:t>
            </w:r>
          </w:p>
          <w:p w14:paraId="0A94A1C5" w14:textId="77777777" w:rsidR="00162A6F" w:rsidRPr="00CD2ADD" w:rsidRDefault="00162A6F" w:rsidP="00162A6F">
            <w:pPr>
              <w:rPr>
                <w:sz w:val="20"/>
                <w:szCs w:val="20"/>
              </w:rPr>
            </w:pPr>
            <w:r w:rsidRPr="00CD2ADD">
              <w:rPr>
                <w:sz w:val="20"/>
                <w:szCs w:val="20"/>
              </w:rPr>
              <w:t>5402</w:t>
            </w:r>
          </w:p>
          <w:p w14:paraId="1BA75E10" w14:textId="030EB8F8" w:rsidR="00162A6F" w:rsidRPr="00CD2ADD" w:rsidRDefault="00162A6F" w:rsidP="00162A6F">
            <w:pPr>
              <w:rPr>
                <w:sz w:val="20"/>
                <w:szCs w:val="20"/>
              </w:rPr>
            </w:pPr>
            <w:r w:rsidRPr="00CD2ADD">
              <w:rPr>
                <w:sz w:val="20"/>
                <w:szCs w:val="20"/>
              </w:rPr>
              <w:t>7004</w:t>
            </w:r>
          </w:p>
        </w:tc>
        <w:tc>
          <w:tcPr>
            <w:tcW w:w="709" w:type="dxa"/>
          </w:tcPr>
          <w:p w14:paraId="7ED057DC" w14:textId="66DAB09F" w:rsidR="00162A6F" w:rsidRPr="00CD2ADD" w:rsidRDefault="00162A6F" w:rsidP="00162A6F">
            <w:pPr>
              <w:rPr>
                <w:sz w:val="20"/>
                <w:szCs w:val="20"/>
              </w:rPr>
            </w:pPr>
            <w:r w:rsidRPr="00CD2ADD">
              <w:rPr>
                <w:sz w:val="20"/>
                <w:szCs w:val="20"/>
              </w:rPr>
              <w:t>300</w:t>
            </w:r>
          </w:p>
        </w:tc>
        <w:tc>
          <w:tcPr>
            <w:tcW w:w="708" w:type="dxa"/>
          </w:tcPr>
          <w:p w14:paraId="19C7A123" w14:textId="6EB6BC3F" w:rsidR="00162A6F" w:rsidRPr="00CD2ADD" w:rsidRDefault="00162A6F" w:rsidP="00162A6F">
            <w:pPr>
              <w:rPr>
                <w:sz w:val="20"/>
                <w:szCs w:val="20"/>
              </w:rPr>
            </w:pPr>
            <w:r w:rsidRPr="00CD2ADD">
              <w:rPr>
                <w:sz w:val="20"/>
                <w:szCs w:val="20"/>
              </w:rPr>
              <w:t>120</w:t>
            </w:r>
          </w:p>
        </w:tc>
        <w:tc>
          <w:tcPr>
            <w:tcW w:w="709" w:type="dxa"/>
          </w:tcPr>
          <w:p w14:paraId="1A7D8C44" w14:textId="57433995" w:rsidR="00162A6F" w:rsidRPr="00CD2ADD" w:rsidRDefault="00162A6F" w:rsidP="00162A6F">
            <w:pPr>
              <w:rPr>
                <w:sz w:val="20"/>
                <w:szCs w:val="20"/>
              </w:rPr>
            </w:pPr>
          </w:p>
        </w:tc>
        <w:tc>
          <w:tcPr>
            <w:tcW w:w="709" w:type="dxa"/>
          </w:tcPr>
          <w:p w14:paraId="5D7ACA4B" w14:textId="24EDF0FF" w:rsidR="00162A6F" w:rsidRPr="00CD2ADD" w:rsidRDefault="00162A6F" w:rsidP="00162A6F">
            <w:pPr>
              <w:rPr>
                <w:sz w:val="20"/>
                <w:szCs w:val="20"/>
              </w:rPr>
            </w:pPr>
          </w:p>
        </w:tc>
        <w:tc>
          <w:tcPr>
            <w:tcW w:w="709" w:type="dxa"/>
          </w:tcPr>
          <w:p w14:paraId="4AAF84EC" w14:textId="6D59B126" w:rsidR="00162A6F" w:rsidRPr="00CD2ADD" w:rsidRDefault="00162A6F" w:rsidP="00162A6F">
            <w:pPr>
              <w:rPr>
                <w:sz w:val="20"/>
                <w:szCs w:val="20"/>
              </w:rPr>
            </w:pPr>
          </w:p>
        </w:tc>
        <w:tc>
          <w:tcPr>
            <w:tcW w:w="1134" w:type="dxa"/>
          </w:tcPr>
          <w:p w14:paraId="4A8B3E3B" w14:textId="7360B0B9" w:rsidR="00162A6F" w:rsidRPr="00CD2ADD" w:rsidRDefault="00162A6F" w:rsidP="00162A6F">
            <w:pPr>
              <w:rPr>
                <w:sz w:val="20"/>
                <w:szCs w:val="20"/>
              </w:rPr>
            </w:pPr>
            <w:r w:rsidRPr="00CD2ADD">
              <w:rPr>
                <w:sz w:val="20"/>
                <w:szCs w:val="20"/>
              </w:rPr>
              <w:t>Trim. II 2027</w:t>
            </w:r>
          </w:p>
        </w:tc>
        <w:tc>
          <w:tcPr>
            <w:tcW w:w="1926" w:type="dxa"/>
          </w:tcPr>
          <w:p w14:paraId="5ADF37DF" w14:textId="6E18018B" w:rsidR="00435B90" w:rsidRPr="00CD2ADD" w:rsidRDefault="00435B90" w:rsidP="00162A6F">
            <w:pPr>
              <w:rPr>
                <w:sz w:val="20"/>
                <w:szCs w:val="20"/>
              </w:rPr>
            </w:pPr>
            <w:r w:rsidRPr="00CD2ADD">
              <w:rPr>
                <w:sz w:val="20"/>
                <w:szCs w:val="20"/>
              </w:rPr>
              <w:t xml:space="preserve">IP AN </w:t>
            </w:r>
            <w:r w:rsidR="00162A6F" w:rsidRPr="00CD2ADD">
              <w:rPr>
                <w:sz w:val="20"/>
                <w:szCs w:val="20"/>
              </w:rPr>
              <w:t>Apele Moldovei, Serviciul Hidrometeorologic de Stat,  Agenția Moldsilva, Agenția de Mediu, Agenția pentru Geologie și Resurse Minerale, Agenția Națională pentru Siguranța Alimentelor, Agenția Națională pentru Sănătate Publică, Agenția Geodezie, Cartografie și Cadastru, Centrul National de management al Crizelor ș.a</w:t>
            </w:r>
          </w:p>
        </w:tc>
      </w:tr>
      <w:tr w:rsidR="00162A6F" w:rsidRPr="00CD2ADD" w14:paraId="6EFBF29D" w14:textId="77777777" w:rsidTr="002C4956">
        <w:tc>
          <w:tcPr>
            <w:tcW w:w="514" w:type="dxa"/>
          </w:tcPr>
          <w:p w14:paraId="0852EFF7" w14:textId="77777777" w:rsidR="00162A6F" w:rsidRPr="00CD2ADD" w:rsidRDefault="00162A6F" w:rsidP="00162A6F">
            <w:pPr>
              <w:rPr>
                <w:sz w:val="20"/>
                <w:szCs w:val="20"/>
              </w:rPr>
            </w:pPr>
            <w:r w:rsidRPr="00CD2ADD">
              <w:rPr>
                <w:sz w:val="20"/>
                <w:szCs w:val="20"/>
              </w:rPr>
              <w:t>2.</w:t>
            </w:r>
          </w:p>
        </w:tc>
        <w:tc>
          <w:tcPr>
            <w:tcW w:w="2033" w:type="dxa"/>
          </w:tcPr>
          <w:p w14:paraId="70CC8196" w14:textId="77777777" w:rsidR="00162A6F" w:rsidRPr="00CD2ADD" w:rsidRDefault="00162A6F" w:rsidP="00162A6F">
            <w:pPr>
              <w:rPr>
                <w:sz w:val="20"/>
                <w:szCs w:val="20"/>
              </w:rPr>
            </w:pPr>
            <w:r w:rsidRPr="00CD2ADD">
              <w:rPr>
                <w:sz w:val="20"/>
                <w:szCs w:val="20"/>
              </w:rPr>
              <w:t xml:space="preserve">1.1.2 Consolidarea extinderea și digitalizarea platformei naționale </w:t>
            </w:r>
            <w:r w:rsidRPr="00CD2ADD">
              <w:rPr>
                <w:sz w:val="20"/>
                <w:szCs w:val="20"/>
              </w:rPr>
              <w:lastRenderedPageBreak/>
              <w:t>de informare privind clima și riscurile climato-meteorologice (clima.gov.md)</w:t>
            </w:r>
          </w:p>
        </w:tc>
        <w:tc>
          <w:tcPr>
            <w:tcW w:w="1701" w:type="dxa"/>
          </w:tcPr>
          <w:p w14:paraId="709453CC" w14:textId="77777777" w:rsidR="00162A6F" w:rsidRPr="00CD2ADD" w:rsidRDefault="00162A6F" w:rsidP="00162A6F">
            <w:pPr>
              <w:rPr>
                <w:sz w:val="20"/>
                <w:szCs w:val="20"/>
              </w:rPr>
            </w:pPr>
            <w:r w:rsidRPr="00CD2ADD">
              <w:rPr>
                <w:sz w:val="20"/>
                <w:szCs w:val="20"/>
              </w:rPr>
              <w:lastRenderedPageBreak/>
              <w:t>- Platforma clima.gov.md actualizată</w:t>
            </w:r>
          </w:p>
        </w:tc>
        <w:tc>
          <w:tcPr>
            <w:tcW w:w="850" w:type="dxa"/>
          </w:tcPr>
          <w:p w14:paraId="055FA024" w14:textId="77777777" w:rsidR="00162A6F" w:rsidRPr="00CD2ADD" w:rsidRDefault="00162A6F" w:rsidP="00162A6F">
            <w:pPr>
              <w:rPr>
                <w:sz w:val="20"/>
                <w:szCs w:val="20"/>
              </w:rPr>
            </w:pPr>
            <w:r w:rsidRPr="00CD2ADD">
              <w:rPr>
                <w:sz w:val="20"/>
                <w:szCs w:val="20"/>
              </w:rPr>
              <w:t>430</w:t>
            </w:r>
          </w:p>
        </w:tc>
        <w:tc>
          <w:tcPr>
            <w:tcW w:w="851" w:type="dxa"/>
          </w:tcPr>
          <w:p w14:paraId="408F2F43" w14:textId="77777777" w:rsidR="00162A6F" w:rsidRPr="00CD2ADD" w:rsidRDefault="00162A6F" w:rsidP="00162A6F">
            <w:pPr>
              <w:rPr>
                <w:sz w:val="20"/>
                <w:szCs w:val="20"/>
              </w:rPr>
            </w:pPr>
            <w:r w:rsidRPr="00CD2ADD">
              <w:rPr>
                <w:sz w:val="20"/>
                <w:szCs w:val="20"/>
              </w:rPr>
              <w:t>430</w:t>
            </w:r>
          </w:p>
        </w:tc>
        <w:tc>
          <w:tcPr>
            <w:tcW w:w="709" w:type="dxa"/>
          </w:tcPr>
          <w:p w14:paraId="5015014B" w14:textId="77777777" w:rsidR="00162A6F" w:rsidRPr="00CD2ADD" w:rsidRDefault="00162A6F" w:rsidP="00162A6F">
            <w:pPr>
              <w:rPr>
                <w:sz w:val="20"/>
                <w:szCs w:val="20"/>
              </w:rPr>
            </w:pPr>
          </w:p>
        </w:tc>
        <w:tc>
          <w:tcPr>
            <w:tcW w:w="992" w:type="dxa"/>
          </w:tcPr>
          <w:p w14:paraId="50DF7FEC" w14:textId="77777777" w:rsidR="00162A6F" w:rsidRPr="00CD2ADD" w:rsidRDefault="00162A6F" w:rsidP="00162A6F">
            <w:pPr>
              <w:rPr>
                <w:sz w:val="20"/>
                <w:szCs w:val="20"/>
              </w:rPr>
            </w:pPr>
          </w:p>
        </w:tc>
        <w:tc>
          <w:tcPr>
            <w:tcW w:w="1134" w:type="dxa"/>
          </w:tcPr>
          <w:p w14:paraId="293B6D3B" w14:textId="77777777" w:rsidR="00162A6F" w:rsidRPr="00CD2ADD" w:rsidRDefault="00162A6F" w:rsidP="00162A6F">
            <w:pPr>
              <w:rPr>
                <w:sz w:val="20"/>
                <w:szCs w:val="20"/>
              </w:rPr>
            </w:pPr>
            <w:r w:rsidRPr="00CD2ADD">
              <w:rPr>
                <w:sz w:val="20"/>
                <w:szCs w:val="20"/>
              </w:rPr>
              <w:t>5010</w:t>
            </w:r>
          </w:p>
        </w:tc>
        <w:tc>
          <w:tcPr>
            <w:tcW w:w="709" w:type="dxa"/>
          </w:tcPr>
          <w:p w14:paraId="67DA4ADF" w14:textId="77777777" w:rsidR="00162A6F" w:rsidRPr="00CD2ADD" w:rsidRDefault="00162A6F" w:rsidP="00162A6F">
            <w:pPr>
              <w:rPr>
                <w:sz w:val="20"/>
                <w:szCs w:val="20"/>
              </w:rPr>
            </w:pPr>
            <w:r w:rsidRPr="00CD2ADD">
              <w:rPr>
                <w:sz w:val="20"/>
                <w:szCs w:val="20"/>
              </w:rPr>
              <w:t>86</w:t>
            </w:r>
          </w:p>
        </w:tc>
        <w:tc>
          <w:tcPr>
            <w:tcW w:w="708" w:type="dxa"/>
          </w:tcPr>
          <w:p w14:paraId="3C773011" w14:textId="77777777" w:rsidR="00162A6F" w:rsidRPr="00CD2ADD" w:rsidRDefault="00162A6F" w:rsidP="00162A6F">
            <w:pPr>
              <w:rPr>
                <w:sz w:val="20"/>
                <w:szCs w:val="20"/>
              </w:rPr>
            </w:pPr>
            <w:r w:rsidRPr="00CD2ADD">
              <w:rPr>
                <w:sz w:val="20"/>
                <w:szCs w:val="20"/>
              </w:rPr>
              <w:t>86</w:t>
            </w:r>
          </w:p>
        </w:tc>
        <w:tc>
          <w:tcPr>
            <w:tcW w:w="709" w:type="dxa"/>
          </w:tcPr>
          <w:p w14:paraId="437BDAF6" w14:textId="77777777" w:rsidR="00162A6F" w:rsidRPr="00CD2ADD" w:rsidRDefault="00162A6F" w:rsidP="00162A6F">
            <w:pPr>
              <w:rPr>
                <w:sz w:val="20"/>
                <w:szCs w:val="20"/>
              </w:rPr>
            </w:pPr>
            <w:r w:rsidRPr="00CD2ADD">
              <w:rPr>
                <w:sz w:val="20"/>
                <w:szCs w:val="20"/>
              </w:rPr>
              <w:t>86</w:t>
            </w:r>
          </w:p>
        </w:tc>
        <w:tc>
          <w:tcPr>
            <w:tcW w:w="709" w:type="dxa"/>
          </w:tcPr>
          <w:p w14:paraId="018BE098" w14:textId="77777777" w:rsidR="00162A6F" w:rsidRPr="00CD2ADD" w:rsidRDefault="00162A6F" w:rsidP="00162A6F">
            <w:pPr>
              <w:rPr>
                <w:sz w:val="20"/>
                <w:szCs w:val="20"/>
              </w:rPr>
            </w:pPr>
            <w:r w:rsidRPr="00CD2ADD">
              <w:rPr>
                <w:sz w:val="20"/>
                <w:szCs w:val="20"/>
              </w:rPr>
              <w:t>86</w:t>
            </w:r>
          </w:p>
        </w:tc>
        <w:tc>
          <w:tcPr>
            <w:tcW w:w="709" w:type="dxa"/>
          </w:tcPr>
          <w:p w14:paraId="6E33D6CC" w14:textId="77777777" w:rsidR="00162A6F" w:rsidRPr="00CD2ADD" w:rsidRDefault="00162A6F" w:rsidP="00162A6F">
            <w:pPr>
              <w:rPr>
                <w:sz w:val="20"/>
                <w:szCs w:val="20"/>
              </w:rPr>
            </w:pPr>
            <w:r w:rsidRPr="00CD2ADD">
              <w:rPr>
                <w:sz w:val="20"/>
                <w:szCs w:val="20"/>
              </w:rPr>
              <w:t>86</w:t>
            </w:r>
          </w:p>
        </w:tc>
        <w:tc>
          <w:tcPr>
            <w:tcW w:w="1134" w:type="dxa"/>
          </w:tcPr>
          <w:p w14:paraId="55C43710" w14:textId="77777777" w:rsidR="00162A6F" w:rsidRPr="00CD2ADD" w:rsidRDefault="00162A6F" w:rsidP="00162A6F">
            <w:pPr>
              <w:rPr>
                <w:sz w:val="20"/>
                <w:szCs w:val="20"/>
              </w:rPr>
            </w:pPr>
            <w:r w:rsidRPr="00CD2ADD">
              <w:rPr>
                <w:sz w:val="20"/>
                <w:szCs w:val="20"/>
              </w:rPr>
              <w:t>Trimestrială</w:t>
            </w:r>
          </w:p>
        </w:tc>
        <w:tc>
          <w:tcPr>
            <w:tcW w:w="1926" w:type="dxa"/>
          </w:tcPr>
          <w:p w14:paraId="638135DB" w14:textId="77777777" w:rsidR="00162A6F" w:rsidRPr="00CD2ADD" w:rsidRDefault="00162A6F" w:rsidP="00162A6F">
            <w:pPr>
              <w:rPr>
                <w:sz w:val="20"/>
                <w:szCs w:val="20"/>
              </w:rPr>
            </w:pPr>
            <w:r w:rsidRPr="00CD2ADD">
              <w:rPr>
                <w:sz w:val="20"/>
                <w:szCs w:val="20"/>
              </w:rPr>
              <w:t>Serviciul Hidrometeorologic de Stat,  Ministerul Mediului</w:t>
            </w:r>
          </w:p>
        </w:tc>
      </w:tr>
      <w:tr w:rsidR="00162A6F" w:rsidRPr="00CD2ADD" w14:paraId="677113A6" w14:textId="77777777" w:rsidTr="002C4956">
        <w:tc>
          <w:tcPr>
            <w:tcW w:w="514" w:type="dxa"/>
          </w:tcPr>
          <w:p w14:paraId="3960FD46" w14:textId="71E44746" w:rsidR="00162A6F" w:rsidRPr="00CD2ADD" w:rsidRDefault="00162A6F" w:rsidP="00162A6F">
            <w:pPr>
              <w:rPr>
                <w:sz w:val="20"/>
                <w:szCs w:val="20"/>
              </w:rPr>
            </w:pPr>
            <w:r w:rsidRPr="00CD2ADD">
              <w:rPr>
                <w:sz w:val="20"/>
                <w:szCs w:val="20"/>
              </w:rPr>
              <w:t>3.</w:t>
            </w:r>
          </w:p>
        </w:tc>
        <w:tc>
          <w:tcPr>
            <w:tcW w:w="2033" w:type="dxa"/>
          </w:tcPr>
          <w:p w14:paraId="58E125F8" w14:textId="40DF3477" w:rsidR="00162A6F" w:rsidRPr="00CD2ADD" w:rsidRDefault="00162A6F" w:rsidP="00162A6F">
            <w:pPr>
              <w:rPr>
                <w:sz w:val="20"/>
                <w:szCs w:val="20"/>
              </w:rPr>
            </w:pPr>
            <w:r w:rsidRPr="00CD2ADD">
              <w:rPr>
                <w:sz w:val="20"/>
                <w:szCs w:val="20"/>
              </w:rPr>
              <w:t>1.1.3 Consolidarea sistemului național integrat de date geospațiale prin elaborarea sau actualizarea harților climatice, a riscurilor naturale și biologico-sociale</w:t>
            </w:r>
          </w:p>
        </w:tc>
        <w:tc>
          <w:tcPr>
            <w:tcW w:w="1701" w:type="dxa"/>
          </w:tcPr>
          <w:p w14:paraId="507A7622" w14:textId="4DEC9C5C" w:rsidR="00162A6F" w:rsidRPr="00CD2ADD" w:rsidRDefault="00162A6F" w:rsidP="00162A6F">
            <w:pPr>
              <w:rPr>
                <w:sz w:val="20"/>
                <w:szCs w:val="20"/>
              </w:rPr>
            </w:pPr>
            <w:r w:rsidRPr="00CD2ADD">
              <w:rPr>
                <w:sz w:val="20"/>
                <w:szCs w:val="20"/>
              </w:rPr>
              <w:t>- Portalul INDS -Infrastructura Națională de Date Spațiale actualizat</w:t>
            </w:r>
          </w:p>
        </w:tc>
        <w:tc>
          <w:tcPr>
            <w:tcW w:w="850" w:type="dxa"/>
          </w:tcPr>
          <w:p w14:paraId="0512C46E" w14:textId="09375B2E" w:rsidR="00162A6F" w:rsidRPr="00CD2ADD" w:rsidRDefault="00162A6F" w:rsidP="00162A6F">
            <w:pPr>
              <w:rPr>
                <w:sz w:val="20"/>
                <w:szCs w:val="20"/>
              </w:rPr>
            </w:pPr>
            <w:r w:rsidRPr="00CD2ADD">
              <w:rPr>
                <w:sz w:val="20"/>
                <w:szCs w:val="20"/>
              </w:rPr>
              <w:t>176</w:t>
            </w:r>
          </w:p>
        </w:tc>
        <w:tc>
          <w:tcPr>
            <w:tcW w:w="851" w:type="dxa"/>
          </w:tcPr>
          <w:p w14:paraId="3C066DC7" w14:textId="2BB19A73" w:rsidR="00162A6F" w:rsidRPr="00CD2ADD" w:rsidRDefault="00162A6F" w:rsidP="00162A6F">
            <w:pPr>
              <w:rPr>
                <w:sz w:val="20"/>
                <w:szCs w:val="20"/>
              </w:rPr>
            </w:pPr>
            <w:r w:rsidRPr="00CD2ADD">
              <w:rPr>
                <w:sz w:val="20"/>
                <w:szCs w:val="20"/>
              </w:rPr>
              <w:t>176</w:t>
            </w:r>
          </w:p>
        </w:tc>
        <w:tc>
          <w:tcPr>
            <w:tcW w:w="709" w:type="dxa"/>
          </w:tcPr>
          <w:p w14:paraId="5DAE3F83" w14:textId="77777777" w:rsidR="00162A6F" w:rsidRPr="00CD2ADD" w:rsidRDefault="00162A6F" w:rsidP="00162A6F">
            <w:pPr>
              <w:rPr>
                <w:sz w:val="20"/>
                <w:szCs w:val="20"/>
              </w:rPr>
            </w:pPr>
          </w:p>
        </w:tc>
        <w:tc>
          <w:tcPr>
            <w:tcW w:w="992" w:type="dxa"/>
          </w:tcPr>
          <w:p w14:paraId="00C764BA" w14:textId="77777777" w:rsidR="00162A6F" w:rsidRPr="00CD2ADD" w:rsidRDefault="00162A6F" w:rsidP="00162A6F">
            <w:pPr>
              <w:rPr>
                <w:sz w:val="20"/>
                <w:szCs w:val="20"/>
              </w:rPr>
            </w:pPr>
          </w:p>
        </w:tc>
        <w:tc>
          <w:tcPr>
            <w:tcW w:w="1134" w:type="dxa"/>
          </w:tcPr>
          <w:p w14:paraId="7C6FE8C4" w14:textId="577F0418" w:rsidR="00162A6F" w:rsidRPr="00CD2ADD" w:rsidRDefault="00162A6F" w:rsidP="00162A6F">
            <w:pPr>
              <w:rPr>
                <w:sz w:val="20"/>
                <w:szCs w:val="20"/>
              </w:rPr>
            </w:pPr>
            <w:r w:rsidRPr="00CD2ADD">
              <w:rPr>
                <w:sz w:val="20"/>
                <w:szCs w:val="20"/>
              </w:rPr>
              <w:t>6905</w:t>
            </w:r>
          </w:p>
        </w:tc>
        <w:tc>
          <w:tcPr>
            <w:tcW w:w="709" w:type="dxa"/>
          </w:tcPr>
          <w:p w14:paraId="6C41A60E" w14:textId="3ECCF026" w:rsidR="00162A6F" w:rsidRPr="00CD2ADD" w:rsidRDefault="00162A6F" w:rsidP="00162A6F">
            <w:pPr>
              <w:rPr>
                <w:sz w:val="20"/>
                <w:szCs w:val="20"/>
              </w:rPr>
            </w:pPr>
            <w:r w:rsidRPr="00CD2ADD">
              <w:rPr>
                <w:sz w:val="20"/>
                <w:szCs w:val="20"/>
              </w:rPr>
              <w:t>35,2</w:t>
            </w:r>
          </w:p>
        </w:tc>
        <w:tc>
          <w:tcPr>
            <w:tcW w:w="708" w:type="dxa"/>
          </w:tcPr>
          <w:p w14:paraId="2D8C6065" w14:textId="5725BD11" w:rsidR="00162A6F" w:rsidRPr="00CD2ADD" w:rsidRDefault="00162A6F" w:rsidP="00162A6F">
            <w:pPr>
              <w:rPr>
                <w:sz w:val="20"/>
                <w:szCs w:val="20"/>
              </w:rPr>
            </w:pPr>
            <w:r w:rsidRPr="00CD2ADD">
              <w:rPr>
                <w:sz w:val="20"/>
                <w:szCs w:val="20"/>
              </w:rPr>
              <w:t>35,2</w:t>
            </w:r>
          </w:p>
        </w:tc>
        <w:tc>
          <w:tcPr>
            <w:tcW w:w="709" w:type="dxa"/>
          </w:tcPr>
          <w:p w14:paraId="7D5ADF86" w14:textId="5DD31828" w:rsidR="00162A6F" w:rsidRPr="00CD2ADD" w:rsidRDefault="00162A6F" w:rsidP="00162A6F">
            <w:pPr>
              <w:rPr>
                <w:sz w:val="20"/>
                <w:szCs w:val="20"/>
              </w:rPr>
            </w:pPr>
            <w:r w:rsidRPr="00CD2ADD">
              <w:rPr>
                <w:sz w:val="20"/>
                <w:szCs w:val="20"/>
              </w:rPr>
              <w:t>35,2</w:t>
            </w:r>
          </w:p>
        </w:tc>
        <w:tc>
          <w:tcPr>
            <w:tcW w:w="709" w:type="dxa"/>
          </w:tcPr>
          <w:p w14:paraId="223E19E8" w14:textId="06528E5A" w:rsidR="00162A6F" w:rsidRPr="00CD2ADD" w:rsidRDefault="00162A6F" w:rsidP="00162A6F">
            <w:pPr>
              <w:rPr>
                <w:sz w:val="20"/>
                <w:szCs w:val="20"/>
              </w:rPr>
            </w:pPr>
            <w:r w:rsidRPr="00CD2ADD">
              <w:rPr>
                <w:sz w:val="20"/>
                <w:szCs w:val="20"/>
              </w:rPr>
              <w:t>35,2</w:t>
            </w:r>
          </w:p>
        </w:tc>
        <w:tc>
          <w:tcPr>
            <w:tcW w:w="709" w:type="dxa"/>
          </w:tcPr>
          <w:p w14:paraId="4374A76E" w14:textId="282BC1AD" w:rsidR="00162A6F" w:rsidRPr="00CD2ADD" w:rsidRDefault="00162A6F" w:rsidP="00162A6F">
            <w:pPr>
              <w:rPr>
                <w:sz w:val="20"/>
                <w:szCs w:val="20"/>
              </w:rPr>
            </w:pPr>
            <w:r w:rsidRPr="00CD2ADD">
              <w:rPr>
                <w:sz w:val="20"/>
                <w:szCs w:val="20"/>
              </w:rPr>
              <w:t>35,2</w:t>
            </w:r>
          </w:p>
        </w:tc>
        <w:tc>
          <w:tcPr>
            <w:tcW w:w="1134" w:type="dxa"/>
          </w:tcPr>
          <w:p w14:paraId="6D48121B" w14:textId="31B1DF6B" w:rsidR="00162A6F" w:rsidRPr="00CD2ADD" w:rsidRDefault="00162A6F" w:rsidP="00162A6F">
            <w:pPr>
              <w:rPr>
                <w:sz w:val="20"/>
                <w:szCs w:val="20"/>
              </w:rPr>
            </w:pPr>
            <w:r w:rsidRPr="00CD2ADD">
              <w:rPr>
                <w:sz w:val="20"/>
                <w:szCs w:val="20"/>
              </w:rPr>
              <w:t>Anuală</w:t>
            </w:r>
          </w:p>
        </w:tc>
        <w:tc>
          <w:tcPr>
            <w:tcW w:w="1926" w:type="dxa"/>
          </w:tcPr>
          <w:p w14:paraId="0FD4CFFC" w14:textId="77777777" w:rsidR="00162A6F" w:rsidRPr="00CD2ADD" w:rsidRDefault="00162A6F" w:rsidP="00162A6F">
            <w:pPr>
              <w:rPr>
                <w:sz w:val="20"/>
                <w:szCs w:val="20"/>
              </w:rPr>
            </w:pPr>
            <w:r w:rsidRPr="00CD2ADD">
              <w:rPr>
                <w:sz w:val="20"/>
                <w:szCs w:val="20"/>
              </w:rPr>
              <w:t>Agenția Geodezie, Cartografie și Cadastru</w:t>
            </w:r>
          </w:p>
          <w:p w14:paraId="00EB8C46" w14:textId="77777777" w:rsidR="00162A6F" w:rsidRPr="00CD2ADD" w:rsidRDefault="00162A6F" w:rsidP="00162A6F">
            <w:pPr>
              <w:rPr>
                <w:sz w:val="20"/>
                <w:szCs w:val="20"/>
              </w:rPr>
            </w:pPr>
          </w:p>
        </w:tc>
      </w:tr>
      <w:tr w:rsidR="00162A6F" w:rsidRPr="00CD2ADD" w14:paraId="6902189F" w14:textId="77777777" w:rsidTr="002C4956">
        <w:tc>
          <w:tcPr>
            <w:tcW w:w="514" w:type="dxa"/>
          </w:tcPr>
          <w:p w14:paraId="182B700C" w14:textId="77777777" w:rsidR="00162A6F" w:rsidRPr="00CD2ADD" w:rsidRDefault="00162A6F" w:rsidP="00162A6F">
            <w:pPr>
              <w:rPr>
                <w:sz w:val="20"/>
                <w:szCs w:val="20"/>
              </w:rPr>
            </w:pPr>
            <w:r w:rsidRPr="00CD2ADD">
              <w:rPr>
                <w:sz w:val="20"/>
                <w:szCs w:val="20"/>
              </w:rPr>
              <w:t>4.</w:t>
            </w:r>
          </w:p>
        </w:tc>
        <w:tc>
          <w:tcPr>
            <w:tcW w:w="2033" w:type="dxa"/>
          </w:tcPr>
          <w:p w14:paraId="55762D23" w14:textId="77777777" w:rsidR="00162A6F" w:rsidRPr="00CD2ADD" w:rsidRDefault="00162A6F" w:rsidP="00162A6F">
            <w:pPr>
              <w:rPr>
                <w:sz w:val="20"/>
                <w:szCs w:val="20"/>
              </w:rPr>
            </w:pPr>
            <w:r w:rsidRPr="00CD2ADD">
              <w:rPr>
                <w:sz w:val="20"/>
                <w:szCs w:val="20"/>
              </w:rPr>
              <w:t>1.1.4 Dezvoltarea hărților multi-hazard pentru evaluarea integrată a expunerii și vulnerabilității la nivel teritorial, inclusiv date socio-economice</w:t>
            </w:r>
          </w:p>
        </w:tc>
        <w:tc>
          <w:tcPr>
            <w:tcW w:w="1701" w:type="dxa"/>
          </w:tcPr>
          <w:p w14:paraId="31AE7B12" w14:textId="77777777" w:rsidR="00162A6F" w:rsidRPr="00CD2ADD" w:rsidRDefault="00162A6F" w:rsidP="00162A6F">
            <w:pPr>
              <w:rPr>
                <w:sz w:val="20"/>
                <w:szCs w:val="20"/>
              </w:rPr>
            </w:pPr>
            <w:r w:rsidRPr="00CD2ADD">
              <w:rPr>
                <w:sz w:val="20"/>
                <w:szCs w:val="20"/>
              </w:rPr>
              <w:t>- 1 hartă multi-hazard la nivel național elaborată</w:t>
            </w:r>
          </w:p>
          <w:p w14:paraId="0DB435D6" w14:textId="77777777" w:rsidR="00162A6F" w:rsidRPr="00CD2ADD" w:rsidRDefault="00162A6F" w:rsidP="00162A6F">
            <w:pPr>
              <w:rPr>
                <w:sz w:val="20"/>
                <w:szCs w:val="20"/>
              </w:rPr>
            </w:pPr>
            <w:r w:rsidRPr="00CD2ADD">
              <w:rPr>
                <w:sz w:val="20"/>
                <w:szCs w:val="20"/>
              </w:rPr>
              <w:t>- 10 hărți la rezoluție raională elaborate</w:t>
            </w:r>
          </w:p>
        </w:tc>
        <w:tc>
          <w:tcPr>
            <w:tcW w:w="850" w:type="dxa"/>
          </w:tcPr>
          <w:p w14:paraId="5582137B" w14:textId="77777777" w:rsidR="00162A6F" w:rsidRPr="00CD2ADD" w:rsidRDefault="00162A6F" w:rsidP="00162A6F">
            <w:pPr>
              <w:rPr>
                <w:sz w:val="20"/>
                <w:szCs w:val="20"/>
              </w:rPr>
            </w:pPr>
            <w:r w:rsidRPr="00CD2ADD">
              <w:rPr>
                <w:sz w:val="20"/>
                <w:szCs w:val="20"/>
              </w:rPr>
              <w:t>140</w:t>
            </w:r>
          </w:p>
        </w:tc>
        <w:tc>
          <w:tcPr>
            <w:tcW w:w="851" w:type="dxa"/>
          </w:tcPr>
          <w:p w14:paraId="7A322D1F" w14:textId="77777777" w:rsidR="00162A6F" w:rsidRPr="00CD2ADD" w:rsidRDefault="00162A6F" w:rsidP="00162A6F">
            <w:pPr>
              <w:rPr>
                <w:sz w:val="20"/>
                <w:szCs w:val="20"/>
              </w:rPr>
            </w:pPr>
            <w:r w:rsidRPr="00CD2ADD">
              <w:rPr>
                <w:sz w:val="20"/>
                <w:szCs w:val="20"/>
              </w:rPr>
              <w:t>140</w:t>
            </w:r>
          </w:p>
        </w:tc>
        <w:tc>
          <w:tcPr>
            <w:tcW w:w="709" w:type="dxa"/>
          </w:tcPr>
          <w:p w14:paraId="71F9FD7D" w14:textId="77777777" w:rsidR="00162A6F" w:rsidRPr="00CD2ADD" w:rsidRDefault="00162A6F" w:rsidP="00162A6F">
            <w:pPr>
              <w:rPr>
                <w:sz w:val="20"/>
                <w:szCs w:val="20"/>
              </w:rPr>
            </w:pPr>
          </w:p>
        </w:tc>
        <w:tc>
          <w:tcPr>
            <w:tcW w:w="992" w:type="dxa"/>
          </w:tcPr>
          <w:p w14:paraId="1E7E8EBC" w14:textId="77777777" w:rsidR="00162A6F" w:rsidRPr="00CD2ADD" w:rsidRDefault="00162A6F" w:rsidP="00162A6F">
            <w:pPr>
              <w:rPr>
                <w:sz w:val="20"/>
                <w:szCs w:val="20"/>
              </w:rPr>
            </w:pPr>
          </w:p>
        </w:tc>
        <w:tc>
          <w:tcPr>
            <w:tcW w:w="1134" w:type="dxa"/>
          </w:tcPr>
          <w:p w14:paraId="7836928B" w14:textId="77777777" w:rsidR="00162A6F" w:rsidRPr="00CD2ADD" w:rsidRDefault="00162A6F" w:rsidP="00162A6F">
            <w:pPr>
              <w:rPr>
                <w:sz w:val="20"/>
                <w:szCs w:val="20"/>
              </w:rPr>
            </w:pPr>
          </w:p>
        </w:tc>
        <w:tc>
          <w:tcPr>
            <w:tcW w:w="709" w:type="dxa"/>
          </w:tcPr>
          <w:p w14:paraId="60A0CCF0" w14:textId="77777777" w:rsidR="00162A6F" w:rsidRPr="00CD2ADD" w:rsidRDefault="00162A6F" w:rsidP="00162A6F">
            <w:pPr>
              <w:rPr>
                <w:sz w:val="20"/>
                <w:szCs w:val="20"/>
              </w:rPr>
            </w:pPr>
            <w:r w:rsidRPr="00CD2ADD">
              <w:rPr>
                <w:sz w:val="20"/>
                <w:szCs w:val="20"/>
              </w:rPr>
              <w:t>40</w:t>
            </w:r>
          </w:p>
        </w:tc>
        <w:tc>
          <w:tcPr>
            <w:tcW w:w="708" w:type="dxa"/>
          </w:tcPr>
          <w:p w14:paraId="13E30981" w14:textId="77777777" w:rsidR="00162A6F" w:rsidRPr="00CD2ADD" w:rsidRDefault="00162A6F" w:rsidP="00162A6F">
            <w:pPr>
              <w:rPr>
                <w:sz w:val="20"/>
                <w:szCs w:val="20"/>
              </w:rPr>
            </w:pPr>
            <w:r w:rsidRPr="00CD2ADD">
              <w:rPr>
                <w:sz w:val="20"/>
                <w:szCs w:val="20"/>
              </w:rPr>
              <w:t>100</w:t>
            </w:r>
          </w:p>
        </w:tc>
        <w:tc>
          <w:tcPr>
            <w:tcW w:w="709" w:type="dxa"/>
          </w:tcPr>
          <w:p w14:paraId="07F04613" w14:textId="77777777" w:rsidR="00162A6F" w:rsidRPr="00CD2ADD" w:rsidRDefault="00162A6F" w:rsidP="00162A6F">
            <w:pPr>
              <w:rPr>
                <w:sz w:val="20"/>
                <w:szCs w:val="20"/>
              </w:rPr>
            </w:pPr>
          </w:p>
        </w:tc>
        <w:tc>
          <w:tcPr>
            <w:tcW w:w="709" w:type="dxa"/>
          </w:tcPr>
          <w:p w14:paraId="27BD00D3" w14:textId="77777777" w:rsidR="00162A6F" w:rsidRPr="00CD2ADD" w:rsidRDefault="00162A6F" w:rsidP="00162A6F">
            <w:pPr>
              <w:rPr>
                <w:sz w:val="20"/>
                <w:szCs w:val="20"/>
              </w:rPr>
            </w:pPr>
          </w:p>
        </w:tc>
        <w:tc>
          <w:tcPr>
            <w:tcW w:w="709" w:type="dxa"/>
          </w:tcPr>
          <w:p w14:paraId="18D561CA" w14:textId="77777777" w:rsidR="00162A6F" w:rsidRPr="00CD2ADD" w:rsidRDefault="00162A6F" w:rsidP="00162A6F">
            <w:pPr>
              <w:rPr>
                <w:sz w:val="20"/>
                <w:szCs w:val="20"/>
              </w:rPr>
            </w:pPr>
          </w:p>
        </w:tc>
        <w:tc>
          <w:tcPr>
            <w:tcW w:w="1134" w:type="dxa"/>
          </w:tcPr>
          <w:p w14:paraId="4D1552A1" w14:textId="77777777" w:rsidR="00162A6F" w:rsidRPr="00CD2ADD" w:rsidRDefault="00162A6F" w:rsidP="00162A6F">
            <w:pPr>
              <w:rPr>
                <w:sz w:val="20"/>
                <w:szCs w:val="20"/>
              </w:rPr>
            </w:pPr>
            <w:r w:rsidRPr="00CD2ADD">
              <w:rPr>
                <w:sz w:val="20"/>
                <w:szCs w:val="20"/>
              </w:rPr>
              <w:t>Trim. II 2027</w:t>
            </w:r>
          </w:p>
        </w:tc>
        <w:tc>
          <w:tcPr>
            <w:tcW w:w="1926" w:type="dxa"/>
          </w:tcPr>
          <w:p w14:paraId="460FD8EF" w14:textId="77777777" w:rsidR="00162A6F" w:rsidRPr="00CD2ADD" w:rsidRDefault="00162A6F" w:rsidP="00162A6F">
            <w:pPr>
              <w:rPr>
                <w:sz w:val="20"/>
                <w:szCs w:val="20"/>
              </w:rPr>
            </w:pPr>
            <w:r w:rsidRPr="00CD2ADD">
              <w:rPr>
                <w:sz w:val="20"/>
                <w:szCs w:val="20"/>
              </w:rPr>
              <w:t>Idem acțiunea 1.1.4</w:t>
            </w:r>
          </w:p>
        </w:tc>
      </w:tr>
      <w:tr w:rsidR="00AA3FFF" w:rsidRPr="00CD2ADD" w14:paraId="75182B5C" w14:textId="77777777" w:rsidTr="002C4956">
        <w:tc>
          <w:tcPr>
            <w:tcW w:w="514" w:type="dxa"/>
          </w:tcPr>
          <w:p w14:paraId="200F4BCE" w14:textId="7B598ED4" w:rsidR="00AA3FFF" w:rsidRPr="00CD2ADD" w:rsidRDefault="00AA3FFF" w:rsidP="00AA3FFF">
            <w:pPr>
              <w:rPr>
                <w:color w:val="000000" w:themeColor="text1"/>
                <w:sz w:val="20"/>
                <w:szCs w:val="20"/>
              </w:rPr>
            </w:pPr>
            <w:r w:rsidRPr="00CD2ADD">
              <w:rPr>
                <w:color w:val="000000" w:themeColor="text1"/>
                <w:sz w:val="20"/>
                <w:szCs w:val="20"/>
              </w:rPr>
              <w:t>5.</w:t>
            </w:r>
          </w:p>
        </w:tc>
        <w:tc>
          <w:tcPr>
            <w:tcW w:w="2033" w:type="dxa"/>
          </w:tcPr>
          <w:p w14:paraId="05DBEED6" w14:textId="68D6C7D8" w:rsidR="00D274A8" w:rsidRPr="00CD2ADD" w:rsidRDefault="00AA3FFF" w:rsidP="00AA3FFF">
            <w:pPr>
              <w:rPr>
                <w:color w:val="000000" w:themeColor="text1"/>
                <w:sz w:val="20"/>
                <w:szCs w:val="20"/>
              </w:rPr>
            </w:pPr>
            <w:r w:rsidRPr="00CD2ADD">
              <w:rPr>
                <w:color w:val="000000" w:themeColor="text1"/>
                <w:sz w:val="20"/>
                <w:szCs w:val="20"/>
              </w:rPr>
              <w:t>1.1.5 Integrarea bazelor de date ANSA în BNS conform standardelor</w:t>
            </w:r>
            <w:r w:rsidR="00D274A8" w:rsidRPr="00CD2ADD">
              <w:rPr>
                <w:color w:val="000000" w:themeColor="text1"/>
                <w:sz w:val="20"/>
                <w:szCs w:val="20"/>
              </w:rPr>
              <w:t xml:space="preserve"> pentru susținerea mecanismelor de supraveghere și avertizare timpurie a riscurilor biologico-sociale.</w:t>
            </w:r>
          </w:p>
        </w:tc>
        <w:tc>
          <w:tcPr>
            <w:tcW w:w="1701" w:type="dxa"/>
          </w:tcPr>
          <w:p w14:paraId="705F2B81" w14:textId="77777777" w:rsidR="00AA3FFF" w:rsidRPr="00CD2ADD" w:rsidRDefault="00AA3FFF" w:rsidP="00AA3FFF">
            <w:pPr>
              <w:rPr>
                <w:color w:val="000000" w:themeColor="text1"/>
                <w:sz w:val="20"/>
                <w:szCs w:val="20"/>
              </w:rPr>
            </w:pPr>
            <w:r w:rsidRPr="00CD2ADD">
              <w:rPr>
                <w:color w:val="000000" w:themeColor="text1"/>
                <w:sz w:val="20"/>
                <w:szCs w:val="20"/>
              </w:rPr>
              <w:t>- Seturile de date ANSA privind riscurile biologico-sociale integrate în BNS (Da/Nu)</w:t>
            </w:r>
          </w:p>
          <w:p w14:paraId="59489EB2" w14:textId="1FEB9955" w:rsidR="001B68C7" w:rsidRPr="00CD2ADD" w:rsidRDefault="001B68C7" w:rsidP="00AA3FFF">
            <w:pPr>
              <w:rPr>
                <w:color w:val="000000" w:themeColor="text1"/>
                <w:sz w:val="20"/>
                <w:szCs w:val="20"/>
              </w:rPr>
            </w:pPr>
            <w:r w:rsidRPr="00CD2ADD">
              <w:rPr>
                <w:color w:val="000000" w:themeColor="text1"/>
                <w:sz w:val="20"/>
                <w:szCs w:val="20"/>
              </w:rPr>
              <w:t xml:space="preserve">- Datele ANSA utilizabile pentru monitorizarea și detectarea timpurie a riscurilor </w:t>
            </w:r>
            <w:r w:rsidRPr="00CD2ADD">
              <w:rPr>
                <w:color w:val="000000" w:themeColor="text1"/>
                <w:sz w:val="20"/>
                <w:szCs w:val="20"/>
              </w:rPr>
              <w:lastRenderedPageBreak/>
              <w:t>biologico-sociale (Da/Nu)</w:t>
            </w:r>
          </w:p>
          <w:p w14:paraId="0E14D978" w14:textId="77777777" w:rsidR="00AA3FFF" w:rsidRPr="00CD2ADD" w:rsidRDefault="00AA3FFF" w:rsidP="00AA3FFF">
            <w:pPr>
              <w:rPr>
                <w:color w:val="000000" w:themeColor="text1"/>
                <w:sz w:val="20"/>
                <w:szCs w:val="20"/>
              </w:rPr>
            </w:pPr>
          </w:p>
          <w:p w14:paraId="616648C7" w14:textId="77777777" w:rsidR="00AA3FFF" w:rsidRPr="00CD2ADD" w:rsidRDefault="00AA3FFF" w:rsidP="00AA3FFF">
            <w:pPr>
              <w:rPr>
                <w:color w:val="000000" w:themeColor="text1"/>
                <w:sz w:val="20"/>
                <w:szCs w:val="20"/>
              </w:rPr>
            </w:pPr>
          </w:p>
        </w:tc>
        <w:tc>
          <w:tcPr>
            <w:tcW w:w="850" w:type="dxa"/>
          </w:tcPr>
          <w:p w14:paraId="2C02ED9C" w14:textId="50E78FC2" w:rsidR="00AA3FFF" w:rsidRPr="00CD2ADD" w:rsidRDefault="00AA3FFF" w:rsidP="00AA3FFF">
            <w:pPr>
              <w:rPr>
                <w:color w:val="000000" w:themeColor="text1"/>
                <w:sz w:val="20"/>
                <w:szCs w:val="20"/>
              </w:rPr>
            </w:pPr>
            <w:r w:rsidRPr="00CD2ADD">
              <w:rPr>
                <w:color w:val="000000" w:themeColor="text1"/>
                <w:sz w:val="20"/>
                <w:szCs w:val="20"/>
              </w:rPr>
              <w:lastRenderedPageBreak/>
              <w:t>600</w:t>
            </w:r>
          </w:p>
        </w:tc>
        <w:tc>
          <w:tcPr>
            <w:tcW w:w="851" w:type="dxa"/>
          </w:tcPr>
          <w:p w14:paraId="0762420E" w14:textId="5E82E409" w:rsidR="00AA3FFF" w:rsidRPr="00CD2ADD" w:rsidRDefault="00AA3FFF" w:rsidP="00AA3FFF">
            <w:pPr>
              <w:rPr>
                <w:color w:val="000000" w:themeColor="text1"/>
                <w:sz w:val="20"/>
                <w:szCs w:val="20"/>
              </w:rPr>
            </w:pPr>
            <w:r w:rsidRPr="00CD2ADD">
              <w:rPr>
                <w:color w:val="000000" w:themeColor="text1"/>
                <w:sz w:val="20"/>
                <w:szCs w:val="20"/>
              </w:rPr>
              <w:t>600</w:t>
            </w:r>
          </w:p>
        </w:tc>
        <w:tc>
          <w:tcPr>
            <w:tcW w:w="709" w:type="dxa"/>
          </w:tcPr>
          <w:p w14:paraId="5F8CD865" w14:textId="77777777" w:rsidR="00AA3FFF" w:rsidRPr="00CD2ADD" w:rsidRDefault="00AA3FFF" w:rsidP="00AA3FFF">
            <w:pPr>
              <w:rPr>
                <w:color w:val="000000" w:themeColor="text1"/>
                <w:sz w:val="20"/>
                <w:szCs w:val="20"/>
              </w:rPr>
            </w:pPr>
          </w:p>
        </w:tc>
        <w:tc>
          <w:tcPr>
            <w:tcW w:w="992" w:type="dxa"/>
          </w:tcPr>
          <w:p w14:paraId="39567535" w14:textId="77777777" w:rsidR="00AA3FFF" w:rsidRPr="00CD2ADD" w:rsidRDefault="00AA3FFF" w:rsidP="00AA3FFF">
            <w:pPr>
              <w:rPr>
                <w:color w:val="000000" w:themeColor="text1"/>
                <w:sz w:val="20"/>
                <w:szCs w:val="20"/>
              </w:rPr>
            </w:pPr>
          </w:p>
        </w:tc>
        <w:tc>
          <w:tcPr>
            <w:tcW w:w="1134" w:type="dxa"/>
          </w:tcPr>
          <w:p w14:paraId="5E730FF3" w14:textId="77777777" w:rsidR="00AA3FFF" w:rsidRPr="00CD2ADD" w:rsidRDefault="00AA3FFF" w:rsidP="00AA3FFF">
            <w:pPr>
              <w:rPr>
                <w:color w:val="000000" w:themeColor="text1"/>
                <w:sz w:val="20"/>
                <w:szCs w:val="20"/>
              </w:rPr>
            </w:pPr>
            <w:r w:rsidRPr="00CD2ADD">
              <w:rPr>
                <w:color w:val="000000" w:themeColor="text1"/>
                <w:sz w:val="20"/>
                <w:szCs w:val="20"/>
              </w:rPr>
              <w:t>5102</w:t>
            </w:r>
          </w:p>
          <w:p w14:paraId="44DB35EA" w14:textId="7F37BF94" w:rsidR="00AA3FFF" w:rsidRPr="00CD2ADD" w:rsidRDefault="00AA3FFF" w:rsidP="00AA3FFF">
            <w:pPr>
              <w:rPr>
                <w:color w:val="000000" w:themeColor="text1"/>
                <w:sz w:val="20"/>
                <w:szCs w:val="20"/>
              </w:rPr>
            </w:pPr>
            <w:r w:rsidRPr="00CD2ADD">
              <w:rPr>
                <w:color w:val="000000" w:themeColor="text1"/>
                <w:sz w:val="20"/>
                <w:szCs w:val="20"/>
              </w:rPr>
              <w:t>5103</w:t>
            </w:r>
          </w:p>
        </w:tc>
        <w:tc>
          <w:tcPr>
            <w:tcW w:w="709" w:type="dxa"/>
          </w:tcPr>
          <w:p w14:paraId="28B02CAC" w14:textId="18BD9CF6" w:rsidR="00AA3FFF" w:rsidRPr="00CD2ADD" w:rsidRDefault="00AA3FFF" w:rsidP="00AA3FFF">
            <w:pPr>
              <w:rPr>
                <w:color w:val="000000" w:themeColor="text1"/>
                <w:sz w:val="20"/>
                <w:szCs w:val="20"/>
              </w:rPr>
            </w:pPr>
            <w:r w:rsidRPr="00CD2ADD">
              <w:rPr>
                <w:color w:val="000000" w:themeColor="text1"/>
                <w:sz w:val="20"/>
                <w:szCs w:val="20"/>
              </w:rPr>
              <w:t>200</w:t>
            </w:r>
          </w:p>
        </w:tc>
        <w:tc>
          <w:tcPr>
            <w:tcW w:w="708" w:type="dxa"/>
          </w:tcPr>
          <w:p w14:paraId="09AE9416" w14:textId="3D3B3726" w:rsidR="00AA3FFF" w:rsidRPr="00CD2ADD" w:rsidRDefault="00AA3FFF" w:rsidP="00AA3FFF">
            <w:pPr>
              <w:rPr>
                <w:color w:val="000000" w:themeColor="text1"/>
                <w:sz w:val="20"/>
                <w:szCs w:val="20"/>
              </w:rPr>
            </w:pPr>
            <w:r w:rsidRPr="00CD2ADD">
              <w:rPr>
                <w:color w:val="000000" w:themeColor="text1"/>
                <w:sz w:val="20"/>
                <w:szCs w:val="20"/>
              </w:rPr>
              <w:t>200</w:t>
            </w:r>
          </w:p>
        </w:tc>
        <w:tc>
          <w:tcPr>
            <w:tcW w:w="709" w:type="dxa"/>
          </w:tcPr>
          <w:p w14:paraId="0973BC0E" w14:textId="23BF85F9" w:rsidR="00AA3FFF" w:rsidRPr="00CD2ADD" w:rsidRDefault="00AA3FFF" w:rsidP="00AA3FFF">
            <w:pPr>
              <w:rPr>
                <w:color w:val="000000" w:themeColor="text1"/>
                <w:sz w:val="20"/>
                <w:szCs w:val="20"/>
              </w:rPr>
            </w:pPr>
            <w:r w:rsidRPr="00CD2ADD">
              <w:rPr>
                <w:color w:val="000000" w:themeColor="text1"/>
                <w:sz w:val="20"/>
                <w:szCs w:val="20"/>
              </w:rPr>
              <w:t>200</w:t>
            </w:r>
          </w:p>
        </w:tc>
        <w:tc>
          <w:tcPr>
            <w:tcW w:w="709" w:type="dxa"/>
          </w:tcPr>
          <w:p w14:paraId="38021112" w14:textId="77777777" w:rsidR="00AA3FFF" w:rsidRPr="00CD2ADD" w:rsidRDefault="00AA3FFF" w:rsidP="00AA3FFF">
            <w:pPr>
              <w:rPr>
                <w:color w:val="000000" w:themeColor="text1"/>
                <w:sz w:val="20"/>
                <w:szCs w:val="20"/>
              </w:rPr>
            </w:pPr>
          </w:p>
        </w:tc>
        <w:tc>
          <w:tcPr>
            <w:tcW w:w="709" w:type="dxa"/>
          </w:tcPr>
          <w:p w14:paraId="4255AAEB" w14:textId="77777777" w:rsidR="00AA3FFF" w:rsidRPr="00CD2ADD" w:rsidRDefault="00AA3FFF" w:rsidP="00AA3FFF">
            <w:pPr>
              <w:rPr>
                <w:color w:val="000000" w:themeColor="text1"/>
                <w:sz w:val="20"/>
                <w:szCs w:val="20"/>
              </w:rPr>
            </w:pPr>
          </w:p>
        </w:tc>
        <w:tc>
          <w:tcPr>
            <w:tcW w:w="1134" w:type="dxa"/>
          </w:tcPr>
          <w:p w14:paraId="6B8AC8DE" w14:textId="05835AC8" w:rsidR="00AA3FFF" w:rsidRPr="00CD2ADD" w:rsidRDefault="00AA3FFF" w:rsidP="00AA3FFF">
            <w:pPr>
              <w:rPr>
                <w:color w:val="000000" w:themeColor="text1"/>
                <w:sz w:val="20"/>
                <w:szCs w:val="20"/>
              </w:rPr>
            </w:pPr>
            <w:r w:rsidRPr="00CD2ADD">
              <w:rPr>
                <w:color w:val="000000" w:themeColor="text1"/>
                <w:sz w:val="20"/>
                <w:szCs w:val="20"/>
              </w:rPr>
              <w:t>Trim. IV 2028</w:t>
            </w:r>
          </w:p>
        </w:tc>
        <w:tc>
          <w:tcPr>
            <w:tcW w:w="1926" w:type="dxa"/>
          </w:tcPr>
          <w:p w14:paraId="4648E223" w14:textId="2B300F1D" w:rsidR="00AA3FFF" w:rsidRPr="00CD2ADD" w:rsidRDefault="00AA3FFF" w:rsidP="00AA3FFF">
            <w:pPr>
              <w:rPr>
                <w:color w:val="000000" w:themeColor="text1"/>
                <w:sz w:val="20"/>
                <w:szCs w:val="20"/>
              </w:rPr>
            </w:pPr>
            <w:r w:rsidRPr="00CD2ADD">
              <w:rPr>
                <w:color w:val="000000" w:themeColor="text1"/>
                <w:sz w:val="20"/>
                <w:szCs w:val="20"/>
              </w:rPr>
              <w:t>Agenția Națională pentru Siguranța Alimentelor, Ministerul Sănătății, Biroul National de Statistica, Ministerul Mediului</w:t>
            </w:r>
            <w:r w:rsidR="00D274A8" w:rsidRPr="00CD2ADD">
              <w:rPr>
                <w:color w:val="000000" w:themeColor="text1"/>
                <w:sz w:val="20"/>
                <w:szCs w:val="20"/>
              </w:rPr>
              <w:t xml:space="preserve">, Ministerul Agriculturii si Industriei Alimentare </w:t>
            </w:r>
          </w:p>
        </w:tc>
      </w:tr>
      <w:tr w:rsidR="00AA3FFF" w:rsidRPr="00CD2ADD" w14:paraId="6BA4345B" w14:textId="77777777" w:rsidTr="002C4956">
        <w:tc>
          <w:tcPr>
            <w:tcW w:w="514" w:type="dxa"/>
          </w:tcPr>
          <w:p w14:paraId="28F966B2" w14:textId="05A9A888" w:rsidR="00AA3FFF" w:rsidRPr="00CD2ADD" w:rsidRDefault="00AA3FFF" w:rsidP="00AA3FFF">
            <w:pPr>
              <w:rPr>
                <w:sz w:val="20"/>
                <w:szCs w:val="20"/>
              </w:rPr>
            </w:pPr>
            <w:r w:rsidRPr="00CD2ADD">
              <w:rPr>
                <w:sz w:val="20"/>
                <w:szCs w:val="20"/>
              </w:rPr>
              <w:t>6.</w:t>
            </w:r>
          </w:p>
        </w:tc>
        <w:tc>
          <w:tcPr>
            <w:tcW w:w="2033" w:type="dxa"/>
          </w:tcPr>
          <w:p w14:paraId="02E594CF" w14:textId="2A9D25C3" w:rsidR="00AA3FFF" w:rsidRPr="00CD2ADD" w:rsidRDefault="00AA3FFF" w:rsidP="00AA3FFF">
            <w:pPr>
              <w:rPr>
                <w:color w:val="000000" w:themeColor="text1"/>
                <w:sz w:val="20"/>
                <w:szCs w:val="20"/>
              </w:rPr>
            </w:pPr>
            <w:r w:rsidRPr="00CD2ADD">
              <w:rPr>
                <w:color w:val="000000" w:themeColor="text1"/>
                <w:sz w:val="20"/>
                <w:szCs w:val="20"/>
              </w:rPr>
              <w:t xml:space="preserve">1.1.6 Crearea in BNS a unui subdomeniu în categoria </w:t>
            </w:r>
            <w:r w:rsidRPr="00CD2ADD">
              <w:rPr>
                <w:i/>
                <w:iCs/>
                <w:color w:val="000000" w:themeColor="text1"/>
                <w:sz w:val="20"/>
                <w:szCs w:val="20"/>
              </w:rPr>
              <w:t>„mediu înconjurător”</w:t>
            </w:r>
            <w:r w:rsidRPr="00CD2ADD">
              <w:rPr>
                <w:color w:val="000000" w:themeColor="text1"/>
                <w:sz w:val="20"/>
                <w:szCs w:val="20"/>
              </w:rPr>
              <w:t xml:space="preserve"> cu seturi de date RRD care sa cuprindă riscurile naturale si biologico-sociale. Banca de date RRD cuprinde dimensiunea mobilității umane cauzate de dezastre climatice, naturale, biologico sociale</w:t>
            </w:r>
          </w:p>
        </w:tc>
        <w:tc>
          <w:tcPr>
            <w:tcW w:w="1701" w:type="dxa"/>
          </w:tcPr>
          <w:p w14:paraId="69BE85ED" w14:textId="77777777" w:rsidR="00AA3FFF" w:rsidRPr="00CD2ADD" w:rsidRDefault="00AA3FFF" w:rsidP="00AA3FFF">
            <w:pPr>
              <w:rPr>
                <w:color w:val="000000" w:themeColor="text1"/>
                <w:sz w:val="20"/>
                <w:szCs w:val="20"/>
              </w:rPr>
            </w:pPr>
            <w:r w:rsidRPr="00CD2ADD">
              <w:rPr>
                <w:color w:val="000000" w:themeColor="text1"/>
                <w:sz w:val="20"/>
                <w:szCs w:val="20"/>
              </w:rPr>
              <w:t>- Subdomeniu RRD funcțional în BNS, cu minimum 10 seturi de date integrate și publicate, conform standardelor și indicatorilor din Cadrul Sendai</w:t>
            </w:r>
          </w:p>
          <w:p w14:paraId="3C8A6A05" w14:textId="4F191CBF" w:rsidR="00AA3FFF" w:rsidRPr="00CD2ADD" w:rsidRDefault="00AA3FFF" w:rsidP="00AA3FFF">
            <w:pPr>
              <w:rPr>
                <w:color w:val="000000" w:themeColor="text1"/>
                <w:sz w:val="20"/>
                <w:szCs w:val="20"/>
              </w:rPr>
            </w:pPr>
            <w:r w:rsidRPr="00CD2ADD">
              <w:rPr>
                <w:color w:val="000000" w:themeColor="text1"/>
                <w:sz w:val="20"/>
                <w:szCs w:val="20"/>
              </w:rPr>
              <w:t>- 1/3 Indicatori de mobilitate umană și RRD elaborați și integrați în BNS, date dezagregate pe vârsta, sex, tip de ocupație, statut migrațional</w:t>
            </w:r>
          </w:p>
        </w:tc>
        <w:tc>
          <w:tcPr>
            <w:tcW w:w="850" w:type="dxa"/>
          </w:tcPr>
          <w:p w14:paraId="25120ABA" w14:textId="14B3CF37" w:rsidR="00AA3FFF" w:rsidRPr="00CD2ADD" w:rsidRDefault="00AA3FFF" w:rsidP="00AA3FFF">
            <w:pPr>
              <w:rPr>
                <w:color w:val="000000" w:themeColor="text1"/>
                <w:sz w:val="20"/>
                <w:szCs w:val="20"/>
              </w:rPr>
            </w:pPr>
            <w:r w:rsidRPr="00CD2ADD">
              <w:rPr>
                <w:color w:val="000000" w:themeColor="text1"/>
                <w:sz w:val="20"/>
                <w:szCs w:val="20"/>
              </w:rPr>
              <w:t>800</w:t>
            </w:r>
          </w:p>
        </w:tc>
        <w:tc>
          <w:tcPr>
            <w:tcW w:w="851" w:type="dxa"/>
          </w:tcPr>
          <w:p w14:paraId="403241EF" w14:textId="51212415" w:rsidR="00AA3FFF" w:rsidRPr="00CD2ADD" w:rsidRDefault="00AA3FFF" w:rsidP="00AA3FFF">
            <w:pPr>
              <w:rPr>
                <w:color w:val="000000" w:themeColor="text1"/>
                <w:sz w:val="20"/>
                <w:szCs w:val="20"/>
              </w:rPr>
            </w:pPr>
            <w:r w:rsidRPr="00CD2ADD">
              <w:rPr>
                <w:color w:val="000000" w:themeColor="text1"/>
                <w:sz w:val="20"/>
                <w:szCs w:val="20"/>
              </w:rPr>
              <w:t>800</w:t>
            </w:r>
          </w:p>
        </w:tc>
        <w:tc>
          <w:tcPr>
            <w:tcW w:w="709" w:type="dxa"/>
          </w:tcPr>
          <w:p w14:paraId="631848C9" w14:textId="77777777" w:rsidR="00AA3FFF" w:rsidRPr="00CD2ADD" w:rsidRDefault="00AA3FFF" w:rsidP="00AA3FFF">
            <w:pPr>
              <w:rPr>
                <w:color w:val="000000" w:themeColor="text1"/>
                <w:sz w:val="20"/>
                <w:szCs w:val="20"/>
              </w:rPr>
            </w:pPr>
          </w:p>
        </w:tc>
        <w:tc>
          <w:tcPr>
            <w:tcW w:w="992" w:type="dxa"/>
          </w:tcPr>
          <w:p w14:paraId="35AD347E" w14:textId="77777777" w:rsidR="00AA3FFF" w:rsidRPr="00CD2ADD" w:rsidRDefault="00AA3FFF" w:rsidP="00AA3FFF">
            <w:pPr>
              <w:rPr>
                <w:color w:val="000000" w:themeColor="text1"/>
                <w:sz w:val="20"/>
                <w:szCs w:val="20"/>
              </w:rPr>
            </w:pPr>
          </w:p>
        </w:tc>
        <w:tc>
          <w:tcPr>
            <w:tcW w:w="1134" w:type="dxa"/>
          </w:tcPr>
          <w:p w14:paraId="50C387B6" w14:textId="7F720ED2" w:rsidR="00AA3FFF" w:rsidRPr="00CD2ADD" w:rsidRDefault="00AA3FFF" w:rsidP="00AA3FFF">
            <w:pPr>
              <w:rPr>
                <w:color w:val="000000" w:themeColor="text1"/>
                <w:sz w:val="20"/>
                <w:szCs w:val="20"/>
              </w:rPr>
            </w:pPr>
            <w:r w:rsidRPr="00CD2ADD">
              <w:rPr>
                <w:color w:val="000000" w:themeColor="text1"/>
                <w:sz w:val="20"/>
                <w:szCs w:val="20"/>
              </w:rPr>
              <w:t>1202</w:t>
            </w:r>
          </w:p>
        </w:tc>
        <w:tc>
          <w:tcPr>
            <w:tcW w:w="709" w:type="dxa"/>
          </w:tcPr>
          <w:p w14:paraId="783A24F5" w14:textId="55AF7C48" w:rsidR="00AA3FFF" w:rsidRPr="00CD2ADD" w:rsidRDefault="00AA3FFF" w:rsidP="00AA3FFF">
            <w:pPr>
              <w:rPr>
                <w:color w:val="000000" w:themeColor="text1"/>
                <w:sz w:val="20"/>
                <w:szCs w:val="20"/>
              </w:rPr>
            </w:pPr>
            <w:r w:rsidRPr="00CD2ADD">
              <w:rPr>
                <w:color w:val="000000" w:themeColor="text1"/>
                <w:sz w:val="20"/>
                <w:szCs w:val="20"/>
              </w:rPr>
              <w:t>200</w:t>
            </w:r>
          </w:p>
        </w:tc>
        <w:tc>
          <w:tcPr>
            <w:tcW w:w="708" w:type="dxa"/>
          </w:tcPr>
          <w:p w14:paraId="69A8D505" w14:textId="483FC8DF" w:rsidR="00AA3FFF" w:rsidRPr="00CD2ADD" w:rsidRDefault="00AA3FFF" w:rsidP="00AA3FFF">
            <w:pPr>
              <w:rPr>
                <w:color w:val="000000" w:themeColor="text1"/>
                <w:sz w:val="20"/>
                <w:szCs w:val="20"/>
              </w:rPr>
            </w:pPr>
            <w:r w:rsidRPr="00CD2ADD">
              <w:rPr>
                <w:color w:val="000000" w:themeColor="text1"/>
                <w:sz w:val="20"/>
                <w:szCs w:val="20"/>
              </w:rPr>
              <w:t>200</w:t>
            </w:r>
          </w:p>
        </w:tc>
        <w:tc>
          <w:tcPr>
            <w:tcW w:w="709" w:type="dxa"/>
          </w:tcPr>
          <w:p w14:paraId="0D011123" w14:textId="5209F05F" w:rsidR="00AA3FFF" w:rsidRPr="00CD2ADD" w:rsidRDefault="00AA3FFF" w:rsidP="00AA3FFF">
            <w:pPr>
              <w:rPr>
                <w:color w:val="000000" w:themeColor="text1"/>
                <w:sz w:val="20"/>
                <w:szCs w:val="20"/>
              </w:rPr>
            </w:pPr>
            <w:r w:rsidRPr="00CD2ADD">
              <w:rPr>
                <w:color w:val="000000" w:themeColor="text1"/>
                <w:sz w:val="20"/>
                <w:szCs w:val="20"/>
              </w:rPr>
              <w:t>200</w:t>
            </w:r>
          </w:p>
        </w:tc>
        <w:tc>
          <w:tcPr>
            <w:tcW w:w="709" w:type="dxa"/>
          </w:tcPr>
          <w:p w14:paraId="7CFB29E7" w14:textId="625752C9" w:rsidR="00AA3FFF" w:rsidRPr="00CD2ADD" w:rsidRDefault="00AA3FFF" w:rsidP="00AA3FFF">
            <w:pPr>
              <w:rPr>
                <w:color w:val="000000" w:themeColor="text1"/>
                <w:sz w:val="20"/>
                <w:szCs w:val="20"/>
              </w:rPr>
            </w:pPr>
            <w:r w:rsidRPr="00CD2ADD">
              <w:rPr>
                <w:color w:val="000000" w:themeColor="text1"/>
                <w:sz w:val="20"/>
                <w:szCs w:val="20"/>
              </w:rPr>
              <w:t>200</w:t>
            </w:r>
          </w:p>
        </w:tc>
        <w:tc>
          <w:tcPr>
            <w:tcW w:w="709" w:type="dxa"/>
          </w:tcPr>
          <w:p w14:paraId="4A8379FB" w14:textId="77777777" w:rsidR="00AA3FFF" w:rsidRPr="00CD2ADD" w:rsidRDefault="00AA3FFF" w:rsidP="00AA3FFF">
            <w:pPr>
              <w:rPr>
                <w:color w:val="000000" w:themeColor="text1"/>
                <w:sz w:val="20"/>
                <w:szCs w:val="20"/>
              </w:rPr>
            </w:pPr>
          </w:p>
        </w:tc>
        <w:tc>
          <w:tcPr>
            <w:tcW w:w="1134" w:type="dxa"/>
          </w:tcPr>
          <w:p w14:paraId="30EB5DCA" w14:textId="4B0FE6E6" w:rsidR="00AA3FFF" w:rsidRPr="00CD2ADD" w:rsidRDefault="00AA3FFF" w:rsidP="00AA3FFF">
            <w:pPr>
              <w:rPr>
                <w:color w:val="000000" w:themeColor="text1"/>
                <w:sz w:val="20"/>
                <w:szCs w:val="20"/>
              </w:rPr>
            </w:pPr>
            <w:r w:rsidRPr="00CD2ADD">
              <w:rPr>
                <w:color w:val="000000" w:themeColor="text1"/>
                <w:sz w:val="20"/>
                <w:szCs w:val="20"/>
              </w:rPr>
              <w:t>Trim. IV 2028</w:t>
            </w:r>
          </w:p>
        </w:tc>
        <w:tc>
          <w:tcPr>
            <w:tcW w:w="1926" w:type="dxa"/>
          </w:tcPr>
          <w:p w14:paraId="3C19E563" w14:textId="3B1C640D" w:rsidR="00AA3FFF" w:rsidRPr="00CD2ADD" w:rsidRDefault="00AA3FFF" w:rsidP="00AA3FFF">
            <w:pPr>
              <w:rPr>
                <w:color w:val="000000" w:themeColor="text1"/>
                <w:sz w:val="20"/>
                <w:szCs w:val="20"/>
              </w:rPr>
            </w:pPr>
            <w:r w:rsidRPr="00CD2ADD">
              <w:rPr>
                <w:color w:val="000000" w:themeColor="text1"/>
                <w:sz w:val="20"/>
                <w:szCs w:val="20"/>
              </w:rPr>
              <w:t xml:space="preserve">Biroul National de statistică, </w:t>
            </w:r>
            <w:r w:rsidR="00372BCD" w:rsidRPr="00CD2ADD">
              <w:rPr>
                <w:color w:val="000000" w:themeColor="text1"/>
                <w:sz w:val="20"/>
                <w:szCs w:val="20"/>
              </w:rPr>
              <w:t xml:space="preserve">IP AN </w:t>
            </w:r>
            <w:r w:rsidRPr="00CD2ADD">
              <w:rPr>
                <w:color w:val="000000" w:themeColor="text1"/>
                <w:sz w:val="20"/>
                <w:szCs w:val="20"/>
              </w:rPr>
              <w:t>Apele Moldovei, Serviciul Hidrometeorologic de Stat,  Agenția Moldsilva</w:t>
            </w:r>
            <w:r w:rsidR="00372BCD" w:rsidRPr="00CD2ADD">
              <w:rPr>
                <w:color w:val="000000" w:themeColor="text1"/>
                <w:sz w:val="20"/>
                <w:szCs w:val="20"/>
              </w:rPr>
              <w:t>,</w:t>
            </w:r>
            <w:r w:rsidRPr="00CD2ADD">
              <w:rPr>
                <w:color w:val="000000" w:themeColor="text1"/>
                <w:sz w:val="20"/>
                <w:szCs w:val="20"/>
              </w:rPr>
              <w:t xml:space="preserve"> Agenția de Mediu, Agenția pentru Geologie și Resurse Minerale, Agenția Națională pentru Siguranța Alimentelor, Agenția Națională pentru Sănătate Publică, </w:t>
            </w:r>
          </w:p>
          <w:p w14:paraId="5079CC6C" w14:textId="4881ED04" w:rsidR="00AA3FFF" w:rsidRPr="00CD2ADD" w:rsidRDefault="00AA3FFF" w:rsidP="00AA3FFF">
            <w:pPr>
              <w:rPr>
                <w:color w:val="000000" w:themeColor="text1"/>
                <w:sz w:val="20"/>
                <w:szCs w:val="20"/>
              </w:rPr>
            </w:pPr>
            <w:r w:rsidRPr="00CD2ADD">
              <w:rPr>
                <w:color w:val="000000" w:themeColor="text1"/>
                <w:sz w:val="20"/>
                <w:szCs w:val="20"/>
              </w:rPr>
              <w:t>Inspectoratul general pentru Situații de Urgență, Inspectoratul General pentru Migrație</w:t>
            </w:r>
          </w:p>
        </w:tc>
      </w:tr>
      <w:tr w:rsidR="00AA3FFF" w:rsidRPr="00CD2ADD" w14:paraId="63C1E0C2" w14:textId="77777777" w:rsidTr="002C4956">
        <w:tc>
          <w:tcPr>
            <w:tcW w:w="15388" w:type="dxa"/>
            <w:gridSpan w:val="15"/>
            <w:shd w:val="clear" w:color="auto" w:fill="D9F2D0" w:themeFill="accent6" w:themeFillTint="33"/>
          </w:tcPr>
          <w:p w14:paraId="7717B684" w14:textId="77777777" w:rsidR="00AA3FFF" w:rsidRPr="00CD2ADD" w:rsidRDefault="00AA3FFF" w:rsidP="00AA3FFF">
            <w:pPr>
              <w:rPr>
                <w:b/>
                <w:bCs/>
                <w:color w:val="000000" w:themeColor="text1"/>
                <w:sz w:val="20"/>
                <w:szCs w:val="20"/>
              </w:rPr>
            </w:pPr>
            <w:r w:rsidRPr="00CD2ADD">
              <w:rPr>
                <w:b/>
                <w:bCs/>
                <w:sz w:val="20"/>
                <w:szCs w:val="20"/>
              </w:rPr>
              <w:t>Obiectiv specific 1.2: Creșterea până în 2030 a gradului de înțelegere și implicare comunitară privind riscurile naturale și biologico-sociale, prin campanii tematice, educație formală și non-formală, și dezvoltarea rețelelor locale de voluntariat în cel puțin 10 raioane vulnerabile</w:t>
            </w:r>
          </w:p>
        </w:tc>
      </w:tr>
      <w:tr w:rsidR="00AA3FFF" w:rsidRPr="00CD2ADD" w14:paraId="0E4BB3E5" w14:textId="77777777" w:rsidTr="002C4956">
        <w:tc>
          <w:tcPr>
            <w:tcW w:w="514" w:type="dxa"/>
          </w:tcPr>
          <w:p w14:paraId="1FD86797" w14:textId="19B9A73B" w:rsidR="00AA3FFF" w:rsidRPr="00CD2ADD" w:rsidRDefault="00386EB8" w:rsidP="00AA3FFF">
            <w:pPr>
              <w:rPr>
                <w:sz w:val="20"/>
                <w:szCs w:val="20"/>
              </w:rPr>
            </w:pPr>
            <w:r w:rsidRPr="00CD2ADD">
              <w:rPr>
                <w:sz w:val="20"/>
                <w:szCs w:val="20"/>
              </w:rPr>
              <w:t>7</w:t>
            </w:r>
            <w:r w:rsidR="00AA3FFF" w:rsidRPr="00CD2ADD">
              <w:rPr>
                <w:sz w:val="20"/>
                <w:szCs w:val="20"/>
              </w:rPr>
              <w:t>.</w:t>
            </w:r>
          </w:p>
        </w:tc>
        <w:tc>
          <w:tcPr>
            <w:tcW w:w="2033" w:type="dxa"/>
          </w:tcPr>
          <w:p w14:paraId="4C0AE206" w14:textId="368B2CF4" w:rsidR="00AA3FFF" w:rsidRPr="00CD2ADD" w:rsidRDefault="00AA3FFF" w:rsidP="00AA3FFF">
            <w:pPr>
              <w:rPr>
                <w:sz w:val="20"/>
                <w:szCs w:val="20"/>
              </w:rPr>
            </w:pPr>
            <w:r w:rsidRPr="00CD2ADD">
              <w:rPr>
                <w:sz w:val="20"/>
                <w:szCs w:val="20"/>
              </w:rPr>
              <w:t xml:space="preserve">1.2.1 Cartografierea actorilor relevanți si a capacității acestora de a fi implicați în comunicarea, prevenirea  și </w:t>
            </w:r>
            <w:r w:rsidRPr="00CD2ADD">
              <w:rPr>
                <w:sz w:val="20"/>
                <w:szCs w:val="20"/>
              </w:rPr>
              <w:lastRenderedPageBreak/>
              <w:t xml:space="preserve">pregătirea pentru riscurilor naturale și biologico-sociale (instituții, agenți economici, rețele de tineret, de voluntari, ONG-uri etc.) </w:t>
            </w:r>
          </w:p>
          <w:p w14:paraId="588DD5AC" w14:textId="77777777" w:rsidR="00AA3FFF" w:rsidRPr="00CD2ADD" w:rsidRDefault="00AA3FFF" w:rsidP="00AA3FFF">
            <w:pPr>
              <w:rPr>
                <w:sz w:val="20"/>
                <w:szCs w:val="20"/>
              </w:rPr>
            </w:pPr>
          </w:p>
        </w:tc>
        <w:tc>
          <w:tcPr>
            <w:tcW w:w="1701" w:type="dxa"/>
          </w:tcPr>
          <w:p w14:paraId="544B0AFD" w14:textId="77777777" w:rsidR="00AA3FFF" w:rsidRPr="00CD2ADD" w:rsidRDefault="00AA3FFF" w:rsidP="00AA3FFF">
            <w:pPr>
              <w:rPr>
                <w:sz w:val="20"/>
                <w:szCs w:val="20"/>
              </w:rPr>
            </w:pPr>
            <w:r w:rsidRPr="00CD2ADD">
              <w:rPr>
                <w:sz w:val="20"/>
                <w:szCs w:val="20"/>
              </w:rPr>
              <w:lastRenderedPageBreak/>
              <w:t xml:space="preserve">- 1 raport cu analiza actorilor relevanți RRD pentru campania de informare, prevenire, </w:t>
            </w:r>
            <w:r w:rsidRPr="00CD2ADD">
              <w:rPr>
                <w:sz w:val="20"/>
                <w:szCs w:val="20"/>
              </w:rPr>
              <w:lastRenderedPageBreak/>
              <w:t>pregătire privind riscurile naturale și biologico-sociale</w:t>
            </w:r>
          </w:p>
          <w:p w14:paraId="5DF16E24" w14:textId="77777777" w:rsidR="00AA3FFF" w:rsidRPr="00CD2ADD" w:rsidRDefault="00AA3FFF" w:rsidP="00AA3FFF">
            <w:pPr>
              <w:rPr>
                <w:sz w:val="20"/>
                <w:szCs w:val="20"/>
              </w:rPr>
            </w:pPr>
            <w:r w:rsidRPr="00CD2ADD">
              <w:rPr>
                <w:sz w:val="20"/>
                <w:szCs w:val="20"/>
              </w:rPr>
              <w:t xml:space="preserve">- </w:t>
            </w:r>
            <w:r w:rsidRPr="00CD2ADD">
              <w:rPr>
                <w:color w:val="000000" w:themeColor="text1"/>
                <w:sz w:val="20"/>
                <w:szCs w:val="20"/>
              </w:rPr>
              <w:t>Elaborarea unui ghid practic pentru mobilizare civică, si diseminarea bunelor practici comunitare la nivel local.</w:t>
            </w:r>
          </w:p>
        </w:tc>
        <w:tc>
          <w:tcPr>
            <w:tcW w:w="850" w:type="dxa"/>
          </w:tcPr>
          <w:p w14:paraId="121B39F1" w14:textId="77777777" w:rsidR="00AA3FFF" w:rsidRPr="00CD2ADD" w:rsidRDefault="00AA3FFF" w:rsidP="00AA3FFF">
            <w:pPr>
              <w:rPr>
                <w:sz w:val="20"/>
                <w:szCs w:val="20"/>
              </w:rPr>
            </w:pPr>
            <w:r w:rsidRPr="00CD2ADD">
              <w:rPr>
                <w:sz w:val="20"/>
                <w:szCs w:val="20"/>
              </w:rPr>
              <w:lastRenderedPageBreak/>
              <w:t>100</w:t>
            </w:r>
          </w:p>
        </w:tc>
        <w:tc>
          <w:tcPr>
            <w:tcW w:w="851" w:type="dxa"/>
          </w:tcPr>
          <w:p w14:paraId="398A8461" w14:textId="77777777" w:rsidR="00AA3FFF" w:rsidRPr="00CD2ADD" w:rsidRDefault="00AA3FFF" w:rsidP="00AA3FFF">
            <w:pPr>
              <w:rPr>
                <w:sz w:val="20"/>
                <w:szCs w:val="20"/>
              </w:rPr>
            </w:pPr>
            <w:r w:rsidRPr="00CD2ADD">
              <w:rPr>
                <w:sz w:val="20"/>
                <w:szCs w:val="20"/>
              </w:rPr>
              <w:t>100</w:t>
            </w:r>
          </w:p>
        </w:tc>
        <w:tc>
          <w:tcPr>
            <w:tcW w:w="709" w:type="dxa"/>
          </w:tcPr>
          <w:p w14:paraId="12054F10" w14:textId="77777777" w:rsidR="00AA3FFF" w:rsidRPr="00CD2ADD" w:rsidRDefault="00AA3FFF" w:rsidP="00AA3FFF">
            <w:pPr>
              <w:rPr>
                <w:sz w:val="20"/>
                <w:szCs w:val="20"/>
              </w:rPr>
            </w:pPr>
          </w:p>
        </w:tc>
        <w:tc>
          <w:tcPr>
            <w:tcW w:w="992" w:type="dxa"/>
          </w:tcPr>
          <w:p w14:paraId="70B6D9C6" w14:textId="77777777" w:rsidR="00AA3FFF" w:rsidRPr="00CD2ADD" w:rsidRDefault="00AA3FFF" w:rsidP="00AA3FFF">
            <w:pPr>
              <w:rPr>
                <w:sz w:val="20"/>
                <w:szCs w:val="20"/>
              </w:rPr>
            </w:pPr>
          </w:p>
        </w:tc>
        <w:tc>
          <w:tcPr>
            <w:tcW w:w="1134" w:type="dxa"/>
          </w:tcPr>
          <w:p w14:paraId="31CD6D47" w14:textId="77777777" w:rsidR="00AA3FFF" w:rsidRPr="00CD2ADD" w:rsidRDefault="00AA3FFF" w:rsidP="00AA3FFF">
            <w:pPr>
              <w:rPr>
                <w:sz w:val="20"/>
                <w:szCs w:val="20"/>
              </w:rPr>
            </w:pPr>
            <w:r w:rsidRPr="00CD2ADD">
              <w:rPr>
                <w:sz w:val="20"/>
                <w:szCs w:val="20"/>
              </w:rPr>
              <w:t>7001</w:t>
            </w:r>
          </w:p>
          <w:p w14:paraId="30E60972" w14:textId="77777777" w:rsidR="00AA3FFF" w:rsidRPr="00CD2ADD" w:rsidRDefault="00AA3FFF" w:rsidP="00AA3FFF">
            <w:pPr>
              <w:rPr>
                <w:sz w:val="20"/>
                <w:szCs w:val="20"/>
              </w:rPr>
            </w:pPr>
            <w:r w:rsidRPr="00CD2ADD">
              <w:rPr>
                <w:sz w:val="20"/>
                <w:szCs w:val="20"/>
              </w:rPr>
              <w:t>8001</w:t>
            </w:r>
          </w:p>
        </w:tc>
        <w:tc>
          <w:tcPr>
            <w:tcW w:w="709" w:type="dxa"/>
          </w:tcPr>
          <w:p w14:paraId="04052D4A" w14:textId="77777777" w:rsidR="00AA3FFF" w:rsidRPr="00CD2ADD" w:rsidRDefault="00AA3FFF" w:rsidP="00AA3FFF">
            <w:pPr>
              <w:rPr>
                <w:sz w:val="20"/>
                <w:szCs w:val="20"/>
              </w:rPr>
            </w:pPr>
            <w:r w:rsidRPr="00CD2ADD">
              <w:rPr>
                <w:sz w:val="20"/>
                <w:szCs w:val="20"/>
              </w:rPr>
              <w:t>100</w:t>
            </w:r>
          </w:p>
        </w:tc>
        <w:tc>
          <w:tcPr>
            <w:tcW w:w="708" w:type="dxa"/>
          </w:tcPr>
          <w:p w14:paraId="55A71F50" w14:textId="77777777" w:rsidR="00AA3FFF" w:rsidRPr="00CD2ADD" w:rsidRDefault="00AA3FFF" w:rsidP="00AA3FFF">
            <w:pPr>
              <w:rPr>
                <w:sz w:val="20"/>
                <w:szCs w:val="20"/>
              </w:rPr>
            </w:pPr>
          </w:p>
        </w:tc>
        <w:tc>
          <w:tcPr>
            <w:tcW w:w="709" w:type="dxa"/>
          </w:tcPr>
          <w:p w14:paraId="07691915" w14:textId="77777777" w:rsidR="00AA3FFF" w:rsidRPr="00CD2ADD" w:rsidRDefault="00AA3FFF" w:rsidP="00AA3FFF">
            <w:pPr>
              <w:rPr>
                <w:sz w:val="20"/>
                <w:szCs w:val="20"/>
              </w:rPr>
            </w:pPr>
          </w:p>
        </w:tc>
        <w:tc>
          <w:tcPr>
            <w:tcW w:w="709" w:type="dxa"/>
          </w:tcPr>
          <w:p w14:paraId="65F3E603" w14:textId="77777777" w:rsidR="00AA3FFF" w:rsidRPr="00CD2ADD" w:rsidRDefault="00AA3FFF" w:rsidP="00AA3FFF">
            <w:pPr>
              <w:rPr>
                <w:sz w:val="20"/>
                <w:szCs w:val="20"/>
              </w:rPr>
            </w:pPr>
          </w:p>
        </w:tc>
        <w:tc>
          <w:tcPr>
            <w:tcW w:w="709" w:type="dxa"/>
          </w:tcPr>
          <w:p w14:paraId="58CBE172" w14:textId="77777777" w:rsidR="00AA3FFF" w:rsidRPr="00CD2ADD" w:rsidRDefault="00AA3FFF" w:rsidP="00AA3FFF">
            <w:pPr>
              <w:rPr>
                <w:sz w:val="20"/>
                <w:szCs w:val="20"/>
              </w:rPr>
            </w:pPr>
          </w:p>
        </w:tc>
        <w:tc>
          <w:tcPr>
            <w:tcW w:w="1134" w:type="dxa"/>
          </w:tcPr>
          <w:p w14:paraId="2094C2E2" w14:textId="77777777" w:rsidR="00AA3FFF" w:rsidRPr="00CD2ADD" w:rsidRDefault="00AA3FFF" w:rsidP="00AA3FFF">
            <w:pPr>
              <w:rPr>
                <w:sz w:val="20"/>
                <w:szCs w:val="20"/>
              </w:rPr>
            </w:pPr>
          </w:p>
        </w:tc>
        <w:tc>
          <w:tcPr>
            <w:tcW w:w="1926" w:type="dxa"/>
          </w:tcPr>
          <w:p w14:paraId="0605243C" w14:textId="6C5D13FA" w:rsidR="00AA3FFF" w:rsidRPr="00CD2ADD" w:rsidRDefault="00AA3FFF" w:rsidP="00AA3FFF">
            <w:pPr>
              <w:rPr>
                <w:sz w:val="20"/>
                <w:szCs w:val="20"/>
              </w:rPr>
            </w:pPr>
            <w:r w:rsidRPr="00CD2ADD">
              <w:rPr>
                <w:sz w:val="20"/>
                <w:szCs w:val="20"/>
              </w:rPr>
              <w:t>Ministerul Mediului, Ministerul Sănătății, MAI,  instituțiile subordonate, și APL-uri</w:t>
            </w:r>
          </w:p>
        </w:tc>
      </w:tr>
      <w:tr w:rsidR="00AA3FFF" w:rsidRPr="00CD2ADD" w14:paraId="717D1EBF" w14:textId="77777777" w:rsidTr="002C4956">
        <w:trPr>
          <w:trHeight w:val="370"/>
        </w:trPr>
        <w:tc>
          <w:tcPr>
            <w:tcW w:w="514" w:type="dxa"/>
          </w:tcPr>
          <w:p w14:paraId="0940FE1C" w14:textId="02CFC353" w:rsidR="00AA3FFF" w:rsidRPr="00CD2ADD" w:rsidRDefault="00386EB8" w:rsidP="00AA3FFF">
            <w:pPr>
              <w:rPr>
                <w:sz w:val="20"/>
                <w:szCs w:val="20"/>
              </w:rPr>
            </w:pPr>
            <w:r w:rsidRPr="00CD2ADD">
              <w:rPr>
                <w:sz w:val="20"/>
                <w:szCs w:val="20"/>
              </w:rPr>
              <w:t>8</w:t>
            </w:r>
            <w:r w:rsidR="00AA3FFF" w:rsidRPr="00CD2ADD">
              <w:rPr>
                <w:sz w:val="20"/>
                <w:szCs w:val="20"/>
              </w:rPr>
              <w:t>.</w:t>
            </w:r>
          </w:p>
        </w:tc>
        <w:tc>
          <w:tcPr>
            <w:tcW w:w="2033" w:type="dxa"/>
          </w:tcPr>
          <w:p w14:paraId="1D612834" w14:textId="77777777" w:rsidR="00AA3FFF" w:rsidRPr="00CD2ADD" w:rsidRDefault="00AA3FFF" w:rsidP="00AA3FFF">
            <w:pPr>
              <w:rPr>
                <w:sz w:val="20"/>
                <w:szCs w:val="20"/>
              </w:rPr>
            </w:pPr>
            <w:r w:rsidRPr="00CD2ADD">
              <w:rPr>
                <w:color w:val="000000" w:themeColor="text1"/>
                <w:sz w:val="20"/>
                <w:szCs w:val="20"/>
              </w:rPr>
              <w:t>1.2.2 Elaborarea și diseminarea de materiale educaționale privind</w:t>
            </w:r>
            <w:r w:rsidRPr="00CD2ADD">
              <w:rPr>
                <w:sz w:val="20"/>
                <w:szCs w:val="20"/>
              </w:rPr>
              <w:t xml:space="preserve"> riscurile naturale și biologico-sociale </w:t>
            </w:r>
            <w:r w:rsidRPr="00CD2ADD">
              <w:rPr>
                <w:color w:val="000000" w:themeColor="text1"/>
                <w:sz w:val="20"/>
                <w:szCs w:val="20"/>
              </w:rPr>
              <w:t>prin intervenții formale și non-formale adaptate vârstei și nivelului de risc</w:t>
            </w:r>
          </w:p>
        </w:tc>
        <w:tc>
          <w:tcPr>
            <w:tcW w:w="1701" w:type="dxa"/>
          </w:tcPr>
          <w:p w14:paraId="335016ED" w14:textId="77777777" w:rsidR="00AA3FFF" w:rsidRPr="00CD2ADD" w:rsidRDefault="00AA3FFF" w:rsidP="00AA3FFF">
            <w:pPr>
              <w:rPr>
                <w:sz w:val="20"/>
                <w:szCs w:val="20"/>
              </w:rPr>
            </w:pPr>
            <w:r w:rsidRPr="00CD2ADD">
              <w:rPr>
                <w:sz w:val="20"/>
                <w:szCs w:val="20"/>
              </w:rPr>
              <w:t>- 1 set de materiale educaționale tematice validat;</w:t>
            </w:r>
          </w:p>
          <w:p w14:paraId="228C593E" w14:textId="77777777" w:rsidR="00AA3FFF" w:rsidRPr="00CD2ADD" w:rsidRDefault="00AA3FFF" w:rsidP="00AA3FFF">
            <w:pPr>
              <w:rPr>
                <w:sz w:val="20"/>
                <w:szCs w:val="20"/>
              </w:rPr>
            </w:pPr>
            <w:r w:rsidRPr="00CD2ADD">
              <w:rPr>
                <w:sz w:val="20"/>
                <w:szCs w:val="20"/>
              </w:rPr>
              <w:t>- Cel puțin 50 de școli din zone cu risc sporit de dezastre naturale și biologico-sociale implicate în activități educaționale</w:t>
            </w:r>
          </w:p>
        </w:tc>
        <w:tc>
          <w:tcPr>
            <w:tcW w:w="850" w:type="dxa"/>
          </w:tcPr>
          <w:p w14:paraId="7D485C83" w14:textId="77777777" w:rsidR="00AA3FFF" w:rsidRPr="00CD2ADD" w:rsidRDefault="00AA3FFF" w:rsidP="00AA3FFF">
            <w:pPr>
              <w:rPr>
                <w:sz w:val="20"/>
                <w:szCs w:val="20"/>
              </w:rPr>
            </w:pPr>
            <w:r w:rsidRPr="00CD2ADD">
              <w:rPr>
                <w:sz w:val="20"/>
                <w:szCs w:val="20"/>
              </w:rPr>
              <w:t>430</w:t>
            </w:r>
          </w:p>
        </w:tc>
        <w:tc>
          <w:tcPr>
            <w:tcW w:w="851" w:type="dxa"/>
          </w:tcPr>
          <w:p w14:paraId="5C12083F" w14:textId="77777777" w:rsidR="00AA3FFF" w:rsidRPr="00CD2ADD" w:rsidRDefault="00AA3FFF" w:rsidP="00AA3FFF">
            <w:pPr>
              <w:rPr>
                <w:sz w:val="20"/>
                <w:szCs w:val="20"/>
              </w:rPr>
            </w:pPr>
            <w:r w:rsidRPr="00CD2ADD">
              <w:rPr>
                <w:sz w:val="20"/>
                <w:szCs w:val="20"/>
              </w:rPr>
              <w:t>430</w:t>
            </w:r>
          </w:p>
        </w:tc>
        <w:tc>
          <w:tcPr>
            <w:tcW w:w="709" w:type="dxa"/>
          </w:tcPr>
          <w:p w14:paraId="3AD34010" w14:textId="77777777" w:rsidR="00AA3FFF" w:rsidRPr="00CD2ADD" w:rsidRDefault="00AA3FFF" w:rsidP="00AA3FFF">
            <w:pPr>
              <w:rPr>
                <w:sz w:val="20"/>
                <w:szCs w:val="20"/>
              </w:rPr>
            </w:pPr>
          </w:p>
        </w:tc>
        <w:tc>
          <w:tcPr>
            <w:tcW w:w="992" w:type="dxa"/>
          </w:tcPr>
          <w:p w14:paraId="554D8439" w14:textId="77777777" w:rsidR="00AA3FFF" w:rsidRPr="00CD2ADD" w:rsidRDefault="00AA3FFF" w:rsidP="00AA3FFF">
            <w:pPr>
              <w:rPr>
                <w:sz w:val="20"/>
                <w:szCs w:val="20"/>
              </w:rPr>
            </w:pPr>
          </w:p>
        </w:tc>
        <w:tc>
          <w:tcPr>
            <w:tcW w:w="1134" w:type="dxa"/>
          </w:tcPr>
          <w:p w14:paraId="19D65374" w14:textId="77777777" w:rsidR="00AA3FFF" w:rsidRPr="00CD2ADD" w:rsidRDefault="00AA3FFF" w:rsidP="00AA3FFF">
            <w:pPr>
              <w:rPr>
                <w:sz w:val="20"/>
                <w:szCs w:val="20"/>
              </w:rPr>
            </w:pPr>
            <w:r w:rsidRPr="00CD2ADD">
              <w:rPr>
                <w:sz w:val="20"/>
                <w:szCs w:val="20"/>
              </w:rPr>
              <w:t>7001</w:t>
            </w:r>
          </w:p>
          <w:p w14:paraId="4E4C4D53" w14:textId="77777777" w:rsidR="00AA3FFF" w:rsidRPr="00CD2ADD" w:rsidRDefault="00AA3FFF" w:rsidP="00AA3FFF">
            <w:pPr>
              <w:rPr>
                <w:sz w:val="20"/>
                <w:szCs w:val="20"/>
              </w:rPr>
            </w:pPr>
            <w:r w:rsidRPr="00CD2ADD">
              <w:rPr>
                <w:sz w:val="20"/>
                <w:szCs w:val="20"/>
              </w:rPr>
              <w:t>8001</w:t>
            </w:r>
          </w:p>
          <w:p w14:paraId="603F4E3B" w14:textId="77777777" w:rsidR="00AA3FFF" w:rsidRPr="00CD2ADD" w:rsidRDefault="00AA3FFF" w:rsidP="00AA3FFF">
            <w:pPr>
              <w:rPr>
                <w:sz w:val="20"/>
                <w:szCs w:val="20"/>
              </w:rPr>
            </w:pPr>
            <w:r w:rsidRPr="00CD2ADD">
              <w:rPr>
                <w:sz w:val="20"/>
                <w:szCs w:val="20"/>
              </w:rPr>
              <w:t>7007</w:t>
            </w:r>
          </w:p>
        </w:tc>
        <w:tc>
          <w:tcPr>
            <w:tcW w:w="709" w:type="dxa"/>
          </w:tcPr>
          <w:p w14:paraId="77A9088B" w14:textId="77777777" w:rsidR="00AA3FFF" w:rsidRPr="00CD2ADD" w:rsidRDefault="00AA3FFF" w:rsidP="00AA3FFF">
            <w:pPr>
              <w:rPr>
                <w:sz w:val="20"/>
                <w:szCs w:val="20"/>
              </w:rPr>
            </w:pPr>
            <w:r w:rsidRPr="00CD2ADD">
              <w:rPr>
                <w:sz w:val="20"/>
                <w:szCs w:val="20"/>
              </w:rPr>
              <w:t>86</w:t>
            </w:r>
          </w:p>
        </w:tc>
        <w:tc>
          <w:tcPr>
            <w:tcW w:w="708" w:type="dxa"/>
          </w:tcPr>
          <w:p w14:paraId="2AB9B7E8" w14:textId="77777777" w:rsidR="00AA3FFF" w:rsidRPr="00CD2ADD" w:rsidRDefault="00AA3FFF" w:rsidP="00AA3FFF">
            <w:pPr>
              <w:rPr>
                <w:sz w:val="20"/>
                <w:szCs w:val="20"/>
              </w:rPr>
            </w:pPr>
            <w:r w:rsidRPr="00CD2ADD">
              <w:rPr>
                <w:sz w:val="20"/>
                <w:szCs w:val="20"/>
              </w:rPr>
              <w:t>86</w:t>
            </w:r>
          </w:p>
        </w:tc>
        <w:tc>
          <w:tcPr>
            <w:tcW w:w="709" w:type="dxa"/>
          </w:tcPr>
          <w:p w14:paraId="31D0F90D" w14:textId="77777777" w:rsidR="00AA3FFF" w:rsidRPr="00CD2ADD" w:rsidRDefault="00AA3FFF" w:rsidP="00AA3FFF">
            <w:pPr>
              <w:rPr>
                <w:sz w:val="20"/>
                <w:szCs w:val="20"/>
              </w:rPr>
            </w:pPr>
            <w:r w:rsidRPr="00CD2ADD">
              <w:rPr>
                <w:sz w:val="20"/>
                <w:szCs w:val="20"/>
              </w:rPr>
              <w:t>86</w:t>
            </w:r>
          </w:p>
        </w:tc>
        <w:tc>
          <w:tcPr>
            <w:tcW w:w="709" w:type="dxa"/>
          </w:tcPr>
          <w:p w14:paraId="38EF4349" w14:textId="77777777" w:rsidR="00AA3FFF" w:rsidRPr="00CD2ADD" w:rsidRDefault="00AA3FFF" w:rsidP="00AA3FFF">
            <w:pPr>
              <w:rPr>
                <w:sz w:val="20"/>
                <w:szCs w:val="20"/>
              </w:rPr>
            </w:pPr>
            <w:r w:rsidRPr="00CD2ADD">
              <w:rPr>
                <w:sz w:val="20"/>
                <w:szCs w:val="20"/>
              </w:rPr>
              <w:t>86</w:t>
            </w:r>
          </w:p>
        </w:tc>
        <w:tc>
          <w:tcPr>
            <w:tcW w:w="709" w:type="dxa"/>
          </w:tcPr>
          <w:p w14:paraId="4DF52002" w14:textId="77777777" w:rsidR="00AA3FFF" w:rsidRPr="00CD2ADD" w:rsidRDefault="00AA3FFF" w:rsidP="00AA3FFF">
            <w:pPr>
              <w:rPr>
                <w:sz w:val="20"/>
                <w:szCs w:val="20"/>
              </w:rPr>
            </w:pPr>
            <w:r w:rsidRPr="00CD2ADD">
              <w:rPr>
                <w:sz w:val="20"/>
                <w:szCs w:val="20"/>
              </w:rPr>
              <w:t>86</w:t>
            </w:r>
          </w:p>
        </w:tc>
        <w:tc>
          <w:tcPr>
            <w:tcW w:w="1134" w:type="dxa"/>
          </w:tcPr>
          <w:p w14:paraId="4FD9DA6C" w14:textId="77777777" w:rsidR="00AA3FFF" w:rsidRPr="00CD2ADD" w:rsidRDefault="00AA3FFF" w:rsidP="00AA3FFF">
            <w:pPr>
              <w:rPr>
                <w:sz w:val="20"/>
                <w:szCs w:val="20"/>
              </w:rPr>
            </w:pPr>
            <w:r w:rsidRPr="00CD2ADD">
              <w:rPr>
                <w:sz w:val="20"/>
                <w:szCs w:val="20"/>
              </w:rPr>
              <w:t>Anual</w:t>
            </w:r>
          </w:p>
        </w:tc>
        <w:tc>
          <w:tcPr>
            <w:tcW w:w="1926" w:type="dxa"/>
          </w:tcPr>
          <w:p w14:paraId="739D3813" w14:textId="06D71402" w:rsidR="00AA3FFF" w:rsidRPr="00CD2ADD" w:rsidRDefault="00AA3FFF" w:rsidP="00AA3FFF">
            <w:pPr>
              <w:rPr>
                <w:sz w:val="20"/>
                <w:szCs w:val="20"/>
              </w:rPr>
            </w:pPr>
            <w:r w:rsidRPr="00CD2ADD">
              <w:rPr>
                <w:sz w:val="20"/>
                <w:szCs w:val="20"/>
              </w:rPr>
              <w:t xml:space="preserve">Ministerul Educației și Cercetării, Ministerul Mediului </w:t>
            </w:r>
            <w:r w:rsidRPr="00CD2ADD">
              <w:rPr>
                <w:color w:val="000000" w:themeColor="text1"/>
                <w:sz w:val="20"/>
                <w:szCs w:val="20"/>
              </w:rPr>
              <w:t>și instituțiile subordonate</w:t>
            </w:r>
            <w:r w:rsidRPr="00CD2ADD">
              <w:rPr>
                <w:sz w:val="20"/>
                <w:szCs w:val="20"/>
              </w:rPr>
              <w:t>, Ministerul Sănătății și instituțiile subordonate, APL-uri, institute de cercetare, OSC-uri, mass media</w:t>
            </w:r>
          </w:p>
        </w:tc>
      </w:tr>
      <w:tr w:rsidR="00AA3FFF" w:rsidRPr="00CD2ADD" w14:paraId="1207A1B5" w14:textId="77777777" w:rsidTr="002C4956">
        <w:tc>
          <w:tcPr>
            <w:tcW w:w="514" w:type="dxa"/>
          </w:tcPr>
          <w:p w14:paraId="68116A50" w14:textId="0715845D" w:rsidR="00AA3FFF" w:rsidRPr="00CD2ADD" w:rsidRDefault="00386EB8" w:rsidP="00AA3FFF">
            <w:pPr>
              <w:rPr>
                <w:sz w:val="20"/>
                <w:szCs w:val="20"/>
              </w:rPr>
            </w:pPr>
            <w:r w:rsidRPr="00CD2ADD">
              <w:rPr>
                <w:sz w:val="20"/>
                <w:szCs w:val="20"/>
              </w:rPr>
              <w:t>9</w:t>
            </w:r>
            <w:r w:rsidR="00AA3FFF" w:rsidRPr="00CD2ADD">
              <w:rPr>
                <w:sz w:val="20"/>
                <w:szCs w:val="20"/>
              </w:rPr>
              <w:t>.</w:t>
            </w:r>
          </w:p>
        </w:tc>
        <w:tc>
          <w:tcPr>
            <w:tcW w:w="2033" w:type="dxa"/>
          </w:tcPr>
          <w:p w14:paraId="7F2872AC" w14:textId="77777777" w:rsidR="00AA3FFF" w:rsidRPr="00CD2ADD" w:rsidRDefault="00AA3FFF" w:rsidP="00AA3FFF">
            <w:pPr>
              <w:rPr>
                <w:sz w:val="20"/>
                <w:szCs w:val="20"/>
              </w:rPr>
            </w:pPr>
            <w:r w:rsidRPr="00CD2ADD">
              <w:rPr>
                <w:sz w:val="20"/>
                <w:szCs w:val="20"/>
              </w:rPr>
              <w:t xml:space="preserve">1.2.3 Elaborarea și implementarea campaniilor de informare privind dezastre naturale și biologico-sociale, bazate pe analize de vulnerabilitate și </w:t>
            </w:r>
            <w:r w:rsidRPr="00CD2ADD">
              <w:rPr>
                <w:sz w:val="20"/>
                <w:szCs w:val="20"/>
              </w:rPr>
              <w:lastRenderedPageBreak/>
              <w:t>nevoi specifice ale populației.</w:t>
            </w:r>
          </w:p>
        </w:tc>
        <w:tc>
          <w:tcPr>
            <w:tcW w:w="1701" w:type="dxa"/>
          </w:tcPr>
          <w:p w14:paraId="4595B9B5" w14:textId="77777777" w:rsidR="00AA3FFF" w:rsidRPr="00CD2ADD" w:rsidRDefault="00AA3FFF" w:rsidP="00AA3FFF">
            <w:pPr>
              <w:rPr>
                <w:sz w:val="20"/>
                <w:szCs w:val="20"/>
              </w:rPr>
            </w:pPr>
            <w:r w:rsidRPr="00CD2ADD">
              <w:rPr>
                <w:sz w:val="20"/>
                <w:szCs w:val="20"/>
              </w:rPr>
              <w:lastRenderedPageBreak/>
              <w:t xml:space="preserve">- Gradul de conștientizare privind riscurile de dezastre naturale și biologico-sociale în cel puțin 10 raioane crescut; participarea activă </w:t>
            </w:r>
            <w:r w:rsidRPr="00CD2ADD">
              <w:rPr>
                <w:sz w:val="20"/>
                <w:szCs w:val="20"/>
              </w:rPr>
              <w:lastRenderedPageBreak/>
              <w:t>a grupurilor vulnerabile și a APL-urilor  (minim 2000 persoane informate)</w:t>
            </w:r>
          </w:p>
          <w:p w14:paraId="4DC43B1A" w14:textId="4E3A4096" w:rsidR="00AA3FFF" w:rsidRPr="00CD2ADD" w:rsidRDefault="00AA3FFF" w:rsidP="00AA3FFF">
            <w:pPr>
              <w:rPr>
                <w:sz w:val="20"/>
                <w:szCs w:val="20"/>
              </w:rPr>
            </w:pPr>
            <w:r w:rsidRPr="00CD2ADD">
              <w:rPr>
                <w:sz w:val="20"/>
                <w:szCs w:val="20"/>
              </w:rPr>
              <w:t>- Studiu de opinie publica pe percepția riscurilor</w:t>
            </w:r>
          </w:p>
        </w:tc>
        <w:tc>
          <w:tcPr>
            <w:tcW w:w="850" w:type="dxa"/>
          </w:tcPr>
          <w:p w14:paraId="7C1C2FC8" w14:textId="77777777" w:rsidR="00AA3FFF" w:rsidRPr="00CD2ADD" w:rsidRDefault="00AA3FFF" w:rsidP="00AA3FFF">
            <w:pPr>
              <w:rPr>
                <w:sz w:val="20"/>
                <w:szCs w:val="20"/>
              </w:rPr>
            </w:pPr>
            <w:r w:rsidRPr="00CD2ADD">
              <w:rPr>
                <w:sz w:val="20"/>
                <w:szCs w:val="20"/>
              </w:rPr>
              <w:lastRenderedPageBreak/>
              <w:t>805</w:t>
            </w:r>
          </w:p>
        </w:tc>
        <w:tc>
          <w:tcPr>
            <w:tcW w:w="851" w:type="dxa"/>
          </w:tcPr>
          <w:p w14:paraId="6061F59A" w14:textId="77777777" w:rsidR="00AA3FFF" w:rsidRPr="00CD2ADD" w:rsidRDefault="00AA3FFF" w:rsidP="00AA3FFF">
            <w:pPr>
              <w:rPr>
                <w:sz w:val="20"/>
                <w:szCs w:val="20"/>
              </w:rPr>
            </w:pPr>
            <w:r w:rsidRPr="00CD2ADD">
              <w:rPr>
                <w:sz w:val="20"/>
                <w:szCs w:val="20"/>
              </w:rPr>
              <w:t>805</w:t>
            </w:r>
          </w:p>
        </w:tc>
        <w:tc>
          <w:tcPr>
            <w:tcW w:w="709" w:type="dxa"/>
          </w:tcPr>
          <w:p w14:paraId="29180F28" w14:textId="77777777" w:rsidR="00AA3FFF" w:rsidRPr="00CD2ADD" w:rsidRDefault="00AA3FFF" w:rsidP="00AA3FFF">
            <w:pPr>
              <w:rPr>
                <w:sz w:val="20"/>
                <w:szCs w:val="20"/>
              </w:rPr>
            </w:pPr>
          </w:p>
        </w:tc>
        <w:tc>
          <w:tcPr>
            <w:tcW w:w="992" w:type="dxa"/>
          </w:tcPr>
          <w:p w14:paraId="1B0A2ED3" w14:textId="77777777" w:rsidR="00AA3FFF" w:rsidRPr="00CD2ADD" w:rsidRDefault="00AA3FFF" w:rsidP="00AA3FFF">
            <w:pPr>
              <w:rPr>
                <w:sz w:val="20"/>
                <w:szCs w:val="20"/>
              </w:rPr>
            </w:pPr>
          </w:p>
        </w:tc>
        <w:tc>
          <w:tcPr>
            <w:tcW w:w="1134" w:type="dxa"/>
          </w:tcPr>
          <w:p w14:paraId="70B31E74" w14:textId="77777777" w:rsidR="00AA3FFF" w:rsidRPr="00CD2ADD" w:rsidRDefault="00AA3FFF" w:rsidP="00AA3FFF">
            <w:pPr>
              <w:rPr>
                <w:sz w:val="20"/>
                <w:szCs w:val="20"/>
              </w:rPr>
            </w:pPr>
            <w:r w:rsidRPr="00CD2ADD">
              <w:rPr>
                <w:sz w:val="20"/>
                <w:szCs w:val="20"/>
              </w:rPr>
              <w:t>7001</w:t>
            </w:r>
          </w:p>
          <w:p w14:paraId="22A44520" w14:textId="77777777" w:rsidR="00AA3FFF" w:rsidRPr="00CD2ADD" w:rsidRDefault="00AA3FFF" w:rsidP="00AA3FFF">
            <w:pPr>
              <w:rPr>
                <w:sz w:val="20"/>
                <w:szCs w:val="20"/>
              </w:rPr>
            </w:pPr>
            <w:r w:rsidRPr="00CD2ADD">
              <w:rPr>
                <w:sz w:val="20"/>
                <w:szCs w:val="20"/>
              </w:rPr>
              <w:t>8001</w:t>
            </w:r>
          </w:p>
        </w:tc>
        <w:tc>
          <w:tcPr>
            <w:tcW w:w="709" w:type="dxa"/>
          </w:tcPr>
          <w:p w14:paraId="12FC8F34" w14:textId="77777777" w:rsidR="00AA3FFF" w:rsidRPr="00CD2ADD" w:rsidRDefault="00AA3FFF" w:rsidP="00AA3FFF">
            <w:pPr>
              <w:rPr>
                <w:sz w:val="20"/>
                <w:szCs w:val="20"/>
              </w:rPr>
            </w:pPr>
            <w:r w:rsidRPr="00CD2ADD">
              <w:rPr>
                <w:sz w:val="20"/>
                <w:szCs w:val="20"/>
              </w:rPr>
              <w:t>161</w:t>
            </w:r>
          </w:p>
        </w:tc>
        <w:tc>
          <w:tcPr>
            <w:tcW w:w="708" w:type="dxa"/>
          </w:tcPr>
          <w:p w14:paraId="7E0E88AA" w14:textId="77777777" w:rsidR="00AA3FFF" w:rsidRPr="00CD2ADD" w:rsidRDefault="00AA3FFF" w:rsidP="00AA3FFF">
            <w:pPr>
              <w:rPr>
                <w:sz w:val="20"/>
                <w:szCs w:val="20"/>
              </w:rPr>
            </w:pPr>
            <w:r w:rsidRPr="00CD2ADD">
              <w:rPr>
                <w:sz w:val="20"/>
                <w:szCs w:val="20"/>
              </w:rPr>
              <w:t>161</w:t>
            </w:r>
          </w:p>
        </w:tc>
        <w:tc>
          <w:tcPr>
            <w:tcW w:w="709" w:type="dxa"/>
          </w:tcPr>
          <w:p w14:paraId="0E9DEC9A" w14:textId="77777777" w:rsidR="00AA3FFF" w:rsidRPr="00CD2ADD" w:rsidRDefault="00AA3FFF" w:rsidP="00AA3FFF">
            <w:pPr>
              <w:rPr>
                <w:sz w:val="20"/>
                <w:szCs w:val="20"/>
              </w:rPr>
            </w:pPr>
            <w:r w:rsidRPr="00CD2ADD">
              <w:rPr>
                <w:sz w:val="20"/>
                <w:szCs w:val="20"/>
              </w:rPr>
              <w:t>161</w:t>
            </w:r>
          </w:p>
        </w:tc>
        <w:tc>
          <w:tcPr>
            <w:tcW w:w="709" w:type="dxa"/>
          </w:tcPr>
          <w:p w14:paraId="5B8A99C0" w14:textId="77777777" w:rsidR="00AA3FFF" w:rsidRPr="00CD2ADD" w:rsidRDefault="00AA3FFF" w:rsidP="00AA3FFF">
            <w:pPr>
              <w:rPr>
                <w:sz w:val="20"/>
                <w:szCs w:val="20"/>
              </w:rPr>
            </w:pPr>
            <w:r w:rsidRPr="00CD2ADD">
              <w:rPr>
                <w:sz w:val="20"/>
                <w:szCs w:val="20"/>
              </w:rPr>
              <w:t>161</w:t>
            </w:r>
          </w:p>
        </w:tc>
        <w:tc>
          <w:tcPr>
            <w:tcW w:w="709" w:type="dxa"/>
          </w:tcPr>
          <w:p w14:paraId="6F39315D" w14:textId="77777777" w:rsidR="00AA3FFF" w:rsidRPr="00CD2ADD" w:rsidRDefault="00AA3FFF" w:rsidP="00AA3FFF">
            <w:pPr>
              <w:rPr>
                <w:sz w:val="20"/>
                <w:szCs w:val="20"/>
              </w:rPr>
            </w:pPr>
            <w:r w:rsidRPr="00CD2ADD">
              <w:rPr>
                <w:sz w:val="20"/>
                <w:szCs w:val="20"/>
              </w:rPr>
              <w:t>161</w:t>
            </w:r>
          </w:p>
        </w:tc>
        <w:tc>
          <w:tcPr>
            <w:tcW w:w="1134" w:type="dxa"/>
          </w:tcPr>
          <w:p w14:paraId="0027BC18" w14:textId="77777777" w:rsidR="00AA3FFF" w:rsidRPr="00CD2ADD" w:rsidRDefault="00AA3FFF" w:rsidP="00AA3FFF">
            <w:pPr>
              <w:rPr>
                <w:sz w:val="20"/>
                <w:szCs w:val="20"/>
              </w:rPr>
            </w:pPr>
            <w:r w:rsidRPr="00CD2ADD">
              <w:rPr>
                <w:sz w:val="20"/>
                <w:szCs w:val="20"/>
              </w:rPr>
              <w:t>Anual</w:t>
            </w:r>
          </w:p>
        </w:tc>
        <w:tc>
          <w:tcPr>
            <w:tcW w:w="1926" w:type="dxa"/>
          </w:tcPr>
          <w:p w14:paraId="0F678936" w14:textId="68476918" w:rsidR="00AA3FFF" w:rsidRPr="00CD2ADD" w:rsidRDefault="00AA3FFF" w:rsidP="00AA3FFF">
            <w:pPr>
              <w:rPr>
                <w:sz w:val="20"/>
                <w:szCs w:val="20"/>
              </w:rPr>
            </w:pPr>
            <w:r w:rsidRPr="00CD2ADD">
              <w:rPr>
                <w:sz w:val="20"/>
                <w:szCs w:val="20"/>
              </w:rPr>
              <w:t xml:space="preserve">Ministerul Mediului </w:t>
            </w:r>
            <w:r w:rsidRPr="00CD2ADD">
              <w:rPr>
                <w:color w:val="000000" w:themeColor="text1"/>
                <w:sz w:val="20"/>
                <w:szCs w:val="20"/>
              </w:rPr>
              <w:t>și instituțiile subordonate</w:t>
            </w:r>
            <w:r w:rsidRPr="00CD2ADD">
              <w:rPr>
                <w:sz w:val="20"/>
                <w:szCs w:val="20"/>
              </w:rPr>
              <w:t>, Ministerul Educației și Cercetării, Ministerul Sănătății, APL-uri, institute de cercetare, OSC-uri, și mass media</w:t>
            </w:r>
          </w:p>
        </w:tc>
      </w:tr>
      <w:tr w:rsidR="00AA3FFF" w:rsidRPr="00CD2ADD" w14:paraId="3374B20E" w14:textId="77777777" w:rsidTr="002C4956">
        <w:tc>
          <w:tcPr>
            <w:tcW w:w="514" w:type="dxa"/>
          </w:tcPr>
          <w:p w14:paraId="49D34A5E" w14:textId="146D018A" w:rsidR="00AA3FFF" w:rsidRPr="00CD2ADD" w:rsidRDefault="00AA3FFF" w:rsidP="00AA3FFF">
            <w:pPr>
              <w:rPr>
                <w:sz w:val="20"/>
                <w:szCs w:val="20"/>
              </w:rPr>
            </w:pPr>
            <w:r w:rsidRPr="00CD2ADD">
              <w:rPr>
                <w:sz w:val="20"/>
                <w:szCs w:val="20"/>
              </w:rPr>
              <w:t>1</w:t>
            </w:r>
            <w:r w:rsidR="00636811" w:rsidRPr="00CD2ADD">
              <w:rPr>
                <w:sz w:val="20"/>
                <w:szCs w:val="20"/>
              </w:rPr>
              <w:t>0</w:t>
            </w:r>
            <w:r w:rsidRPr="00CD2ADD">
              <w:rPr>
                <w:sz w:val="20"/>
                <w:szCs w:val="20"/>
              </w:rPr>
              <w:t>.</w:t>
            </w:r>
          </w:p>
        </w:tc>
        <w:tc>
          <w:tcPr>
            <w:tcW w:w="2033" w:type="dxa"/>
          </w:tcPr>
          <w:p w14:paraId="49D8CB3A" w14:textId="77777777" w:rsidR="00AA3FFF" w:rsidRPr="00CD2ADD" w:rsidRDefault="00AA3FFF" w:rsidP="00AA3FFF">
            <w:pPr>
              <w:rPr>
                <w:sz w:val="20"/>
                <w:szCs w:val="20"/>
              </w:rPr>
            </w:pPr>
            <w:r w:rsidRPr="00CD2ADD">
              <w:rPr>
                <w:color w:val="000000" w:themeColor="text1"/>
                <w:sz w:val="20"/>
                <w:szCs w:val="20"/>
              </w:rPr>
              <w:t xml:space="preserve">1.2.4 Sprijinirea rețelelor locale de voluntariat și parteneriat civic pentru prevenirea </w:t>
            </w:r>
            <w:r w:rsidRPr="00CD2ADD">
              <w:rPr>
                <w:sz w:val="20"/>
                <w:szCs w:val="20"/>
              </w:rPr>
              <w:t xml:space="preserve">riscurilor naturale </w:t>
            </w:r>
            <w:r w:rsidRPr="00CD2ADD">
              <w:rPr>
                <w:color w:val="000000" w:themeColor="text1"/>
                <w:sz w:val="20"/>
                <w:szCs w:val="20"/>
              </w:rPr>
              <w:t xml:space="preserve">și </w:t>
            </w:r>
            <w:r w:rsidRPr="00CD2ADD">
              <w:rPr>
                <w:sz w:val="20"/>
                <w:szCs w:val="20"/>
              </w:rPr>
              <w:t>biologico-sociale</w:t>
            </w:r>
            <w:r w:rsidRPr="00CD2ADD">
              <w:rPr>
                <w:color w:val="000000" w:themeColor="text1"/>
                <w:sz w:val="20"/>
                <w:szCs w:val="20"/>
              </w:rPr>
              <w:t xml:space="preserve"> și consolidarea rezilienței în comunitățile vulnerabile.</w:t>
            </w:r>
          </w:p>
        </w:tc>
        <w:tc>
          <w:tcPr>
            <w:tcW w:w="1701" w:type="dxa"/>
          </w:tcPr>
          <w:p w14:paraId="1CF93C46" w14:textId="25C0BAEF" w:rsidR="00AA3FFF" w:rsidRPr="00CD2ADD" w:rsidRDefault="00AA3FFF" w:rsidP="00AA3FFF">
            <w:pPr>
              <w:rPr>
                <w:color w:val="000000" w:themeColor="text1"/>
                <w:sz w:val="20"/>
                <w:szCs w:val="20"/>
              </w:rPr>
            </w:pPr>
            <w:r w:rsidRPr="00CD2ADD">
              <w:rPr>
                <w:color w:val="000000" w:themeColor="text1"/>
                <w:sz w:val="20"/>
                <w:szCs w:val="20"/>
              </w:rPr>
              <w:t xml:space="preserve">- Cel puțin 10 sesiuni de instruire în 10 raioane prioritare și peste 500 de persoane instruite. </w:t>
            </w:r>
          </w:p>
          <w:p w14:paraId="208A18DB" w14:textId="77777777" w:rsidR="00AA3FFF" w:rsidRPr="00CD2ADD" w:rsidRDefault="00AA3FFF" w:rsidP="00AA3FFF">
            <w:pPr>
              <w:rPr>
                <w:color w:val="000000" w:themeColor="text1"/>
                <w:sz w:val="20"/>
                <w:szCs w:val="20"/>
              </w:rPr>
            </w:pPr>
            <w:r w:rsidRPr="00CD2ADD">
              <w:rPr>
                <w:color w:val="000000" w:themeColor="text1"/>
                <w:sz w:val="20"/>
                <w:szCs w:val="20"/>
              </w:rPr>
              <w:t xml:space="preserve">- Manual de formare pentru funcționari publici și operatori economici. </w:t>
            </w:r>
          </w:p>
          <w:p w14:paraId="6CE851B6" w14:textId="50D04EF2" w:rsidR="00AA3FFF" w:rsidRPr="00CD2ADD" w:rsidRDefault="00AA3FFF" w:rsidP="00AA3FFF">
            <w:pPr>
              <w:rPr>
                <w:sz w:val="20"/>
                <w:szCs w:val="20"/>
              </w:rPr>
            </w:pPr>
            <w:r w:rsidRPr="00CD2ADD">
              <w:rPr>
                <w:color w:val="000000" w:themeColor="text1"/>
                <w:sz w:val="20"/>
                <w:szCs w:val="20"/>
              </w:rPr>
              <w:t>- Participarea organizațiilor de tineret și a asociațiilor obștești la minimum 30% din activitățile locale.</w:t>
            </w:r>
          </w:p>
        </w:tc>
        <w:tc>
          <w:tcPr>
            <w:tcW w:w="850" w:type="dxa"/>
          </w:tcPr>
          <w:p w14:paraId="2793B040" w14:textId="77777777" w:rsidR="00AA3FFF" w:rsidRPr="00CD2ADD" w:rsidRDefault="00AA3FFF" w:rsidP="00AA3FFF">
            <w:pPr>
              <w:rPr>
                <w:sz w:val="20"/>
                <w:szCs w:val="20"/>
              </w:rPr>
            </w:pPr>
            <w:r w:rsidRPr="00CD2ADD">
              <w:rPr>
                <w:sz w:val="20"/>
                <w:szCs w:val="20"/>
              </w:rPr>
              <w:t>863</w:t>
            </w:r>
          </w:p>
        </w:tc>
        <w:tc>
          <w:tcPr>
            <w:tcW w:w="851" w:type="dxa"/>
          </w:tcPr>
          <w:p w14:paraId="67DD47E9" w14:textId="77777777" w:rsidR="00AA3FFF" w:rsidRPr="00CD2ADD" w:rsidRDefault="00AA3FFF" w:rsidP="00AA3FFF">
            <w:pPr>
              <w:rPr>
                <w:sz w:val="20"/>
                <w:szCs w:val="20"/>
              </w:rPr>
            </w:pPr>
            <w:r w:rsidRPr="00CD2ADD">
              <w:rPr>
                <w:sz w:val="20"/>
                <w:szCs w:val="20"/>
              </w:rPr>
              <w:t>863</w:t>
            </w:r>
          </w:p>
        </w:tc>
        <w:tc>
          <w:tcPr>
            <w:tcW w:w="709" w:type="dxa"/>
          </w:tcPr>
          <w:p w14:paraId="2F1CAC7B" w14:textId="77777777" w:rsidR="00AA3FFF" w:rsidRPr="00CD2ADD" w:rsidRDefault="00AA3FFF" w:rsidP="00AA3FFF">
            <w:pPr>
              <w:rPr>
                <w:sz w:val="20"/>
                <w:szCs w:val="20"/>
              </w:rPr>
            </w:pPr>
          </w:p>
        </w:tc>
        <w:tc>
          <w:tcPr>
            <w:tcW w:w="992" w:type="dxa"/>
          </w:tcPr>
          <w:p w14:paraId="7A11C7AB" w14:textId="77777777" w:rsidR="00AA3FFF" w:rsidRPr="00CD2ADD" w:rsidRDefault="00AA3FFF" w:rsidP="00AA3FFF">
            <w:pPr>
              <w:rPr>
                <w:sz w:val="20"/>
                <w:szCs w:val="20"/>
              </w:rPr>
            </w:pPr>
          </w:p>
        </w:tc>
        <w:tc>
          <w:tcPr>
            <w:tcW w:w="1134" w:type="dxa"/>
          </w:tcPr>
          <w:p w14:paraId="1725D4EC" w14:textId="77777777" w:rsidR="00AA3FFF" w:rsidRPr="00CD2ADD" w:rsidRDefault="00AA3FFF" w:rsidP="00AA3FFF">
            <w:pPr>
              <w:rPr>
                <w:sz w:val="20"/>
                <w:szCs w:val="20"/>
              </w:rPr>
            </w:pPr>
            <w:r w:rsidRPr="00CD2ADD">
              <w:rPr>
                <w:sz w:val="20"/>
                <w:szCs w:val="20"/>
              </w:rPr>
              <w:t>7001</w:t>
            </w:r>
          </w:p>
          <w:p w14:paraId="2166277F" w14:textId="77777777" w:rsidR="00AA3FFF" w:rsidRPr="00CD2ADD" w:rsidRDefault="00AA3FFF" w:rsidP="00AA3FFF">
            <w:pPr>
              <w:rPr>
                <w:sz w:val="20"/>
                <w:szCs w:val="20"/>
              </w:rPr>
            </w:pPr>
            <w:r w:rsidRPr="00CD2ADD">
              <w:rPr>
                <w:sz w:val="20"/>
                <w:szCs w:val="20"/>
              </w:rPr>
              <w:t>8001</w:t>
            </w:r>
          </w:p>
        </w:tc>
        <w:tc>
          <w:tcPr>
            <w:tcW w:w="709" w:type="dxa"/>
          </w:tcPr>
          <w:p w14:paraId="6705EABB" w14:textId="77777777" w:rsidR="00AA3FFF" w:rsidRPr="00CD2ADD" w:rsidRDefault="00AA3FFF" w:rsidP="00AA3FFF">
            <w:pPr>
              <w:rPr>
                <w:sz w:val="20"/>
                <w:szCs w:val="20"/>
              </w:rPr>
            </w:pPr>
            <w:r w:rsidRPr="00CD2ADD">
              <w:rPr>
                <w:sz w:val="20"/>
                <w:szCs w:val="20"/>
              </w:rPr>
              <w:t>72,6</w:t>
            </w:r>
          </w:p>
        </w:tc>
        <w:tc>
          <w:tcPr>
            <w:tcW w:w="708" w:type="dxa"/>
          </w:tcPr>
          <w:p w14:paraId="690AFF98" w14:textId="77777777" w:rsidR="00AA3FFF" w:rsidRPr="00CD2ADD" w:rsidRDefault="00AA3FFF" w:rsidP="00AA3FFF">
            <w:pPr>
              <w:rPr>
                <w:sz w:val="20"/>
                <w:szCs w:val="20"/>
              </w:rPr>
            </w:pPr>
            <w:r w:rsidRPr="00CD2ADD">
              <w:rPr>
                <w:sz w:val="20"/>
                <w:szCs w:val="20"/>
              </w:rPr>
              <w:t>322,6</w:t>
            </w:r>
          </w:p>
        </w:tc>
        <w:tc>
          <w:tcPr>
            <w:tcW w:w="709" w:type="dxa"/>
          </w:tcPr>
          <w:p w14:paraId="65FC4721" w14:textId="77777777" w:rsidR="00AA3FFF" w:rsidRPr="00CD2ADD" w:rsidRDefault="00AA3FFF" w:rsidP="00AA3FFF">
            <w:pPr>
              <w:rPr>
                <w:sz w:val="20"/>
                <w:szCs w:val="20"/>
              </w:rPr>
            </w:pPr>
            <w:r w:rsidRPr="00CD2ADD">
              <w:rPr>
                <w:sz w:val="20"/>
                <w:szCs w:val="20"/>
              </w:rPr>
              <w:t>322,6</w:t>
            </w:r>
          </w:p>
        </w:tc>
        <w:tc>
          <w:tcPr>
            <w:tcW w:w="709" w:type="dxa"/>
          </w:tcPr>
          <w:p w14:paraId="1A419FD2" w14:textId="77777777" w:rsidR="00AA3FFF" w:rsidRPr="00CD2ADD" w:rsidRDefault="00AA3FFF" w:rsidP="00AA3FFF">
            <w:pPr>
              <w:rPr>
                <w:sz w:val="20"/>
                <w:szCs w:val="20"/>
              </w:rPr>
            </w:pPr>
            <w:r w:rsidRPr="00CD2ADD">
              <w:rPr>
                <w:sz w:val="20"/>
                <w:szCs w:val="20"/>
              </w:rPr>
              <w:t>72,6</w:t>
            </w:r>
          </w:p>
        </w:tc>
        <w:tc>
          <w:tcPr>
            <w:tcW w:w="709" w:type="dxa"/>
          </w:tcPr>
          <w:p w14:paraId="629D052B" w14:textId="77777777" w:rsidR="00AA3FFF" w:rsidRPr="00CD2ADD" w:rsidRDefault="00AA3FFF" w:rsidP="00AA3FFF">
            <w:pPr>
              <w:rPr>
                <w:sz w:val="20"/>
                <w:szCs w:val="20"/>
              </w:rPr>
            </w:pPr>
            <w:r w:rsidRPr="00CD2ADD">
              <w:rPr>
                <w:sz w:val="20"/>
                <w:szCs w:val="20"/>
              </w:rPr>
              <w:t>72,6</w:t>
            </w:r>
          </w:p>
        </w:tc>
        <w:tc>
          <w:tcPr>
            <w:tcW w:w="1134" w:type="dxa"/>
          </w:tcPr>
          <w:p w14:paraId="3CDC2035" w14:textId="77777777" w:rsidR="00AA3FFF" w:rsidRPr="00CD2ADD" w:rsidRDefault="00AA3FFF" w:rsidP="00AA3FFF">
            <w:pPr>
              <w:rPr>
                <w:sz w:val="20"/>
                <w:szCs w:val="20"/>
              </w:rPr>
            </w:pPr>
            <w:r w:rsidRPr="00CD2ADD">
              <w:rPr>
                <w:sz w:val="20"/>
                <w:szCs w:val="20"/>
              </w:rPr>
              <w:t>Anual</w:t>
            </w:r>
          </w:p>
        </w:tc>
        <w:tc>
          <w:tcPr>
            <w:tcW w:w="1926" w:type="dxa"/>
          </w:tcPr>
          <w:p w14:paraId="63CC6612" w14:textId="4EFA12E7" w:rsidR="00AA3FFF" w:rsidRPr="00CD2ADD" w:rsidRDefault="00AA3FFF" w:rsidP="00AA3FFF">
            <w:pPr>
              <w:rPr>
                <w:sz w:val="20"/>
                <w:szCs w:val="20"/>
              </w:rPr>
            </w:pPr>
            <w:r w:rsidRPr="00CD2ADD">
              <w:rPr>
                <w:color w:val="000000" w:themeColor="text1"/>
                <w:sz w:val="20"/>
                <w:szCs w:val="20"/>
              </w:rPr>
              <w:t xml:space="preserve">Ministerul Mediului, Ministerul Sănătății, Ministerul Educației și Cercetării, </w:t>
            </w:r>
            <w:r w:rsidRPr="00CD2ADD">
              <w:rPr>
                <w:sz w:val="20"/>
                <w:szCs w:val="20"/>
              </w:rPr>
              <w:t xml:space="preserve">APL-uri, OSC-uri, </w:t>
            </w:r>
            <w:r w:rsidRPr="00CD2ADD">
              <w:rPr>
                <w:color w:val="000000" w:themeColor="text1"/>
                <w:sz w:val="20"/>
                <w:szCs w:val="20"/>
              </w:rPr>
              <w:t>rețelelor locale de voluntariat</w:t>
            </w:r>
          </w:p>
        </w:tc>
      </w:tr>
      <w:tr w:rsidR="00AA3FFF" w:rsidRPr="00CD2ADD" w14:paraId="04A5157D" w14:textId="77777777" w:rsidTr="002C4956">
        <w:tc>
          <w:tcPr>
            <w:tcW w:w="15388" w:type="dxa"/>
            <w:gridSpan w:val="15"/>
            <w:shd w:val="clear" w:color="auto" w:fill="D9F2D0" w:themeFill="accent6" w:themeFillTint="33"/>
          </w:tcPr>
          <w:p w14:paraId="1EDFA40C" w14:textId="77777777" w:rsidR="00AA3FFF" w:rsidRPr="00CD2ADD" w:rsidRDefault="00AA3FFF" w:rsidP="00AA3FFF">
            <w:pPr>
              <w:rPr>
                <w:b/>
                <w:bCs/>
                <w:sz w:val="20"/>
                <w:szCs w:val="20"/>
              </w:rPr>
            </w:pPr>
            <w:r w:rsidRPr="00CD2ADD">
              <w:rPr>
                <w:b/>
                <w:bCs/>
                <w:sz w:val="20"/>
                <w:szCs w:val="20"/>
              </w:rPr>
              <w:t>Obiectiv specific 1.3: Până în 2030, Ministerul Mediului, în parteneriat cu instituțiile de cercetare, consolidează baza științifică și analitică pentru reducerea riscurilor de dezastre naturale și biologico-sociale, prin promovarea cercetării aplicate și a parteneriatelor interinstituționale</w:t>
            </w:r>
          </w:p>
        </w:tc>
      </w:tr>
      <w:tr w:rsidR="00AA3FFF" w:rsidRPr="00CD2ADD" w14:paraId="00A31890" w14:textId="77777777" w:rsidTr="002C4956">
        <w:tc>
          <w:tcPr>
            <w:tcW w:w="514" w:type="dxa"/>
          </w:tcPr>
          <w:p w14:paraId="4C360792" w14:textId="3CF98B51" w:rsidR="00AA3FFF" w:rsidRPr="00CD2ADD" w:rsidRDefault="00AA3FFF" w:rsidP="00AA3FFF">
            <w:pPr>
              <w:rPr>
                <w:sz w:val="20"/>
                <w:szCs w:val="20"/>
              </w:rPr>
            </w:pPr>
            <w:r w:rsidRPr="00CD2ADD">
              <w:rPr>
                <w:sz w:val="20"/>
                <w:szCs w:val="20"/>
              </w:rPr>
              <w:t>1</w:t>
            </w:r>
            <w:r w:rsidR="007D02B4" w:rsidRPr="00CD2ADD">
              <w:rPr>
                <w:sz w:val="20"/>
                <w:szCs w:val="20"/>
              </w:rPr>
              <w:t>1</w:t>
            </w:r>
            <w:r w:rsidRPr="00CD2ADD">
              <w:rPr>
                <w:sz w:val="20"/>
                <w:szCs w:val="20"/>
              </w:rPr>
              <w:t>.</w:t>
            </w:r>
          </w:p>
        </w:tc>
        <w:tc>
          <w:tcPr>
            <w:tcW w:w="2033" w:type="dxa"/>
          </w:tcPr>
          <w:p w14:paraId="4FCD377E" w14:textId="77777777" w:rsidR="00AA3FFF" w:rsidRPr="00CD2ADD" w:rsidRDefault="00AA3FFF" w:rsidP="00AA3FFF">
            <w:pPr>
              <w:rPr>
                <w:sz w:val="20"/>
                <w:szCs w:val="20"/>
              </w:rPr>
            </w:pPr>
            <w:r w:rsidRPr="00CD2ADD">
              <w:rPr>
                <w:sz w:val="20"/>
                <w:szCs w:val="20"/>
              </w:rPr>
              <w:t xml:space="preserve">1.3.1 Crearea unui mecanism de finanțare </w:t>
            </w:r>
            <w:r w:rsidRPr="00CD2ADD">
              <w:rPr>
                <w:sz w:val="20"/>
                <w:szCs w:val="20"/>
              </w:rPr>
              <w:lastRenderedPageBreak/>
              <w:t>a cercetării aplicate privind riscurilor naturale și biologico-sociale, a nexusului schimbări climatice-migrație în parteneriat cu instituții academice și autorități publice</w:t>
            </w:r>
          </w:p>
        </w:tc>
        <w:tc>
          <w:tcPr>
            <w:tcW w:w="1701" w:type="dxa"/>
          </w:tcPr>
          <w:p w14:paraId="0ED6B33E" w14:textId="77777777" w:rsidR="00AA3FFF" w:rsidRPr="00CD2ADD" w:rsidRDefault="00AA3FFF" w:rsidP="00AA3FFF">
            <w:pPr>
              <w:rPr>
                <w:sz w:val="20"/>
                <w:szCs w:val="20"/>
              </w:rPr>
            </w:pPr>
            <w:r w:rsidRPr="00CD2ADD">
              <w:rPr>
                <w:color w:val="000000" w:themeColor="text1"/>
                <w:sz w:val="20"/>
                <w:szCs w:val="20"/>
              </w:rPr>
              <w:lastRenderedPageBreak/>
              <w:t>- Cel puțin  3 proiecte finanțate</w:t>
            </w:r>
          </w:p>
        </w:tc>
        <w:tc>
          <w:tcPr>
            <w:tcW w:w="850" w:type="dxa"/>
          </w:tcPr>
          <w:p w14:paraId="5DA71C86" w14:textId="77777777" w:rsidR="00AA3FFF" w:rsidRPr="00CD2ADD" w:rsidRDefault="00AA3FFF" w:rsidP="00AA3FFF">
            <w:pPr>
              <w:rPr>
                <w:sz w:val="20"/>
                <w:szCs w:val="20"/>
              </w:rPr>
            </w:pPr>
            <w:r w:rsidRPr="00CD2ADD">
              <w:rPr>
                <w:sz w:val="20"/>
                <w:szCs w:val="20"/>
              </w:rPr>
              <w:t>1,170</w:t>
            </w:r>
          </w:p>
        </w:tc>
        <w:tc>
          <w:tcPr>
            <w:tcW w:w="851" w:type="dxa"/>
          </w:tcPr>
          <w:p w14:paraId="6EFE3A10" w14:textId="417AED9A" w:rsidR="00AA3FFF" w:rsidRPr="00CD2ADD" w:rsidRDefault="00AA3FFF" w:rsidP="00AA3FFF">
            <w:pPr>
              <w:rPr>
                <w:sz w:val="20"/>
                <w:szCs w:val="20"/>
              </w:rPr>
            </w:pPr>
            <w:r w:rsidRPr="00CD2ADD">
              <w:rPr>
                <w:sz w:val="20"/>
                <w:szCs w:val="20"/>
              </w:rPr>
              <w:t>170</w:t>
            </w:r>
          </w:p>
        </w:tc>
        <w:tc>
          <w:tcPr>
            <w:tcW w:w="709" w:type="dxa"/>
          </w:tcPr>
          <w:p w14:paraId="2A065B8B" w14:textId="77777777" w:rsidR="00AA3FFF" w:rsidRPr="00CD2ADD" w:rsidRDefault="00AA3FFF" w:rsidP="00AA3FFF">
            <w:pPr>
              <w:rPr>
                <w:sz w:val="20"/>
                <w:szCs w:val="20"/>
              </w:rPr>
            </w:pPr>
          </w:p>
        </w:tc>
        <w:tc>
          <w:tcPr>
            <w:tcW w:w="992" w:type="dxa"/>
          </w:tcPr>
          <w:p w14:paraId="50F2B458" w14:textId="13167AB2" w:rsidR="00AA3FFF" w:rsidRPr="00CD2ADD" w:rsidRDefault="00AA3FFF" w:rsidP="00AA3FFF">
            <w:pPr>
              <w:rPr>
                <w:sz w:val="20"/>
                <w:szCs w:val="20"/>
              </w:rPr>
            </w:pPr>
            <w:r w:rsidRPr="00CD2ADD">
              <w:rPr>
                <w:sz w:val="20"/>
                <w:szCs w:val="20"/>
              </w:rPr>
              <w:t xml:space="preserve">1,000 (din </w:t>
            </w:r>
            <w:r w:rsidRPr="00CD2ADD">
              <w:rPr>
                <w:sz w:val="20"/>
                <w:szCs w:val="20"/>
              </w:rPr>
              <w:lastRenderedPageBreak/>
              <w:t xml:space="preserve">asistenta externă în limita procurare fonduri) </w:t>
            </w:r>
          </w:p>
        </w:tc>
        <w:tc>
          <w:tcPr>
            <w:tcW w:w="1134" w:type="dxa"/>
          </w:tcPr>
          <w:p w14:paraId="09FD6D70" w14:textId="77777777" w:rsidR="00AA3FFF" w:rsidRPr="00CD2ADD" w:rsidRDefault="00AA3FFF" w:rsidP="00AA3FFF">
            <w:pPr>
              <w:rPr>
                <w:sz w:val="20"/>
                <w:szCs w:val="20"/>
              </w:rPr>
            </w:pPr>
            <w:r w:rsidRPr="00CD2ADD">
              <w:rPr>
                <w:sz w:val="20"/>
                <w:szCs w:val="20"/>
              </w:rPr>
              <w:lastRenderedPageBreak/>
              <w:t>7001</w:t>
            </w:r>
          </w:p>
          <w:p w14:paraId="5A5C1084" w14:textId="77777777" w:rsidR="00AA3FFF" w:rsidRPr="00CD2ADD" w:rsidRDefault="00AA3FFF" w:rsidP="00AA3FFF">
            <w:pPr>
              <w:rPr>
                <w:sz w:val="20"/>
                <w:szCs w:val="20"/>
              </w:rPr>
            </w:pPr>
            <w:r w:rsidRPr="00CD2ADD">
              <w:rPr>
                <w:sz w:val="20"/>
                <w:szCs w:val="20"/>
              </w:rPr>
              <w:t>7007</w:t>
            </w:r>
          </w:p>
        </w:tc>
        <w:tc>
          <w:tcPr>
            <w:tcW w:w="709" w:type="dxa"/>
          </w:tcPr>
          <w:p w14:paraId="18F285F3" w14:textId="77777777" w:rsidR="00AA3FFF" w:rsidRPr="00CD2ADD" w:rsidRDefault="00AA3FFF" w:rsidP="00AA3FFF">
            <w:pPr>
              <w:rPr>
                <w:sz w:val="20"/>
                <w:szCs w:val="20"/>
              </w:rPr>
            </w:pPr>
          </w:p>
        </w:tc>
        <w:tc>
          <w:tcPr>
            <w:tcW w:w="708" w:type="dxa"/>
          </w:tcPr>
          <w:p w14:paraId="2B0987A2" w14:textId="77777777" w:rsidR="00AA3FFF" w:rsidRPr="00CD2ADD" w:rsidRDefault="00AA3FFF" w:rsidP="00AA3FFF">
            <w:pPr>
              <w:rPr>
                <w:sz w:val="20"/>
                <w:szCs w:val="20"/>
              </w:rPr>
            </w:pPr>
            <w:r w:rsidRPr="00CD2ADD">
              <w:rPr>
                <w:sz w:val="20"/>
                <w:szCs w:val="20"/>
              </w:rPr>
              <w:t>390</w:t>
            </w:r>
          </w:p>
        </w:tc>
        <w:tc>
          <w:tcPr>
            <w:tcW w:w="709" w:type="dxa"/>
          </w:tcPr>
          <w:p w14:paraId="27A508DA" w14:textId="77777777" w:rsidR="00AA3FFF" w:rsidRPr="00CD2ADD" w:rsidRDefault="00AA3FFF" w:rsidP="00AA3FFF">
            <w:pPr>
              <w:rPr>
                <w:sz w:val="20"/>
                <w:szCs w:val="20"/>
              </w:rPr>
            </w:pPr>
            <w:r w:rsidRPr="00CD2ADD">
              <w:rPr>
                <w:sz w:val="20"/>
                <w:szCs w:val="20"/>
              </w:rPr>
              <w:t>390</w:t>
            </w:r>
          </w:p>
        </w:tc>
        <w:tc>
          <w:tcPr>
            <w:tcW w:w="709" w:type="dxa"/>
          </w:tcPr>
          <w:p w14:paraId="0151531D" w14:textId="77777777" w:rsidR="00AA3FFF" w:rsidRPr="00CD2ADD" w:rsidRDefault="00AA3FFF" w:rsidP="00AA3FFF">
            <w:pPr>
              <w:rPr>
                <w:sz w:val="20"/>
                <w:szCs w:val="20"/>
              </w:rPr>
            </w:pPr>
            <w:r w:rsidRPr="00CD2ADD">
              <w:rPr>
                <w:sz w:val="20"/>
                <w:szCs w:val="20"/>
              </w:rPr>
              <w:t>390</w:t>
            </w:r>
          </w:p>
        </w:tc>
        <w:tc>
          <w:tcPr>
            <w:tcW w:w="709" w:type="dxa"/>
          </w:tcPr>
          <w:p w14:paraId="27EE30B1" w14:textId="77777777" w:rsidR="00AA3FFF" w:rsidRPr="00CD2ADD" w:rsidRDefault="00AA3FFF" w:rsidP="00AA3FFF">
            <w:pPr>
              <w:rPr>
                <w:sz w:val="20"/>
                <w:szCs w:val="20"/>
              </w:rPr>
            </w:pPr>
          </w:p>
        </w:tc>
        <w:tc>
          <w:tcPr>
            <w:tcW w:w="1134" w:type="dxa"/>
          </w:tcPr>
          <w:p w14:paraId="77CEAFC5" w14:textId="77777777" w:rsidR="00AA3FFF" w:rsidRPr="00CD2ADD" w:rsidRDefault="00AA3FFF" w:rsidP="00AA3FFF">
            <w:pPr>
              <w:rPr>
                <w:sz w:val="20"/>
                <w:szCs w:val="20"/>
              </w:rPr>
            </w:pPr>
            <w:r w:rsidRPr="00CD2ADD">
              <w:rPr>
                <w:sz w:val="20"/>
                <w:szCs w:val="20"/>
              </w:rPr>
              <w:t>Trim. IV 2028</w:t>
            </w:r>
          </w:p>
        </w:tc>
        <w:tc>
          <w:tcPr>
            <w:tcW w:w="1926" w:type="dxa"/>
          </w:tcPr>
          <w:p w14:paraId="4F3A0A1F" w14:textId="11DE0710" w:rsidR="00AA3FFF" w:rsidRPr="00CD2ADD" w:rsidRDefault="00AA3FFF" w:rsidP="00AA3FFF">
            <w:pPr>
              <w:rPr>
                <w:sz w:val="20"/>
                <w:szCs w:val="20"/>
              </w:rPr>
            </w:pPr>
            <w:r w:rsidRPr="00CD2ADD">
              <w:rPr>
                <w:color w:val="000000" w:themeColor="text1"/>
                <w:sz w:val="20"/>
                <w:szCs w:val="20"/>
              </w:rPr>
              <w:t xml:space="preserve">Ministerul Mediului, Ministerul Sănătății, </w:t>
            </w:r>
            <w:r w:rsidRPr="00CD2ADD">
              <w:rPr>
                <w:color w:val="000000" w:themeColor="text1"/>
                <w:sz w:val="20"/>
                <w:szCs w:val="20"/>
              </w:rPr>
              <w:lastRenderedPageBreak/>
              <w:t>Ministerul Educației și Cercetării, Instituțiile de Învățământ Superior, Academia de Științe a Moldovei, parteneri de dezvoltare (co-finanțare)</w:t>
            </w:r>
          </w:p>
        </w:tc>
      </w:tr>
      <w:tr w:rsidR="00AA3FFF" w:rsidRPr="00CD2ADD" w14:paraId="44713A9F" w14:textId="77777777" w:rsidTr="002C4956">
        <w:tc>
          <w:tcPr>
            <w:tcW w:w="514" w:type="dxa"/>
          </w:tcPr>
          <w:p w14:paraId="0BF202DD" w14:textId="76CDAAD3" w:rsidR="00AA3FFF" w:rsidRPr="00CD2ADD" w:rsidRDefault="00AA3FFF" w:rsidP="00AA3FFF">
            <w:pPr>
              <w:rPr>
                <w:sz w:val="20"/>
                <w:szCs w:val="20"/>
              </w:rPr>
            </w:pPr>
            <w:r w:rsidRPr="00CD2ADD">
              <w:rPr>
                <w:sz w:val="20"/>
                <w:szCs w:val="20"/>
              </w:rPr>
              <w:lastRenderedPageBreak/>
              <w:t>1</w:t>
            </w:r>
            <w:r w:rsidR="007D02B4" w:rsidRPr="00CD2ADD">
              <w:rPr>
                <w:sz w:val="20"/>
                <w:szCs w:val="20"/>
              </w:rPr>
              <w:t>2</w:t>
            </w:r>
            <w:r w:rsidRPr="00CD2ADD">
              <w:rPr>
                <w:sz w:val="20"/>
                <w:szCs w:val="20"/>
              </w:rPr>
              <w:t>.</w:t>
            </w:r>
          </w:p>
        </w:tc>
        <w:tc>
          <w:tcPr>
            <w:tcW w:w="2033" w:type="dxa"/>
          </w:tcPr>
          <w:p w14:paraId="5E6494C0" w14:textId="77777777" w:rsidR="00AA3FFF" w:rsidRPr="00CD2ADD" w:rsidRDefault="00AA3FFF" w:rsidP="00AA3FFF">
            <w:pPr>
              <w:rPr>
                <w:sz w:val="20"/>
                <w:szCs w:val="20"/>
              </w:rPr>
            </w:pPr>
            <w:r w:rsidRPr="00CD2ADD">
              <w:rPr>
                <w:sz w:val="20"/>
                <w:szCs w:val="20"/>
              </w:rPr>
              <w:t>1.3.2 Dezvoltarea unei platforme naționale de colaborare științifică pentru evaluarea riscurilor de dezastre naturale si biologico-sociale . Conectata cu Platforma națională de răspuns a crize</w:t>
            </w:r>
          </w:p>
        </w:tc>
        <w:tc>
          <w:tcPr>
            <w:tcW w:w="1701" w:type="dxa"/>
          </w:tcPr>
          <w:p w14:paraId="53AB857E" w14:textId="77777777" w:rsidR="00AA3FFF" w:rsidRPr="00CD2ADD" w:rsidRDefault="00AA3FFF" w:rsidP="00AA3FFF">
            <w:pPr>
              <w:rPr>
                <w:color w:val="000000" w:themeColor="text1"/>
                <w:sz w:val="20"/>
                <w:szCs w:val="20"/>
              </w:rPr>
            </w:pPr>
            <w:r w:rsidRPr="00CD2ADD">
              <w:rPr>
                <w:color w:val="000000" w:themeColor="text1"/>
                <w:sz w:val="20"/>
                <w:szCs w:val="20"/>
              </w:rPr>
              <w:t xml:space="preserve">- 1 platformă academica creată și funcțională, </w:t>
            </w:r>
          </w:p>
          <w:p w14:paraId="762D1EF8" w14:textId="77777777" w:rsidR="00AA3FFF" w:rsidRPr="00CD2ADD" w:rsidRDefault="00AA3FFF" w:rsidP="00AA3FFF">
            <w:pPr>
              <w:rPr>
                <w:color w:val="000000" w:themeColor="text1"/>
                <w:sz w:val="20"/>
                <w:szCs w:val="20"/>
              </w:rPr>
            </w:pPr>
          </w:p>
          <w:p w14:paraId="3C09F506" w14:textId="77777777" w:rsidR="00AA3FFF" w:rsidRPr="00CD2ADD" w:rsidRDefault="00AA3FFF" w:rsidP="00AA3FFF">
            <w:pPr>
              <w:rPr>
                <w:color w:val="000000" w:themeColor="text1"/>
                <w:sz w:val="20"/>
                <w:szCs w:val="20"/>
              </w:rPr>
            </w:pPr>
            <w:r w:rsidRPr="00CD2ADD">
              <w:rPr>
                <w:color w:val="000000" w:themeColor="text1"/>
                <w:sz w:val="20"/>
                <w:szCs w:val="20"/>
              </w:rPr>
              <w:t xml:space="preserve">- 1 conferința </w:t>
            </w:r>
          </w:p>
          <w:p w14:paraId="6509B46E" w14:textId="77777777" w:rsidR="00AA3FFF" w:rsidRPr="00CD2ADD" w:rsidRDefault="00AA3FFF" w:rsidP="00AA3FFF">
            <w:pPr>
              <w:rPr>
                <w:sz w:val="20"/>
                <w:szCs w:val="20"/>
              </w:rPr>
            </w:pPr>
            <w:r w:rsidRPr="00CD2ADD">
              <w:rPr>
                <w:color w:val="000000" w:themeColor="text1"/>
                <w:sz w:val="20"/>
                <w:szCs w:val="20"/>
              </w:rPr>
              <w:t xml:space="preserve"> și 1 atelier tematic organizate anual </w:t>
            </w:r>
          </w:p>
        </w:tc>
        <w:tc>
          <w:tcPr>
            <w:tcW w:w="850" w:type="dxa"/>
          </w:tcPr>
          <w:p w14:paraId="405BC437" w14:textId="77777777" w:rsidR="00AA3FFF" w:rsidRPr="00CD2ADD" w:rsidRDefault="00AA3FFF" w:rsidP="00AA3FFF">
            <w:pPr>
              <w:rPr>
                <w:sz w:val="20"/>
                <w:szCs w:val="20"/>
              </w:rPr>
            </w:pPr>
            <w:r w:rsidRPr="00CD2ADD">
              <w:rPr>
                <w:sz w:val="20"/>
                <w:szCs w:val="20"/>
              </w:rPr>
              <w:t>685</w:t>
            </w:r>
          </w:p>
        </w:tc>
        <w:tc>
          <w:tcPr>
            <w:tcW w:w="851" w:type="dxa"/>
          </w:tcPr>
          <w:p w14:paraId="1B834D2C" w14:textId="77777777" w:rsidR="00AA3FFF" w:rsidRPr="00CD2ADD" w:rsidRDefault="00AA3FFF" w:rsidP="00AA3FFF">
            <w:pPr>
              <w:rPr>
                <w:sz w:val="20"/>
                <w:szCs w:val="20"/>
              </w:rPr>
            </w:pPr>
            <w:r w:rsidRPr="00CD2ADD">
              <w:rPr>
                <w:sz w:val="20"/>
                <w:szCs w:val="20"/>
              </w:rPr>
              <w:t>685</w:t>
            </w:r>
          </w:p>
        </w:tc>
        <w:tc>
          <w:tcPr>
            <w:tcW w:w="709" w:type="dxa"/>
          </w:tcPr>
          <w:p w14:paraId="173446A3" w14:textId="77777777" w:rsidR="00AA3FFF" w:rsidRPr="00CD2ADD" w:rsidRDefault="00AA3FFF" w:rsidP="00AA3FFF">
            <w:pPr>
              <w:rPr>
                <w:sz w:val="20"/>
                <w:szCs w:val="20"/>
              </w:rPr>
            </w:pPr>
          </w:p>
        </w:tc>
        <w:tc>
          <w:tcPr>
            <w:tcW w:w="992" w:type="dxa"/>
          </w:tcPr>
          <w:p w14:paraId="4B8690CA" w14:textId="77777777" w:rsidR="00AA3FFF" w:rsidRPr="00CD2ADD" w:rsidRDefault="00AA3FFF" w:rsidP="00AA3FFF">
            <w:pPr>
              <w:rPr>
                <w:sz w:val="20"/>
                <w:szCs w:val="20"/>
              </w:rPr>
            </w:pPr>
          </w:p>
        </w:tc>
        <w:tc>
          <w:tcPr>
            <w:tcW w:w="1134" w:type="dxa"/>
          </w:tcPr>
          <w:p w14:paraId="046D6A5B" w14:textId="77777777" w:rsidR="00AA3FFF" w:rsidRPr="00CD2ADD" w:rsidRDefault="00AA3FFF" w:rsidP="00AA3FFF">
            <w:pPr>
              <w:rPr>
                <w:sz w:val="20"/>
                <w:szCs w:val="20"/>
              </w:rPr>
            </w:pPr>
            <w:r w:rsidRPr="00CD2ADD">
              <w:rPr>
                <w:sz w:val="20"/>
                <w:szCs w:val="20"/>
              </w:rPr>
              <w:t>7001</w:t>
            </w:r>
          </w:p>
          <w:p w14:paraId="7495D7C8" w14:textId="77777777" w:rsidR="00AA3FFF" w:rsidRPr="00CD2ADD" w:rsidRDefault="00AA3FFF" w:rsidP="00AA3FFF">
            <w:pPr>
              <w:rPr>
                <w:sz w:val="20"/>
                <w:szCs w:val="20"/>
              </w:rPr>
            </w:pPr>
            <w:r w:rsidRPr="00CD2ADD">
              <w:rPr>
                <w:sz w:val="20"/>
                <w:szCs w:val="20"/>
              </w:rPr>
              <w:t>7007</w:t>
            </w:r>
          </w:p>
        </w:tc>
        <w:tc>
          <w:tcPr>
            <w:tcW w:w="709" w:type="dxa"/>
          </w:tcPr>
          <w:p w14:paraId="338412BC" w14:textId="77777777" w:rsidR="00AA3FFF" w:rsidRPr="00CD2ADD" w:rsidRDefault="00AA3FFF" w:rsidP="00AA3FFF">
            <w:pPr>
              <w:rPr>
                <w:sz w:val="20"/>
                <w:szCs w:val="20"/>
              </w:rPr>
            </w:pPr>
            <w:r w:rsidRPr="00CD2ADD">
              <w:rPr>
                <w:sz w:val="20"/>
                <w:szCs w:val="20"/>
              </w:rPr>
              <w:t>285</w:t>
            </w:r>
          </w:p>
        </w:tc>
        <w:tc>
          <w:tcPr>
            <w:tcW w:w="708" w:type="dxa"/>
          </w:tcPr>
          <w:p w14:paraId="6CCF9288" w14:textId="77777777" w:rsidR="00AA3FFF" w:rsidRPr="00CD2ADD" w:rsidRDefault="00AA3FFF" w:rsidP="00AA3FFF">
            <w:pPr>
              <w:rPr>
                <w:sz w:val="20"/>
                <w:szCs w:val="20"/>
              </w:rPr>
            </w:pPr>
            <w:r w:rsidRPr="00CD2ADD">
              <w:rPr>
                <w:sz w:val="20"/>
                <w:szCs w:val="20"/>
              </w:rPr>
              <w:t>100</w:t>
            </w:r>
          </w:p>
        </w:tc>
        <w:tc>
          <w:tcPr>
            <w:tcW w:w="709" w:type="dxa"/>
          </w:tcPr>
          <w:p w14:paraId="72355C3F" w14:textId="77777777" w:rsidR="00AA3FFF" w:rsidRPr="00CD2ADD" w:rsidRDefault="00AA3FFF" w:rsidP="00AA3FFF">
            <w:pPr>
              <w:rPr>
                <w:sz w:val="20"/>
                <w:szCs w:val="20"/>
              </w:rPr>
            </w:pPr>
            <w:r w:rsidRPr="00CD2ADD">
              <w:rPr>
                <w:sz w:val="20"/>
                <w:szCs w:val="20"/>
              </w:rPr>
              <w:t>100</w:t>
            </w:r>
          </w:p>
        </w:tc>
        <w:tc>
          <w:tcPr>
            <w:tcW w:w="709" w:type="dxa"/>
          </w:tcPr>
          <w:p w14:paraId="0420CC02" w14:textId="77777777" w:rsidR="00AA3FFF" w:rsidRPr="00CD2ADD" w:rsidRDefault="00AA3FFF" w:rsidP="00AA3FFF">
            <w:pPr>
              <w:rPr>
                <w:sz w:val="20"/>
                <w:szCs w:val="20"/>
              </w:rPr>
            </w:pPr>
            <w:r w:rsidRPr="00CD2ADD">
              <w:rPr>
                <w:sz w:val="20"/>
                <w:szCs w:val="20"/>
              </w:rPr>
              <w:t>100</w:t>
            </w:r>
          </w:p>
        </w:tc>
        <w:tc>
          <w:tcPr>
            <w:tcW w:w="709" w:type="dxa"/>
          </w:tcPr>
          <w:p w14:paraId="793F2A96" w14:textId="77777777" w:rsidR="00AA3FFF" w:rsidRPr="00CD2ADD" w:rsidRDefault="00AA3FFF" w:rsidP="00AA3FFF">
            <w:pPr>
              <w:rPr>
                <w:sz w:val="20"/>
                <w:szCs w:val="20"/>
              </w:rPr>
            </w:pPr>
            <w:r w:rsidRPr="00CD2ADD">
              <w:rPr>
                <w:sz w:val="20"/>
                <w:szCs w:val="20"/>
              </w:rPr>
              <w:t>100</w:t>
            </w:r>
          </w:p>
        </w:tc>
        <w:tc>
          <w:tcPr>
            <w:tcW w:w="1134" w:type="dxa"/>
          </w:tcPr>
          <w:p w14:paraId="0751AFBC" w14:textId="77777777" w:rsidR="00AA3FFF" w:rsidRPr="00CD2ADD" w:rsidRDefault="00AA3FFF" w:rsidP="00AA3FFF">
            <w:pPr>
              <w:rPr>
                <w:sz w:val="20"/>
                <w:szCs w:val="20"/>
              </w:rPr>
            </w:pPr>
            <w:r w:rsidRPr="00CD2ADD">
              <w:rPr>
                <w:sz w:val="20"/>
                <w:szCs w:val="20"/>
              </w:rPr>
              <w:t>Trim. IV 2026</w:t>
            </w:r>
          </w:p>
          <w:p w14:paraId="63CF80DB" w14:textId="77777777" w:rsidR="00AA3FFF" w:rsidRPr="00CD2ADD" w:rsidRDefault="00AA3FFF" w:rsidP="00AA3FFF">
            <w:pPr>
              <w:rPr>
                <w:sz w:val="20"/>
                <w:szCs w:val="20"/>
              </w:rPr>
            </w:pPr>
          </w:p>
          <w:p w14:paraId="2A8F4F4A" w14:textId="77777777" w:rsidR="00AA3FFF" w:rsidRPr="00CD2ADD" w:rsidRDefault="00AA3FFF" w:rsidP="00AA3FFF">
            <w:pPr>
              <w:rPr>
                <w:sz w:val="20"/>
                <w:szCs w:val="20"/>
              </w:rPr>
            </w:pPr>
          </w:p>
          <w:p w14:paraId="56E19BC7" w14:textId="77777777" w:rsidR="00AA3FFF" w:rsidRPr="00CD2ADD" w:rsidRDefault="00AA3FFF" w:rsidP="00AA3FFF">
            <w:pPr>
              <w:rPr>
                <w:sz w:val="20"/>
                <w:szCs w:val="20"/>
              </w:rPr>
            </w:pPr>
            <w:r w:rsidRPr="00CD2ADD">
              <w:rPr>
                <w:sz w:val="20"/>
                <w:szCs w:val="20"/>
              </w:rPr>
              <w:t>Anual</w:t>
            </w:r>
          </w:p>
          <w:p w14:paraId="28220F97" w14:textId="77777777" w:rsidR="00AA3FFF" w:rsidRPr="00CD2ADD" w:rsidRDefault="00AA3FFF" w:rsidP="00AA3FFF">
            <w:pPr>
              <w:rPr>
                <w:sz w:val="20"/>
                <w:szCs w:val="20"/>
              </w:rPr>
            </w:pPr>
          </w:p>
        </w:tc>
        <w:tc>
          <w:tcPr>
            <w:tcW w:w="1926" w:type="dxa"/>
          </w:tcPr>
          <w:p w14:paraId="105FC0B9" w14:textId="750C91D3" w:rsidR="00AA3FFF" w:rsidRPr="00CD2ADD" w:rsidRDefault="00AA3FFF" w:rsidP="00AA3FFF">
            <w:pPr>
              <w:rPr>
                <w:sz w:val="20"/>
                <w:szCs w:val="20"/>
              </w:rPr>
            </w:pPr>
            <w:r w:rsidRPr="00CD2ADD">
              <w:rPr>
                <w:color w:val="000000" w:themeColor="text1"/>
                <w:sz w:val="20"/>
                <w:szCs w:val="20"/>
              </w:rPr>
              <w:t>Instituțiile de Învățământ Superior, Institutului de Ecologie și Geografie, Institutul de Geologie și Seismologie, Institutul de Zoologie, Institutul Național de Cercetare în Medicină și Sănătate, Institutul de Cercetări si Amenajări Silvice, Institutul de Genetică, Fiziologie și Protecție a Plantelor, Ministerul Mediului, Ministerul Sănătății, Ministerul Educației și Cercetării, A</w:t>
            </w:r>
            <w:r w:rsidR="007561B9" w:rsidRPr="00CD2ADD">
              <w:rPr>
                <w:color w:val="000000" w:themeColor="text1"/>
                <w:sz w:val="20"/>
                <w:szCs w:val="20"/>
              </w:rPr>
              <w:t>SM</w:t>
            </w:r>
            <w:r w:rsidRPr="00CD2ADD">
              <w:rPr>
                <w:color w:val="000000" w:themeColor="text1"/>
                <w:sz w:val="20"/>
                <w:szCs w:val="20"/>
              </w:rPr>
              <w:t xml:space="preserve"> ș</w:t>
            </w:r>
            <w:r w:rsidRPr="00CD2ADD">
              <w:rPr>
                <w:sz w:val="20"/>
                <w:szCs w:val="20"/>
              </w:rPr>
              <w:t>.a</w:t>
            </w:r>
          </w:p>
        </w:tc>
      </w:tr>
      <w:tr w:rsidR="00AA3FFF" w:rsidRPr="00CD2ADD" w14:paraId="755C9C08" w14:textId="77777777" w:rsidTr="00676D11">
        <w:trPr>
          <w:trHeight w:val="2845"/>
        </w:trPr>
        <w:tc>
          <w:tcPr>
            <w:tcW w:w="514" w:type="dxa"/>
          </w:tcPr>
          <w:p w14:paraId="46E2AF31" w14:textId="0BA5DC66" w:rsidR="00AA3FFF" w:rsidRPr="00CD2ADD" w:rsidRDefault="00AA3FFF" w:rsidP="00AA3FFF">
            <w:pPr>
              <w:rPr>
                <w:sz w:val="20"/>
                <w:szCs w:val="20"/>
              </w:rPr>
            </w:pPr>
            <w:r w:rsidRPr="00CD2ADD">
              <w:rPr>
                <w:sz w:val="20"/>
                <w:szCs w:val="20"/>
              </w:rPr>
              <w:lastRenderedPageBreak/>
              <w:t>1</w:t>
            </w:r>
            <w:r w:rsidR="007D02B4" w:rsidRPr="00CD2ADD">
              <w:rPr>
                <w:sz w:val="20"/>
                <w:szCs w:val="20"/>
              </w:rPr>
              <w:t>3</w:t>
            </w:r>
            <w:r w:rsidRPr="00CD2ADD">
              <w:rPr>
                <w:sz w:val="20"/>
                <w:szCs w:val="20"/>
              </w:rPr>
              <w:t>.</w:t>
            </w:r>
          </w:p>
        </w:tc>
        <w:tc>
          <w:tcPr>
            <w:tcW w:w="2033" w:type="dxa"/>
          </w:tcPr>
          <w:p w14:paraId="68E64034" w14:textId="7DBF665D" w:rsidR="00AA3FFF" w:rsidRPr="00CD2ADD" w:rsidRDefault="00AA3FFF" w:rsidP="00AA3FFF">
            <w:pPr>
              <w:rPr>
                <w:color w:val="000000" w:themeColor="text1"/>
                <w:sz w:val="20"/>
                <w:szCs w:val="20"/>
              </w:rPr>
            </w:pPr>
            <w:r w:rsidRPr="00CD2ADD">
              <w:rPr>
                <w:color w:val="000000" w:themeColor="text1"/>
                <w:sz w:val="20"/>
                <w:szCs w:val="20"/>
              </w:rPr>
              <w:t xml:space="preserve">1.3.3 Promovarea cercetării orientate spre politici publice în domeniul riscurilor naturale, biologico-sociale </w:t>
            </w:r>
            <w:r w:rsidRPr="00CD2ADD">
              <w:rPr>
                <w:sz w:val="20"/>
                <w:szCs w:val="20"/>
              </w:rPr>
              <w:t>și a</w:t>
            </w:r>
            <w:r w:rsidRPr="00CD2ADD">
              <w:rPr>
                <w:color w:val="000000" w:themeColor="text1"/>
                <w:sz w:val="20"/>
                <w:szCs w:val="20"/>
              </w:rPr>
              <w:t xml:space="preserve"> nexusului schimbări climatice-migrație cu participarea cercetătorilor la grupuri de lucru guvernamentale</w:t>
            </w:r>
          </w:p>
        </w:tc>
        <w:tc>
          <w:tcPr>
            <w:tcW w:w="1701" w:type="dxa"/>
          </w:tcPr>
          <w:p w14:paraId="643A0A1E" w14:textId="34D9210E" w:rsidR="00AA3FFF" w:rsidRPr="00CD2ADD" w:rsidRDefault="00AA3FFF" w:rsidP="00AA3FFF">
            <w:pPr>
              <w:rPr>
                <w:sz w:val="20"/>
                <w:szCs w:val="20"/>
              </w:rPr>
            </w:pPr>
            <w:r w:rsidRPr="00CD2ADD">
              <w:rPr>
                <w:color w:val="000000" w:themeColor="text1"/>
                <w:sz w:val="20"/>
                <w:szCs w:val="20"/>
              </w:rPr>
              <w:t xml:space="preserve">- Cel puțin 3 studii, rapoarte sau note tehnice de cercetare elaborate si publicate </w:t>
            </w:r>
          </w:p>
        </w:tc>
        <w:tc>
          <w:tcPr>
            <w:tcW w:w="850" w:type="dxa"/>
          </w:tcPr>
          <w:p w14:paraId="21A30B13" w14:textId="221D5F5F" w:rsidR="00AA3FFF" w:rsidRPr="00CD2ADD" w:rsidRDefault="00AA3FFF" w:rsidP="00AA3FFF">
            <w:pPr>
              <w:rPr>
                <w:b/>
                <w:bCs/>
                <w:sz w:val="20"/>
                <w:szCs w:val="20"/>
              </w:rPr>
            </w:pPr>
            <w:r w:rsidRPr="00CD2ADD">
              <w:rPr>
                <w:sz w:val="20"/>
                <w:szCs w:val="20"/>
              </w:rPr>
              <w:t>300</w:t>
            </w:r>
          </w:p>
        </w:tc>
        <w:tc>
          <w:tcPr>
            <w:tcW w:w="851" w:type="dxa"/>
          </w:tcPr>
          <w:p w14:paraId="06EC9A25" w14:textId="77777777" w:rsidR="00AA3FFF" w:rsidRPr="00CD2ADD" w:rsidRDefault="00AA3FFF" w:rsidP="00AA3FFF">
            <w:pPr>
              <w:rPr>
                <w:sz w:val="20"/>
                <w:szCs w:val="20"/>
              </w:rPr>
            </w:pPr>
          </w:p>
        </w:tc>
        <w:tc>
          <w:tcPr>
            <w:tcW w:w="709" w:type="dxa"/>
          </w:tcPr>
          <w:p w14:paraId="3DE2206F" w14:textId="6A868DCD" w:rsidR="00AA3FFF" w:rsidRPr="00CD2ADD" w:rsidRDefault="00AA3FFF" w:rsidP="00AA3FFF">
            <w:pPr>
              <w:rPr>
                <w:sz w:val="20"/>
                <w:szCs w:val="20"/>
              </w:rPr>
            </w:pPr>
            <w:r w:rsidRPr="00CD2ADD">
              <w:rPr>
                <w:sz w:val="20"/>
                <w:szCs w:val="20"/>
              </w:rPr>
              <w:t>300</w:t>
            </w:r>
          </w:p>
        </w:tc>
        <w:tc>
          <w:tcPr>
            <w:tcW w:w="992" w:type="dxa"/>
          </w:tcPr>
          <w:p w14:paraId="2703157F" w14:textId="77777777" w:rsidR="00AA3FFF" w:rsidRPr="00CD2ADD" w:rsidRDefault="00AA3FFF" w:rsidP="00AA3FFF">
            <w:pPr>
              <w:rPr>
                <w:sz w:val="20"/>
                <w:szCs w:val="20"/>
              </w:rPr>
            </w:pPr>
          </w:p>
        </w:tc>
        <w:tc>
          <w:tcPr>
            <w:tcW w:w="1134" w:type="dxa"/>
          </w:tcPr>
          <w:p w14:paraId="3C5C7471" w14:textId="77777777" w:rsidR="00AA3FFF" w:rsidRPr="00CD2ADD" w:rsidRDefault="00AA3FFF" w:rsidP="00AA3FFF">
            <w:pPr>
              <w:rPr>
                <w:sz w:val="20"/>
                <w:szCs w:val="20"/>
              </w:rPr>
            </w:pPr>
            <w:r w:rsidRPr="00CD2ADD">
              <w:rPr>
                <w:sz w:val="20"/>
                <w:szCs w:val="20"/>
              </w:rPr>
              <w:t>7001</w:t>
            </w:r>
          </w:p>
          <w:p w14:paraId="41EBDB95" w14:textId="77777777" w:rsidR="00AA3FFF" w:rsidRPr="00CD2ADD" w:rsidRDefault="00AA3FFF" w:rsidP="00AA3FFF">
            <w:pPr>
              <w:rPr>
                <w:sz w:val="20"/>
                <w:szCs w:val="20"/>
              </w:rPr>
            </w:pPr>
            <w:r w:rsidRPr="00CD2ADD">
              <w:rPr>
                <w:sz w:val="20"/>
                <w:szCs w:val="20"/>
              </w:rPr>
              <w:t>7007</w:t>
            </w:r>
          </w:p>
        </w:tc>
        <w:tc>
          <w:tcPr>
            <w:tcW w:w="709" w:type="dxa"/>
          </w:tcPr>
          <w:p w14:paraId="1053B661" w14:textId="77777777" w:rsidR="00AA3FFF" w:rsidRPr="00CD2ADD" w:rsidRDefault="00AA3FFF" w:rsidP="00AA3FFF">
            <w:pPr>
              <w:rPr>
                <w:sz w:val="20"/>
                <w:szCs w:val="20"/>
              </w:rPr>
            </w:pPr>
          </w:p>
        </w:tc>
        <w:tc>
          <w:tcPr>
            <w:tcW w:w="708" w:type="dxa"/>
          </w:tcPr>
          <w:p w14:paraId="76885325" w14:textId="039ECE12" w:rsidR="00AA3FFF" w:rsidRPr="00CD2ADD" w:rsidRDefault="00AA3FFF" w:rsidP="00AA3FFF">
            <w:pPr>
              <w:rPr>
                <w:sz w:val="20"/>
                <w:szCs w:val="20"/>
              </w:rPr>
            </w:pPr>
          </w:p>
        </w:tc>
        <w:tc>
          <w:tcPr>
            <w:tcW w:w="709" w:type="dxa"/>
          </w:tcPr>
          <w:p w14:paraId="66EA9D36" w14:textId="658A51BE" w:rsidR="00AA3FFF" w:rsidRPr="00CD2ADD" w:rsidRDefault="00AA3FFF" w:rsidP="00AA3FFF">
            <w:pPr>
              <w:rPr>
                <w:sz w:val="20"/>
                <w:szCs w:val="20"/>
              </w:rPr>
            </w:pPr>
            <w:r w:rsidRPr="00CD2ADD">
              <w:rPr>
                <w:sz w:val="20"/>
                <w:szCs w:val="20"/>
              </w:rPr>
              <w:t>100</w:t>
            </w:r>
          </w:p>
        </w:tc>
        <w:tc>
          <w:tcPr>
            <w:tcW w:w="709" w:type="dxa"/>
          </w:tcPr>
          <w:p w14:paraId="519E1AAD" w14:textId="7E543BA3" w:rsidR="00AA3FFF" w:rsidRPr="00CD2ADD" w:rsidRDefault="00AA3FFF" w:rsidP="00AA3FFF">
            <w:pPr>
              <w:rPr>
                <w:sz w:val="20"/>
                <w:szCs w:val="20"/>
              </w:rPr>
            </w:pPr>
            <w:r w:rsidRPr="00CD2ADD">
              <w:rPr>
                <w:sz w:val="20"/>
                <w:szCs w:val="20"/>
              </w:rPr>
              <w:t>100</w:t>
            </w:r>
          </w:p>
        </w:tc>
        <w:tc>
          <w:tcPr>
            <w:tcW w:w="709" w:type="dxa"/>
          </w:tcPr>
          <w:p w14:paraId="39723491" w14:textId="2C2C2396" w:rsidR="00AA3FFF" w:rsidRPr="00CD2ADD" w:rsidRDefault="00AA3FFF" w:rsidP="00AA3FFF">
            <w:pPr>
              <w:rPr>
                <w:sz w:val="20"/>
                <w:szCs w:val="20"/>
              </w:rPr>
            </w:pPr>
            <w:r w:rsidRPr="00CD2ADD">
              <w:rPr>
                <w:sz w:val="20"/>
                <w:szCs w:val="20"/>
              </w:rPr>
              <w:t>100</w:t>
            </w:r>
          </w:p>
        </w:tc>
        <w:tc>
          <w:tcPr>
            <w:tcW w:w="1134" w:type="dxa"/>
          </w:tcPr>
          <w:p w14:paraId="2FC3C48D" w14:textId="69E28EA2" w:rsidR="00AA3FFF" w:rsidRPr="00CD2ADD" w:rsidRDefault="00AA3FFF" w:rsidP="00AA3FFF">
            <w:pPr>
              <w:rPr>
                <w:sz w:val="20"/>
                <w:szCs w:val="20"/>
              </w:rPr>
            </w:pPr>
            <w:r w:rsidRPr="00CD2ADD">
              <w:rPr>
                <w:sz w:val="20"/>
                <w:szCs w:val="20"/>
              </w:rPr>
              <w:t>Trim. III 2028</w:t>
            </w:r>
          </w:p>
          <w:p w14:paraId="3552C4DE" w14:textId="77777777" w:rsidR="00AA3FFF" w:rsidRPr="00CD2ADD" w:rsidRDefault="00AA3FFF" w:rsidP="00AA3FFF">
            <w:pPr>
              <w:rPr>
                <w:sz w:val="20"/>
                <w:szCs w:val="20"/>
              </w:rPr>
            </w:pPr>
          </w:p>
          <w:p w14:paraId="160C3CF4" w14:textId="56E12A79" w:rsidR="00AA3FFF" w:rsidRPr="00CD2ADD" w:rsidRDefault="00AA3FFF" w:rsidP="00AA3FFF">
            <w:pPr>
              <w:rPr>
                <w:sz w:val="20"/>
                <w:szCs w:val="20"/>
              </w:rPr>
            </w:pPr>
            <w:r w:rsidRPr="00CD2ADD">
              <w:rPr>
                <w:sz w:val="20"/>
                <w:szCs w:val="20"/>
              </w:rPr>
              <w:t>Trim. III 2029</w:t>
            </w:r>
          </w:p>
          <w:p w14:paraId="3238421D" w14:textId="77777777" w:rsidR="00AA3FFF" w:rsidRPr="00CD2ADD" w:rsidRDefault="00AA3FFF" w:rsidP="00AA3FFF">
            <w:pPr>
              <w:rPr>
                <w:sz w:val="20"/>
                <w:szCs w:val="20"/>
              </w:rPr>
            </w:pPr>
          </w:p>
          <w:p w14:paraId="32F11CC5" w14:textId="5B37AA08" w:rsidR="00AA3FFF" w:rsidRPr="00CD2ADD" w:rsidRDefault="00AA3FFF" w:rsidP="00AA3FFF">
            <w:pPr>
              <w:rPr>
                <w:sz w:val="20"/>
                <w:szCs w:val="20"/>
              </w:rPr>
            </w:pPr>
            <w:r w:rsidRPr="00CD2ADD">
              <w:rPr>
                <w:sz w:val="20"/>
                <w:szCs w:val="20"/>
              </w:rPr>
              <w:t>Trim. III 2030</w:t>
            </w:r>
          </w:p>
          <w:p w14:paraId="2EEC1BBE" w14:textId="77777777" w:rsidR="00AA3FFF" w:rsidRPr="00CD2ADD" w:rsidRDefault="00AA3FFF" w:rsidP="00AA3FFF">
            <w:pPr>
              <w:rPr>
                <w:sz w:val="20"/>
                <w:szCs w:val="20"/>
              </w:rPr>
            </w:pPr>
          </w:p>
          <w:p w14:paraId="6D5770B8" w14:textId="77777777" w:rsidR="00AA3FFF" w:rsidRPr="00CD2ADD" w:rsidRDefault="00AA3FFF" w:rsidP="00AA3FFF">
            <w:pPr>
              <w:rPr>
                <w:sz w:val="20"/>
                <w:szCs w:val="20"/>
              </w:rPr>
            </w:pPr>
          </w:p>
        </w:tc>
        <w:tc>
          <w:tcPr>
            <w:tcW w:w="1926" w:type="dxa"/>
          </w:tcPr>
          <w:p w14:paraId="4E8C3F13" w14:textId="0F73EA87" w:rsidR="00AA3FFF" w:rsidRPr="00CD2ADD" w:rsidRDefault="00AA3FFF" w:rsidP="00AA3FFF">
            <w:pPr>
              <w:rPr>
                <w:sz w:val="20"/>
                <w:szCs w:val="20"/>
              </w:rPr>
            </w:pPr>
            <w:r w:rsidRPr="00CD2ADD">
              <w:rPr>
                <w:color w:val="000000" w:themeColor="text1"/>
                <w:sz w:val="20"/>
                <w:szCs w:val="20"/>
              </w:rPr>
              <w:t>Institutele de cercetare menționate la acțiunea 1.3.2</w:t>
            </w:r>
          </w:p>
        </w:tc>
      </w:tr>
      <w:tr w:rsidR="00AA3FFF" w:rsidRPr="00CD2ADD" w14:paraId="5EA2A928" w14:textId="77777777" w:rsidTr="002C4956">
        <w:tc>
          <w:tcPr>
            <w:tcW w:w="15388" w:type="dxa"/>
            <w:gridSpan w:val="15"/>
            <w:shd w:val="clear" w:color="auto" w:fill="FAE2D5" w:themeFill="accent2" w:themeFillTint="33"/>
          </w:tcPr>
          <w:p w14:paraId="7CDAE0D4" w14:textId="77777777" w:rsidR="00AA3FFF" w:rsidRPr="00CD2ADD" w:rsidRDefault="00AA3FFF" w:rsidP="00AA3FFF">
            <w:pPr>
              <w:rPr>
                <w:b/>
                <w:bCs/>
                <w:sz w:val="20"/>
                <w:szCs w:val="20"/>
              </w:rPr>
            </w:pPr>
            <w:r w:rsidRPr="00CD2ADD">
              <w:rPr>
                <w:b/>
                <w:bCs/>
                <w:sz w:val="20"/>
                <w:szCs w:val="20"/>
              </w:rPr>
              <w:t>Obiectivul general 2: Consolidarea, până în 2030 a capacității de coordonare, cooperare și intervenție a autorităților publice centrale și locale pentru o gestionare integrată a riscurilor naturale si biologico-sociale inclusiv prin digitalizare și consolidarea parteneriatelor interinstituționale</w:t>
            </w:r>
          </w:p>
          <w:p w14:paraId="73F02404" w14:textId="77777777" w:rsidR="00AA3FFF" w:rsidRPr="00CD2ADD" w:rsidRDefault="00AA3FFF" w:rsidP="00AA3FFF">
            <w:pPr>
              <w:rPr>
                <w:i/>
                <w:iCs/>
                <w:sz w:val="20"/>
                <w:szCs w:val="20"/>
                <w:u w:val="single"/>
              </w:rPr>
            </w:pPr>
            <w:r w:rsidRPr="00CD2ADD">
              <w:rPr>
                <w:i/>
                <w:iCs/>
                <w:sz w:val="20"/>
                <w:szCs w:val="20"/>
                <w:u w:val="single"/>
              </w:rPr>
              <w:t>Contribuie la: ODD 1 -Ținta 1.5, ODD 3 -Ținta 3.d, ODD 9 - Ținta 9.1, ODD 11 - Ținta 11.5, ODD 13 - Ținta 13.1</w:t>
            </w:r>
          </w:p>
        </w:tc>
      </w:tr>
      <w:tr w:rsidR="00AA3FFF" w:rsidRPr="00CD2ADD" w14:paraId="3D9DFC36" w14:textId="77777777" w:rsidTr="002C4956">
        <w:tc>
          <w:tcPr>
            <w:tcW w:w="15388" w:type="dxa"/>
            <w:gridSpan w:val="15"/>
            <w:shd w:val="clear" w:color="auto" w:fill="D9F2D0" w:themeFill="accent6" w:themeFillTint="33"/>
          </w:tcPr>
          <w:p w14:paraId="21405F8A" w14:textId="77777777" w:rsidR="00AA3FFF" w:rsidRPr="00CD2ADD" w:rsidRDefault="00AA3FFF" w:rsidP="00AA3FFF">
            <w:pPr>
              <w:rPr>
                <w:b/>
                <w:bCs/>
                <w:sz w:val="20"/>
                <w:szCs w:val="20"/>
              </w:rPr>
            </w:pPr>
            <w:r w:rsidRPr="00CD2ADD">
              <w:rPr>
                <w:b/>
                <w:bCs/>
                <w:sz w:val="20"/>
                <w:szCs w:val="20"/>
              </w:rPr>
              <w:t>Obiectiv specific 2.1: Până în 2030, cadrul legislativ din sectorul de mediu este armonizat și aliniat principiilor reducerii riscurilor de dezastre naturale și biologico-sociale, integrând dimensiunea mobilității umane și conexiunile migrație–mediu–climă.</w:t>
            </w:r>
          </w:p>
        </w:tc>
      </w:tr>
      <w:tr w:rsidR="00AA3FFF" w:rsidRPr="00CD2ADD" w14:paraId="6094F43A" w14:textId="77777777" w:rsidTr="002C4956">
        <w:tc>
          <w:tcPr>
            <w:tcW w:w="514" w:type="dxa"/>
          </w:tcPr>
          <w:p w14:paraId="70E17D9A" w14:textId="5867DA6E" w:rsidR="00AA3FFF" w:rsidRPr="00CD2ADD" w:rsidRDefault="00AA3FFF" w:rsidP="00AA3FFF">
            <w:pPr>
              <w:rPr>
                <w:sz w:val="20"/>
                <w:szCs w:val="20"/>
              </w:rPr>
            </w:pPr>
            <w:r w:rsidRPr="00CD2ADD">
              <w:rPr>
                <w:sz w:val="20"/>
                <w:szCs w:val="20"/>
              </w:rPr>
              <w:t>1</w:t>
            </w:r>
            <w:r w:rsidR="007D02B4" w:rsidRPr="00CD2ADD">
              <w:rPr>
                <w:sz w:val="20"/>
                <w:szCs w:val="20"/>
              </w:rPr>
              <w:t>4</w:t>
            </w:r>
            <w:r w:rsidRPr="00CD2ADD">
              <w:rPr>
                <w:sz w:val="20"/>
                <w:szCs w:val="20"/>
              </w:rPr>
              <w:t>.</w:t>
            </w:r>
          </w:p>
        </w:tc>
        <w:tc>
          <w:tcPr>
            <w:tcW w:w="2033" w:type="dxa"/>
          </w:tcPr>
          <w:p w14:paraId="159C82EC" w14:textId="77777777" w:rsidR="00AA3FFF" w:rsidRPr="00CD2ADD" w:rsidRDefault="00AA3FFF" w:rsidP="00AA3FFF">
            <w:pPr>
              <w:rPr>
                <w:sz w:val="20"/>
                <w:szCs w:val="20"/>
              </w:rPr>
            </w:pPr>
            <w:r w:rsidRPr="00CD2ADD">
              <w:rPr>
                <w:sz w:val="20"/>
                <w:szCs w:val="20"/>
              </w:rPr>
              <w:t>2.1.1 Evaluarea detaliată a cadrului legislativ și instituțional din perspectiva reducerii riscurilor de dezastre naturale, biologico-sociale și a mobilității umane în domeniul mediului</w:t>
            </w:r>
          </w:p>
        </w:tc>
        <w:tc>
          <w:tcPr>
            <w:tcW w:w="1701" w:type="dxa"/>
          </w:tcPr>
          <w:p w14:paraId="30574285" w14:textId="77777777" w:rsidR="00AA3FFF" w:rsidRPr="00CD2ADD" w:rsidRDefault="00AA3FFF" w:rsidP="00AA3FFF">
            <w:pPr>
              <w:rPr>
                <w:sz w:val="20"/>
                <w:szCs w:val="20"/>
              </w:rPr>
            </w:pPr>
            <w:r w:rsidRPr="00CD2ADD">
              <w:rPr>
                <w:sz w:val="20"/>
                <w:szCs w:val="20"/>
              </w:rPr>
              <w:t>- 1 raport de evaluare a cadrului legislativ și instituțional realizat</w:t>
            </w:r>
          </w:p>
          <w:p w14:paraId="1E9FB74B" w14:textId="77777777" w:rsidR="00AA3FFF" w:rsidRPr="00CD2ADD" w:rsidRDefault="00AA3FFF" w:rsidP="00AA3FFF">
            <w:pPr>
              <w:rPr>
                <w:sz w:val="20"/>
                <w:szCs w:val="20"/>
              </w:rPr>
            </w:pPr>
            <w:r w:rsidRPr="00CD2ADD">
              <w:rPr>
                <w:sz w:val="20"/>
                <w:szCs w:val="20"/>
              </w:rPr>
              <w:t>-1 set de recomandări de armonizare legislativă și întărirea cadrului instituțional</w:t>
            </w:r>
          </w:p>
        </w:tc>
        <w:tc>
          <w:tcPr>
            <w:tcW w:w="850" w:type="dxa"/>
          </w:tcPr>
          <w:p w14:paraId="70477CF4" w14:textId="77777777" w:rsidR="00AA3FFF" w:rsidRPr="00CD2ADD" w:rsidRDefault="00AA3FFF" w:rsidP="00AA3FFF">
            <w:pPr>
              <w:rPr>
                <w:sz w:val="20"/>
                <w:szCs w:val="20"/>
              </w:rPr>
            </w:pPr>
            <w:r w:rsidRPr="00CD2ADD">
              <w:rPr>
                <w:sz w:val="20"/>
                <w:szCs w:val="20"/>
              </w:rPr>
              <w:t>200</w:t>
            </w:r>
          </w:p>
        </w:tc>
        <w:tc>
          <w:tcPr>
            <w:tcW w:w="851" w:type="dxa"/>
          </w:tcPr>
          <w:p w14:paraId="01918C23" w14:textId="77777777" w:rsidR="00AA3FFF" w:rsidRPr="00CD2ADD" w:rsidRDefault="00AA3FFF" w:rsidP="00AA3FFF">
            <w:pPr>
              <w:rPr>
                <w:sz w:val="20"/>
                <w:szCs w:val="20"/>
              </w:rPr>
            </w:pPr>
          </w:p>
        </w:tc>
        <w:tc>
          <w:tcPr>
            <w:tcW w:w="709" w:type="dxa"/>
          </w:tcPr>
          <w:p w14:paraId="47B9D8FB" w14:textId="77777777" w:rsidR="00AA3FFF" w:rsidRPr="00CD2ADD" w:rsidRDefault="00AA3FFF" w:rsidP="00AA3FFF">
            <w:pPr>
              <w:rPr>
                <w:sz w:val="20"/>
                <w:szCs w:val="20"/>
              </w:rPr>
            </w:pPr>
          </w:p>
        </w:tc>
        <w:tc>
          <w:tcPr>
            <w:tcW w:w="992" w:type="dxa"/>
          </w:tcPr>
          <w:p w14:paraId="3FC5ECDA" w14:textId="77777777" w:rsidR="00AA3FFF" w:rsidRPr="00CD2ADD" w:rsidRDefault="00AA3FFF" w:rsidP="00AA3FFF">
            <w:pPr>
              <w:rPr>
                <w:sz w:val="20"/>
                <w:szCs w:val="20"/>
              </w:rPr>
            </w:pPr>
            <w:r w:rsidRPr="00CD2ADD">
              <w:rPr>
                <w:sz w:val="20"/>
                <w:szCs w:val="20"/>
              </w:rPr>
              <w:t>200</w:t>
            </w:r>
          </w:p>
        </w:tc>
        <w:tc>
          <w:tcPr>
            <w:tcW w:w="1134" w:type="dxa"/>
          </w:tcPr>
          <w:p w14:paraId="271C3A11" w14:textId="77777777" w:rsidR="00AA3FFF" w:rsidRPr="00CD2ADD" w:rsidRDefault="00AA3FFF" w:rsidP="00AA3FFF">
            <w:pPr>
              <w:rPr>
                <w:sz w:val="20"/>
                <w:szCs w:val="20"/>
              </w:rPr>
            </w:pPr>
            <w:r w:rsidRPr="00CD2ADD">
              <w:rPr>
                <w:sz w:val="20"/>
                <w:szCs w:val="20"/>
              </w:rPr>
              <w:t>7001</w:t>
            </w:r>
          </w:p>
          <w:p w14:paraId="00EC73F9" w14:textId="77777777" w:rsidR="00AA3FFF" w:rsidRPr="00CD2ADD" w:rsidRDefault="00AA3FFF" w:rsidP="00AA3FFF">
            <w:pPr>
              <w:rPr>
                <w:sz w:val="20"/>
                <w:szCs w:val="20"/>
              </w:rPr>
            </w:pPr>
            <w:r w:rsidRPr="00CD2ADD">
              <w:rPr>
                <w:sz w:val="20"/>
                <w:szCs w:val="20"/>
              </w:rPr>
              <w:t>8001</w:t>
            </w:r>
          </w:p>
        </w:tc>
        <w:tc>
          <w:tcPr>
            <w:tcW w:w="709" w:type="dxa"/>
          </w:tcPr>
          <w:p w14:paraId="0A29CA1D" w14:textId="77777777" w:rsidR="00AA3FFF" w:rsidRPr="00CD2ADD" w:rsidRDefault="00AA3FFF" w:rsidP="00AA3FFF">
            <w:pPr>
              <w:rPr>
                <w:sz w:val="20"/>
                <w:szCs w:val="20"/>
              </w:rPr>
            </w:pPr>
          </w:p>
        </w:tc>
        <w:tc>
          <w:tcPr>
            <w:tcW w:w="708" w:type="dxa"/>
          </w:tcPr>
          <w:p w14:paraId="003B65ED" w14:textId="77777777" w:rsidR="00AA3FFF" w:rsidRPr="00CD2ADD" w:rsidRDefault="00AA3FFF" w:rsidP="00AA3FFF">
            <w:pPr>
              <w:rPr>
                <w:sz w:val="20"/>
                <w:szCs w:val="20"/>
              </w:rPr>
            </w:pPr>
            <w:r w:rsidRPr="00CD2ADD">
              <w:rPr>
                <w:sz w:val="20"/>
                <w:szCs w:val="20"/>
              </w:rPr>
              <w:t>200</w:t>
            </w:r>
          </w:p>
        </w:tc>
        <w:tc>
          <w:tcPr>
            <w:tcW w:w="709" w:type="dxa"/>
          </w:tcPr>
          <w:p w14:paraId="01C1D43C" w14:textId="77777777" w:rsidR="00AA3FFF" w:rsidRPr="00CD2ADD" w:rsidRDefault="00AA3FFF" w:rsidP="00AA3FFF">
            <w:pPr>
              <w:rPr>
                <w:sz w:val="20"/>
                <w:szCs w:val="20"/>
              </w:rPr>
            </w:pPr>
          </w:p>
        </w:tc>
        <w:tc>
          <w:tcPr>
            <w:tcW w:w="709" w:type="dxa"/>
          </w:tcPr>
          <w:p w14:paraId="03F7B431" w14:textId="77777777" w:rsidR="00AA3FFF" w:rsidRPr="00CD2ADD" w:rsidRDefault="00AA3FFF" w:rsidP="00AA3FFF">
            <w:pPr>
              <w:rPr>
                <w:sz w:val="20"/>
                <w:szCs w:val="20"/>
              </w:rPr>
            </w:pPr>
          </w:p>
        </w:tc>
        <w:tc>
          <w:tcPr>
            <w:tcW w:w="709" w:type="dxa"/>
          </w:tcPr>
          <w:p w14:paraId="50C8705A" w14:textId="77777777" w:rsidR="00AA3FFF" w:rsidRPr="00CD2ADD" w:rsidRDefault="00AA3FFF" w:rsidP="00AA3FFF">
            <w:pPr>
              <w:rPr>
                <w:sz w:val="20"/>
                <w:szCs w:val="20"/>
              </w:rPr>
            </w:pPr>
          </w:p>
        </w:tc>
        <w:tc>
          <w:tcPr>
            <w:tcW w:w="1134" w:type="dxa"/>
          </w:tcPr>
          <w:p w14:paraId="348B039D" w14:textId="77777777" w:rsidR="00AA3FFF" w:rsidRPr="00CD2ADD" w:rsidRDefault="00AA3FFF" w:rsidP="00AA3FFF">
            <w:pPr>
              <w:rPr>
                <w:sz w:val="20"/>
                <w:szCs w:val="20"/>
              </w:rPr>
            </w:pPr>
            <w:r w:rsidRPr="00CD2ADD">
              <w:rPr>
                <w:sz w:val="20"/>
                <w:szCs w:val="20"/>
              </w:rPr>
              <w:t>Trim. II 2027</w:t>
            </w:r>
          </w:p>
        </w:tc>
        <w:tc>
          <w:tcPr>
            <w:tcW w:w="1926" w:type="dxa"/>
          </w:tcPr>
          <w:p w14:paraId="54166C7C" w14:textId="77777777" w:rsidR="00AA3FFF" w:rsidRPr="00CD2ADD" w:rsidRDefault="00AA3FFF" w:rsidP="00AA3FFF">
            <w:pPr>
              <w:rPr>
                <w:sz w:val="20"/>
                <w:szCs w:val="20"/>
              </w:rPr>
            </w:pPr>
            <w:r w:rsidRPr="00CD2ADD">
              <w:rPr>
                <w:sz w:val="20"/>
                <w:szCs w:val="20"/>
              </w:rPr>
              <w:t>Ministerul Mediului,</w:t>
            </w:r>
          </w:p>
          <w:p w14:paraId="7B4CB1B3" w14:textId="77777777" w:rsidR="00AA3FFF" w:rsidRPr="00CD2ADD" w:rsidRDefault="00AA3FFF" w:rsidP="00AA3FFF">
            <w:pPr>
              <w:rPr>
                <w:sz w:val="20"/>
                <w:szCs w:val="20"/>
              </w:rPr>
            </w:pPr>
            <w:r w:rsidRPr="00CD2ADD">
              <w:rPr>
                <w:sz w:val="20"/>
                <w:szCs w:val="20"/>
              </w:rPr>
              <w:t>Ministerul Sănătății</w:t>
            </w:r>
          </w:p>
          <w:p w14:paraId="484A2C5E" w14:textId="77777777" w:rsidR="00AA3FFF" w:rsidRPr="00CD2ADD" w:rsidRDefault="00AA3FFF" w:rsidP="00AA3FFF">
            <w:pPr>
              <w:rPr>
                <w:sz w:val="20"/>
                <w:szCs w:val="20"/>
              </w:rPr>
            </w:pPr>
            <w:r w:rsidRPr="00CD2ADD">
              <w:rPr>
                <w:sz w:val="20"/>
                <w:szCs w:val="20"/>
              </w:rPr>
              <w:t>Cancelaria de Stat</w:t>
            </w:r>
          </w:p>
        </w:tc>
      </w:tr>
      <w:tr w:rsidR="00AA3FFF" w:rsidRPr="00CD2ADD" w14:paraId="7226E631" w14:textId="77777777" w:rsidTr="002C4956">
        <w:tc>
          <w:tcPr>
            <w:tcW w:w="514" w:type="dxa"/>
          </w:tcPr>
          <w:p w14:paraId="4D6A4C5B" w14:textId="0D887725" w:rsidR="00AA3FFF" w:rsidRPr="00CD2ADD" w:rsidRDefault="00AA3FFF" w:rsidP="00AA3FFF">
            <w:pPr>
              <w:rPr>
                <w:sz w:val="20"/>
                <w:szCs w:val="20"/>
              </w:rPr>
            </w:pPr>
            <w:r w:rsidRPr="00CD2ADD">
              <w:rPr>
                <w:sz w:val="20"/>
                <w:szCs w:val="20"/>
              </w:rPr>
              <w:t>1</w:t>
            </w:r>
            <w:r w:rsidR="007D02B4" w:rsidRPr="00CD2ADD">
              <w:rPr>
                <w:sz w:val="20"/>
                <w:szCs w:val="20"/>
              </w:rPr>
              <w:t>5</w:t>
            </w:r>
            <w:r w:rsidRPr="00CD2ADD">
              <w:rPr>
                <w:sz w:val="20"/>
                <w:szCs w:val="20"/>
              </w:rPr>
              <w:t>.</w:t>
            </w:r>
          </w:p>
        </w:tc>
        <w:tc>
          <w:tcPr>
            <w:tcW w:w="2033" w:type="dxa"/>
          </w:tcPr>
          <w:p w14:paraId="02001F7F" w14:textId="50AFFC3B" w:rsidR="00AA3FFF" w:rsidRPr="00CD2ADD" w:rsidRDefault="00AA3FFF" w:rsidP="00AA3FFF">
            <w:pPr>
              <w:rPr>
                <w:sz w:val="20"/>
                <w:szCs w:val="20"/>
              </w:rPr>
            </w:pPr>
            <w:r w:rsidRPr="00CD2ADD">
              <w:rPr>
                <w:sz w:val="20"/>
                <w:szCs w:val="20"/>
              </w:rPr>
              <w:t xml:space="preserve">2.1.2 Elaborarea Ghidului privind acțiunile autorităților administrației publice locale de atenuare </w:t>
            </w:r>
            <w:r w:rsidRPr="00CD2ADD">
              <w:rPr>
                <w:sz w:val="20"/>
                <w:szCs w:val="20"/>
              </w:rPr>
              <w:lastRenderedPageBreak/>
              <w:t>RRD și adaptare la schimbările climatice pentru elaborarea  Planurilor de acțiuni sustenabile energie si clima (PASEC)  cu integrarea componentei de riscuri naturale și biologico sociale</w:t>
            </w:r>
          </w:p>
        </w:tc>
        <w:tc>
          <w:tcPr>
            <w:tcW w:w="1701" w:type="dxa"/>
          </w:tcPr>
          <w:p w14:paraId="59C4F5D8" w14:textId="77777777" w:rsidR="00AA3FFF" w:rsidRPr="00CD2ADD" w:rsidRDefault="00AA3FFF" w:rsidP="00AA3FFF">
            <w:pPr>
              <w:rPr>
                <w:color w:val="000000" w:themeColor="text1"/>
                <w:sz w:val="20"/>
                <w:szCs w:val="20"/>
              </w:rPr>
            </w:pPr>
            <w:r w:rsidRPr="00CD2ADD">
              <w:rPr>
                <w:color w:val="000000" w:themeColor="text1"/>
                <w:sz w:val="20"/>
                <w:szCs w:val="20"/>
              </w:rPr>
              <w:lastRenderedPageBreak/>
              <w:t>- Ghid  aprobat</w:t>
            </w:r>
          </w:p>
          <w:p w14:paraId="74184DD6" w14:textId="2C983695" w:rsidR="00AA3FFF" w:rsidRPr="00CD2ADD" w:rsidRDefault="007D02B4" w:rsidP="00AA3FFF">
            <w:pPr>
              <w:rPr>
                <w:color w:val="000000" w:themeColor="text1"/>
                <w:sz w:val="20"/>
                <w:szCs w:val="20"/>
              </w:rPr>
            </w:pPr>
            <w:r w:rsidRPr="00CD2ADD">
              <w:rPr>
                <w:color w:val="000000" w:themeColor="text1"/>
                <w:sz w:val="20"/>
                <w:szCs w:val="20"/>
              </w:rPr>
              <w:t>-P</w:t>
            </w:r>
            <w:r w:rsidR="00AA3FFF" w:rsidRPr="00CD2ADD">
              <w:rPr>
                <w:color w:val="000000" w:themeColor="text1"/>
                <w:sz w:val="20"/>
                <w:szCs w:val="20"/>
              </w:rPr>
              <w:t xml:space="preserve">lanuri de acțiune cu integrarea RRD  </w:t>
            </w:r>
            <w:r w:rsidR="00AA3FFF" w:rsidRPr="00CD2ADD">
              <w:rPr>
                <w:color w:val="000000" w:themeColor="text1"/>
                <w:sz w:val="20"/>
                <w:szCs w:val="20"/>
              </w:rPr>
              <w:lastRenderedPageBreak/>
              <w:t xml:space="preserve">elaborate </w:t>
            </w:r>
            <w:r w:rsidRPr="00CD2ADD">
              <w:rPr>
                <w:color w:val="000000" w:themeColor="text1"/>
                <w:sz w:val="20"/>
                <w:szCs w:val="20"/>
              </w:rPr>
              <w:t>(minim 10)</w:t>
            </w:r>
          </w:p>
          <w:p w14:paraId="636F10F0" w14:textId="470A5C4E" w:rsidR="00AA3FFF" w:rsidRPr="00CD2ADD" w:rsidRDefault="00AA3FFF" w:rsidP="00AA3FFF">
            <w:pPr>
              <w:rPr>
                <w:sz w:val="20"/>
                <w:szCs w:val="20"/>
              </w:rPr>
            </w:pPr>
            <w:r w:rsidRPr="00CD2ADD">
              <w:rPr>
                <w:color w:val="000000" w:themeColor="text1"/>
                <w:sz w:val="20"/>
                <w:szCs w:val="20"/>
              </w:rPr>
              <w:t>-  rapoarte privind implementarea PASEC-lor elaborate și prezentate</w:t>
            </w:r>
            <w:r w:rsidR="007D02B4" w:rsidRPr="00CD2ADD">
              <w:rPr>
                <w:color w:val="000000" w:themeColor="text1"/>
                <w:sz w:val="20"/>
                <w:szCs w:val="20"/>
              </w:rPr>
              <w:t xml:space="preserve"> (minim 10)</w:t>
            </w:r>
          </w:p>
        </w:tc>
        <w:tc>
          <w:tcPr>
            <w:tcW w:w="850" w:type="dxa"/>
          </w:tcPr>
          <w:p w14:paraId="36E9AD51" w14:textId="77777777" w:rsidR="00AA3FFF" w:rsidRPr="00CD2ADD" w:rsidRDefault="00AA3FFF" w:rsidP="00AA3FFF">
            <w:pPr>
              <w:rPr>
                <w:sz w:val="20"/>
                <w:szCs w:val="20"/>
              </w:rPr>
            </w:pPr>
            <w:r w:rsidRPr="00CD2ADD">
              <w:rPr>
                <w:sz w:val="20"/>
                <w:szCs w:val="20"/>
              </w:rPr>
              <w:lastRenderedPageBreak/>
              <w:t>720</w:t>
            </w:r>
          </w:p>
        </w:tc>
        <w:tc>
          <w:tcPr>
            <w:tcW w:w="851" w:type="dxa"/>
          </w:tcPr>
          <w:p w14:paraId="3DAAC601" w14:textId="77777777" w:rsidR="00AA3FFF" w:rsidRPr="00CD2ADD" w:rsidRDefault="00AA3FFF" w:rsidP="00AA3FFF">
            <w:pPr>
              <w:rPr>
                <w:sz w:val="20"/>
                <w:szCs w:val="20"/>
              </w:rPr>
            </w:pPr>
          </w:p>
        </w:tc>
        <w:tc>
          <w:tcPr>
            <w:tcW w:w="709" w:type="dxa"/>
          </w:tcPr>
          <w:p w14:paraId="5B7AFC70" w14:textId="77777777" w:rsidR="00AA3FFF" w:rsidRPr="00CD2ADD" w:rsidRDefault="00AA3FFF" w:rsidP="00AA3FFF">
            <w:pPr>
              <w:rPr>
                <w:sz w:val="20"/>
                <w:szCs w:val="20"/>
              </w:rPr>
            </w:pPr>
            <w:r w:rsidRPr="00CD2ADD">
              <w:rPr>
                <w:sz w:val="20"/>
                <w:szCs w:val="20"/>
              </w:rPr>
              <w:t>720</w:t>
            </w:r>
          </w:p>
        </w:tc>
        <w:tc>
          <w:tcPr>
            <w:tcW w:w="992" w:type="dxa"/>
          </w:tcPr>
          <w:p w14:paraId="183339FE" w14:textId="77777777" w:rsidR="00AA3FFF" w:rsidRPr="00CD2ADD" w:rsidRDefault="00AA3FFF" w:rsidP="00AA3FFF">
            <w:pPr>
              <w:rPr>
                <w:sz w:val="20"/>
                <w:szCs w:val="20"/>
              </w:rPr>
            </w:pPr>
          </w:p>
        </w:tc>
        <w:tc>
          <w:tcPr>
            <w:tcW w:w="1134" w:type="dxa"/>
          </w:tcPr>
          <w:p w14:paraId="00448EEF" w14:textId="77777777" w:rsidR="00AA3FFF" w:rsidRPr="00CD2ADD" w:rsidRDefault="00AA3FFF" w:rsidP="00AA3FFF">
            <w:pPr>
              <w:rPr>
                <w:sz w:val="20"/>
                <w:szCs w:val="20"/>
              </w:rPr>
            </w:pPr>
            <w:r w:rsidRPr="00CD2ADD">
              <w:rPr>
                <w:sz w:val="20"/>
                <w:szCs w:val="20"/>
              </w:rPr>
              <w:t>7011</w:t>
            </w:r>
          </w:p>
        </w:tc>
        <w:tc>
          <w:tcPr>
            <w:tcW w:w="709" w:type="dxa"/>
          </w:tcPr>
          <w:p w14:paraId="612C0924" w14:textId="77777777" w:rsidR="00AA3FFF" w:rsidRPr="00CD2ADD" w:rsidRDefault="00AA3FFF" w:rsidP="00AA3FFF">
            <w:pPr>
              <w:rPr>
                <w:sz w:val="20"/>
                <w:szCs w:val="20"/>
              </w:rPr>
            </w:pPr>
            <w:r w:rsidRPr="00CD2ADD">
              <w:rPr>
                <w:sz w:val="20"/>
                <w:szCs w:val="20"/>
              </w:rPr>
              <w:t>120</w:t>
            </w:r>
          </w:p>
        </w:tc>
        <w:tc>
          <w:tcPr>
            <w:tcW w:w="708" w:type="dxa"/>
          </w:tcPr>
          <w:p w14:paraId="71678B42" w14:textId="77777777" w:rsidR="00AA3FFF" w:rsidRPr="00CD2ADD" w:rsidRDefault="00AA3FFF" w:rsidP="00AA3FFF">
            <w:pPr>
              <w:rPr>
                <w:sz w:val="20"/>
                <w:szCs w:val="20"/>
              </w:rPr>
            </w:pPr>
            <w:r w:rsidRPr="00CD2ADD">
              <w:rPr>
                <w:sz w:val="20"/>
                <w:szCs w:val="20"/>
              </w:rPr>
              <w:t>300</w:t>
            </w:r>
          </w:p>
        </w:tc>
        <w:tc>
          <w:tcPr>
            <w:tcW w:w="709" w:type="dxa"/>
          </w:tcPr>
          <w:p w14:paraId="2C5661C2" w14:textId="77777777" w:rsidR="00AA3FFF" w:rsidRPr="00CD2ADD" w:rsidRDefault="00AA3FFF" w:rsidP="00AA3FFF">
            <w:pPr>
              <w:rPr>
                <w:sz w:val="20"/>
                <w:szCs w:val="20"/>
              </w:rPr>
            </w:pPr>
            <w:r w:rsidRPr="00CD2ADD">
              <w:rPr>
                <w:sz w:val="20"/>
                <w:szCs w:val="20"/>
              </w:rPr>
              <w:t>300</w:t>
            </w:r>
          </w:p>
        </w:tc>
        <w:tc>
          <w:tcPr>
            <w:tcW w:w="709" w:type="dxa"/>
          </w:tcPr>
          <w:p w14:paraId="08F10FD8" w14:textId="77777777" w:rsidR="00AA3FFF" w:rsidRPr="00CD2ADD" w:rsidRDefault="00AA3FFF" w:rsidP="00AA3FFF">
            <w:pPr>
              <w:rPr>
                <w:sz w:val="20"/>
                <w:szCs w:val="20"/>
              </w:rPr>
            </w:pPr>
          </w:p>
        </w:tc>
        <w:tc>
          <w:tcPr>
            <w:tcW w:w="709" w:type="dxa"/>
          </w:tcPr>
          <w:p w14:paraId="22F98612" w14:textId="77777777" w:rsidR="00AA3FFF" w:rsidRPr="00CD2ADD" w:rsidRDefault="00AA3FFF" w:rsidP="00AA3FFF">
            <w:pPr>
              <w:rPr>
                <w:sz w:val="20"/>
                <w:szCs w:val="20"/>
              </w:rPr>
            </w:pPr>
          </w:p>
        </w:tc>
        <w:tc>
          <w:tcPr>
            <w:tcW w:w="1134" w:type="dxa"/>
          </w:tcPr>
          <w:p w14:paraId="599927A5" w14:textId="77777777" w:rsidR="00AA3FFF" w:rsidRPr="00CD2ADD" w:rsidRDefault="00AA3FFF" w:rsidP="00AA3FFF">
            <w:pPr>
              <w:rPr>
                <w:sz w:val="20"/>
                <w:szCs w:val="20"/>
              </w:rPr>
            </w:pPr>
            <w:r w:rsidRPr="00CD2ADD">
              <w:rPr>
                <w:sz w:val="20"/>
                <w:szCs w:val="20"/>
              </w:rPr>
              <w:t xml:space="preserve">Trim. III </w:t>
            </w:r>
          </w:p>
          <w:p w14:paraId="6392CD3D" w14:textId="77777777" w:rsidR="00AA3FFF" w:rsidRPr="00CD2ADD" w:rsidRDefault="00AA3FFF" w:rsidP="00AA3FFF">
            <w:pPr>
              <w:rPr>
                <w:sz w:val="20"/>
                <w:szCs w:val="20"/>
              </w:rPr>
            </w:pPr>
            <w:r w:rsidRPr="00CD2ADD">
              <w:rPr>
                <w:sz w:val="20"/>
                <w:szCs w:val="20"/>
              </w:rPr>
              <w:t>2026</w:t>
            </w:r>
          </w:p>
          <w:p w14:paraId="11D8975F" w14:textId="77777777" w:rsidR="00AA3FFF" w:rsidRPr="00CD2ADD" w:rsidRDefault="00AA3FFF" w:rsidP="00AA3FFF">
            <w:pPr>
              <w:rPr>
                <w:sz w:val="20"/>
                <w:szCs w:val="20"/>
              </w:rPr>
            </w:pPr>
          </w:p>
          <w:p w14:paraId="3D33D4CE" w14:textId="77777777" w:rsidR="00AA3FFF" w:rsidRPr="00CD2ADD" w:rsidRDefault="00AA3FFF" w:rsidP="00AA3FFF">
            <w:pPr>
              <w:rPr>
                <w:sz w:val="20"/>
                <w:szCs w:val="20"/>
              </w:rPr>
            </w:pPr>
            <w:r w:rsidRPr="00CD2ADD">
              <w:rPr>
                <w:sz w:val="20"/>
                <w:szCs w:val="20"/>
              </w:rPr>
              <w:t>Anual</w:t>
            </w:r>
          </w:p>
        </w:tc>
        <w:tc>
          <w:tcPr>
            <w:tcW w:w="1926" w:type="dxa"/>
          </w:tcPr>
          <w:p w14:paraId="0877ACA5" w14:textId="77777777" w:rsidR="00AA3FFF" w:rsidRPr="00CD2ADD" w:rsidRDefault="00AA3FFF" w:rsidP="00AA3FFF">
            <w:pPr>
              <w:rPr>
                <w:sz w:val="20"/>
                <w:szCs w:val="20"/>
              </w:rPr>
            </w:pPr>
            <w:r w:rsidRPr="00CD2ADD">
              <w:rPr>
                <w:color w:val="000000" w:themeColor="text1"/>
                <w:sz w:val="20"/>
                <w:szCs w:val="20"/>
              </w:rPr>
              <w:t xml:space="preserve">Ministerul Mediului, APL-uri,  </w:t>
            </w:r>
          </w:p>
        </w:tc>
      </w:tr>
      <w:tr w:rsidR="00AA3FFF" w:rsidRPr="00CD2ADD" w14:paraId="5A169C96" w14:textId="77777777" w:rsidTr="002C4956">
        <w:tc>
          <w:tcPr>
            <w:tcW w:w="514" w:type="dxa"/>
          </w:tcPr>
          <w:p w14:paraId="6CAEB5BA" w14:textId="0A38404F" w:rsidR="00AA3FFF" w:rsidRPr="00CD2ADD" w:rsidRDefault="00AA3FFF" w:rsidP="00AA3FFF">
            <w:pPr>
              <w:rPr>
                <w:sz w:val="20"/>
                <w:szCs w:val="20"/>
              </w:rPr>
            </w:pPr>
            <w:r w:rsidRPr="00CD2ADD">
              <w:rPr>
                <w:sz w:val="20"/>
                <w:szCs w:val="20"/>
              </w:rPr>
              <w:t>1</w:t>
            </w:r>
            <w:r w:rsidR="00385A7C" w:rsidRPr="00CD2ADD">
              <w:rPr>
                <w:sz w:val="20"/>
                <w:szCs w:val="20"/>
              </w:rPr>
              <w:t>6.</w:t>
            </w:r>
          </w:p>
        </w:tc>
        <w:tc>
          <w:tcPr>
            <w:tcW w:w="2033" w:type="dxa"/>
          </w:tcPr>
          <w:p w14:paraId="057E9443" w14:textId="7AFD191E" w:rsidR="00AA3FFF" w:rsidRPr="00CD2ADD" w:rsidRDefault="00AA3FFF" w:rsidP="00AA3FFF">
            <w:pPr>
              <w:rPr>
                <w:color w:val="000000" w:themeColor="text1"/>
                <w:sz w:val="20"/>
                <w:szCs w:val="20"/>
              </w:rPr>
            </w:pPr>
            <w:r w:rsidRPr="00CD2ADD">
              <w:rPr>
                <w:color w:val="000000" w:themeColor="text1"/>
                <w:sz w:val="20"/>
                <w:szCs w:val="20"/>
              </w:rPr>
              <w:t>2.1.</w:t>
            </w:r>
            <w:r w:rsidR="00385A7C" w:rsidRPr="00CD2ADD">
              <w:rPr>
                <w:color w:val="000000" w:themeColor="text1"/>
                <w:sz w:val="20"/>
                <w:szCs w:val="20"/>
              </w:rPr>
              <w:t>3</w:t>
            </w:r>
            <w:r w:rsidRPr="00CD2ADD">
              <w:rPr>
                <w:color w:val="000000" w:themeColor="text1"/>
                <w:sz w:val="20"/>
                <w:szCs w:val="20"/>
              </w:rPr>
              <w:t xml:space="preserve"> Actualizare HG nr. 864/2020 privind Programul de îmbunătățiri funciare în scopul asigurării managementului durabil al resurselor de sol pentru anii 2025-2030 și a Planului de acțiuni pentru anii 2025-2030  privind implementarea acestuia</w:t>
            </w:r>
          </w:p>
        </w:tc>
        <w:tc>
          <w:tcPr>
            <w:tcW w:w="1701" w:type="dxa"/>
          </w:tcPr>
          <w:p w14:paraId="640A9332" w14:textId="77777777" w:rsidR="00AA3FFF" w:rsidRPr="00CD2ADD" w:rsidRDefault="00AA3FFF" w:rsidP="00AA3FFF">
            <w:pPr>
              <w:rPr>
                <w:color w:val="000000" w:themeColor="text1"/>
                <w:sz w:val="20"/>
                <w:szCs w:val="20"/>
              </w:rPr>
            </w:pPr>
            <w:r w:rsidRPr="00CD2ADD">
              <w:rPr>
                <w:color w:val="000000" w:themeColor="text1"/>
                <w:sz w:val="20"/>
                <w:szCs w:val="20"/>
              </w:rPr>
              <w:t>- Masurile din HG. 864/2020 actualizate pentru anii 2025-2030</w:t>
            </w:r>
          </w:p>
        </w:tc>
        <w:tc>
          <w:tcPr>
            <w:tcW w:w="850" w:type="dxa"/>
          </w:tcPr>
          <w:p w14:paraId="04BDE299" w14:textId="77777777" w:rsidR="00AA3FFF" w:rsidRPr="00CD2ADD" w:rsidRDefault="00AA3FFF" w:rsidP="00AA3FFF">
            <w:pPr>
              <w:rPr>
                <w:color w:val="000000" w:themeColor="text1"/>
                <w:sz w:val="20"/>
                <w:szCs w:val="20"/>
              </w:rPr>
            </w:pPr>
            <w:r w:rsidRPr="00CD2ADD">
              <w:rPr>
                <w:color w:val="000000" w:themeColor="text1"/>
                <w:sz w:val="20"/>
                <w:szCs w:val="20"/>
              </w:rPr>
              <w:t>300</w:t>
            </w:r>
          </w:p>
        </w:tc>
        <w:tc>
          <w:tcPr>
            <w:tcW w:w="851" w:type="dxa"/>
          </w:tcPr>
          <w:p w14:paraId="03AABD9C" w14:textId="77777777" w:rsidR="00AA3FFF" w:rsidRPr="00CD2ADD" w:rsidRDefault="00AA3FFF" w:rsidP="00AA3FFF">
            <w:pPr>
              <w:rPr>
                <w:color w:val="000000" w:themeColor="text1"/>
                <w:sz w:val="20"/>
                <w:szCs w:val="20"/>
              </w:rPr>
            </w:pPr>
            <w:r w:rsidRPr="00CD2ADD">
              <w:rPr>
                <w:color w:val="000000" w:themeColor="text1"/>
                <w:sz w:val="20"/>
                <w:szCs w:val="20"/>
              </w:rPr>
              <w:t>300</w:t>
            </w:r>
          </w:p>
        </w:tc>
        <w:tc>
          <w:tcPr>
            <w:tcW w:w="709" w:type="dxa"/>
          </w:tcPr>
          <w:p w14:paraId="4838BBB9" w14:textId="77777777" w:rsidR="00AA3FFF" w:rsidRPr="00CD2ADD" w:rsidRDefault="00AA3FFF" w:rsidP="00AA3FFF">
            <w:pPr>
              <w:rPr>
                <w:color w:val="000000" w:themeColor="text1"/>
                <w:sz w:val="20"/>
                <w:szCs w:val="20"/>
              </w:rPr>
            </w:pPr>
          </w:p>
        </w:tc>
        <w:tc>
          <w:tcPr>
            <w:tcW w:w="992" w:type="dxa"/>
          </w:tcPr>
          <w:p w14:paraId="43868EEF" w14:textId="77777777" w:rsidR="00AA3FFF" w:rsidRPr="00CD2ADD" w:rsidRDefault="00AA3FFF" w:rsidP="00AA3FFF">
            <w:pPr>
              <w:rPr>
                <w:color w:val="000000" w:themeColor="text1"/>
                <w:sz w:val="20"/>
                <w:szCs w:val="20"/>
              </w:rPr>
            </w:pPr>
          </w:p>
        </w:tc>
        <w:tc>
          <w:tcPr>
            <w:tcW w:w="1134" w:type="dxa"/>
          </w:tcPr>
          <w:p w14:paraId="1C2641CA" w14:textId="77777777" w:rsidR="00AA3FFF" w:rsidRPr="00CD2ADD" w:rsidRDefault="00AA3FFF" w:rsidP="00AA3FFF">
            <w:pPr>
              <w:rPr>
                <w:color w:val="000000" w:themeColor="text1"/>
                <w:sz w:val="20"/>
                <w:szCs w:val="20"/>
              </w:rPr>
            </w:pPr>
            <w:r w:rsidRPr="00CD2ADD">
              <w:rPr>
                <w:color w:val="000000" w:themeColor="text1"/>
                <w:sz w:val="20"/>
                <w:szCs w:val="20"/>
              </w:rPr>
              <w:t>5101</w:t>
            </w:r>
          </w:p>
        </w:tc>
        <w:tc>
          <w:tcPr>
            <w:tcW w:w="709" w:type="dxa"/>
          </w:tcPr>
          <w:p w14:paraId="02B6A97E" w14:textId="77777777" w:rsidR="00AA3FFF" w:rsidRPr="00CD2ADD" w:rsidRDefault="00AA3FFF" w:rsidP="00AA3FFF">
            <w:pPr>
              <w:rPr>
                <w:color w:val="000000" w:themeColor="text1"/>
                <w:sz w:val="20"/>
                <w:szCs w:val="20"/>
              </w:rPr>
            </w:pPr>
            <w:r w:rsidRPr="00CD2ADD">
              <w:rPr>
                <w:color w:val="000000" w:themeColor="text1"/>
                <w:sz w:val="20"/>
                <w:szCs w:val="20"/>
              </w:rPr>
              <w:t>300</w:t>
            </w:r>
          </w:p>
        </w:tc>
        <w:tc>
          <w:tcPr>
            <w:tcW w:w="708" w:type="dxa"/>
          </w:tcPr>
          <w:p w14:paraId="349108B6" w14:textId="77777777" w:rsidR="00AA3FFF" w:rsidRPr="00CD2ADD" w:rsidRDefault="00AA3FFF" w:rsidP="00AA3FFF">
            <w:pPr>
              <w:rPr>
                <w:color w:val="000000" w:themeColor="text1"/>
                <w:sz w:val="20"/>
                <w:szCs w:val="20"/>
              </w:rPr>
            </w:pPr>
          </w:p>
        </w:tc>
        <w:tc>
          <w:tcPr>
            <w:tcW w:w="709" w:type="dxa"/>
          </w:tcPr>
          <w:p w14:paraId="3B0801F7" w14:textId="77777777" w:rsidR="00AA3FFF" w:rsidRPr="00CD2ADD" w:rsidRDefault="00AA3FFF" w:rsidP="00AA3FFF">
            <w:pPr>
              <w:rPr>
                <w:color w:val="000000" w:themeColor="text1"/>
                <w:sz w:val="20"/>
                <w:szCs w:val="20"/>
              </w:rPr>
            </w:pPr>
          </w:p>
        </w:tc>
        <w:tc>
          <w:tcPr>
            <w:tcW w:w="709" w:type="dxa"/>
          </w:tcPr>
          <w:p w14:paraId="3D403506" w14:textId="77777777" w:rsidR="00AA3FFF" w:rsidRPr="00CD2ADD" w:rsidRDefault="00AA3FFF" w:rsidP="00AA3FFF">
            <w:pPr>
              <w:rPr>
                <w:color w:val="000000" w:themeColor="text1"/>
                <w:sz w:val="20"/>
                <w:szCs w:val="20"/>
              </w:rPr>
            </w:pPr>
          </w:p>
        </w:tc>
        <w:tc>
          <w:tcPr>
            <w:tcW w:w="709" w:type="dxa"/>
          </w:tcPr>
          <w:p w14:paraId="633F0E47" w14:textId="77777777" w:rsidR="00AA3FFF" w:rsidRPr="00CD2ADD" w:rsidRDefault="00AA3FFF" w:rsidP="00AA3FFF">
            <w:pPr>
              <w:rPr>
                <w:color w:val="000000" w:themeColor="text1"/>
                <w:sz w:val="20"/>
                <w:szCs w:val="20"/>
              </w:rPr>
            </w:pPr>
          </w:p>
        </w:tc>
        <w:tc>
          <w:tcPr>
            <w:tcW w:w="1134" w:type="dxa"/>
          </w:tcPr>
          <w:p w14:paraId="0513B79A" w14:textId="77777777" w:rsidR="00AA3FFF" w:rsidRPr="00CD2ADD" w:rsidRDefault="00AA3FFF" w:rsidP="00AA3FFF">
            <w:pPr>
              <w:rPr>
                <w:color w:val="000000" w:themeColor="text1"/>
                <w:sz w:val="20"/>
                <w:szCs w:val="20"/>
              </w:rPr>
            </w:pPr>
            <w:r w:rsidRPr="00CD2ADD">
              <w:rPr>
                <w:color w:val="000000" w:themeColor="text1"/>
                <w:sz w:val="20"/>
                <w:szCs w:val="20"/>
              </w:rPr>
              <w:t>Trim. IV 2026</w:t>
            </w:r>
          </w:p>
        </w:tc>
        <w:tc>
          <w:tcPr>
            <w:tcW w:w="1926" w:type="dxa"/>
          </w:tcPr>
          <w:p w14:paraId="60774172" w14:textId="77777777" w:rsidR="00AA3FFF" w:rsidRPr="00CD2ADD" w:rsidRDefault="00AA3FFF" w:rsidP="00AA3FFF">
            <w:pPr>
              <w:rPr>
                <w:color w:val="000000" w:themeColor="text1"/>
                <w:sz w:val="20"/>
                <w:szCs w:val="20"/>
              </w:rPr>
            </w:pPr>
            <w:r w:rsidRPr="00CD2ADD">
              <w:rPr>
                <w:color w:val="000000" w:themeColor="text1"/>
                <w:sz w:val="20"/>
                <w:szCs w:val="20"/>
              </w:rPr>
              <w:t xml:space="preserve">Ministerul Agriculturii si Industriei Alimentare, Ministerul Mediului </w:t>
            </w:r>
          </w:p>
        </w:tc>
      </w:tr>
      <w:tr w:rsidR="00AA3FFF" w:rsidRPr="00CD2ADD" w14:paraId="50C21165" w14:textId="77777777" w:rsidTr="002C4956">
        <w:tc>
          <w:tcPr>
            <w:tcW w:w="514" w:type="dxa"/>
          </w:tcPr>
          <w:p w14:paraId="30820F18" w14:textId="6514CFD2" w:rsidR="00AA3FFF" w:rsidRPr="00CD2ADD" w:rsidRDefault="00AA3FFF" w:rsidP="00AA3FFF">
            <w:pPr>
              <w:rPr>
                <w:sz w:val="20"/>
                <w:szCs w:val="20"/>
              </w:rPr>
            </w:pPr>
            <w:r w:rsidRPr="00CD2ADD">
              <w:rPr>
                <w:sz w:val="20"/>
                <w:szCs w:val="20"/>
              </w:rPr>
              <w:t>1</w:t>
            </w:r>
            <w:r w:rsidR="00385A7C" w:rsidRPr="00CD2ADD">
              <w:rPr>
                <w:sz w:val="20"/>
                <w:szCs w:val="20"/>
              </w:rPr>
              <w:t>7</w:t>
            </w:r>
            <w:r w:rsidRPr="00CD2ADD">
              <w:rPr>
                <w:sz w:val="20"/>
                <w:szCs w:val="20"/>
              </w:rPr>
              <w:t>.</w:t>
            </w:r>
          </w:p>
        </w:tc>
        <w:tc>
          <w:tcPr>
            <w:tcW w:w="2033" w:type="dxa"/>
          </w:tcPr>
          <w:p w14:paraId="0889D514" w14:textId="27301E7A" w:rsidR="00AA3FFF" w:rsidRPr="00CD2ADD" w:rsidRDefault="00AA3FFF" w:rsidP="00AA3FFF">
            <w:pPr>
              <w:rPr>
                <w:color w:val="000000" w:themeColor="text1"/>
                <w:sz w:val="20"/>
                <w:szCs w:val="20"/>
              </w:rPr>
            </w:pPr>
            <w:r w:rsidRPr="00CD2ADD">
              <w:rPr>
                <w:color w:val="000000" w:themeColor="text1"/>
                <w:sz w:val="20"/>
                <w:szCs w:val="20"/>
              </w:rPr>
              <w:t>2.1.</w:t>
            </w:r>
            <w:r w:rsidR="00385A7C" w:rsidRPr="00CD2ADD">
              <w:rPr>
                <w:color w:val="000000" w:themeColor="text1"/>
                <w:sz w:val="20"/>
                <w:szCs w:val="20"/>
              </w:rPr>
              <w:t xml:space="preserve">4 </w:t>
            </w:r>
            <w:r w:rsidRPr="00CD2ADD">
              <w:rPr>
                <w:color w:val="000000" w:themeColor="text1"/>
                <w:sz w:val="20"/>
                <w:szCs w:val="20"/>
              </w:rPr>
              <w:t xml:space="preserve">Actualizare HG. 562/2020 cu privire la aprobarea Planurilor de gestionare </w:t>
            </w:r>
          </w:p>
          <w:p w14:paraId="2AC00D13" w14:textId="77777777" w:rsidR="00AA3FFF" w:rsidRPr="00CD2ADD" w:rsidRDefault="00AA3FFF" w:rsidP="00AA3FFF">
            <w:pPr>
              <w:rPr>
                <w:color w:val="000000" w:themeColor="text1"/>
                <w:sz w:val="20"/>
                <w:szCs w:val="20"/>
              </w:rPr>
            </w:pPr>
            <w:r w:rsidRPr="00CD2ADD">
              <w:rPr>
                <w:color w:val="000000" w:themeColor="text1"/>
                <w:sz w:val="20"/>
                <w:szCs w:val="20"/>
              </w:rPr>
              <w:t>a riscului de inundații pentru bazinele hidrografice Nistru si Dunăre-Prut</w:t>
            </w:r>
          </w:p>
        </w:tc>
        <w:tc>
          <w:tcPr>
            <w:tcW w:w="1701" w:type="dxa"/>
          </w:tcPr>
          <w:p w14:paraId="24C25D35" w14:textId="77777777" w:rsidR="00AA3FFF" w:rsidRPr="00CD2ADD" w:rsidRDefault="00AA3FFF" w:rsidP="00AA3FFF">
            <w:pPr>
              <w:rPr>
                <w:color w:val="000000" w:themeColor="text1"/>
                <w:sz w:val="20"/>
                <w:szCs w:val="20"/>
              </w:rPr>
            </w:pPr>
            <w:r w:rsidRPr="00CD2ADD">
              <w:rPr>
                <w:color w:val="000000" w:themeColor="text1"/>
                <w:sz w:val="20"/>
                <w:szCs w:val="20"/>
              </w:rPr>
              <w:t xml:space="preserve">- Masurile cu privire la gestionarea </w:t>
            </w:r>
          </w:p>
          <w:p w14:paraId="4F7E82C9" w14:textId="77777777" w:rsidR="00AA3FFF" w:rsidRPr="00CD2ADD" w:rsidRDefault="00AA3FFF" w:rsidP="00AA3FFF">
            <w:pPr>
              <w:rPr>
                <w:color w:val="000000" w:themeColor="text1"/>
                <w:sz w:val="20"/>
                <w:szCs w:val="20"/>
              </w:rPr>
            </w:pPr>
            <w:r w:rsidRPr="00CD2ADD">
              <w:rPr>
                <w:color w:val="000000" w:themeColor="text1"/>
                <w:sz w:val="20"/>
                <w:szCs w:val="20"/>
              </w:rPr>
              <w:t>riscului de inundații din HG. 562/2020 actualizate pentru anii 2025-2030</w:t>
            </w:r>
          </w:p>
        </w:tc>
        <w:tc>
          <w:tcPr>
            <w:tcW w:w="850" w:type="dxa"/>
          </w:tcPr>
          <w:p w14:paraId="436C2C44" w14:textId="77777777" w:rsidR="00AA3FFF" w:rsidRPr="00CD2ADD" w:rsidRDefault="00AA3FFF" w:rsidP="00AA3FFF">
            <w:pPr>
              <w:rPr>
                <w:color w:val="000000" w:themeColor="text1"/>
                <w:sz w:val="20"/>
                <w:szCs w:val="20"/>
              </w:rPr>
            </w:pPr>
            <w:r w:rsidRPr="00CD2ADD">
              <w:rPr>
                <w:color w:val="000000" w:themeColor="text1"/>
                <w:sz w:val="20"/>
                <w:szCs w:val="20"/>
              </w:rPr>
              <w:t>300</w:t>
            </w:r>
          </w:p>
        </w:tc>
        <w:tc>
          <w:tcPr>
            <w:tcW w:w="851" w:type="dxa"/>
          </w:tcPr>
          <w:p w14:paraId="27EAFEFA" w14:textId="77777777" w:rsidR="00AA3FFF" w:rsidRPr="00CD2ADD" w:rsidRDefault="00AA3FFF" w:rsidP="00AA3FFF">
            <w:pPr>
              <w:rPr>
                <w:color w:val="000000" w:themeColor="text1"/>
                <w:sz w:val="20"/>
                <w:szCs w:val="20"/>
              </w:rPr>
            </w:pPr>
            <w:r w:rsidRPr="00CD2ADD">
              <w:rPr>
                <w:color w:val="000000" w:themeColor="text1"/>
                <w:sz w:val="20"/>
                <w:szCs w:val="20"/>
              </w:rPr>
              <w:t>300</w:t>
            </w:r>
          </w:p>
        </w:tc>
        <w:tc>
          <w:tcPr>
            <w:tcW w:w="709" w:type="dxa"/>
          </w:tcPr>
          <w:p w14:paraId="7D44813A" w14:textId="77777777" w:rsidR="00AA3FFF" w:rsidRPr="00CD2ADD" w:rsidRDefault="00AA3FFF" w:rsidP="00AA3FFF">
            <w:pPr>
              <w:rPr>
                <w:color w:val="000000" w:themeColor="text1"/>
                <w:sz w:val="20"/>
                <w:szCs w:val="20"/>
              </w:rPr>
            </w:pPr>
          </w:p>
        </w:tc>
        <w:tc>
          <w:tcPr>
            <w:tcW w:w="992" w:type="dxa"/>
          </w:tcPr>
          <w:p w14:paraId="481E880E" w14:textId="77777777" w:rsidR="00AA3FFF" w:rsidRPr="00CD2ADD" w:rsidRDefault="00AA3FFF" w:rsidP="00AA3FFF">
            <w:pPr>
              <w:rPr>
                <w:color w:val="000000" w:themeColor="text1"/>
                <w:sz w:val="20"/>
                <w:szCs w:val="20"/>
              </w:rPr>
            </w:pPr>
          </w:p>
        </w:tc>
        <w:tc>
          <w:tcPr>
            <w:tcW w:w="1134" w:type="dxa"/>
          </w:tcPr>
          <w:p w14:paraId="56564FD6" w14:textId="77777777" w:rsidR="00AA3FFF" w:rsidRPr="00CD2ADD" w:rsidRDefault="00AA3FFF" w:rsidP="00AA3FFF">
            <w:pPr>
              <w:rPr>
                <w:color w:val="000000" w:themeColor="text1"/>
                <w:sz w:val="20"/>
                <w:szCs w:val="20"/>
              </w:rPr>
            </w:pPr>
            <w:r w:rsidRPr="00CD2ADD">
              <w:rPr>
                <w:color w:val="000000" w:themeColor="text1"/>
                <w:sz w:val="20"/>
                <w:szCs w:val="20"/>
              </w:rPr>
              <w:t>7004</w:t>
            </w:r>
          </w:p>
        </w:tc>
        <w:tc>
          <w:tcPr>
            <w:tcW w:w="709" w:type="dxa"/>
          </w:tcPr>
          <w:p w14:paraId="48419AE9" w14:textId="77777777" w:rsidR="00AA3FFF" w:rsidRPr="00CD2ADD" w:rsidRDefault="00AA3FFF" w:rsidP="00AA3FFF">
            <w:pPr>
              <w:rPr>
                <w:color w:val="000000" w:themeColor="text1"/>
                <w:sz w:val="20"/>
                <w:szCs w:val="20"/>
              </w:rPr>
            </w:pPr>
            <w:r w:rsidRPr="00CD2ADD">
              <w:rPr>
                <w:color w:val="000000" w:themeColor="text1"/>
                <w:sz w:val="20"/>
                <w:szCs w:val="20"/>
              </w:rPr>
              <w:t>300</w:t>
            </w:r>
          </w:p>
        </w:tc>
        <w:tc>
          <w:tcPr>
            <w:tcW w:w="708" w:type="dxa"/>
          </w:tcPr>
          <w:p w14:paraId="17E0B224" w14:textId="77777777" w:rsidR="00AA3FFF" w:rsidRPr="00CD2ADD" w:rsidRDefault="00AA3FFF" w:rsidP="00AA3FFF">
            <w:pPr>
              <w:rPr>
                <w:color w:val="000000" w:themeColor="text1"/>
                <w:sz w:val="20"/>
                <w:szCs w:val="20"/>
              </w:rPr>
            </w:pPr>
          </w:p>
        </w:tc>
        <w:tc>
          <w:tcPr>
            <w:tcW w:w="709" w:type="dxa"/>
          </w:tcPr>
          <w:p w14:paraId="221ECC39" w14:textId="77777777" w:rsidR="00AA3FFF" w:rsidRPr="00CD2ADD" w:rsidRDefault="00AA3FFF" w:rsidP="00AA3FFF">
            <w:pPr>
              <w:rPr>
                <w:color w:val="000000" w:themeColor="text1"/>
                <w:sz w:val="20"/>
                <w:szCs w:val="20"/>
              </w:rPr>
            </w:pPr>
          </w:p>
        </w:tc>
        <w:tc>
          <w:tcPr>
            <w:tcW w:w="709" w:type="dxa"/>
          </w:tcPr>
          <w:p w14:paraId="128D6294" w14:textId="77777777" w:rsidR="00AA3FFF" w:rsidRPr="00CD2ADD" w:rsidRDefault="00AA3FFF" w:rsidP="00AA3FFF">
            <w:pPr>
              <w:rPr>
                <w:color w:val="000000" w:themeColor="text1"/>
                <w:sz w:val="20"/>
                <w:szCs w:val="20"/>
              </w:rPr>
            </w:pPr>
          </w:p>
        </w:tc>
        <w:tc>
          <w:tcPr>
            <w:tcW w:w="709" w:type="dxa"/>
          </w:tcPr>
          <w:p w14:paraId="550B8043" w14:textId="77777777" w:rsidR="00AA3FFF" w:rsidRPr="00CD2ADD" w:rsidRDefault="00AA3FFF" w:rsidP="00AA3FFF">
            <w:pPr>
              <w:rPr>
                <w:color w:val="000000" w:themeColor="text1"/>
                <w:sz w:val="20"/>
                <w:szCs w:val="20"/>
              </w:rPr>
            </w:pPr>
          </w:p>
        </w:tc>
        <w:tc>
          <w:tcPr>
            <w:tcW w:w="1134" w:type="dxa"/>
          </w:tcPr>
          <w:p w14:paraId="35446288" w14:textId="77777777" w:rsidR="00AA3FFF" w:rsidRPr="00CD2ADD" w:rsidRDefault="00AA3FFF" w:rsidP="00AA3FFF">
            <w:pPr>
              <w:rPr>
                <w:color w:val="000000" w:themeColor="text1"/>
                <w:sz w:val="20"/>
                <w:szCs w:val="20"/>
              </w:rPr>
            </w:pPr>
            <w:r w:rsidRPr="00CD2ADD">
              <w:rPr>
                <w:color w:val="000000" w:themeColor="text1"/>
                <w:sz w:val="20"/>
                <w:szCs w:val="20"/>
              </w:rPr>
              <w:t>Trim. IV 2026</w:t>
            </w:r>
          </w:p>
        </w:tc>
        <w:tc>
          <w:tcPr>
            <w:tcW w:w="1926" w:type="dxa"/>
          </w:tcPr>
          <w:p w14:paraId="1B84CD3B" w14:textId="0924DE19" w:rsidR="00AA3FFF" w:rsidRPr="00CD2ADD" w:rsidRDefault="00AA3FFF" w:rsidP="00AA3FFF">
            <w:pPr>
              <w:rPr>
                <w:color w:val="000000" w:themeColor="text1"/>
                <w:sz w:val="20"/>
                <w:szCs w:val="20"/>
              </w:rPr>
            </w:pPr>
            <w:r w:rsidRPr="00CD2ADD">
              <w:rPr>
                <w:color w:val="000000" w:themeColor="text1"/>
                <w:sz w:val="20"/>
                <w:szCs w:val="20"/>
              </w:rPr>
              <w:t xml:space="preserve">Ministerul Mediului, </w:t>
            </w:r>
            <w:r w:rsidR="00435B90" w:rsidRPr="00CD2ADD">
              <w:rPr>
                <w:color w:val="000000" w:themeColor="text1"/>
                <w:sz w:val="20"/>
                <w:szCs w:val="20"/>
              </w:rPr>
              <w:t xml:space="preserve">IP AN </w:t>
            </w:r>
            <w:r w:rsidRPr="00CD2ADD">
              <w:rPr>
                <w:color w:val="000000" w:themeColor="text1"/>
                <w:sz w:val="20"/>
                <w:szCs w:val="20"/>
              </w:rPr>
              <w:t>Apele Moldovei</w:t>
            </w:r>
          </w:p>
        </w:tc>
      </w:tr>
      <w:tr w:rsidR="00AA3FFF" w:rsidRPr="00CD2ADD" w14:paraId="792E21C8" w14:textId="77777777" w:rsidTr="002C4956">
        <w:tc>
          <w:tcPr>
            <w:tcW w:w="514" w:type="dxa"/>
          </w:tcPr>
          <w:p w14:paraId="40223C0A" w14:textId="126B9E14" w:rsidR="00AA3FFF" w:rsidRPr="00CD2ADD" w:rsidRDefault="00385A7C" w:rsidP="00AA3FFF">
            <w:pPr>
              <w:rPr>
                <w:sz w:val="20"/>
                <w:szCs w:val="20"/>
              </w:rPr>
            </w:pPr>
            <w:r w:rsidRPr="00CD2ADD">
              <w:rPr>
                <w:sz w:val="20"/>
                <w:szCs w:val="20"/>
              </w:rPr>
              <w:t>18</w:t>
            </w:r>
            <w:r w:rsidR="00AA3FFF" w:rsidRPr="00CD2ADD">
              <w:rPr>
                <w:sz w:val="20"/>
                <w:szCs w:val="20"/>
              </w:rPr>
              <w:t>.</w:t>
            </w:r>
          </w:p>
        </w:tc>
        <w:tc>
          <w:tcPr>
            <w:tcW w:w="2033" w:type="dxa"/>
          </w:tcPr>
          <w:p w14:paraId="7C661822" w14:textId="3E3FA264" w:rsidR="00AA3FFF" w:rsidRPr="00CD2ADD" w:rsidRDefault="00AA3FFF" w:rsidP="00AA3FFF">
            <w:pPr>
              <w:rPr>
                <w:color w:val="000000" w:themeColor="text1"/>
                <w:sz w:val="20"/>
                <w:szCs w:val="20"/>
              </w:rPr>
            </w:pPr>
            <w:r w:rsidRPr="00CD2ADD">
              <w:rPr>
                <w:color w:val="000000" w:themeColor="text1"/>
                <w:sz w:val="20"/>
                <w:szCs w:val="20"/>
              </w:rPr>
              <w:t>2.1.</w:t>
            </w:r>
            <w:r w:rsidR="00385A7C" w:rsidRPr="00CD2ADD">
              <w:rPr>
                <w:color w:val="000000" w:themeColor="text1"/>
                <w:sz w:val="20"/>
                <w:szCs w:val="20"/>
              </w:rPr>
              <w:t>5</w:t>
            </w:r>
            <w:r w:rsidRPr="00CD2ADD">
              <w:rPr>
                <w:color w:val="000000" w:themeColor="text1"/>
                <w:sz w:val="20"/>
                <w:szCs w:val="20"/>
              </w:rPr>
              <w:t xml:space="preserve"> Actualizarea HG55/2023 privind </w:t>
            </w:r>
            <w:r w:rsidRPr="00CD2ADD">
              <w:rPr>
                <w:color w:val="000000" w:themeColor="text1"/>
                <w:sz w:val="20"/>
                <w:szCs w:val="20"/>
              </w:rPr>
              <w:lastRenderedPageBreak/>
              <w:t>Programului național de extindere și reabilitare a pădurilor</w:t>
            </w:r>
          </w:p>
          <w:p w14:paraId="73B8BBA5" w14:textId="77777777" w:rsidR="00AA3FFF" w:rsidRPr="00CD2ADD" w:rsidRDefault="00AA3FFF" w:rsidP="00AA3FFF">
            <w:pPr>
              <w:rPr>
                <w:color w:val="000000" w:themeColor="text1"/>
                <w:sz w:val="20"/>
                <w:szCs w:val="20"/>
              </w:rPr>
            </w:pPr>
            <w:r w:rsidRPr="00CD2ADD">
              <w:rPr>
                <w:color w:val="000000" w:themeColor="text1"/>
                <w:sz w:val="20"/>
                <w:szCs w:val="20"/>
              </w:rPr>
              <w:t xml:space="preserve">pentru perioada 2023-2032 </w:t>
            </w:r>
          </w:p>
        </w:tc>
        <w:tc>
          <w:tcPr>
            <w:tcW w:w="1701" w:type="dxa"/>
          </w:tcPr>
          <w:p w14:paraId="1103AD58" w14:textId="77777777" w:rsidR="00AA3FFF" w:rsidRPr="00CD2ADD" w:rsidRDefault="00AA3FFF" w:rsidP="00AA3FFF">
            <w:pPr>
              <w:rPr>
                <w:color w:val="000000" w:themeColor="text1"/>
                <w:sz w:val="20"/>
                <w:szCs w:val="20"/>
              </w:rPr>
            </w:pPr>
            <w:r w:rsidRPr="00CD2ADD">
              <w:rPr>
                <w:color w:val="000000" w:themeColor="text1"/>
                <w:sz w:val="20"/>
                <w:szCs w:val="20"/>
              </w:rPr>
              <w:lastRenderedPageBreak/>
              <w:t xml:space="preserve">- Actualizarea Planului de </w:t>
            </w:r>
            <w:r w:rsidRPr="00CD2ADD">
              <w:rPr>
                <w:color w:val="000000" w:themeColor="text1"/>
                <w:sz w:val="20"/>
                <w:szCs w:val="20"/>
              </w:rPr>
              <w:lastRenderedPageBreak/>
              <w:t>Acțiuni pentru anii 2028-2032</w:t>
            </w:r>
          </w:p>
        </w:tc>
        <w:tc>
          <w:tcPr>
            <w:tcW w:w="850" w:type="dxa"/>
          </w:tcPr>
          <w:p w14:paraId="551DBAF2" w14:textId="77777777" w:rsidR="00AA3FFF" w:rsidRPr="00CD2ADD" w:rsidRDefault="00AA3FFF" w:rsidP="00AA3FFF">
            <w:pPr>
              <w:rPr>
                <w:color w:val="000000" w:themeColor="text1"/>
                <w:sz w:val="20"/>
                <w:szCs w:val="20"/>
              </w:rPr>
            </w:pPr>
            <w:r w:rsidRPr="00CD2ADD">
              <w:rPr>
                <w:color w:val="000000" w:themeColor="text1"/>
                <w:sz w:val="20"/>
                <w:szCs w:val="20"/>
              </w:rPr>
              <w:lastRenderedPageBreak/>
              <w:t>300</w:t>
            </w:r>
          </w:p>
        </w:tc>
        <w:tc>
          <w:tcPr>
            <w:tcW w:w="851" w:type="dxa"/>
          </w:tcPr>
          <w:p w14:paraId="7099B5AB" w14:textId="77777777" w:rsidR="00AA3FFF" w:rsidRPr="00CD2ADD" w:rsidRDefault="00AA3FFF" w:rsidP="00AA3FFF">
            <w:pPr>
              <w:rPr>
                <w:color w:val="000000" w:themeColor="text1"/>
                <w:sz w:val="20"/>
                <w:szCs w:val="20"/>
              </w:rPr>
            </w:pPr>
            <w:r w:rsidRPr="00CD2ADD">
              <w:rPr>
                <w:color w:val="000000" w:themeColor="text1"/>
                <w:sz w:val="20"/>
                <w:szCs w:val="20"/>
              </w:rPr>
              <w:t>300</w:t>
            </w:r>
          </w:p>
        </w:tc>
        <w:tc>
          <w:tcPr>
            <w:tcW w:w="709" w:type="dxa"/>
          </w:tcPr>
          <w:p w14:paraId="53DB6691" w14:textId="77777777" w:rsidR="00AA3FFF" w:rsidRPr="00CD2ADD" w:rsidRDefault="00AA3FFF" w:rsidP="00AA3FFF">
            <w:pPr>
              <w:rPr>
                <w:color w:val="000000" w:themeColor="text1"/>
                <w:sz w:val="20"/>
                <w:szCs w:val="20"/>
              </w:rPr>
            </w:pPr>
          </w:p>
        </w:tc>
        <w:tc>
          <w:tcPr>
            <w:tcW w:w="992" w:type="dxa"/>
          </w:tcPr>
          <w:p w14:paraId="22FAB5D9" w14:textId="77777777" w:rsidR="00AA3FFF" w:rsidRPr="00CD2ADD" w:rsidRDefault="00AA3FFF" w:rsidP="00AA3FFF">
            <w:pPr>
              <w:rPr>
                <w:color w:val="000000" w:themeColor="text1"/>
                <w:sz w:val="20"/>
                <w:szCs w:val="20"/>
              </w:rPr>
            </w:pPr>
          </w:p>
        </w:tc>
        <w:tc>
          <w:tcPr>
            <w:tcW w:w="1134" w:type="dxa"/>
          </w:tcPr>
          <w:p w14:paraId="071F1243" w14:textId="77777777" w:rsidR="00AA3FFF" w:rsidRPr="00CD2ADD" w:rsidRDefault="00AA3FFF" w:rsidP="00AA3FFF">
            <w:pPr>
              <w:rPr>
                <w:color w:val="000000" w:themeColor="text1"/>
                <w:sz w:val="20"/>
                <w:szCs w:val="20"/>
              </w:rPr>
            </w:pPr>
            <w:r w:rsidRPr="00CD2ADD">
              <w:rPr>
                <w:color w:val="000000" w:themeColor="text1"/>
                <w:sz w:val="20"/>
                <w:szCs w:val="20"/>
              </w:rPr>
              <w:t>5401</w:t>
            </w:r>
          </w:p>
        </w:tc>
        <w:tc>
          <w:tcPr>
            <w:tcW w:w="709" w:type="dxa"/>
          </w:tcPr>
          <w:p w14:paraId="4E0C524E" w14:textId="77777777" w:rsidR="00AA3FFF" w:rsidRPr="00CD2ADD" w:rsidRDefault="00AA3FFF" w:rsidP="00AA3FFF">
            <w:pPr>
              <w:rPr>
                <w:color w:val="000000" w:themeColor="text1"/>
                <w:sz w:val="20"/>
                <w:szCs w:val="20"/>
              </w:rPr>
            </w:pPr>
          </w:p>
        </w:tc>
        <w:tc>
          <w:tcPr>
            <w:tcW w:w="708" w:type="dxa"/>
          </w:tcPr>
          <w:p w14:paraId="49BE5C7E" w14:textId="77777777" w:rsidR="00AA3FFF" w:rsidRPr="00CD2ADD" w:rsidRDefault="00AA3FFF" w:rsidP="00AA3FFF">
            <w:pPr>
              <w:rPr>
                <w:color w:val="000000" w:themeColor="text1"/>
                <w:sz w:val="20"/>
                <w:szCs w:val="20"/>
              </w:rPr>
            </w:pPr>
          </w:p>
        </w:tc>
        <w:tc>
          <w:tcPr>
            <w:tcW w:w="709" w:type="dxa"/>
          </w:tcPr>
          <w:p w14:paraId="26EF25AB" w14:textId="77777777" w:rsidR="00AA3FFF" w:rsidRPr="00CD2ADD" w:rsidRDefault="00AA3FFF" w:rsidP="00AA3FFF">
            <w:pPr>
              <w:rPr>
                <w:color w:val="000000" w:themeColor="text1"/>
                <w:sz w:val="20"/>
                <w:szCs w:val="20"/>
              </w:rPr>
            </w:pPr>
            <w:r w:rsidRPr="00CD2ADD">
              <w:rPr>
                <w:color w:val="000000" w:themeColor="text1"/>
                <w:sz w:val="20"/>
                <w:szCs w:val="20"/>
              </w:rPr>
              <w:t>300</w:t>
            </w:r>
          </w:p>
        </w:tc>
        <w:tc>
          <w:tcPr>
            <w:tcW w:w="709" w:type="dxa"/>
          </w:tcPr>
          <w:p w14:paraId="3F84C712" w14:textId="77777777" w:rsidR="00AA3FFF" w:rsidRPr="00CD2ADD" w:rsidRDefault="00AA3FFF" w:rsidP="00AA3FFF">
            <w:pPr>
              <w:rPr>
                <w:color w:val="000000" w:themeColor="text1"/>
                <w:sz w:val="20"/>
                <w:szCs w:val="20"/>
              </w:rPr>
            </w:pPr>
          </w:p>
        </w:tc>
        <w:tc>
          <w:tcPr>
            <w:tcW w:w="709" w:type="dxa"/>
          </w:tcPr>
          <w:p w14:paraId="63D5CEFC" w14:textId="77777777" w:rsidR="00AA3FFF" w:rsidRPr="00CD2ADD" w:rsidRDefault="00AA3FFF" w:rsidP="00AA3FFF">
            <w:pPr>
              <w:rPr>
                <w:color w:val="000000" w:themeColor="text1"/>
                <w:sz w:val="20"/>
                <w:szCs w:val="20"/>
              </w:rPr>
            </w:pPr>
          </w:p>
        </w:tc>
        <w:tc>
          <w:tcPr>
            <w:tcW w:w="1134" w:type="dxa"/>
          </w:tcPr>
          <w:p w14:paraId="1C728466" w14:textId="77777777" w:rsidR="00AA3FFF" w:rsidRPr="00CD2ADD" w:rsidRDefault="00AA3FFF" w:rsidP="00AA3FFF">
            <w:pPr>
              <w:rPr>
                <w:color w:val="000000" w:themeColor="text1"/>
                <w:sz w:val="20"/>
                <w:szCs w:val="20"/>
              </w:rPr>
            </w:pPr>
            <w:r w:rsidRPr="00CD2ADD">
              <w:rPr>
                <w:color w:val="000000" w:themeColor="text1"/>
                <w:sz w:val="20"/>
                <w:szCs w:val="20"/>
              </w:rPr>
              <w:t>Trim. IV 2028</w:t>
            </w:r>
          </w:p>
        </w:tc>
        <w:tc>
          <w:tcPr>
            <w:tcW w:w="1926" w:type="dxa"/>
          </w:tcPr>
          <w:p w14:paraId="704DF147" w14:textId="7CC1A9B2" w:rsidR="00AA3FFF" w:rsidRPr="00CD2ADD" w:rsidRDefault="00AA3FFF" w:rsidP="00AA3FFF">
            <w:pPr>
              <w:rPr>
                <w:color w:val="000000" w:themeColor="text1"/>
                <w:sz w:val="20"/>
                <w:szCs w:val="20"/>
              </w:rPr>
            </w:pPr>
            <w:r w:rsidRPr="00CD2ADD">
              <w:rPr>
                <w:color w:val="000000" w:themeColor="text1"/>
                <w:sz w:val="20"/>
                <w:szCs w:val="20"/>
              </w:rPr>
              <w:t>Ministerul Mediului, Agenția Moldsilva</w:t>
            </w:r>
          </w:p>
        </w:tc>
      </w:tr>
      <w:tr w:rsidR="00AA3FFF" w:rsidRPr="00CD2ADD" w14:paraId="2CB0505C" w14:textId="77777777" w:rsidTr="002C4956">
        <w:tc>
          <w:tcPr>
            <w:tcW w:w="15388" w:type="dxa"/>
            <w:gridSpan w:val="15"/>
            <w:shd w:val="clear" w:color="auto" w:fill="D9F2D0" w:themeFill="accent6" w:themeFillTint="33"/>
          </w:tcPr>
          <w:p w14:paraId="79D2F28F" w14:textId="77777777" w:rsidR="00AA3FFF" w:rsidRPr="00CD2ADD" w:rsidRDefault="00AA3FFF" w:rsidP="00AA3FFF">
            <w:pPr>
              <w:rPr>
                <w:b/>
                <w:bCs/>
                <w:sz w:val="20"/>
                <w:szCs w:val="20"/>
              </w:rPr>
            </w:pPr>
            <w:r w:rsidRPr="00CD2ADD">
              <w:rPr>
                <w:b/>
                <w:bCs/>
                <w:sz w:val="20"/>
                <w:szCs w:val="20"/>
              </w:rPr>
              <w:t>Obiectiv specific 2.2: Până în 2030, mecanismele de coordonare interinstituțională și intersectorială pentru reducerea riscurilor de dezastre naturale și biologico-sociale sunt consolidate prin participarea structurată a sectorului de mediu și prin dezvoltarea de parteneriate strategice la nivel internațional</w:t>
            </w:r>
          </w:p>
        </w:tc>
      </w:tr>
      <w:tr w:rsidR="00AA3FFF" w:rsidRPr="00CD2ADD" w14:paraId="3935759A" w14:textId="77777777" w:rsidTr="002C4956">
        <w:tc>
          <w:tcPr>
            <w:tcW w:w="514" w:type="dxa"/>
          </w:tcPr>
          <w:p w14:paraId="0307AF5E" w14:textId="093E58BC" w:rsidR="00AA3FFF" w:rsidRPr="00CD2ADD" w:rsidRDefault="00385A7C" w:rsidP="00AA3FFF">
            <w:pPr>
              <w:rPr>
                <w:sz w:val="20"/>
                <w:szCs w:val="20"/>
              </w:rPr>
            </w:pPr>
            <w:r w:rsidRPr="00CD2ADD">
              <w:rPr>
                <w:sz w:val="20"/>
                <w:szCs w:val="20"/>
              </w:rPr>
              <w:t>19</w:t>
            </w:r>
            <w:r w:rsidR="00AA3FFF" w:rsidRPr="00CD2ADD">
              <w:rPr>
                <w:sz w:val="20"/>
                <w:szCs w:val="20"/>
              </w:rPr>
              <w:t>.</w:t>
            </w:r>
          </w:p>
        </w:tc>
        <w:tc>
          <w:tcPr>
            <w:tcW w:w="2033" w:type="dxa"/>
          </w:tcPr>
          <w:p w14:paraId="58DF69BC" w14:textId="25EB1BB0" w:rsidR="00AA3FFF" w:rsidRPr="00CD2ADD" w:rsidRDefault="00AA3FFF" w:rsidP="00AA3FFF">
            <w:pPr>
              <w:rPr>
                <w:sz w:val="20"/>
                <w:szCs w:val="20"/>
              </w:rPr>
            </w:pPr>
            <w:r w:rsidRPr="00CD2ADD">
              <w:rPr>
                <w:sz w:val="20"/>
                <w:szCs w:val="20"/>
              </w:rPr>
              <w:t xml:space="preserve">2.2.1 Consolidarea Comisiei Naționale privind Schimbările Climatice (CNSC) prin crearea unui grup tehnic sectorial </w:t>
            </w:r>
            <w:r w:rsidRPr="00CD2ADD">
              <w:rPr>
                <w:b/>
                <w:bCs/>
                <w:i/>
                <w:iCs/>
                <w:sz w:val="20"/>
                <w:szCs w:val="20"/>
                <w:u w:val="single"/>
              </w:rPr>
              <w:t>„Managementul riscurilor de dezastre naturale”,</w:t>
            </w:r>
            <w:r w:rsidRPr="00CD2ADD">
              <w:rPr>
                <w:sz w:val="20"/>
                <w:szCs w:val="20"/>
              </w:rPr>
              <w:t xml:space="preserve"> sub coordonarea CNSC, pentru </w:t>
            </w:r>
            <w:r w:rsidRPr="00CD2ADD">
              <w:rPr>
                <w:color w:val="000000" w:themeColor="text1"/>
                <w:sz w:val="20"/>
                <w:szCs w:val="20"/>
              </w:rPr>
              <w:t xml:space="preserve">sprijinirea mecanismelor interinstituționale de coordonare RRD si MRD inclusiv prin mobilizarea expertizei sectoriale relevante și promovarea unei abordări multisectoriale integrate în planificarea națională de risc. </w:t>
            </w:r>
          </w:p>
          <w:p w14:paraId="0DE8412C" w14:textId="77777777" w:rsidR="00AA3FFF" w:rsidRPr="00CD2ADD" w:rsidRDefault="00AA3FFF" w:rsidP="00AA3FFF">
            <w:pPr>
              <w:rPr>
                <w:sz w:val="20"/>
                <w:szCs w:val="20"/>
              </w:rPr>
            </w:pPr>
          </w:p>
        </w:tc>
        <w:tc>
          <w:tcPr>
            <w:tcW w:w="1701" w:type="dxa"/>
          </w:tcPr>
          <w:p w14:paraId="2218E05F" w14:textId="0825FAF5" w:rsidR="00AA3FFF" w:rsidRPr="00CD2ADD" w:rsidRDefault="00AA3FFF" w:rsidP="00AA3FFF">
            <w:pPr>
              <w:rPr>
                <w:sz w:val="20"/>
                <w:szCs w:val="20"/>
              </w:rPr>
            </w:pPr>
            <w:r w:rsidRPr="00CD2ADD">
              <w:rPr>
                <w:sz w:val="20"/>
                <w:szCs w:val="20"/>
              </w:rPr>
              <w:t>- Ordin instituțional pentru crearea si funcționarea grupului tehnic „Managementul riscurilor de dezastre naturale”, în mecanismele naționale de coordonare adoptate până în 2026</w:t>
            </w:r>
          </w:p>
          <w:p w14:paraId="2F645682" w14:textId="77777777" w:rsidR="00AA3FFF" w:rsidRPr="00CD2ADD" w:rsidRDefault="00AA3FFF" w:rsidP="00AA3FFF">
            <w:pPr>
              <w:rPr>
                <w:sz w:val="20"/>
                <w:szCs w:val="20"/>
              </w:rPr>
            </w:pPr>
            <w:r w:rsidRPr="00CD2ADD">
              <w:rPr>
                <w:sz w:val="20"/>
                <w:szCs w:val="20"/>
              </w:rPr>
              <w:t>- Minim 2 reuniuni anuale organizate cu minute și contribuții tehnice la implementarea unor măsuri din PNRRDN</w:t>
            </w:r>
          </w:p>
          <w:p w14:paraId="0A16B530" w14:textId="28D5F31B" w:rsidR="00AA3FFF" w:rsidRPr="00CD2ADD" w:rsidRDefault="00AA3FFF" w:rsidP="00AA3FFF">
            <w:pPr>
              <w:rPr>
                <w:sz w:val="20"/>
                <w:szCs w:val="20"/>
              </w:rPr>
            </w:pPr>
            <w:r w:rsidRPr="00CD2ADD">
              <w:rPr>
                <w:sz w:val="20"/>
                <w:szCs w:val="20"/>
              </w:rPr>
              <w:t xml:space="preserve">- Comunicare și informare cu mecanismele de coordonare ale </w:t>
            </w:r>
            <w:r w:rsidRPr="00CD2ADD">
              <w:rPr>
                <w:sz w:val="20"/>
                <w:szCs w:val="20"/>
              </w:rPr>
              <w:lastRenderedPageBreak/>
              <w:t xml:space="preserve">Centrului National de Management al Crizelor (minute ale întâlnirilor, lista de acțiuni comune) </w:t>
            </w:r>
          </w:p>
        </w:tc>
        <w:tc>
          <w:tcPr>
            <w:tcW w:w="850" w:type="dxa"/>
          </w:tcPr>
          <w:p w14:paraId="2431985A" w14:textId="77777777" w:rsidR="00AA3FFF" w:rsidRPr="00CD2ADD" w:rsidRDefault="00AA3FFF" w:rsidP="00AA3FFF">
            <w:pPr>
              <w:rPr>
                <w:sz w:val="20"/>
                <w:szCs w:val="20"/>
              </w:rPr>
            </w:pPr>
            <w:r w:rsidRPr="00CD2ADD">
              <w:rPr>
                <w:sz w:val="20"/>
                <w:szCs w:val="20"/>
              </w:rPr>
              <w:lastRenderedPageBreak/>
              <w:t>760</w:t>
            </w:r>
          </w:p>
        </w:tc>
        <w:tc>
          <w:tcPr>
            <w:tcW w:w="851" w:type="dxa"/>
          </w:tcPr>
          <w:p w14:paraId="1DAE8B17" w14:textId="77777777" w:rsidR="00AA3FFF" w:rsidRPr="00CD2ADD" w:rsidRDefault="00AA3FFF" w:rsidP="00AA3FFF">
            <w:pPr>
              <w:rPr>
                <w:sz w:val="20"/>
                <w:szCs w:val="20"/>
              </w:rPr>
            </w:pPr>
            <w:r w:rsidRPr="00CD2ADD">
              <w:rPr>
                <w:sz w:val="20"/>
                <w:szCs w:val="20"/>
              </w:rPr>
              <w:t>760</w:t>
            </w:r>
          </w:p>
        </w:tc>
        <w:tc>
          <w:tcPr>
            <w:tcW w:w="709" w:type="dxa"/>
          </w:tcPr>
          <w:p w14:paraId="4C1AB564" w14:textId="77777777" w:rsidR="00AA3FFF" w:rsidRPr="00CD2ADD" w:rsidRDefault="00AA3FFF" w:rsidP="00AA3FFF">
            <w:pPr>
              <w:rPr>
                <w:sz w:val="20"/>
                <w:szCs w:val="20"/>
              </w:rPr>
            </w:pPr>
          </w:p>
        </w:tc>
        <w:tc>
          <w:tcPr>
            <w:tcW w:w="992" w:type="dxa"/>
          </w:tcPr>
          <w:p w14:paraId="37AD9478" w14:textId="77777777" w:rsidR="00AA3FFF" w:rsidRPr="00CD2ADD" w:rsidRDefault="00AA3FFF" w:rsidP="00AA3FFF">
            <w:pPr>
              <w:rPr>
                <w:sz w:val="20"/>
                <w:szCs w:val="20"/>
              </w:rPr>
            </w:pPr>
          </w:p>
        </w:tc>
        <w:tc>
          <w:tcPr>
            <w:tcW w:w="1134" w:type="dxa"/>
          </w:tcPr>
          <w:p w14:paraId="1925A2F4" w14:textId="77777777" w:rsidR="00AA3FFF" w:rsidRPr="00CD2ADD" w:rsidRDefault="00AA3FFF" w:rsidP="00AA3FFF">
            <w:pPr>
              <w:rPr>
                <w:sz w:val="20"/>
                <w:szCs w:val="20"/>
              </w:rPr>
            </w:pPr>
            <w:r w:rsidRPr="00CD2ADD">
              <w:rPr>
                <w:sz w:val="20"/>
                <w:szCs w:val="20"/>
              </w:rPr>
              <w:t>7011</w:t>
            </w:r>
          </w:p>
        </w:tc>
        <w:tc>
          <w:tcPr>
            <w:tcW w:w="709" w:type="dxa"/>
          </w:tcPr>
          <w:p w14:paraId="53E91892" w14:textId="77777777" w:rsidR="00AA3FFF" w:rsidRPr="00CD2ADD" w:rsidRDefault="00AA3FFF" w:rsidP="00AA3FFF">
            <w:pPr>
              <w:rPr>
                <w:sz w:val="20"/>
                <w:szCs w:val="20"/>
              </w:rPr>
            </w:pPr>
            <w:r w:rsidRPr="00CD2ADD">
              <w:rPr>
                <w:sz w:val="20"/>
                <w:szCs w:val="20"/>
              </w:rPr>
              <w:t>40</w:t>
            </w:r>
          </w:p>
        </w:tc>
        <w:tc>
          <w:tcPr>
            <w:tcW w:w="708" w:type="dxa"/>
          </w:tcPr>
          <w:p w14:paraId="30608024" w14:textId="77777777" w:rsidR="00AA3FFF" w:rsidRPr="00CD2ADD" w:rsidRDefault="00AA3FFF" w:rsidP="00AA3FFF">
            <w:pPr>
              <w:rPr>
                <w:sz w:val="20"/>
                <w:szCs w:val="20"/>
              </w:rPr>
            </w:pPr>
            <w:r w:rsidRPr="00CD2ADD">
              <w:rPr>
                <w:sz w:val="20"/>
                <w:szCs w:val="20"/>
              </w:rPr>
              <w:t>150</w:t>
            </w:r>
          </w:p>
        </w:tc>
        <w:tc>
          <w:tcPr>
            <w:tcW w:w="709" w:type="dxa"/>
          </w:tcPr>
          <w:p w14:paraId="0120BC86" w14:textId="77777777" w:rsidR="00AA3FFF" w:rsidRPr="00CD2ADD" w:rsidRDefault="00AA3FFF" w:rsidP="00AA3FFF">
            <w:pPr>
              <w:rPr>
                <w:sz w:val="20"/>
                <w:szCs w:val="20"/>
              </w:rPr>
            </w:pPr>
            <w:r w:rsidRPr="00CD2ADD">
              <w:rPr>
                <w:sz w:val="20"/>
                <w:szCs w:val="20"/>
              </w:rPr>
              <w:t>190</w:t>
            </w:r>
          </w:p>
        </w:tc>
        <w:tc>
          <w:tcPr>
            <w:tcW w:w="709" w:type="dxa"/>
          </w:tcPr>
          <w:p w14:paraId="5FED132E" w14:textId="77777777" w:rsidR="00AA3FFF" w:rsidRPr="00CD2ADD" w:rsidRDefault="00AA3FFF" w:rsidP="00AA3FFF">
            <w:pPr>
              <w:rPr>
                <w:sz w:val="20"/>
                <w:szCs w:val="20"/>
              </w:rPr>
            </w:pPr>
            <w:r w:rsidRPr="00CD2ADD">
              <w:rPr>
                <w:sz w:val="20"/>
                <w:szCs w:val="20"/>
              </w:rPr>
              <w:t>190</w:t>
            </w:r>
          </w:p>
        </w:tc>
        <w:tc>
          <w:tcPr>
            <w:tcW w:w="709" w:type="dxa"/>
          </w:tcPr>
          <w:p w14:paraId="2505B5E3" w14:textId="77777777" w:rsidR="00AA3FFF" w:rsidRPr="00CD2ADD" w:rsidRDefault="00AA3FFF" w:rsidP="00AA3FFF">
            <w:pPr>
              <w:rPr>
                <w:sz w:val="20"/>
                <w:szCs w:val="20"/>
              </w:rPr>
            </w:pPr>
            <w:r w:rsidRPr="00CD2ADD">
              <w:rPr>
                <w:sz w:val="20"/>
                <w:szCs w:val="20"/>
              </w:rPr>
              <w:t>190</w:t>
            </w:r>
          </w:p>
        </w:tc>
        <w:tc>
          <w:tcPr>
            <w:tcW w:w="1134" w:type="dxa"/>
          </w:tcPr>
          <w:p w14:paraId="671F932A" w14:textId="77777777" w:rsidR="00AA3FFF" w:rsidRPr="00CD2ADD" w:rsidRDefault="00AA3FFF" w:rsidP="00AA3FFF">
            <w:pPr>
              <w:rPr>
                <w:sz w:val="20"/>
                <w:szCs w:val="20"/>
              </w:rPr>
            </w:pPr>
            <w:r w:rsidRPr="00CD2ADD">
              <w:rPr>
                <w:sz w:val="20"/>
                <w:szCs w:val="20"/>
              </w:rPr>
              <w:t>Anual</w:t>
            </w:r>
          </w:p>
        </w:tc>
        <w:tc>
          <w:tcPr>
            <w:tcW w:w="1926" w:type="dxa"/>
          </w:tcPr>
          <w:p w14:paraId="415D99F5" w14:textId="77777777" w:rsidR="00AA3FFF" w:rsidRPr="00CD2ADD" w:rsidRDefault="00AA3FFF" w:rsidP="00AA3FFF">
            <w:pPr>
              <w:rPr>
                <w:color w:val="000000" w:themeColor="text1"/>
                <w:sz w:val="20"/>
                <w:szCs w:val="20"/>
              </w:rPr>
            </w:pPr>
            <w:r w:rsidRPr="00CD2ADD">
              <w:rPr>
                <w:color w:val="000000" w:themeColor="text1"/>
                <w:sz w:val="20"/>
                <w:szCs w:val="20"/>
              </w:rPr>
              <w:t>CNMC, Ministerul Mediului , SHS,</w:t>
            </w:r>
          </w:p>
          <w:p w14:paraId="3EE834D4" w14:textId="6B3FE0CF" w:rsidR="00AA3FFF" w:rsidRPr="00CD2ADD" w:rsidRDefault="00AA3FFF" w:rsidP="00AA3FFF">
            <w:pPr>
              <w:rPr>
                <w:color w:val="000000" w:themeColor="text1"/>
                <w:sz w:val="20"/>
                <w:szCs w:val="20"/>
              </w:rPr>
            </w:pPr>
            <w:r w:rsidRPr="00CD2ADD">
              <w:rPr>
                <w:color w:val="000000" w:themeColor="text1"/>
                <w:sz w:val="20"/>
                <w:szCs w:val="20"/>
              </w:rPr>
              <w:t xml:space="preserve">I.P. </w:t>
            </w:r>
            <w:r w:rsidR="00435B90" w:rsidRPr="00CD2ADD">
              <w:rPr>
                <w:color w:val="000000" w:themeColor="text1"/>
                <w:sz w:val="20"/>
                <w:szCs w:val="20"/>
              </w:rPr>
              <w:t xml:space="preserve">AN </w:t>
            </w:r>
            <w:r w:rsidRPr="00CD2ADD">
              <w:rPr>
                <w:color w:val="000000" w:themeColor="text1"/>
                <w:sz w:val="20"/>
                <w:szCs w:val="20"/>
              </w:rPr>
              <w:t>Apele Moldovei, Agenția Moldsilv</w:t>
            </w:r>
            <w:r w:rsidR="00B504EC" w:rsidRPr="00CD2ADD">
              <w:rPr>
                <w:color w:val="000000" w:themeColor="text1"/>
                <w:sz w:val="20"/>
                <w:szCs w:val="20"/>
              </w:rPr>
              <w:t>a</w:t>
            </w:r>
            <w:r w:rsidRPr="00CD2ADD">
              <w:rPr>
                <w:color w:val="000000" w:themeColor="text1"/>
                <w:sz w:val="20"/>
                <w:szCs w:val="20"/>
              </w:rPr>
              <w:t xml:space="preserve">, Agenția de Mediu, Ministerul Afacerilor Interne/IGSU, Ministerul Agriculturii și Industriei Alimentare, Ministerul Infrastructurii și Dezvoltării Regionale, Ministerul Sănătății, Ministerul Energiei, Ministerul Muncii si Protecției Sociale, sector privat, OSC-uri, universități </w:t>
            </w:r>
          </w:p>
          <w:p w14:paraId="6D3F8746" w14:textId="77777777" w:rsidR="00AA3FFF" w:rsidRPr="00CD2ADD" w:rsidRDefault="00AA3FFF" w:rsidP="00AA3FFF">
            <w:pPr>
              <w:rPr>
                <w:color w:val="000000" w:themeColor="text1"/>
                <w:sz w:val="20"/>
                <w:szCs w:val="20"/>
              </w:rPr>
            </w:pPr>
          </w:p>
        </w:tc>
      </w:tr>
      <w:tr w:rsidR="0044508D" w:rsidRPr="00CD2ADD" w14:paraId="2E380474" w14:textId="77777777" w:rsidTr="002C4956">
        <w:tc>
          <w:tcPr>
            <w:tcW w:w="514" w:type="dxa"/>
          </w:tcPr>
          <w:p w14:paraId="421F5B40" w14:textId="4B8D9ED4" w:rsidR="0044508D" w:rsidRPr="00CD2ADD" w:rsidRDefault="00A96805" w:rsidP="0044508D">
            <w:pPr>
              <w:rPr>
                <w:sz w:val="20"/>
                <w:szCs w:val="20"/>
              </w:rPr>
            </w:pPr>
            <w:r w:rsidRPr="00CD2ADD">
              <w:rPr>
                <w:sz w:val="20"/>
                <w:szCs w:val="20"/>
              </w:rPr>
              <w:t>20.</w:t>
            </w:r>
          </w:p>
        </w:tc>
        <w:tc>
          <w:tcPr>
            <w:tcW w:w="2033" w:type="dxa"/>
          </w:tcPr>
          <w:p w14:paraId="47FC7AEB" w14:textId="4E9976C7" w:rsidR="0044508D" w:rsidRPr="00CD2ADD" w:rsidRDefault="0044508D" w:rsidP="0044508D">
            <w:pPr>
              <w:rPr>
                <w:sz w:val="20"/>
                <w:szCs w:val="20"/>
              </w:rPr>
            </w:pPr>
            <w:r w:rsidRPr="00CD2ADD">
              <w:rPr>
                <w:sz w:val="20"/>
                <w:szCs w:val="20"/>
              </w:rPr>
              <w:t>2.2.2 Implementarea unui program de formare continuă pentru personalul Agenției Naționale pentru Siguranța Alimentelor (ANSA) și al altor instituții relevante, axat pe prevenirea, monitorizarea și controlul bolilor și dăunătorilor, precum și pe intervențiile rapide în situații de urgență biologică, însoțit de dotarea instituțiilor cu echipamente de monitorizare și intervenție</w:t>
            </w:r>
          </w:p>
        </w:tc>
        <w:tc>
          <w:tcPr>
            <w:tcW w:w="1701" w:type="dxa"/>
          </w:tcPr>
          <w:p w14:paraId="05E2A00E" w14:textId="0B08AF95" w:rsidR="0044508D" w:rsidRPr="00CD2ADD" w:rsidRDefault="0044508D" w:rsidP="0044508D">
            <w:pPr>
              <w:rPr>
                <w:sz w:val="20"/>
                <w:szCs w:val="20"/>
              </w:rPr>
            </w:pPr>
            <w:r w:rsidRPr="00CD2ADD">
              <w:rPr>
                <w:sz w:val="20"/>
                <w:szCs w:val="20"/>
              </w:rPr>
              <w:t>- Program de formare continuă elaborat și implementat (Da/Nu)</w:t>
            </w:r>
          </w:p>
          <w:p w14:paraId="6222F45A" w14:textId="1E37CF38" w:rsidR="0044508D" w:rsidRPr="00CD2ADD" w:rsidRDefault="0044508D" w:rsidP="0044508D">
            <w:pPr>
              <w:rPr>
                <w:sz w:val="20"/>
                <w:szCs w:val="20"/>
              </w:rPr>
            </w:pPr>
            <w:r w:rsidRPr="00CD2ADD">
              <w:rPr>
                <w:sz w:val="20"/>
                <w:szCs w:val="20"/>
              </w:rPr>
              <w:t>- Număr de sesiuni de instruire organizate (min.5)</w:t>
            </w:r>
          </w:p>
          <w:p w14:paraId="47F19E91" w14:textId="009BC609" w:rsidR="0044508D" w:rsidRPr="00CD2ADD" w:rsidRDefault="0044508D" w:rsidP="0044508D">
            <w:pPr>
              <w:rPr>
                <w:sz w:val="20"/>
                <w:szCs w:val="20"/>
              </w:rPr>
            </w:pPr>
            <w:r w:rsidRPr="00CD2ADD">
              <w:rPr>
                <w:sz w:val="20"/>
                <w:szCs w:val="20"/>
              </w:rPr>
              <w:t>- Număr de specialiști instruiți (min. 50)</w:t>
            </w:r>
          </w:p>
          <w:p w14:paraId="3C046CF4" w14:textId="2FA10D12" w:rsidR="0044508D" w:rsidRPr="00CD2ADD" w:rsidRDefault="0044508D" w:rsidP="0044508D">
            <w:pPr>
              <w:rPr>
                <w:sz w:val="20"/>
                <w:szCs w:val="20"/>
              </w:rPr>
            </w:pPr>
            <w:r w:rsidRPr="00CD2ADD">
              <w:rPr>
                <w:sz w:val="20"/>
                <w:szCs w:val="20"/>
              </w:rPr>
              <w:t>- Lista cu set minim de echipamente de monitorizare și intervenție elaborat si achiziționat și operațional (în limita bugetului de stat si a asistentei externe)  (Da/Nu)</w:t>
            </w:r>
          </w:p>
        </w:tc>
        <w:tc>
          <w:tcPr>
            <w:tcW w:w="850" w:type="dxa"/>
          </w:tcPr>
          <w:p w14:paraId="10D48F7B" w14:textId="7ADBDED0" w:rsidR="0044508D" w:rsidRPr="00CD2ADD" w:rsidRDefault="0044508D" w:rsidP="0044508D">
            <w:pPr>
              <w:rPr>
                <w:sz w:val="20"/>
                <w:szCs w:val="20"/>
              </w:rPr>
            </w:pPr>
            <w:r w:rsidRPr="00CD2ADD">
              <w:rPr>
                <w:sz w:val="20"/>
                <w:szCs w:val="20"/>
              </w:rPr>
              <w:t>1,500</w:t>
            </w:r>
          </w:p>
        </w:tc>
        <w:tc>
          <w:tcPr>
            <w:tcW w:w="851" w:type="dxa"/>
          </w:tcPr>
          <w:p w14:paraId="4591160F" w14:textId="2160E70F" w:rsidR="0044508D" w:rsidRPr="00CD2ADD" w:rsidRDefault="0044508D" w:rsidP="0044508D">
            <w:pPr>
              <w:rPr>
                <w:sz w:val="20"/>
                <w:szCs w:val="20"/>
              </w:rPr>
            </w:pPr>
            <w:r w:rsidRPr="00CD2ADD">
              <w:rPr>
                <w:sz w:val="20"/>
                <w:szCs w:val="20"/>
              </w:rPr>
              <w:t>300</w:t>
            </w:r>
          </w:p>
        </w:tc>
        <w:tc>
          <w:tcPr>
            <w:tcW w:w="709" w:type="dxa"/>
          </w:tcPr>
          <w:p w14:paraId="6A081603" w14:textId="3ABCF617" w:rsidR="0044508D" w:rsidRPr="00CD2ADD" w:rsidRDefault="0044508D" w:rsidP="0044508D">
            <w:pPr>
              <w:rPr>
                <w:sz w:val="20"/>
                <w:szCs w:val="20"/>
              </w:rPr>
            </w:pPr>
          </w:p>
        </w:tc>
        <w:tc>
          <w:tcPr>
            <w:tcW w:w="992" w:type="dxa"/>
          </w:tcPr>
          <w:p w14:paraId="534165C1" w14:textId="70001FE8" w:rsidR="0044508D" w:rsidRPr="00CD2ADD" w:rsidRDefault="0044508D" w:rsidP="0044508D">
            <w:pPr>
              <w:rPr>
                <w:sz w:val="20"/>
                <w:szCs w:val="20"/>
              </w:rPr>
            </w:pPr>
            <w:r w:rsidRPr="00CD2ADD">
              <w:rPr>
                <w:sz w:val="20"/>
                <w:szCs w:val="20"/>
              </w:rPr>
              <w:t>1,200 (din asistenta externă în limita procurare fonduri)</w:t>
            </w:r>
          </w:p>
        </w:tc>
        <w:tc>
          <w:tcPr>
            <w:tcW w:w="1134" w:type="dxa"/>
          </w:tcPr>
          <w:p w14:paraId="21DA54C7" w14:textId="6D082DD0" w:rsidR="001B2D16" w:rsidRPr="00CD2ADD" w:rsidRDefault="001B2D16" w:rsidP="0044508D">
            <w:pPr>
              <w:rPr>
                <w:sz w:val="20"/>
                <w:szCs w:val="20"/>
              </w:rPr>
            </w:pPr>
            <w:r w:rsidRPr="00CD2ADD">
              <w:rPr>
                <w:sz w:val="20"/>
                <w:szCs w:val="20"/>
              </w:rPr>
              <w:t>0272</w:t>
            </w:r>
          </w:p>
          <w:p w14:paraId="0EE96FD6" w14:textId="6A38D899" w:rsidR="0044508D" w:rsidRPr="00CD2ADD" w:rsidRDefault="00A82BEF" w:rsidP="0044508D">
            <w:pPr>
              <w:rPr>
                <w:sz w:val="20"/>
                <w:szCs w:val="20"/>
              </w:rPr>
            </w:pPr>
            <w:r w:rsidRPr="00CD2ADD">
              <w:rPr>
                <w:sz w:val="20"/>
                <w:szCs w:val="20"/>
              </w:rPr>
              <w:t>Sursa de finanțare externa</w:t>
            </w:r>
          </w:p>
        </w:tc>
        <w:tc>
          <w:tcPr>
            <w:tcW w:w="709" w:type="dxa"/>
          </w:tcPr>
          <w:p w14:paraId="2C742C9A" w14:textId="77777777" w:rsidR="0044508D" w:rsidRPr="00CD2ADD" w:rsidRDefault="0044508D" w:rsidP="0044508D">
            <w:pPr>
              <w:rPr>
                <w:sz w:val="20"/>
                <w:szCs w:val="20"/>
              </w:rPr>
            </w:pPr>
          </w:p>
        </w:tc>
        <w:tc>
          <w:tcPr>
            <w:tcW w:w="708" w:type="dxa"/>
          </w:tcPr>
          <w:p w14:paraId="7FDFCAD6" w14:textId="4271292C" w:rsidR="0044508D" w:rsidRPr="00CD2ADD" w:rsidRDefault="0085496B" w:rsidP="0044508D">
            <w:pPr>
              <w:rPr>
                <w:sz w:val="20"/>
                <w:szCs w:val="20"/>
              </w:rPr>
            </w:pPr>
            <w:r w:rsidRPr="00CD2ADD">
              <w:rPr>
                <w:sz w:val="20"/>
                <w:szCs w:val="20"/>
              </w:rPr>
              <w:t>500</w:t>
            </w:r>
          </w:p>
        </w:tc>
        <w:tc>
          <w:tcPr>
            <w:tcW w:w="709" w:type="dxa"/>
          </w:tcPr>
          <w:p w14:paraId="47756B1A" w14:textId="665E3D3D" w:rsidR="0044508D" w:rsidRPr="00CD2ADD" w:rsidRDefault="0085496B" w:rsidP="0044508D">
            <w:pPr>
              <w:rPr>
                <w:sz w:val="20"/>
                <w:szCs w:val="20"/>
              </w:rPr>
            </w:pPr>
            <w:r w:rsidRPr="00CD2ADD">
              <w:rPr>
                <w:sz w:val="20"/>
                <w:szCs w:val="20"/>
              </w:rPr>
              <w:t>500</w:t>
            </w:r>
          </w:p>
        </w:tc>
        <w:tc>
          <w:tcPr>
            <w:tcW w:w="709" w:type="dxa"/>
          </w:tcPr>
          <w:p w14:paraId="7E9AABEB" w14:textId="1EFC535C" w:rsidR="0044508D" w:rsidRPr="00CD2ADD" w:rsidRDefault="0085496B" w:rsidP="0044508D">
            <w:pPr>
              <w:rPr>
                <w:sz w:val="20"/>
                <w:szCs w:val="20"/>
              </w:rPr>
            </w:pPr>
            <w:r w:rsidRPr="00CD2ADD">
              <w:rPr>
                <w:sz w:val="20"/>
                <w:szCs w:val="20"/>
              </w:rPr>
              <w:t>500</w:t>
            </w:r>
          </w:p>
        </w:tc>
        <w:tc>
          <w:tcPr>
            <w:tcW w:w="709" w:type="dxa"/>
          </w:tcPr>
          <w:p w14:paraId="0EC250A8" w14:textId="77777777" w:rsidR="0044508D" w:rsidRPr="00CD2ADD" w:rsidRDefault="0044508D" w:rsidP="0044508D">
            <w:pPr>
              <w:rPr>
                <w:sz w:val="20"/>
                <w:szCs w:val="20"/>
              </w:rPr>
            </w:pPr>
          </w:p>
        </w:tc>
        <w:tc>
          <w:tcPr>
            <w:tcW w:w="1134" w:type="dxa"/>
          </w:tcPr>
          <w:p w14:paraId="4F9D014A" w14:textId="56B36D8C" w:rsidR="0044508D" w:rsidRPr="00CD2ADD" w:rsidRDefault="0085496B" w:rsidP="0044508D">
            <w:pPr>
              <w:rPr>
                <w:sz w:val="20"/>
                <w:szCs w:val="20"/>
              </w:rPr>
            </w:pPr>
            <w:r w:rsidRPr="00CD2ADD">
              <w:rPr>
                <w:sz w:val="20"/>
                <w:szCs w:val="20"/>
              </w:rPr>
              <w:t>Trim. IV 2029</w:t>
            </w:r>
          </w:p>
        </w:tc>
        <w:tc>
          <w:tcPr>
            <w:tcW w:w="1926" w:type="dxa"/>
          </w:tcPr>
          <w:p w14:paraId="55475FEE" w14:textId="3649CBCA" w:rsidR="0044508D" w:rsidRPr="00CD2ADD" w:rsidRDefault="001B2D16" w:rsidP="0044508D">
            <w:pPr>
              <w:rPr>
                <w:color w:val="000000" w:themeColor="text1"/>
                <w:sz w:val="20"/>
                <w:szCs w:val="20"/>
              </w:rPr>
            </w:pPr>
            <w:r w:rsidRPr="00CD2ADD">
              <w:rPr>
                <w:color w:val="000000" w:themeColor="text1"/>
                <w:sz w:val="20"/>
                <w:szCs w:val="20"/>
              </w:rPr>
              <w:t>ANSA, MAIA, Ministerul Mediului</w:t>
            </w:r>
            <w:r w:rsidR="00345785" w:rsidRPr="00CD2ADD">
              <w:rPr>
                <w:color w:val="000000" w:themeColor="text1"/>
                <w:sz w:val="20"/>
                <w:szCs w:val="20"/>
              </w:rPr>
              <w:t xml:space="preserve">, Ministerul Sănătății </w:t>
            </w:r>
            <w:r w:rsidRPr="00CD2ADD">
              <w:rPr>
                <w:color w:val="000000" w:themeColor="text1"/>
                <w:sz w:val="20"/>
                <w:szCs w:val="20"/>
              </w:rPr>
              <w:t xml:space="preserve"> </w:t>
            </w:r>
          </w:p>
        </w:tc>
      </w:tr>
      <w:tr w:rsidR="0085496B" w:rsidRPr="00CD2ADD" w14:paraId="2523A4B8" w14:textId="77777777" w:rsidTr="002C4956">
        <w:tc>
          <w:tcPr>
            <w:tcW w:w="514" w:type="dxa"/>
          </w:tcPr>
          <w:p w14:paraId="2CC136DF" w14:textId="33E15DA6" w:rsidR="0085496B" w:rsidRPr="00CD2ADD" w:rsidRDefault="00A96805" w:rsidP="0044508D">
            <w:pPr>
              <w:rPr>
                <w:sz w:val="20"/>
                <w:szCs w:val="20"/>
              </w:rPr>
            </w:pPr>
            <w:r w:rsidRPr="00CD2ADD">
              <w:rPr>
                <w:sz w:val="20"/>
                <w:szCs w:val="20"/>
              </w:rPr>
              <w:t>21.</w:t>
            </w:r>
          </w:p>
        </w:tc>
        <w:tc>
          <w:tcPr>
            <w:tcW w:w="2033" w:type="dxa"/>
          </w:tcPr>
          <w:p w14:paraId="0B62D5AB" w14:textId="04467CA0" w:rsidR="0085496B" w:rsidRPr="00CD2ADD" w:rsidRDefault="00067ACE" w:rsidP="0044508D">
            <w:pPr>
              <w:rPr>
                <w:sz w:val="20"/>
                <w:szCs w:val="20"/>
              </w:rPr>
            </w:pPr>
            <w:r w:rsidRPr="00CD2ADD">
              <w:rPr>
                <w:sz w:val="20"/>
                <w:szCs w:val="20"/>
              </w:rPr>
              <w:t xml:space="preserve">2.2.3 Îmbunătățirea coordonării </w:t>
            </w:r>
            <w:r w:rsidRPr="00CD2ADD">
              <w:rPr>
                <w:sz w:val="20"/>
                <w:szCs w:val="20"/>
              </w:rPr>
              <w:lastRenderedPageBreak/>
              <w:t>interinstituționale între sectorul veterinar, agricol, sanitar și de mediu pentru gestionarea eficientă a riscurilor biologico-sociale, prin stabilirea unor mecanisme clare de cooperare, schimb de date și alertare, inclusiv dezvoltarea unei platforme funcționale de coordonare.</w:t>
            </w:r>
          </w:p>
        </w:tc>
        <w:tc>
          <w:tcPr>
            <w:tcW w:w="1701" w:type="dxa"/>
          </w:tcPr>
          <w:p w14:paraId="6F89ACCC" w14:textId="721C00C8" w:rsidR="00067ACE" w:rsidRPr="00CD2ADD" w:rsidRDefault="00067ACE" w:rsidP="00067ACE">
            <w:pPr>
              <w:rPr>
                <w:sz w:val="20"/>
                <w:szCs w:val="20"/>
              </w:rPr>
            </w:pPr>
            <w:r w:rsidRPr="00CD2ADD">
              <w:rPr>
                <w:sz w:val="20"/>
                <w:szCs w:val="20"/>
              </w:rPr>
              <w:lastRenderedPageBreak/>
              <w:t xml:space="preserve">- Mecanism interinstituțional </w:t>
            </w:r>
            <w:r w:rsidRPr="00CD2ADD">
              <w:rPr>
                <w:sz w:val="20"/>
                <w:szCs w:val="20"/>
              </w:rPr>
              <w:lastRenderedPageBreak/>
              <w:t>de coordonare formalizat (Da/Nu)</w:t>
            </w:r>
          </w:p>
          <w:p w14:paraId="44E05EC7" w14:textId="263BF946" w:rsidR="00067ACE" w:rsidRPr="00CD2ADD" w:rsidRDefault="00067ACE" w:rsidP="00067ACE">
            <w:pPr>
              <w:rPr>
                <w:sz w:val="20"/>
                <w:szCs w:val="20"/>
              </w:rPr>
            </w:pPr>
            <w:r w:rsidRPr="00CD2ADD">
              <w:rPr>
                <w:sz w:val="20"/>
                <w:szCs w:val="20"/>
              </w:rPr>
              <w:t>- Platformă de coordonare și schimb de informații funcțională (Da/Nu)</w:t>
            </w:r>
          </w:p>
          <w:p w14:paraId="69ABADA0" w14:textId="776B51E7" w:rsidR="0085496B" w:rsidRPr="00CD2ADD" w:rsidRDefault="0085496B" w:rsidP="00067ACE">
            <w:pPr>
              <w:rPr>
                <w:sz w:val="20"/>
                <w:szCs w:val="20"/>
              </w:rPr>
            </w:pPr>
          </w:p>
        </w:tc>
        <w:tc>
          <w:tcPr>
            <w:tcW w:w="850" w:type="dxa"/>
          </w:tcPr>
          <w:p w14:paraId="7A30CF47" w14:textId="63B62E1E" w:rsidR="0085496B" w:rsidRPr="00CD2ADD" w:rsidRDefault="00067ACE" w:rsidP="0044508D">
            <w:pPr>
              <w:rPr>
                <w:sz w:val="20"/>
                <w:szCs w:val="20"/>
              </w:rPr>
            </w:pPr>
            <w:r w:rsidRPr="00CD2ADD">
              <w:rPr>
                <w:sz w:val="20"/>
                <w:szCs w:val="20"/>
              </w:rPr>
              <w:lastRenderedPageBreak/>
              <w:t>500</w:t>
            </w:r>
          </w:p>
        </w:tc>
        <w:tc>
          <w:tcPr>
            <w:tcW w:w="851" w:type="dxa"/>
          </w:tcPr>
          <w:p w14:paraId="3D8CD62C" w14:textId="2983456E" w:rsidR="0085496B" w:rsidRPr="00CD2ADD" w:rsidRDefault="00067ACE" w:rsidP="0044508D">
            <w:pPr>
              <w:rPr>
                <w:sz w:val="20"/>
                <w:szCs w:val="20"/>
              </w:rPr>
            </w:pPr>
            <w:r w:rsidRPr="00CD2ADD">
              <w:rPr>
                <w:sz w:val="20"/>
                <w:szCs w:val="20"/>
              </w:rPr>
              <w:t>200</w:t>
            </w:r>
          </w:p>
        </w:tc>
        <w:tc>
          <w:tcPr>
            <w:tcW w:w="709" w:type="dxa"/>
          </w:tcPr>
          <w:p w14:paraId="5F0127BB" w14:textId="77777777" w:rsidR="0085496B" w:rsidRPr="00CD2ADD" w:rsidRDefault="0085496B" w:rsidP="0044508D">
            <w:pPr>
              <w:rPr>
                <w:sz w:val="20"/>
                <w:szCs w:val="20"/>
              </w:rPr>
            </w:pPr>
          </w:p>
        </w:tc>
        <w:tc>
          <w:tcPr>
            <w:tcW w:w="992" w:type="dxa"/>
          </w:tcPr>
          <w:p w14:paraId="4A5E114B" w14:textId="2D799CF3" w:rsidR="0085496B" w:rsidRPr="00CD2ADD" w:rsidRDefault="00067ACE" w:rsidP="0044508D">
            <w:pPr>
              <w:rPr>
                <w:sz w:val="20"/>
                <w:szCs w:val="20"/>
              </w:rPr>
            </w:pPr>
            <w:r w:rsidRPr="00CD2ADD">
              <w:rPr>
                <w:sz w:val="20"/>
                <w:szCs w:val="20"/>
              </w:rPr>
              <w:t>300</w:t>
            </w:r>
          </w:p>
        </w:tc>
        <w:tc>
          <w:tcPr>
            <w:tcW w:w="1134" w:type="dxa"/>
          </w:tcPr>
          <w:p w14:paraId="17CAA507" w14:textId="77777777" w:rsidR="00067ACE" w:rsidRPr="00CD2ADD" w:rsidRDefault="00067ACE" w:rsidP="00067ACE">
            <w:pPr>
              <w:rPr>
                <w:sz w:val="20"/>
                <w:szCs w:val="20"/>
              </w:rPr>
            </w:pPr>
            <w:r w:rsidRPr="00CD2ADD">
              <w:rPr>
                <w:sz w:val="20"/>
                <w:szCs w:val="20"/>
              </w:rPr>
              <w:t>0272</w:t>
            </w:r>
          </w:p>
          <w:p w14:paraId="15CA345A" w14:textId="5429CC71" w:rsidR="0085496B" w:rsidRPr="00CD2ADD" w:rsidRDefault="00067ACE" w:rsidP="00067ACE">
            <w:pPr>
              <w:rPr>
                <w:sz w:val="20"/>
                <w:szCs w:val="20"/>
              </w:rPr>
            </w:pPr>
            <w:r w:rsidRPr="00CD2ADD">
              <w:rPr>
                <w:sz w:val="20"/>
                <w:szCs w:val="20"/>
              </w:rPr>
              <w:lastRenderedPageBreak/>
              <w:t>Sursa de finanțare externa</w:t>
            </w:r>
          </w:p>
        </w:tc>
        <w:tc>
          <w:tcPr>
            <w:tcW w:w="709" w:type="dxa"/>
          </w:tcPr>
          <w:p w14:paraId="09472CD3" w14:textId="77777777" w:rsidR="0085496B" w:rsidRPr="00CD2ADD" w:rsidRDefault="0085496B" w:rsidP="0044508D">
            <w:pPr>
              <w:rPr>
                <w:sz w:val="20"/>
                <w:szCs w:val="20"/>
              </w:rPr>
            </w:pPr>
          </w:p>
        </w:tc>
        <w:tc>
          <w:tcPr>
            <w:tcW w:w="708" w:type="dxa"/>
          </w:tcPr>
          <w:p w14:paraId="0A8F631D" w14:textId="678342E9" w:rsidR="0085496B" w:rsidRPr="00CD2ADD" w:rsidRDefault="00067ACE" w:rsidP="0044508D">
            <w:pPr>
              <w:rPr>
                <w:sz w:val="20"/>
                <w:szCs w:val="20"/>
              </w:rPr>
            </w:pPr>
            <w:r w:rsidRPr="00CD2ADD">
              <w:rPr>
                <w:sz w:val="20"/>
                <w:szCs w:val="20"/>
              </w:rPr>
              <w:t>200</w:t>
            </w:r>
          </w:p>
        </w:tc>
        <w:tc>
          <w:tcPr>
            <w:tcW w:w="709" w:type="dxa"/>
          </w:tcPr>
          <w:p w14:paraId="39D9F573" w14:textId="2EFD1A44" w:rsidR="0085496B" w:rsidRPr="00CD2ADD" w:rsidRDefault="00067ACE" w:rsidP="0044508D">
            <w:pPr>
              <w:rPr>
                <w:sz w:val="20"/>
                <w:szCs w:val="20"/>
              </w:rPr>
            </w:pPr>
            <w:r w:rsidRPr="00CD2ADD">
              <w:rPr>
                <w:sz w:val="20"/>
                <w:szCs w:val="20"/>
              </w:rPr>
              <w:t>100</w:t>
            </w:r>
          </w:p>
        </w:tc>
        <w:tc>
          <w:tcPr>
            <w:tcW w:w="709" w:type="dxa"/>
          </w:tcPr>
          <w:p w14:paraId="79AA132B" w14:textId="36107C02" w:rsidR="0085496B" w:rsidRPr="00CD2ADD" w:rsidRDefault="00067ACE" w:rsidP="0044508D">
            <w:pPr>
              <w:rPr>
                <w:sz w:val="20"/>
                <w:szCs w:val="20"/>
              </w:rPr>
            </w:pPr>
            <w:r w:rsidRPr="00CD2ADD">
              <w:rPr>
                <w:sz w:val="20"/>
                <w:szCs w:val="20"/>
              </w:rPr>
              <w:t>100</w:t>
            </w:r>
          </w:p>
        </w:tc>
        <w:tc>
          <w:tcPr>
            <w:tcW w:w="709" w:type="dxa"/>
          </w:tcPr>
          <w:p w14:paraId="0CAE4306" w14:textId="772F9BAC" w:rsidR="0085496B" w:rsidRPr="00CD2ADD" w:rsidRDefault="00067ACE" w:rsidP="0044508D">
            <w:pPr>
              <w:rPr>
                <w:sz w:val="20"/>
                <w:szCs w:val="20"/>
              </w:rPr>
            </w:pPr>
            <w:r w:rsidRPr="00CD2ADD">
              <w:rPr>
                <w:sz w:val="20"/>
                <w:szCs w:val="20"/>
              </w:rPr>
              <w:t>100</w:t>
            </w:r>
          </w:p>
        </w:tc>
        <w:tc>
          <w:tcPr>
            <w:tcW w:w="1134" w:type="dxa"/>
          </w:tcPr>
          <w:p w14:paraId="144DEDF6" w14:textId="419EEEDF" w:rsidR="0085496B" w:rsidRPr="00CD2ADD" w:rsidRDefault="00067ACE" w:rsidP="0044508D">
            <w:pPr>
              <w:rPr>
                <w:sz w:val="20"/>
                <w:szCs w:val="20"/>
              </w:rPr>
            </w:pPr>
            <w:r w:rsidRPr="00CD2ADD">
              <w:rPr>
                <w:sz w:val="20"/>
                <w:szCs w:val="20"/>
              </w:rPr>
              <w:t>Trim. II 2030</w:t>
            </w:r>
          </w:p>
        </w:tc>
        <w:tc>
          <w:tcPr>
            <w:tcW w:w="1926" w:type="dxa"/>
          </w:tcPr>
          <w:p w14:paraId="0CAEB35D" w14:textId="66766C73" w:rsidR="0085496B" w:rsidRPr="00CD2ADD" w:rsidRDefault="00067ACE" w:rsidP="0044508D">
            <w:pPr>
              <w:rPr>
                <w:color w:val="000000" w:themeColor="text1"/>
                <w:sz w:val="20"/>
                <w:szCs w:val="20"/>
              </w:rPr>
            </w:pPr>
            <w:r w:rsidRPr="00CD2ADD">
              <w:rPr>
                <w:color w:val="000000" w:themeColor="text1"/>
                <w:sz w:val="20"/>
                <w:szCs w:val="20"/>
              </w:rPr>
              <w:t>ANSA, MAIA, Ministerul Mediului,</w:t>
            </w:r>
            <w:r w:rsidR="00345785" w:rsidRPr="00CD2ADD">
              <w:rPr>
                <w:color w:val="000000" w:themeColor="text1"/>
                <w:sz w:val="20"/>
                <w:szCs w:val="20"/>
              </w:rPr>
              <w:t xml:space="preserve"> </w:t>
            </w:r>
            <w:r w:rsidR="00345785" w:rsidRPr="00CD2ADD">
              <w:rPr>
                <w:color w:val="000000" w:themeColor="text1"/>
                <w:sz w:val="20"/>
                <w:szCs w:val="20"/>
              </w:rPr>
              <w:lastRenderedPageBreak/>
              <w:t xml:space="preserve">Ministerul Sănătății </w:t>
            </w:r>
            <w:r w:rsidRPr="00CD2ADD">
              <w:rPr>
                <w:color w:val="000000" w:themeColor="text1"/>
                <w:sz w:val="20"/>
                <w:szCs w:val="20"/>
              </w:rPr>
              <w:t xml:space="preserve"> instituții relevante din </w:t>
            </w:r>
            <w:r w:rsidRPr="00CD2ADD">
              <w:rPr>
                <w:sz w:val="20"/>
                <w:szCs w:val="20"/>
              </w:rPr>
              <w:t>sectorul veterinar, agricol, sanitar și de mediu</w:t>
            </w:r>
          </w:p>
        </w:tc>
      </w:tr>
      <w:tr w:rsidR="0044508D" w:rsidRPr="00CD2ADD" w14:paraId="77C03DB5" w14:textId="77777777" w:rsidTr="002C4956">
        <w:tc>
          <w:tcPr>
            <w:tcW w:w="15388" w:type="dxa"/>
            <w:gridSpan w:val="15"/>
            <w:shd w:val="clear" w:color="auto" w:fill="D9F2D0" w:themeFill="accent6" w:themeFillTint="33"/>
          </w:tcPr>
          <w:p w14:paraId="52ED6172" w14:textId="77777777" w:rsidR="0044508D" w:rsidRPr="00CD2ADD" w:rsidRDefault="0044508D" w:rsidP="0044508D">
            <w:pPr>
              <w:rPr>
                <w:b/>
                <w:bCs/>
                <w:sz w:val="20"/>
                <w:szCs w:val="20"/>
              </w:rPr>
            </w:pPr>
            <w:r w:rsidRPr="00CD2ADD">
              <w:rPr>
                <w:b/>
                <w:bCs/>
                <w:sz w:val="20"/>
                <w:szCs w:val="20"/>
              </w:rPr>
              <w:lastRenderedPageBreak/>
              <w:t>Obiectiv specific 2.3: Instituționalizarea reducerii riscurilor de dezastru în cadrul structurilor publice din sectorul de mediu</w:t>
            </w:r>
          </w:p>
        </w:tc>
      </w:tr>
      <w:tr w:rsidR="0044508D" w:rsidRPr="00CD2ADD" w14:paraId="76EACB8D" w14:textId="77777777" w:rsidTr="002C4956">
        <w:tc>
          <w:tcPr>
            <w:tcW w:w="514" w:type="dxa"/>
          </w:tcPr>
          <w:p w14:paraId="250C4D27" w14:textId="77777777" w:rsidR="0044508D" w:rsidRPr="00CD2ADD" w:rsidRDefault="0044508D" w:rsidP="0044508D">
            <w:pPr>
              <w:rPr>
                <w:sz w:val="20"/>
                <w:szCs w:val="20"/>
              </w:rPr>
            </w:pPr>
            <w:r w:rsidRPr="00CD2ADD">
              <w:rPr>
                <w:sz w:val="20"/>
                <w:szCs w:val="20"/>
              </w:rPr>
              <w:t>22.</w:t>
            </w:r>
          </w:p>
        </w:tc>
        <w:tc>
          <w:tcPr>
            <w:tcW w:w="2033" w:type="dxa"/>
          </w:tcPr>
          <w:p w14:paraId="63F8A982" w14:textId="77777777" w:rsidR="0044508D" w:rsidRPr="00CD2ADD" w:rsidRDefault="0044508D" w:rsidP="0044508D">
            <w:pPr>
              <w:rPr>
                <w:sz w:val="20"/>
                <w:szCs w:val="20"/>
              </w:rPr>
            </w:pPr>
            <w:r w:rsidRPr="00CD2ADD">
              <w:rPr>
                <w:color w:val="000000" w:themeColor="text1"/>
                <w:sz w:val="20"/>
                <w:szCs w:val="20"/>
              </w:rPr>
              <w:t>2.3.1 Desemnarea unui punct focal RRD în cadrul Ministerului Mediului, Ministerului Sănătății  si a instituțiilor subordonate acestora</w:t>
            </w:r>
          </w:p>
        </w:tc>
        <w:tc>
          <w:tcPr>
            <w:tcW w:w="1701" w:type="dxa"/>
          </w:tcPr>
          <w:p w14:paraId="558BBFFC" w14:textId="77777777" w:rsidR="0044508D" w:rsidRPr="00CD2ADD" w:rsidRDefault="0044508D" w:rsidP="0044508D">
            <w:pPr>
              <w:rPr>
                <w:color w:val="000000" w:themeColor="text1"/>
                <w:sz w:val="20"/>
                <w:szCs w:val="20"/>
              </w:rPr>
            </w:pPr>
            <w:r w:rsidRPr="00CD2ADD">
              <w:rPr>
                <w:color w:val="000000" w:themeColor="text1"/>
                <w:sz w:val="20"/>
                <w:szCs w:val="20"/>
              </w:rPr>
              <w:t>-Fișă de post cu atribuții clare în domeniul RRD revizuită</w:t>
            </w:r>
          </w:p>
          <w:p w14:paraId="6D5105A1" w14:textId="77777777" w:rsidR="0044508D" w:rsidRPr="00CD2ADD" w:rsidRDefault="0044508D" w:rsidP="0044508D">
            <w:pPr>
              <w:rPr>
                <w:color w:val="000000" w:themeColor="text1"/>
                <w:sz w:val="20"/>
                <w:szCs w:val="20"/>
              </w:rPr>
            </w:pPr>
          </w:p>
        </w:tc>
        <w:tc>
          <w:tcPr>
            <w:tcW w:w="850" w:type="dxa"/>
          </w:tcPr>
          <w:p w14:paraId="5851DE95" w14:textId="0A207388" w:rsidR="0044508D" w:rsidRPr="00CD2ADD" w:rsidRDefault="0044508D" w:rsidP="0044508D">
            <w:pPr>
              <w:rPr>
                <w:sz w:val="20"/>
                <w:szCs w:val="20"/>
              </w:rPr>
            </w:pPr>
            <w:r w:rsidRPr="00CD2ADD">
              <w:rPr>
                <w:sz w:val="20"/>
                <w:szCs w:val="20"/>
              </w:rPr>
              <w:t>În limitele bugetului alocat instituțiilor</w:t>
            </w:r>
          </w:p>
        </w:tc>
        <w:tc>
          <w:tcPr>
            <w:tcW w:w="851" w:type="dxa"/>
          </w:tcPr>
          <w:p w14:paraId="57D4E5F3" w14:textId="68D002B8" w:rsidR="0044508D" w:rsidRPr="00CD2ADD" w:rsidRDefault="0044508D" w:rsidP="0044508D">
            <w:pPr>
              <w:rPr>
                <w:sz w:val="20"/>
                <w:szCs w:val="20"/>
              </w:rPr>
            </w:pPr>
          </w:p>
        </w:tc>
        <w:tc>
          <w:tcPr>
            <w:tcW w:w="709" w:type="dxa"/>
          </w:tcPr>
          <w:p w14:paraId="1D8683BB" w14:textId="77777777" w:rsidR="0044508D" w:rsidRPr="00CD2ADD" w:rsidRDefault="0044508D" w:rsidP="0044508D">
            <w:pPr>
              <w:rPr>
                <w:sz w:val="20"/>
                <w:szCs w:val="20"/>
              </w:rPr>
            </w:pPr>
          </w:p>
        </w:tc>
        <w:tc>
          <w:tcPr>
            <w:tcW w:w="992" w:type="dxa"/>
          </w:tcPr>
          <w:p w14:paraId="4C78585A" w14:textId="77777777" w:rsidR="0044508D" w:rsidRPr="00CD2ADD" w:rsidRDefault="0044508D" w:rsidP="0044508D">
            <w:pPr>
              <w:rPr>
                <w:sz w:val="20"/>
                <w:szCs w:val="20"/>
              </w:rPr>
            </w:pPr>
          </w:p>
        </w:tc>
        <w:tc>
          <w:tcPr>
            <w:tcW w:w="1134" w:type="dxa"/>
          </w:tcPr>
          <w:p w14:paraId="3FE2501C" w14:textId="77777777" w:rsidR="0044508D" w:rsidRPr="00CD2ADD" w:rsidRDefault="0044508D" w:rsidP="0044508D">
            <w:pPr>
              <w:rPr>
                <w:sz w:val="20"/>
                <w:szCs w:val="20"/>
              </w:rPr>
            </w:pPr>
            <w:r w:rsidRPr="00CD2ADD">
              <w:rPr>
                <w:sz w:val="20"/>
                <w:szCs w:val="20"/>
              </w:rPr>
              <w:t>7011</w:t>
            </w:r>
          </w:p>
          <w:p w14:paraId="68280CB9" w14:textId="77777777" w:rsidR="0044508D" w:rsidRPr="00CD2ADD" w:rsidRDefault="0044508D" w:rsidP="0044508D">
            <w:pPr>
              <w:rPr>
                <w:sz w:val="20"/>
                <w:szCs w:val="20"/>
              </w:rPr>
            </w:pPr>
            <w:r w:rsidRPr="00CD2ADD">
              <w:rPr>
                <w:sz w:val="20"/>
                <w:szCs w:val="20"/>
              </w:rPr>
              <w:t>8001</w:t>
            </w:r>
          </w:p>
        </w:tc>
        <w:tc>
          <w:tcPr>
            <w:tcW w:w="709" w:type="dxa"/>
          </w:tcPr>
          <w:p w14:paraId="637D0B24" w14:textId="5408B4FA" w:rsidR="0044508D" w:rsidRPr="00CD2ADD" w:rsidRDefault="0044508D" w:rsidP="0044508D">
            <w:pPr>
              <w:rPr>
                <w:sz w:val="20"/>
                <w:szCs w:val="20"/>
              </w:rPr>
            </w:pPr>
          </w:p>
        </w:tc>
        <w:tc>
          <w:tcPr>
            <w:tcW w:w="708" w:type="dxa"/>
          </w:tcPr>
          <w:p w14:paraId="4F216089" w14:textId="77777777" w:rsidR="0044508D" w:rsidRPr="00CD2ADD" w:rsidRDefault="0044508D" w:rsidP="0044508D">
            <w:pPr>
              <w:rPr>
                <w:sz w:val="20"/>
                <w:szCs w:val="20"/>
              </w:rPr>
            </w:pPr>
          </w:p>
        </w:tc>
        <w:tc>
          <w:tcPr>
            <w:tcW w:w="709" w:type="dxa"/>
          </w:tcPr>
          <w:p w14:paraId="4E81364B" w14:textId="77777777" w:rsidR="0044508D" w:rsidRPr="00CD2ADD" w:rsidRDefault="0044508D" w:rsidP="0044508D">
            <w:pPr>
              <w:rPr>
                <w:sz w:val="20"/>
                <w:szCs w:val="20"/>
              </w:rPr>
            </w:pPr>
          </w:p>
        </w:tc>
        <w:tc>
          <w:tcPr>
            <w:tcW w:w="709" w:type="dxa"/>
          </w:tcPr>
          <w:p w14:paraId="4E0CC2DF" w14:textId="77777777" w:rsidR="0044508D" w:rsidRPr="00CD2ADD" w:rsidRDefault="0044508D" w:rsidP="0044508D">
            <w:pPr>
              <w:rPr>
                <w:sz w:val="20"/>
                <w:szCs w:val="20"/>
              </w:rPr>
            </w:pPr>
          </w:p>
        </w:tc>
        <w:tc>
          <w:tcPr>
            <w:tcW w:w="709" w:type="dxa"/>
          </w:tcPr>
          <w:p w14:paraId="5A9CC6DE" w14:textId="77777777" w:rsidR="0044508D" w:rsidRPr="00CD2ADD" w:rsidRDefault="0044508D" w:rsidP="0044508D">
            <w:pPr>
              <w:rPr>
                <w:sz w:val="20"/>
                <w:szCs w:val="20"/>
              </w:rPr>
            </w:pPr>
          </w:p>
        </w:tc>
        <w:tc>
          <w:tcPr>
            <w:tcW w:w="1134" w:type="dxa"/>
          </w:tcPr>
          <w:p w14:paraId="4B861507" w14:textId="77777777" w:rsidR="0044508D" w:rsidRPr="00CD2ADD" w:rsidRDefault="0044508D" w:rsidP="0044508D">
            <w:pPr>
              <w:rPr>
                <w:sz w:val="20"/>
                <w:szCs w:val="20"/>
              </w:rPr>
            </w:pPr>
            <w:r w:rsidRPr="00CD2ADD">
              <w:rPr>
                <w:sz w:val="20"/>
                <w:szCs w:val="20"/>
              </w:rPr>
              <w:t>Trim. I 2026</w:t>
            </w:r>
          </w:p>
        </w:tc>
        <w:tc>
          <w:tcPr>
            <w:tcW w:w="1926" w:type="dxa"/>
          </w:tcPr>
          <w:p w14:paraId="71E19A56" w14:textId="2A35B43C" w:rsidR="0044508D" w:rsidRPr="00CD2ADD" w:rsidRDefault="0044508D" w:rsidP="0044508D">
            <w:pPr>
              <w:rPr>
                <w:sz w:val="20"/>
                <w:szCs w:val="20"/>
              </w:rPr>
            </w:pPr>
            <w:r w:rsidRPr="00CD2ADD">
              <w:rPr>
                <w:color w:val="000000" w:themeColor="text1"/>
                <w:sz w:val="20"/>
                <w:szCs w:val="20"/>
              </w:rPr>
              <w:t xml:space="preserve">Ministerul Mediului, Ministerul Sănătății, </w:t>
            </w:r>
            <w:r w:rsidRPr="00CD2ADD">
              <w:rPr>
                <w:sz w:val="20"/>
                <w:szCs w:val="20"/>
              </w:rPr>
              <w:t>IP AN Apele Moldovei, Serviciul Hidrometeorologic de Stat,  Agenția Moldsilva, Agenția de Mediu, Agenția pentru Geologie și Resurse Minerale, Agenția Națională pentru Siguranța Alimentelor, Agenția Națională pentru Sănătate Publica</w:t>
            </w:r>
          </w:p>
        </w:tc>
      </w:tr>
      <w:tr w:rsidR="0044508D" w:rsidRPr="00CD2ADD" w14:paraId="4F3B9FCB" w14:textId="77777777" w:rsidTr="002C4956">
        <w:tc>
          <w:tcPr>
            <w:tcW w:w="514" w:type="dxa"/>
          </w:tcPr>
          <w:p w14:paraId="288FD93C" w14:textId="77777777" w:rsidR="0044508D" w:rsidRPr="00CD2ADD" w:rsidRDefault="0044508D" w:rsidP="0044508D">
            <w:pPr>
              <w:rPr>
                <w:sz w:val="20"/>
                <w:szCs w:val="20"/>
              </w:rPr>
            </w:pPr>
            <w:r w:rsidRPr="00CD2ADD">
              <w:rPr>
                <w:sz w:val="20"/>
                <w:szCs w:val="20"/>
              </w:rPr>
              <w:lastRenderedPageBreak/>
              <w:t>23.</w:t>
            </w:r>
          </w:p>
        </w:tc>
        <w:tc>
          <w:tcPr>
            <w:tcW w:w="2033" w:type="dxa"/>
          </w:tcPr>
          <w:p w14:paraId="318D93C3" w14:textId="77777777" w:rsidR="0044508D" w:rsidRPr="00CD2ADD" w:rsidRDefault="0044508D" w:rsidP="0044508D">
            <w:pPr>
              <w:rPr>
                <w:sz w:val="20"/>
                <w:szCs w:val="20"/>
              </w:rPr>
            </w:pPr>
            <w:r w:rsidRPr="00CD2ADD">
              <w:rPr>
                <w:color w:val="000000" w:themeColor="text1"/>
                <w:sz w:val="20"/>
                <w:szCs w:val="20"/>
              </w:rPr>
              <w:t>2.3.2 Desemnarea unui punct focal RRD în autoritățile publice locale</w:t>
            </w:r>
          </w:p>
        </w:tc>
        <w:tc>
          <w:tcPr>
            <w:tcW w:w="1701" w:type="dxa"/>
          </w:tcPr>
          <w:p w14:paraId="1F6A65D3" w14:textId="77777777" w:rsidR="0044508D" w:rsidRPr="00CD2ADD" w:rsidRDefault="0044508D" w:rsidP="0044508D">
            <w:pPr>
              <w:rPr>
                <w:sz w:val="20"/>
                <w:szCs w:val="20"/>
              </w:rPr>
            </w:pPr>
            <w:r w:rsidRPr="00CD2ADD">
              <w:rPr>
                <w:color w:val="000000" w:themeColor="text1"/>
                <w:sz w:val="20"/>
                <w:szCs w:val="20"/>
              </w:rPr>
              <w:t>- Fișă de post cu atribuții clare în domeniul RRD revizuită</w:t>
            </w:r>
          </w:p>
        </w:tc>
        <w:tc>
          <w:tcPr>
            <w:tcW w:w="850" w:type="dxa"/>
          </w:tcPr>
          <w:p w14:paraId="4FD11C27" w14:textId="598C280D" w:rsidR="0044508D" w:rsidRPr="00CD2ADD" w:rsidRDefault="0044508D" w:rsidP="0044508D">
            <w:pPr>
              <w:rPr>
                <w:sz w:val="20"/>
                <w:szCs w:val="20"/>
              </w:rPr>
            </w:pPr>
            <w:r w:rsidRPr="00CD2ADD">
              <w:rPr>
                <w:sz w:val="20"/>
                <w:szCs w:val="20"/>
              </w:rPr>
              <w:t>În limitele bugetului alocat instituțiilor</w:t>
            </w:r>
          </w:p>
        </w:tc>
        <w:tc>
          <w:tcPr>
            <w:tcW w:w="851" w:type="dxa"/>
          </w:tcPr>
          <w:p w14:paraId="2431EF78" w14:textId="09AE4584" w:rsidR="0044508D" w:rsidRPr="00CD2ADD" w:rsidRDefault="0044508D" w:rsidP="0044508D">
            <w:pPr>
              <w:rPr>
                <w:sz w:val="20"/>
                <w:szCs w:val="20"/>
              </w:rPr>
            </w:pPr>
          </w:p>
        </w:tc>
        <w:tc>
          <w:tcPr>
            <w:tcW w:w="709" w:type="dxa"/>
          </w:tcPr>
          <w:p w14:paraId="2ABC8644" w14:textId="77777777" w:rsidR="0044508D" w:rsidRPr="00CD2ADD" w:rsidRDefault="0044508D" w:rsidP="0044508D">
            <w:pPr>
              <w:rPr>
                <w:sz w:val="20"/>
                <w:szCs w:val="20"/>
              </w:rPr>
            </w:pPr>
          </w:p>
        </w:tc>
        <w:tc>
          <w:tcPr>
            <w:tcW w:w="992" w:type="dxa"/>
          </w:tcPr>
          <w:p w14:paraId="1D77B6F9" w14:textId="77777777" w:rsidR="0044508D" w:rsidRPr="00CD2ADD" w:rsidRDefault="0044508D" w:rsidP="0044508D">
            <w:pPr>
              <w:rPr>
                <w:sz w:val="20"/>
                <w:szCs w:val="20"/>
              </w:rPr>
            </w:pPr>
          </w:p>
        </w:tc>
        <w:tc>
          <w:tcPr>
            <w:tcW w:w="1134" w:type="dxa"/>
          </w:tcPr>
          <w:p w14:paraId="14B320E3" w14:textId="77777777" w:rsidR="0044508D" w:rsidRPr="00CD2ADD" w:rsidRDefault="0044508D" w:rsidP="0044508D">
            <w:pPr>
              <w:rPr>
                <w:sz w:val="20"/>
                <w:szCs w:val="20"/>
              </w:rPr>
            </w:pPr>
            <w:r w:rsidRPr="00CD2ADD">
              <w:rPr>
                <w:sz w:val="20"/>
                <w:szCs w:val="20"/>
              </w:rPr>
              <w:t>7011</w:t>
            </w:r>
          </w:p>
          <w:p w14:paraId="3701614F" w14:textId="77777777" w:rsidR="0044508D" w:rsidRPr="00CD2ADD" w:rsidRDefault="0044508D" w:rsidP="0044508D">
            <w:pPr>
              <w:rPr>
                <w:sz w:val="20"/>
                <w:szCs w:val="20"/>
              </w:rPr>
            </w:pPr>
            <w:r w:rsidRPr="00CD2ADD">
              <w:rPr>
                <w:sz w:val="20"/>
                <w:szCs w:val="20"/>
              </w:rPr>
              <w:t>8001</w:t>
            </w:r>
          </w:p>
        </w:tc>
        <w:tc>
          <w:tcPr>
            <w:tcW w:w="709" w:type="dxa"/>
          </w:tcPr>
          <w:p w14:paraId="4AFEDA0E" w14:textId="0472DAD6" w:rsidR="0044508D" w:rsidRPr="00CD2ADD" w:rsidRDefault="0044508D" w:rsidP="0044508D">
            <w:pPr>
              <w:rPr>
                <w:sz w:val="20"/>
                <w:szCs w:val="20"/>
              </w:rPr>
            </w:pPr>
          </w:p>
        </w:tc>
        <w:tc>
          <w:tcPr>
            <w:tcW w:w="708" w:type="dxa"/>
          </w:tcPr>
          <w:p w14:paraId="2E003A6E" w14:textId="77777777" w:rsidR="0044508D" w:rsidRPr="00CD2ADD" w:rsidRDefault="0044508D" w:rsidP="0044508D">
            <w:pPr>
              <w:rPr>
                <w:sz w:val="20"/>
                <w:szCs w:val="20"/>
              </w:rPr>
            </w:pPr>
          </w:p>
        </w:tc>
        <w:tc>
          <w:tcPr>
            <w:tcW w:w="709" w:type="dxa"/>
          </w:tcPr>
          <w:p w14:paraId="59CE64A7" w14:textId="77777777" w:rsidR="0044508D" w:rsidRPr="00CD2ADD" w:rsidRDefault="0044508D" w:rsidP="0044508D">
            <w:pPr>
              <w:rPr>
                <w:sz w:val="20"/>
                <w:szCs w:val="20"/>
              </w:rPr>
            </w:pPr>
          </w:p>
        </w:tc>
        <w:tc>
          <w:tcPr>
            <w:tcW w:w="709" w:type="dxa"/>
          </w:tcPr>
          <w:p w14:paraId="5DF83A93" w14:textId="77777777" w:rsidR="0044508D" w:rsidRPr="00CD2ADD" w:rsidRDefault="0044508D" w:rsidP="0044508D">
            <w:pPr>
              <w:rPr>
                <w:sz w:val="20"/>
                <w:szCs w:val="20"/>
              </w:rPr>
            </w:pPr>
          </w:p>
        </w:tc>
        <w:tc>
          <w:tcPr>
            <w:tcW w:w="709" w:type="dxa"/>
          </w:tcPr>
          <w:p w14:paraId="16EC066D" w14:textId="77777777" w:rsidR="0044508D" w:rsidRPr="00CD2ADD" w:rsidRDefault="0044508D" w:rsidP="0044508D">
            <w:pPr>
              <w:rPr>
                <w:sz w:val="20"/>
                <w:szCs w:val="20"/>
              </w:rPr>
            </w:pPr>
          </w:p>
        </w:tc>
        <w:tc>
          <w:tcPr>
            <w:tcW w:w="1134" w:type="dxa"/>
          </w:tcPr>
          <w:p w14:paraId="77BF4216" w14:textId="77777777" w:rsidR="0044508D" w:rsidRPr="00CD2ADD" w:rsidRDefault="0044508D" w:rsidP="0044508D">
            <w:pPr>
              <w:rPr>
                <w:sz w:val="20"/>
                <w:szCs w:val="20"/>
              </w:rPr>
            </w:pPr>
            <w:r w:rsidRPr="00CD2ADD">
              <w:rPr>
                <w:sz w:val="20"/>
                <w:szCs w:val="20"/>
              </w:rPr>
              <w:t>Trim. IV 2030</w:t>
            </w:r>
          </w:p>
        </w:tc>
        <w:tc>
          <w:tcPr>
            <w:tcW w:w="1926" w:type="dxa"/>
          </w:tcPr>
          <w:p w14:paraId="7F57328F" w14:textId="77777777" w:rsidR="0044508D" w:rsidRPr="00CD2ADD" w:rsidRDefault="0044508D" w:rsidP="0044508D">
            <w:pPr>
              <w:rPr>
                <w:sz w:val="20"/>
                <w:szCs w:val="20"/>
              </w:rPr>
            </w:pPr>
            <w:r w:rsidRPr="00CD2ADD">
              <w:rPr>
                <w:color w:val="000000" w:themeColor="text1"/>
                <w:sz w:val="20"/>
                <w:szCs w:val="20"/>
              </w:rPr>
              <w:t>APL-uri, Ministerul Mediului, Ministerul Sănătății</w:t>
            </w:r>
          </w:p>
        </w:tc>
      </w:tr>
      <w:tr w:rsidR="0044508D" w:rsidRPr="00CD2ADD" w14:paraId="29A5151F" w14:textId="77777777" w:rsidTr="002C4956">
        <w:tc>
          <w:tcPr>
            <w:tcW w:w="514" w:type="dxa"/>
          </w:tcPr>
          <w:p w14:paraId="3D6E14B9" w14:textId="77777777" w:rsidR="0044508D" w:rsidRPr="00CD2ADD" w:rsidRDefault="0044508D" w:rsidP="0044508D">
            <w:pPr>
              <w:rPr>
                <w:sz w:val="20"/>
                <w:szCs w:val="20"/>
              </w:rPr>
            </w:pPr>
            <w:r w:rsidRPr="00CD2ADD">
              <w:rPr>
                <w:sz w:val="20"/>
                <w:szCs w:val="20"/>
              </w:rPr>
              <w:t>24.</w:t>
            </w:r>
          </w:p>
        </w:tc>
        <w:tc>
          <w:tcPr>
            <w:tcW w:w="2033" w:type="dxa"/>
          </w:tcPr>
          <w:p w14:paraId="431DDF37" w14:textId="77777777" w:rsidR="0044508D" w:rsidRPr="00CD2ADD" w:rsidRDefault="0044508D" w:rsidP="0044508D">
            <w:pPr>
              <w:rPr>
                <w:sz w:val="20"/>
                <w:szCs w:val="20"/>
              </w:rPr>
            </w:pPr>
            <w:r w:rsidRPr="00CD2ADD">
              <w:rPr>
                <w:color w:val="000000" w:themeColor="text1"/>
                <w:sz w:val="20"/>
                <w:szCs w:val="20"/>
              </w:rPr>
              <w:t>2.3.3 Elaborarea unui plan de dezvoltare a capacităților instituționale RRD pentru perioada 2026 - 2030</w:t>
            </w:r>
          </w:p>
        </w:tc>
        <w:tc>
          <w:tcPr>
            <w:tcW w:w="1701" w:type="dxa"/>
          </w:tcPr>
          <w:p w14:paraId="6C090AEF" w14:textId="77777777" w:rsidR="0044508D" w:rsidRPr="00CD2ADD" w:rsidRDefault="0044508D" w:rsidP="0044508D">
            <w:pPr>
              <w:rPr>
                <w:color w:val="000000" w:themeColor="text1"/>
                <w:sz w:val="20"/>
                <w:szCs w:val="20"/>
              </w:rPr>
            </w:pPr>
            <w:r w:rsidRPr="00CD2ADD">
              <w:rPr>
                <w:color w:val="000000" w:themeColor="text1"/>
                <w:sz w:val="20"/>
                <w:szCs w:val="20"/>
              </w:rPr>
              <w:t>- Analiza ex-ante pentru evaluarea capacităților RRD (valoare de referință și actualizare în 2030)</w:t>
            </w:r>
          </w:p>
          <w:p w14:paraId="31F55761" w14:textId="77777777" w:rsidR="0044508D" w:rsidRPr="00CD2ADD" w:rsidRDefault="0044508D" w:rsidP="0044508D">
            <w:pPr>
              <w:rPr>
                <w:color w:val="000000" w:themeColor="text1"/>
                <w:sz w:val="20"/>
                <w:szCs w:val="20"/>
              </w:rPr>
            </w:pPr>
            <w:r w:rsidRPr="00CD2ADD">
              <w:rPr>
                <w:color w:val="000000" w:themeColor="text1"/>
                <w:sz w:val="20"/>
                <w:szCs w:val="20"/>
              </w:rPr>
              <w:t>- Plan de dezvoltare a capacităților finalizat și validat</w:t>
            </w:r>
          </w:p>
        </w:tc>
        <w:tc>
          <w:tcPr>
            <w:tcW w:w="850" w:type="dxa"/>
          </w:tcPr>
          <w:p w14:paraId="2C25F516" w14:textId="77777777" w:rsidR="0044508D" w:rsidRPr="00CD2ADD" w:rsidRDefault="0044508D" w:rsidP="0044508D">
            <w:pPr>
              <w:rPr>
                <w:sz w:val="20"/>
                <w:szCs w:val="20"/>
              </w:rPr>
            </w:pPr>
            <w:r w:rsidRPr="00CD2ADD">
              <w:rPr>
                <w:sz w:val="20"/>
                <w:szCs w:val="20"/>
              </w:rPr>
              <w:t>240</w:t>
            </w:r>
          </w:p>
        </w:tc>
        <w:tc>
          <w:tcPr>
            <w:tcW w:w="851" w:type="dxa"/>
          </w:tcPr>
          <w:p w14:paraId="47382675" w14:textId="77777777" w:rsidR="0044508D" w:rsidRPr="00CD2ADD" w:rsidRDefault="0044508D" w:rsidP="0044508D">
            <w:pPr>
              <w:rPr>
                <w:sz w:val="20"/>
                <w:szCs w:val="20"/>
              </w:rPr>
            </w:pPr>
          </w:p>
        </w:tc>
        <w:tc>
          <w:tcPr>
            <w:tcW w:w="709" w:type="dxa"/>
          </w:tcPr>
          <w:p w14:paraId="50282BB2" w14:textId="77777777" w:rsidR="0044508D" w:rsidRPr="00CD2ADD" w:rsidRDefault="0044508D" w:rsidP="0044508D">
            <w:pPr>
              <w:rPr>
                <w:sz w:val="20"/>
                <w:szCs w:val="20"/>
              </w:rPr>
            </w:pPr>
            <w:r w:rsidRPr="00CD2ADD">
              <w:rPr>
                <w:sz w:val="20"/>
                <w:szCs w:val="20"/>
              </w:rPr>
              <w:t>240</w:t>
            </w:r>
          </w:p>
        </w:tc>
        <w:tc>
          <w:tcPr>
            <w:tcW w:w="992" w:type="dxa"/>
          </w:tcPr>
          <w:p w14:paraId="302139A9" w14:textId="77777777" w:rsidR="0044508D" w:rsidRPr="00CD2ADD" w:rsidRDefault="0044508D" w:rsidP="0044508D">
            <w:pPr>
              <w:rPr>
                <w:sz w:val="20"/>
                <w:szCs w:val="20"/>
              </w:rPr>
            </w:pPr>
          </w:p>
        </w:tc>
        <w:tc>
          <w:tcPr>
            <w:tcW w:w="1134" w:type="dxa"/>
          </w:tcPr>
          <w:p w14:paraId="05ADD4C0" w14:textId="77777777" w:rsidR="0044508D" w:rsidRPr="00CD2ADD" w:rsidRDefault="0044508D" w:rsidP="0044508D">
            <w:pPr>
              <w:rPr>
                <w:sz w:val="20"/>
                <w:szCs w:val="20"/>
              </w:rPr>
            </w:pPr>
            <w:r w:rsidRPr="00CD2ADD">
              <w:rPr>
                <w:color w:val="000000" w:themeColor="text1"/>
                <w:sz w:val="20"/>
                <w:szCs w:val="20"/>
              </w:rPr>
              <w:t>Sursa de finanțare externa</w:t>
            </w:r>
          </w:p>
        </w:tc>
        <w:tc>
          <w:tcPr>
            <w:tcW w:w="709" w:type="dxa"/>
          </w:tcPr>
          <w:p w14:paraId="78C780BF" w14:textId="77777777" w:rsidR="0044508D" w:rsidRPr="00CD2ADD" w:rsidRDefault="0044508D" w:rsidP="0044508D">
            <w:pPr>
              <w:rPr>
                <w:sz w:val="20"/>
                <w:szCs w:val="20"/>
              </w:rPr>
            </w:pPr>
            <w:r w:rsidRPr="00CD2ADD">
              <w:rPr>
                <w:sz w:val="20"/>
                <w:szCs w:val="20"/>
              </w:rPr>
              <w:t>80</w:t>
            </w:r>
          </w:p>
        </w:tc>
        <w:tc>
          <w:tcPr>
            <w:tcW w:w="708" w:type="dxa"/>
          </w:tcPr>
          <w:p w14:paraId="18A305AB" w14:textId="77777777" w:rsidR="0044508D" w:rsidRPr="00CD2ADD" w:rsidRDefault="0044508D" w:rsidP="0044508D">
            <w:pPr>
              <w:rPr>
                <w:sz w:val="20"/>
                <w:szCs w:val="20"/>
              </w:rPr>
            </w:pPr>
            <w:r w:rsidRPr="00CD2ADD">
              <w:rPr>
                <w:sz w:val="20"/>
                <w:szCs w:val="20"/>
              </w:rPr>
              <w:t>160</w:t>
            </w:r>
          </w:p>
        </w:tc>
        <w:tc>
          <w:tcPr>
            <w:tcW w:w="709" w:type="dxa"/>
          </w:tcPr>
          <w:p w14:paraId="411D2259" w14:textId="77777777" w:rsidR="0044508D" w:rsidRPr="00CD2ADD" w:rsidRDefault="0044508D" w:rsidP="0044508D">
            <w:pPr>
              <w:rPr>
                <w:sz w:val="20"/>
                <w:szCs w:val="20"/>
              </w:rPr>
            </w:pPr>
          </w:p>
        </w:tc>
        <w:tc>
          <w:tcPr>
            <w:tcW w:w="709" w:type="dxa"/>
          </w:tcPr>
          <w:p w14:paraId="15BB9723" w14:textId="77777777" w:rsidR="0044508D" w:rsidRPr="00CD2ADD" w:rsidRDefault="0044508D" w:rsidP="0044508D">
            <w:pPr>
              <w:rPr>
                <w:sz w:val="20"/>
                <w:szCs w:val="20"/>
              </w:rPr>
            </w:pPr>
          </w:p>
        </w:tc>
        <w:tc>
          <w:tcPr>
            <w:tcW w:w="709" w:type="dxa"/>
          </w:tcPr>
          <w:p w14:paraId="58A1D548" w14:textId="77777777" w:rsidR="0044508D" w:rsidRPr="00CD2ADD" w:rsidRDefault="0044508D" w:rsidP="0044508D">
            <w:pPr>
              <w:rPr>
                <w:sz w:val="20"/>
                <w:szCs w:val="20"/>
              </w:rPr>
            </w:pPr>
          </w:p>
        </w:tc>
        <w:tc>
          <w:tcPr>
            <w:tcW w:w="1134" w:type="dxa"/>
          </w:tcPr>
          <w:p w14:paraId="53801481" w14:textId="77777777" w:rsidR="0044508D" w:rsidRPr="00CD2ADD" w:rsidRDefault="0044508D" w:rsidP="0044508D">
            <w:pPr>
              <w:rPr>
                <w:sz w:val="20"/>
                <w:szCs w:val="20"/>
              </w:rPr>
            </w:pPr>
            <w:r w:rsidRPr="00CD2ADD">
              <w:rPr>
                <w:sz w:val="20"/>
                <w:szCs w:val="20"/>
              </w:rPr>
              <w:t>Trim. III 2026</w:t>
            </w:r>
          </w:p>
          <w:p w14:paraId="739F8189" w14:textId="77777777" w:rsidR="0044508D" w:rsidRPr="00CD2ADD" w:rsidRDefault="0044508D" w:rsidP="0044508D">
            <w:pPr>
              <w:rPr>
                <w:sz w:val="20"/>
                <w:szCs w:val="20"/>
              </w:rPr>
            </w:pPr>
          </w:p>
          <w:p w14:paraId="49395B75" w14:textId="77777777" w:rsidR="0044508D" w:rsidRPr="00CD2ADD" w:rsidRDefault="0044508D" w:rsidP="0044508D">
            <w:pPr>
              <w:rPr>
                <w:sz w:val="20"/>
                <w:szCs w:val="20"/>
              </w:rPr>
            </w:pPr>
          </w:p>
          <w:p w14:paraId="3876668E" w14:textId="77777777" w:rsidR="0044508D" w:rsidRPr="00CD2ADD" w:rsidRDefault="0044508D" w:rsidP="0044508D">
            <w:pPr>
              <w:rPr>
                <w:sz w:val="20"/>
                <w:szCs w:val="20"/>
              </w:rPr>
            </w:pPr>
          </w:p>
          <w:p w14:paraId="31492144" w14:textId="77777777" w:rsidR="0044508D" w:rsidRPr="00CD2ADD" w:rsidRDefault="0044508D" w:rsidP="0044508D">
            <w:pPr>
              <w:rPr>
                <w:sz w:val="20"/>
                <w:szCs w:val="20"/>
              </w:rPr>
            </w:pPr>
            <w:r w:rsidRPr="00CD2ADD">
              <w:rPr>
                <w:sz w:val="20"/>
                <w:szCs w:val="20"/>
              </w:rPr>
              <w:t>Trim. III 2027</w:t>
            </w:r>
          </w:p>
        </w:tc>
        <w:tc>
          <w:tcPr>
            <w:tcW w:w="1926" w:type="dxa"/>
          </w:tcPr>
          <w:p w14:paraId="5D8DF2B6" w14:textId="7026603A" w:rsidR="0044508D" w:rsidRPr="00CD2ADD" w:rsidRDefault="0044508D" w:rsidP="0044508D">
            <w:pPr>
              <w:rPr>
                <w:sz w:val="20"/>
                <w:szCs w:val="20"/>
              </w:rPr>
            </w:pPr>
            <w:r w:rsidRPr="00CD2ADD">
              <w:rPr>
                <w:color w:val="000000" w:themeColor="text1"/>
                <w:sz w:val="20"/>
                <w:szCs w:val="20"/>
              </w:rPr>
              <w:t>Mediului, Ministerul Sănătății, și instituțiile subordonate, Parteneri externi (UNDRR, OIM, PNUD, UE etc.)</w:t>
            </w:r>
          </w:p>
        </w:tc>
      </w:tr>
      <w:tr w:rsidR="0044508D" w:rsidRPr="00CD2ADD" w14:paraId="4F49FAF2" w14:textId="77777777" w:rsidTr="002C4956">
        <w:tc>
          <w:tcPr>
            <w:tcW w:w="514" w:type="dxa"/>
          </w:tcPr>
          <w:p w14:paraId="3D281A68" w14:textId="77777777" w:rsidR="0044508D" w:rsidRPr="00CD2ADD" w:rsidRDefault="0044508D" w:rsidP="0044508D">
            <w:pPr>
              <w:rPr>
                <w:sz w:val="20"/>
                <w:szCs w:val="20"/>
              </w:rPr>
            </w:pPr>
            <w:r w:rsidRPr="00CD2ADD">
              <w:rPr>
                <w:sz w:val="20"/>
                <w:szCs w:val="20"/>
              </w:rPr>
              <w:t>25.</w:t>
            </w:r>
          </w:p>
        </w:tc>
        <w:tc>
          <w:tcPr>
            <w:tcW w:w="2033" w:type="dxa"/>
          </w:tcPr>
          <w:p w14:paraId="4689E0F2" w14:textId="77777777" w:rsidR="0044508D" w:rsidRPr="00CD2ADD" w:rsidRDefault="0044508D" w:rsidP="0044508D">
            <w:pPr>
              <w:rPr>
                <w:color w:val="000000" w:themeColor="text1"/>
                <w:sz w:val="20"/>
                <w:szCs w:val="20"/>
              </w:rPr>
            </w:pPr>
            <w:r w:rsidRPr="00CD2ADD">
              <w:rPr>
                <w:color w:val="000000" w:themeColor="text1"/>
                <w:sz w:val="20"/>
                <w:szCs w:val="20"/>
              </w:rPr>
              <w:t xml:space="preserve">2.3.4  Pe baza planul de dezvoltare a capacităților elaborat la acțiunea 2.3.3 livrarea de instruire profesionala pentru punctele focale ale autorităților centrale și locale privind metodologia de evaluare a riscurilor, vulnerabilităților și expunerii si de integrare a cestor elemente în </w:t>
            </w:r>
            <w:r w:rsidRPr="00CD2ADD">
              <w:rPr>
                <w:color w:val="000000" w:themeColor="text1"/>
                <w:sz w:val="20"/>
                <w:szCs w:val="20"/>
              </w:rPr>
              <w:lastRenderedPageBreak/>
              <w:t xml:space="preserve">documente de politici publice. </w:t>
            </w:r>
          </w:p>
        </w:tc>
        <w:tc>
          <w:tcPr>
            <w:tcW w:w="1701" w:type="dxa"/>
          </w:tcPr>
          <w:p w14:paraId="75FABF65" w14:textId="77777777" w:rsidR="0044508D" w:rsidRPr="00CD2ADD" w:rsidRDefault="0044508D" w:rsidP="0044508D">
            <w:pPr>
              <w:rPr>
                <w:color w:val="000000" w:themeColor="text1"/>
                <w:sz w:val="20"/>
                <w:szCs w:val="20"/>
              </w:rPr>
            </w:pPr>
            <w:r w:rsidRPr="00CD2ADD">
              <w:rPr>
                <w:color w:val="000000" w:themeColor="text1"/>
                <w:sz w:val="20"/>
                <w:szCs w:val="20"/>
              </w:rPr>
              <w:lastRenderedPageBreak/>
              <w:t xml:space="preserve">- Un modul de instruire elaborat: </w:t>
            </w:r>
          </w:p>
          <w:p w14:paraId="32878399" w14:textId="61670A8F" w:rsidR="0044508D" w:rsidRPr="00CD2ADD" w:rsidRDefault="0044508D" w:rsidP="0044508D">
            <w:pPr>
              <w:rPr>
                <w:color w:val="000000" w:themeColor="text1"/>
                <w:sz w:val="20"/>
                <w:szCs w:val="20"/>
              </w:rPr>
            </w:pPr>
            <w:r w:rsidRPr="00CD2ADD">
              <w:rPr>
                <w:color w:val="000000" w:themeColor="text1"/>
                <w:sz w:val="20"/>
                <w:szCs w:val="20"/>
              </w:rPr>
              <w:t>- cel puțin 200 funcționari instruiți la nivel central și local până in 2030</w:t>
            </w:r>
          </w:p>
        </w:tc>
        <w:tc>
          <w:tcPr>
            <w:tcW w:w="850" w:type="dxa"/>
          </w:tcPr>
          <w:p w14:paraId="13D05CB3" w14:textId="77777777" w:rsidR="0044508D" w:rsidRPr="00CD2ADD" w:rsidRDefault="0044508D" w:rsidP="0044508D">
            <w:pPr>
              <w:rPr>
                <w:color w:val="000000" w:themeColor="text1"/>
                <w:sz w:val="20"/>
                <w:szCs w:val="20"/>
              </w:rPr>
            </w:pPr>
            <w:r w:rsidRPr="00CD2ADD">
              <w:rPr>
                <w:color w:val="000000" w:themeColor="text1"/>
                <w:sz w:val="20"/>
                <w:szCs w:val="20"/>
              </w:rPr>
              <w:t>720</w:t>
            </w:r>
          </w:p>
        </w:tc>
        <w:tc>
          <w:tcPr>
            <w:tcW w:w="851" w:type="dxa"/>
          </w:tcPr>
          <w:p w14:paraId="3B8109E2" w14:textId="77777777" w:rsidR="0044508D" w:rsidRPr="00CD2ADD" w:rsidRDefault="0044508D" w:rsidP="0044508D">
            <w:pPr>
              <w:rPr>
                <w:color w:val="000000" w:themeColor="text1"/>
                <w:sz w:val="20"/>
                <w:szCs w:val="20"/>
              </w:rPr>
            </w:pPr>
          </w:p>
        </w:tc>
        <w:tc>
          <w:tcPr>
            <w:tcW w:w="709" w:type="dxa"/>
          </w:tcPr>
          <w:p w14:paraId="6064E82F" w14:textId="77777777" w:rsidR="0044508D" w:rsidRPr="00CD2ADD" w:rsidRDefault="0044508D" w:rsidP="0044508D">
            <w:pPr>
              <w:rPr>
                <w:color w:val="000000" w:themeColor="text1"/>
                <w:sz w:val="20"/>
                <w:szCs w:val="20"/>
              </w:rPr>
            </w:pPr>
            <w:r w:rsidRPr="00CD2ADD">
              <w:rPr>
                <w:color w:val="000000" w:themeColor="text1"/>
                <w:sz w:val="20"/>
                <w:szCs w:val="20"/>
              </w:rPr>
              <w:t>720</w:t>
            </w:r>
          </w:p>
        </w:tc>
        <w:tc>
          <w:tcPr>
            <w:tcW w:w="992" w:type="dxa"/>
          </w:tcPr>
          <w:p w14:paraId="1A2C3F0C" w14:textId="77777777" w:rsidR="0044508D" w:rsidRPr="00CD2ADD" w:rsidRDefault="0044508D" w:rsidP="0044508D">
            <w:pPr>
              <w:rPr>
                <w:color w:val="000000" w:themeColor="text1"/>
                <w:sz w:val="20"/>
                <w:szCs w:val="20"/>
              </w:rPr>
            </w:pPr>
          </w:p>
        </w:tc>
        <w:tc>
          <w:tcPr>
            <w:tcW w:w="1134" w:type="dxa"/>
          </w:tcPr>
          <w:p w14:paraId="2E7B7F62" w14:textId="77777777" w:rsidR="0044508D" w:rsidRPr="00CD2ADD" w:rsidRDefault="0044508D" w:rsidP="0044508D">
            <w:pPr>
              <w:rPr>
                <w:color w:val="000000" w:themeColor="text1"/>
                <w:sz w:val="20"/>
                <w:szCs w:val="20"/>
              </w:rPr>
            </w:pPr>
            <w:r w:rsidRPr="00CD2ADD">
              <w:rPr>
                <w:color w:val="000000" w:themeColor="text1"/>
                <w:sz w:val="20"/>
                <w:szCs w:val="20"/>
              </w:rPr>
              <w:t>Sursa de finanțare externa</w:t>
            </w:r>
          </w:p>
        </w:tc>
        <w:tc>
          <w:tcPr>
            <w:tcW w:w="709" w:type="dxa"/>
          </w:tcPr>
          <w:p w14:paraId="52D2AC24" w14:textId="1369AFB6" w:rsidR="0044508D" w:rsidRPr="00CD2ADD" w:rsidRDefault="0044508D" w:rsidP="0044508D">
            <w:pPr>
              <w:rPr>
                <w:color w:val="000000" w:themeColor="text1"/>
                <w:sz w:val="20"/>
                <w:szCs w:val="20"/>
              </w:rPr>
            </w:pPr>
          </w:p>
        </w:tc>
        <w:tc>
          <w:tcPr>
            <w:tcW w:w="708" w:type="dxa"/>
          </w:tcPr>
          <w:p w14:paraId="7722BD3D" w14:textId="6E39A471" w:rsidR="0044508D" w:rsidRPr="00CD2ADD" w:rsidRDefault="0044508D" w:rsidP="0044508D">
            <w:pPr>
              <w:rPr>
                <w:color w:val="000000" w:themeColor="text1"/>
                <w:sz w:val="20"/>
                <w:szCs w:val="20"/>
              </w:rPr>
            </w:pPr>
            <w:r w:rsidRPr="00CD2ADD">
              <w:rPr>
                <w:color w:val="000000" w:themeColor="text1"/>
                <w:sz w:val="20"/>
                <w:szCs w:val="20"/>
              </w:rPr>
              <w:t>288</w:t>
            </w:r>
          </w:p>
        </w:tc>
        <w:tc>
          <w:tcPr>
            <w:tcW w:w="709" w:type="dxa"/>
          </w:tcPr>
          <w:p w14:paraId="0AC2B70A" w14:textId="77777777" w:rsidR="0044508D" w:rsidRPr="00CD2ADD" w:rsidRDefault="0044508D" w:rsidP="0044508D">
            <w:pPr>
              <w:rPr>
                <w:color w:val="000000" w:themeColor="text1"/>
                <w:sz w:val="20"/>
                <w:szCs w:val="20"/>
              </w:rPr>
            </w:pPr>
            <w:r w:rsidRPr="00CD2ADD">
              <w:rPr>
                <w:color w:val="000000" w:themeColor="text1"/>
                <w:sz w:val="20"/>
                <w:szCs w:val="20"/>
              </w:rPr>
              <w:t>144</w:t>
            </w:r>
          </w:p>
        </w:tc>
        <w:tc>
          <w:tcPr>
            <w:tcW w:w="709" w:type="dxa"/>
          </w:tcPr>
          <w:p w14:paraId="6AF4A112" w14:textId="77777777" w:rsidR="0044508D" w:rsidRPr="00CD2ADD" w:rsidRDefault="0044508D" w:rsidP="0044508D">
            <w:pPr>
              <w:rPr>
                <w:color w:val="000000" w:themeColor="text1"/>
                <w:sz w:val="20"/>
                <w:szCs w:val="20"/>
              </w:rPr>
            </w:pPr>
            <w:r w:rsidRPr="00CD2ADD">
              <w:rPr>
                <w:color w:val="000000" w:themeColor="text1"/>
                <w:sz w:val="20"/>
                <w:szCs w:val="20"/>
              </w:rPr>
              <w:t>144</w:t>
            </w:r>
          </w:p>
        </w:tc>
        <w:tc>
          <w:tcPr>
            <w:tcW w:w="709" w:type="dxa"/>
          </w:tcPr>
          <w:p w14:paraId="45D41059" w14:textId="77777777" w:rsidR="0044508D" w:rsidRPr="00CD2ADD" w:rsidRDefault="0044508D" w:rsidP="0044508D">
            <w:pPr>
              <w:rPr>
                <w:color w:val="000000" w:themeColor="text1"/>
                <w:sz w:val="20"/>
                <w:szCs w:val="20"/>
              </w:rPr>
            </w:pPr>
            <w:r w:rsidRPr="00CD2ADD">
              <w:rPr>
                <w:color w:val="000000" w:themeColor="text1"/>
                <w:sz w:val="20"/>
                <w:szCs w:val="20"/>
              </w:rPr>
              <w:t>144</w:t>
            </w:r>
          </w:p>
        </w:tc>
        <w:tc>
          <w:tcPr>
            <w:tcW w:w="1134" w:type="dxa"/>
          </w:tcPr>
          <w:p w14:paraId="7383F3E1" w14:textId="77777777" w:rsidR="0044508D" w:rsidRPr="00CD2ADD" w:rsidRDefault="0044508D" w:rsidP="0044508D">
            <w:pPr>
              <w:rPr>
                <w:color w:val="000000" w:themeColor="text1"/>
                <w:sz w:val="20"/>
                <w:szCs w:val="20"/>
              </w:rPr>
            </w:pPr>
            <w:r w:rsidRPr="00CD2ADD">
              <w:rPr>
                <w:color w:val="000000" w:themeColor="text1"/>
                <w:sz w:val="20"/>
                <w:szCs w:val="20"/>
              </w:rPr>
              <w:t>Trim. II 2030</w:t>
            </w:r>
          </w:p>
          <w:p w14:paraId="282FFEDE" w14:textId="77777777" w:rsidR="0044508D" w:rsidRPr="00CD2ADD" w:rsidRDefault="0044508D" w:rsidP="0044508D">
            <w:pPr>
              <w:rPr>
                <w:color w:val="000000" w:themeColor="text1"/>
                <w:sz w:val="20"/>
                <w:szCs w:val="20"/>
              </w:rPr>
            </w:pPr>
          </w:p>
        </w:tc>
        <w:tc>
          <w:tcPr>
            <w:tcW w:w="1926" w:type="dxa"/>
          </w:tcPr>
          <w:p w14:paraId="54515580" w14:textId="77777777" w:rsidR="0044508D" w:rsidRPr="00CD2ADD" w:rsidRDefault="0044508D" w:rsidP="0044508D">
            <w:pPr>
              <w:rPr>
                <w:color w:val="000000" w:themeColor="text1"/>
                <w:sz w:val="20"/>
                <w:szCs w:val="20"/>
              </w:rPr>
            </w:pPr>
            <w:r w:rsidRPr="00CD2ADD">
              <w:rPr>
                <w:color w:val="000000" w:themeColor="text1"/>
                <w:sz w:val="20"/>
                <w:szCs w:val="20"/>
              </w:rPr>
              <w:t>APL-uri, Ministerul Mediului, Ministerul Sănătății, si instituțiile subordonate menționate la acțiunea 2.3.1</w:t>
            </w:r>
          </w:p>
        </w:tc>
      </w:tr>
      <w:tr w:rsidR="0044508D" w:rsidRPr="00CD2ADD" w14:paraId="3EE6AA66" w14:textId="77777777" w:rsidTr="002C4956">
        <w:trPr>
          <w:trHeight w:val="1690"/>
        </w:trPr>
        <w:tc>
          <w:tcPr>
            <w:tcW w:w="514" w:type="dxa"/>
          </w:tcPr>
          <w:p w14:paraId="642D01E2" w14:textId="77777777" w:rsidR="0044508D" w:rsidRPr="00CD2ADD" w:rsidRDefault="0044508D" w:rsidP="0044508D">
            <w:pPr>
              <w:rPr>
                <w:sz w:val="20"/>
                <w:szCs w:val="20"/>
              </w:rPr>
            </w:pPr>
            <w:r w:rsidRPr="00CD2ADD">
              <w:rPr>
                <w:sz w:val="20"/>
                <w:szCs w:val="20"/>
              </w:rPr>
              <w:t>26.</w:t>
            </w:r>
          </w:p>
        </w:tc>
        <w:tc>
          <w:tcPr>
            <w:tcW w:w="2033" w:type="dxa"/>
          </w:tcPr>
          <w:p w14:paraId="2DAE317D" w14:textId="241C9BC9" w:rsidR="0044508D" w:rsidRPr="00CD2ADD" w:rsidRDefault="0044508D" w:rsidP="0044508D">
            <w:pPr>
              <w:rPr>
                <w:color w:val="000000" w:themeColor="text1"/>
                <w:sz w:val="20"/>
                <w:szCs w:val="20"/>
              </w:rPr>
            </w:pPr>
            <w:r w:rsidRPr="00CD2ADD">
              <w:rPr>
                <w:color w:val="000000" w:themeColor="text1"/>
                <w:sz w:val="20"/>
                <w:szCs w:val="20"/>
              </w:rPr>
              <w:t>2.3.</w:t>
            </w:r>
            <w:r w:rsidR="00A96805" w:rsidRPr="00CD2ADD">
              <w:rPr>
                <w:color w:val="000000" w:themeColor="text1"/>
                <w:sz w:val="20"/>
                <w:szCs w:val="20"/>
              </w:rPr>
              <w:t xml:space="preserve">5 </w:t>
            </w:r>
            <w:r w:rsidRPr="00CD2ADD">
              <w:rPr>
                <w:color w:val="000000" w:themeColor="text1"/>
                <w:sz w:val="20"/>
                <w:szCs w:val="20"/>
              </w:rPr>
              <w:t>Instruirea comunităților locale pentru colectarea participativă de date privind riscurile naturale si biologico sociale</w:t>
            </w:r>
          </w:p>
        </w:tc>
        <w:tc>
          <w:tcPr>
            <w:tcW w:w="1701" w:type="dxa"/>
          </w:tcPr>
          <w:p w14:paraId="0EAD61F4" w14:textId="2FCB75AF" w:rsidR="0044508D" w:rsidRPr="00CD2ADD" w:rsidRDefault="0044508D" w:rsidP="0044508D">
            <w:pPr>
              <w:rPr>
                <w:color w:val="000000" w:themeColor="text1"/>
                <w:sz w:val="20"/>
                <w:szCs w:val="20"/>
              </w:rPr>
            </w:pPr>
            <w:r w:rsidRPr="00CD2ADD">
              <w:rPr>
                <w:color w:val="000000" w:themeColor="text1"/>
                <w:sz w:val="20"/>
                <w:szCs w:val="20"/>
              </w:rPr>
              <w:t>- 10 comunități pilotează instrumente de Citizen monitoring</w:t>
            </w:r>
          </w:p>
        </w:tc>
        <w:tc>
          <w:tcPr>
            <w:tcW w:w="850" w:type="dxa"/>
          </w:tcPr>
          <w:p w14:paraId="2C938371" w14:textId="77777777" w:rsidR="0044508D" w:rsidRPr="00CD2ADD" w:rsidRDefault="0044508D" w:rsidP="0044508D">
            <w:pPr>
              <w:rPr>
                <w:color w:val="000000" w:themeColor="text1"/>
                <w:sz w:val="20"/>
                <w:szCs w:val="20"/>
              </w:rPr>
            </w:pPr>
            <w:r w:rsidRPr="00CD2ADD">
              <w:rPr>
                <w:color w:val="000000" w:themeColor="text1"/>
                <w:sz w:val="20"/>
                <w:szCs w:val="20"/>
              </w:rPr>
              <w:t>400</w:t>
            </w:r>
          </w:p>
        </w:tc>
        <w:tc>
          <w:tcPr>
            <w:tcW w:w="851" w:type="dxa"/>
          </w:tcPr>
          <w:p w14:paraId="32264990" w14:textId="77777777" w:rsidR="0044508D" w:rsidRPr="00CD2ADD" w:rsidRDefault="0044508D" w:rsidP="0044508D">
            <w:pPr>
              <w:rPr>
                <w:color w:val="000000" w:themeColor="text1"/>
                <w:sz w:val="20"/>
                <w:szCs w:val="20"/>
              </w:rPr>
            </w:pPr>
          </w:p>
        </w:tc>
        <w:tc>
          <w:tcPr>
            <w:tcW w:w="709" w:type="dxa"/>
          </w:tcPr>
          <w:p w14:paraId="01E0E60B" w14:textId="77777777" w:rsidR="0044508D" w:rsidRPr="00CD2ADD" w:rsidRDefault="0044508D" w:rsidP="0044508D">
            <w:pPr>
              <w:rPr>
                <w:color w:val="000000" w:themeColor="text1"/>
                <w:sz w:val="20"/>
                <w:szCs w:val="20"/>
              </w:rPr>
            </w:pPr>
            <w:r w:rsidRPr="00CD2ADD">
              <w:rPr>
                <w:color w:val="000000" w:themeColor="text1"/>
                <w:sz w:val="20"/>
                <w:szCs w:val="20"/>
              </w:rPr>
              <w:t>400</w:t>
            </w:r>
          </w:p>
        </w:tc>
        <w:tc>
          <w:tcPr>
            <w:tcW w:w="992" w:type="dxa"/>
          </w:tcPr>
          <w:p w14:paraId="2BE5E779" w14:textId="77777777" w:rsidR="0044508D" w:rsidRPr="00CD2ADD" w:rsidRDefault="0044508D" w:rsidP="0044508D">
            <w:pPr>
              <w:rPr>
                <w:color w:val="000000" w:themeColor="text1"/>
                <w:sz w:val="20"/>
                <w:szCs w:val="20"/>
              </w:rPr>
            </w:pPr>
            <w:r w:rsidRPr="00CD2ADD">
              <w:rPr>
                <w:color w:val="000000" w:themeColor="text1"/>
                <w:sz w:val="20"/>
                <w:szCs w:val="20"/>
              </w:rPr>
              <w:t>400</w:t>
            </w:r>
          </w:p>
        </w:tc>
        <w:tc>
          <w:tcPr>
            <w:tcW w:w="1134" w:type="dxa"/>
          </w:tcPr>
          <w:p w14:paraId="2DEDDEA2" w14:textId="77777777" w:rsidR="0044508D" w:rsidRPr="00CD2ADD" w:rsidRDefault="0044508D" w:rsidP="0044508D">
            <w:pPr>
              <w:rPr>
                <w:color w:val="000000" w:themeColor="text1"/>
                <w:sz w:val="20"/>
                <w:szCs w:val="20"/>
              </w:rPr>
            </w:pPr>
            <w:r w:rsidRPr="00CD2ADD">
              <w:rPr>
                <w:color w:val="000000" w:themeColor="text1"/>
                <w:sz w:val="20"/>
                <w:szCs w:val="20"/>
              </w:rPr>
              <w:t>Sursa de finanțare externa</w:t>
            </w:r>
          </w:p>
        </w:tc>
        <w:tc>
          <w:tcPr>
            <w:tcW w:w="709" w:type="dxa"/>
          </w:tcPr>
          <w:p w14:paraId="1982B6E2" w14:textId="77777777" w:rsidR="0044508D" w:rsidRPr="00CD2ADD" w:rsidRDefault="0044508D" w:rsidP="0044508D">
            <w:pPr>
              <w:rPr>
                <w:color w:val="000000" w:themeColor="text1"/>
                <w:sz w:val="20"/>
                <w:szCs w:val="20"/>
              </w:rPr>
            </w:pPr>
            <w:r w:rsidRPr="00CD2ADD">
              <w:rPr>
                <w:color w:val="000000" w:themeColor="text1"/>
                <w:sz w:val="20"/>
                <w:szCs w:val="20"/>
              </w:rPr>
              <w:t>100</w:t>
            </w:r>
          </w:p>
        </w:tc>
        <w:tc>
          <w:tcPr>
            <w:tcW w:w="708" w:type="dxa"/>
          </w:tcPr>
          <w:p w14:paraId="46AEC143" w14:textId="77777777" w:rsidR="0044508D" w:rsidRPr="00CD2ADD" w:rsidRDefault="0044508D" w:rsidP="0044508D">
            <w:pPr>
              <w:rPr>
                <w:color w:val="000000" w:themeColor="text1"/>
                <w:sz w:val="20"/>
                <w:szCs w:val="20"/>
              </w:rPr>
            </w:pPr>
            <w:r w:rsidRPr="00CD2ADD">
              <w:rPr>
                <w:color w:val="000000" w:themeColor="text1"/>
                <w:sz w:val="20"/>
                <w:szCs w:val="20"/>
              </w:rPr>
              <w:t>200</w:t>
            </w:r>
          </w:p>
        </w:tc>
        <w:tc>
          <w:tcPr>
            <w:tcW w:w="709" w:type="dxa"/>
          </w:tcPr>
          <w:p w14:paraId="3938F3EB" w14:textId="77777777" w:rsidR="0044508D" w:rsidRPr="00CD2ADD" w:rsidRDefault="0044508D" w:rsidP="0044508D">
            <w:pPr>
              <w:rPr>
                <w:color w:val="000000" w:themeColor="text1"/>
                <w:sz w:val="20"/>
                <w:szCs w:val="20"/>
              </w:rPr>
            </w:pPr>
            <w:r w:rsidRPr="00CD2ADD">
              <w:rPr>
                <w:color w:val="000000" w:themeColor="text1"/>
                <w:sz w:val="20"/>
                <w:szCs w:val="20"/>
              </w:rPr>
              <w:t>100</w:t>
            </w:r>
          </w:p>
        </w:tc>
        <w:tc>
          <w:tcPr>
            <w:tcW w:w="709" w:type="dxa"/>
          </w:tcPr>
          <w:p w14:paraId="58F24A46" w14:textId="77777777" w:rsidR="0044508D" w:rsidRPr="00CD2ADD" w:rsidRDefault="0044508D" w:rsidP="0044508D">
            <w:pPr>
              <w:rPr>
                <w:color w:val="000000" w:themeColor="text1"/>
                <w:sz w:val="20"/>
                <w:szCs w:val="20"/>
              </w:rPr>
            </w:pPr>
          </w:p>
        </w:tc>
        <w:tc>
          <w:tcPr>
            <w:tcW w:w="709" w:type="dxa"/>
          </w:tcPr>
          <w:p w14:paraId="62183958" w14:textId="77777777" w:rsidR="0044508D" w:rsidRPr="00CD2ADD" w:rsidRDefault="0044508D" w:rsidP="0044508D">
            <w:pPr>
              <w:rPr>
                <w:color w:val="000000" w:themeColor="text1"/>
                <w:sz w:val="20"/>
                <w:szCs w:val="20"/>
              </w:rPr>
            </w:pPr>
          </w:p>
        </w:tc>
        <w:tc>
          <w:tcPr>
            <w:tcW w:w="1134" w:type="dxa"/>
          </w:tcPr>
          <w:p w14:paraId="565CBD9C" w14:textId="77777777" w:rsidR="0044508D" w:rsidRPr="00CD2ADD" w:rsidRDefault="0044508D" w:rsidP="0044508D">
            <w:pPr>
              <w:rPr>
                <w:color w:val="000000" w:themeColor="text1"/>
                <w:sz w:val="20"/>
                <w:szCs w:val="20"/>
              </w:rPr>
            </w:pPr>
            <w:r w:rsidRPr="00CD2ADD">
              <w:rPr>
                <w:color w:val="000000" w:themeColor="text1"/>
                <w:sz w:val="20"/>
                <w:szCs w:val="20"/>
              </w:rPr>
              <w:t>Trim. 2028</w:t>
            </w:r>
          </w:p>
          <w:p w14:paraId="3EE2DEF1" w14:textId="77777777" w:rsidR="0044508D" w:rsidRPr="00CD2ADD" w:rsidRDefault="0044508D" w:rsidP="0044508D">
            <w:pPr>
              <w:rPr>
                <w:color w:val="000000" w:themeColor="text1"/>
                <w:sz w:val="20"/>
                <w:szCs w:val="20"/>
              </w:rPr>
            </w:pPr>
          </w:p>
        </w:tc>
        <w:tc>
          <w:tcPr>
            <w:tcW w:w="1926" w:type="dxa"/>
          </w:tcPr>
          <w:p w14:paraId="208F9227" w14:textId="77777777" w:rsidR="0044508D" w:rsidRPr="00CD2ADD" w:rsidRDefault="0044508D" w:rsidP="0044508D">
            <w:pPr>
              <w:rPr>
                <w:color w:val="000000" w:themeColor="text1"/>
                <w:sz w:val="20"/>
                <w:szCs w:val="20"/>
              </w:rPr>
            </w:pPr>
            <w:r w:rsidRPr="00CD2ADD">
              <w:rPr>
                <w:color w:val="000000" w:themeColor="text1"/>
                <w:sz w:val="20"/>
                <w:szCs w:val="20"/>
              </w:rPr>
              <w:t>APL-uri, OSC-uri, Ministerul Mediului, Ministerul Sănătății, și instituțiile subordonate menționate la acțiunea 2.3.1</w:t>
            </w:r>
          </w:p>
        </w:tc>
      </w:tr>
      <w:tr w:rsidR="0044508D" w:rsidRPr="00CD2ADD" w14:paraId="252DA912" w14:textId="77777777" w:rsidTr="002C4956">
        <w:tc>
          <w:tcPr>
            <w:tcW w:w="514" w:type="dxa"/>
          </w:tcPr>
          <w:p w14:paraId="3223E8CB" w14:textId="77777777" w:rsidR="0044508D" w:rsidRPr="00CD2ADD" w:rsidRDefault="0044508D" w:rsidP="0044508D">
            <w:pPr>
              <w:rPr>
                <w:sz w:val="20"/>
                <w:szCs w:val="20"/>
              </w:rPr>
            </w:pPr>
            <w:r w:rsidRPr="00CD2ADD">
              <w:rPr>
                <w:sz w:val="20"/>
                <w:szCs w:val="20"/>
              </w:rPr>
              <w:t>27.</w:t>
            </w:r>
          </w:p>
        </w:tc>
        <w:tc>
          <w:tcPr>
            <w:tcW w:w="2033" w:type="dxa"/>
          </w:tcPr>
          <w:p w14:paraId="26A67024" w14:textId="273F8262" w:rsidR="0044508D" w:rsidRPr="00CD2ADD" w:rsidRDefault="0044508D" w:rsidP="0044508D">
            <w:pPr>
              <w:rPr>
                <w:color w:val="000000" w:themeColor="text1"/>
                <w:sz w:val="20"/>
                <w:szCs w:val="20"/>
              </w:rPr>
            </w:pPr>
            <w:r w:rsidRPr="00CD2ADD">
              <w:rPr>
                <w:color w:val="000000" w:themeColor="text1"/>
                <w:sz w:val="20"/>
                <w:szCs w:val="20"/>
              </w:rPr>
              <w:t>2.3.</w:t>
            </w:r>
            <w:r w:rsidR="00A96805" w:rsidRPr="00CD2ADD">
              <w:rPr>
                <w:color w:val="000000" w:themeColor="text1"/>
                <w:sz w:val="20"/>
                <w:szCs w:val="20"/>
              </w:rPr>
              <w:t xml:space="preserve">6 </w:t>
            </w:r>
            <w:r w:rsidRPr="00CD2ADD">
              <w:rPr>
                <w:color w:val="000000" w:themeColor="text1"/>
                <w:sz w:val="20"/>
                <w:szCs w:val="20"/>
              </w:rPr>
              <w:t>Elaborarea și lansarea unui curs online deschis (MOOC) destinat personalului public, profesorilor, experților și comunităților.</w:t>
            </w:r>
          </w:p>
        </w:tc>
        <w:tc>
          <w:tcPr>
            <w:tcW w:w="1701" w:type="dxa"/>
          </w:tcPr>
          <w:p w14:paraId="5A28D7FD" w14:textId="77777777" w:rsidR="0044508D" w:rsidRPr="00CD2ADD" w:rsidRDefault="0044508D" w:rsidP="0044508D">
            <w:pPr>
              <w:rPr>
                <w:color w:val="000000" w:themeColor="text1"/>
                <w:sz w:val="20"/>
                <w:szCs w:val="20"/>
              </w:rPr>
            </w:pPr>
            <w:r w:rsidRPr="00CD2ADD">
              <w:rPr>
                <w:color w:val="000000" w:themeColor="text1"/>
                <w:sz w:val="20"/>
                <w:szCs w:val="20"/>
              </w:rPr>
              <w:t xml:space="preserve">- MOOC lansat și înregistrarea a ≥ 500 participanți până în 2030 </w:t>
            </w:r>
          </w:p>
        </w:tc>
        <w:tc>
          <w:tcPr>
            <w:tcW w:w="850" w:type="dxa"/>
          </w:tcPr>
          <w:p w14:paraId="6BF2E69D" w14:textId="77777777" w:rsidR="0044508D" w:rsidRPr="00CD2ADD" w:rsidRDefault="0044508D" w:rsidP="0044508D">
            <w:pPr>
              <w:rPr>
                <w:color w:val="000000" w:themeColor="text1"/>
                <w:sz w:val="20"/>
                <w:szCs w:val="20"/>
              </w:rPr>
            </w:pPr>
            <w:r w:rsidRPr="00CD2ADD">
              <w:rPr>
                <w:color w:val="000000" w:themeColor="text1"/>
                <w:sz w:val="20"/>
                <w:szCs w:val="20"/>
              </w:rPr>
              <w:t>200</w:t>
            </w:r>
          </w:p>
        </w:tc>
        <w:tc>
          <w:tcPr>
            <w:tcW w:w="851" w:type="dxa"/>
          </w:tcPr>
          <w:p w14:paraId="60860FD7" w14:textId="77777777" w:rsidR="0044508D" w:rsidRPr="00CD2ADD" w:rsidRDefault="0044508D" w:rsidP="0044508D">
            <w:pPr>
              <w:rPr>
                <w:color w:val="000000" w:themeColor="text1"/>
                <w:sz w:val="20"/>
                <w:szCs w:val="20"/>
              </w:rPr>
            </w:pPr>
          </w:p>
        </w:tc>
        <w:tc>
          <w:tcPr>
            <w:tcW w:w="709" w:type="dxa"/>
          </w:tcPr>
          <w:p w14:paraId="121AA039" w14:textId="77777777" w:rsidR="0044508D" w:rsidRPr="00CD2ADD" w:rsidRDefault="0044508D" w:rsidP="0044508D">
            <w:pPr>
              <w:rPr>
                <w:color w:val="000000" w:themeColor="text1"/>
                <w:sz w:val="20"/>
                <w:szCs w:val="20"/>
              </w:rPr>
            </w:pPr>
            <w:r w:rsidRPr="00CD2ADD">
              <w:rPr>
                <w:color w:val="000000" w:themeColor="text1"/>
                <w:sz w:val="20"/>
                <w:szCs w:val="20"/>
              </w:rPr>
              <w:t>200</w:t>
            </w:r>
          </w:p>
        </w:tc>
        <w:tc>
          <w:tcPr>
            <w:tcW w:w="992" w:type="dxa"/>
          </w:tcPr>
          <w:p w14:paraId="22815A83" w14:textId="77777777" w:rsidR="0044508D" w:rsidRPr="00CD2ADD" w:rsidRDefault="0044508D" w:rsidP="0044508D">
            <w:pPr>
              <w:rPr>
                <w:color w:val="000000" w:themeColor="text1"/>
                <w:sz w:val="20"/>
                <w:szCs w:val="20"/>
              </w:rPr>
            </w:pPr>
            <w:r w:rsidRPr="00CD2ADD">
              <w:rPr>
                <w:color w:val="000000" w:themeColor="text1"/>
                <w:sz w:val="20"/>
                <w:szCs w:val="20"/>
              </w:rPr>
              <w:t>200</w:t>
            </w:r>
          </w:p>
        </w:tc>
        <w:tc>
          <w:tcPr>
            <w:tcW w:w="1134" w:type="dxa"/>
          </w:tcPr>
          <w:p w14:paraId="577A2915" w14:textId="77777777" w:rsidR="0044508D" w:rsidRPr="00CD2ADD" w:rsidRDefault="0044508D" w:rsidP="0044508D">
            <w:pPr>
              <w:rPr>
                <w:color w:val="000000" w:themeColor="text1"/>
                <w:sz w:val="20"/>
                <w:szCs w:val="20"/>
              </w:rPr>
            </w:pPr>
            <w:r w:rsidRPr="00CD2ADD">
              <w:rPr>
                <w:color w:val="000000" w:themeColor="text1"/>
                <w:sz w:val="20"/>
                <w:szCs w:val="20"/>
              </w:rPr>
              <w:t xml:space="preserve">Sursa de finanțare externa </w:t>
            </w:r>
          </w:p>
        </w:tc>
        <w:tc>
          <w:tcPr>
            <w:tcW w:w="709" w:type="dxa"/>
          </w:tcPr>
          <w:p w14:paraId="0486EE23" w14:textId="45C54AF3" w:rsidR="0044508D" w:rsidRPr="00CD2ADD" w:rsidRDefault="0044508D" w:rsidP="0044508D">
            <w:pPr>
              <w:rPr>
                <w:color w:val="000000" w:themeColor="text1"/>
                <w:sz w:val="20"/>
                <w:szCs w:val="20"/>
              </w:rPr>
            </w:pPr>
          </w:p>
        </w:tc>
        <w:tc>
          <w:tcPr>
            <w:tcW w:w="708" w:type="dxa"/>
          </w:tcPr>
          <w:p w14:paraId="476A7095" w14:textId="19C197FB" w:rsidR="0044508D" w:rsidRPr="00CD2ADD" w:rsidRDefault="0044508D" w:rsidP="0044508D">
            <w:pPr>
              <w:rPr>
                <w:color w:val="000000" w:themeColor="text1"/>
                <w:sz w:val="20"/>
                <w:szCs w:val="20"/>
              </w:rPr>
            </w:pPr>
            <w:r w:rsidRPr="00CD2ADD">
              <w:rPr>
                <w:color w:val="000000" w:themeColor="text1"/>
                <w:sz w:val="20"/>
                <w:szCs w:val="20"/>
              </w:rPr>
              <w:t>100</w:t>
            </w:r>
          </w:p>
        </w:tc>
        <w:tc>
          <w:tcPr>
            <w:tcW w:w="709" w:type="dxa"/>
          </w:tcPr>
          <w:p w14:paraId="596DE2FD" w14:textId="32F03EEB" w:rsidR="0044508D" w:rsidRPr="00CD2ADD" w:rsidRDefault="0044508D" w:rsidP="0044508D">
            <w:pPr>
              <w:rPr>
                <w:color w:val="000000" w:themeColor="text1"/>
                <w:sz w:val="20"/>
                <w:szCs w:val="20"/>
              </w:rPr>
            </w:pPr>
            <w:r w:rsidRPr="00CD2ADD">
              <w:rPr>
                <w:color w:val="000000" w:themeColor="text1"/>
                <w:sz w:val="20"/>
                <w:szCs w:val="20"/>
              </w:rPr>
              <w:t>100</w:t>
            </w:r>
          </w:p>
        </w:tc>
        <w:tc>
          <w:tcPr>
            <w:tcW w:w="709" w:type="dxa"/>
          </w:tcPr>
          <w:p w14:paraId="67A9DC19" w14:textId="77777777" w:rsidR="0044508D" w:rsidRPr="00CD2ADD" w:rsidRDefault="0044508D" w:rsidP="0044508D">
            <w:pPr>
              <w:rPr>
                <w:color w:val="000000" w:themeColor="text1"/>
                <w:sz w:val="20"/>
                <w:szCs w:val="20"/>
              </w:rPr>
            </w:pPr>
          </w:p>
        </w:tc>
        <w:tc>
          <w:tcPr>
            <w:tcW w:w="709" w:type="dxa"/>
          </w:tcPr>
          <w:p w14:paraId="7A6DA344" w14:textId="77777777" w:rsidR="0044508D" w:rsidRPr="00CD2ADD" w:rsidRDefault="0044508D" w:rsidP="0044508D">
            <w:pPr>
              <w:rPr>
                <w:color w:val="000000" w:themeColor="text1"/>
                <w:sz w:val="20"/>
                <w:szCs w:val="20"/>
              </w:rPr>
            </w:pPr>
          </w:p>
        </w:tc>
        <w:tc>
          <w:tcPr>
            <w:tcW w:w="1134" w:type="dxa"/>
          </w:tcPr>
          <w:p w14:paraId="5B1D4F07" w14:textId="77777777" w:rsidR="0044508D" w:rsidRPr="00CD2ADD" w:rsidRDefault="0044508D" w:rsidP="0044508D">
            <w:pPr>
              <w:rPr>
                <w:color w:val="000000" w:themeColor="text1"/>
                <w:sz w:val="20"/>
                <w:szCs w:val="20"/>
              </w:rPr>
            </w:pPr>
            <w:r w:rsidRPr="00CD2ADD">
              <w:rPr>
                <w:color w:val="000000" w:themeColor="text1"/>
                <w:sz w:val="20"/>
                <w:szCs w:val="20"/>
              </w:rPr>
              <w:t>Trim. III 2027</w:t>
            </w:r>
          </w:p>
          <w:p w14:paraId="0E6DABF8" w14:textId="77777777" w:rsidR="0044508D" w:rsidRPr="00CD2ADD" w:rsidRDefault="0044508D" w:rsidP="0044508D">
            <w:pPr>
              <w:rPr>
                <w:color w:val="000000" w:themeColor="text1"/>
                <w:sz w:val="20"/>
                <w:szCs w:val="20"/>
              </w:rPr>
            </w:pPr>
          </w:p>
          <w:p w14:paraId="206AF634" w14:textId="5913F7A9" w:rsidR="0044508D" w:rsidRPr="00CD2ADD" w:rsidRDefault="0044508D" w:rsidP="0044508D">
            <w:pPr>
              <w:rPr>
                <w:color w:val="000000" w:themeColor="text1"/>
                <w:sz w:val="20"/>
                <w:szCs w:val="20"/>
              </w:rPr>
            </w:pPr>
            <w:r w:rsidRPr="00CD2ADD">
              <w:rPr>
                <w:color w:val="000000" w:themeColor="text1"/>
                <w:sz w:val="20"/>
                <w:szCs w:val="20"/>
              </w:rPr>
              <w:t>Trim. II 2008</w:t>
            </w:r>
          </w:p>
          <w:p w14:paraId="4273E9B4" w14:textId="77777777" w:rsidR="0044508D" w:rsidRPr="00CD2ADD" w:rsidRDefault="0044508D" w:rsidP="0044508D">
            <w:pPr>
              <w:rPr>
                <w:color w:val="000000" w:themeColor="text1"/>
                <w:sz w:val="20"/>
                <w:szCs w:val="20"/>
              </w:rPr>
            </w:pPr>
          </w:p>
          <w:p w14:paraId="73D97CCC" w14:textId="77777777" w:rsidR="0044508D" w:rsidRPr="00CD2ADD" w:rsidRDefault="0044508D" w:rsidP="0044508D">
            <w:pPr>
              <w:rPr>
                <w:color w:val="000000" w:themeColor="text1"/>
                <w:sz w:val="20"/>
                <w:szCs w:val="20"/>
              </w:rPr>
            </w:pPr>
          </w:p>
          <w:p w14:paraId="79959937" w14:textId="77777777" w:rsidR="0044508D" w:rsidRPr="00CD2ADD" w:rsidRDefault="0044508D" w:rsidP="0044508D">
            <w:pPr>
              <w:rPr>
                <w:color w:val="000000" w:themeColor="text1"/>
                <w:sz w:val="20"/>
                <w:szCs w:val="20"/>
              </w:rPr>
            </w:pPr>
          </w:p>
        </w:tc>
        <w:tc>
          <w:tcPr>
            <w:tcW w:w="1926" w:type="dxa"/>
          </w:tcPr>
          <w:p w14:paraId="7B23BD9A" w14:textId="6E1635B6" w:rsidR="0044508D" w:rsidRPr="00CD2ADD" w:rsidRDefault="0044508D" w:rsidP="0044508D">
            <w:pPr>
              <w:rPr>
                <w:color w:val="000000" w:themeColor="text1"/>
                <w:sz w:val="20"/>
                <w:szCs w:val="20"/>
              </w:rPr>
            </w:pPr>
            <w:r w:rsidRPr="00CD2ADD">
              <w:rPr>
                <w:color w:val="000000" w:themeColor="text1"/>
                <w:sz w:val="20"/>
                <w:szCs w:val="20"/>
              </w:rPr>
              <w:t>Ministerul Mediului, Ministerul Sănătății, și instituțiile subordonate menționate la acțiunea 2.3.1, Instituții din învățământul superior</w:t>
            </w:r>
          </w:p>
        </w:tc>
      </w:tr>
      <w:tr w:rsidR="0044508D" w:rsidRPr="00CD2ADD" w14:paraId="748C10E4" w14:textId="77777777" w:rsidTr="002C4956">
        <w:tc>
          <w:tcPr>
            <w:tcW w:w="15388" w:type="dxa"/>
            <w:gridSpan w:val="15"/>
            <w:shd w:val="clear" w:color="auto" w:fill="FAE2D5" w:themeFill="accent2" w:themeFillTint="33"/>
          </w:tcPr>
          <w:p w14:paraId="63BBCF35" w14:textId="77777777" w:rsidR="0044508D" w:rsidRPr="00CD2ADD" w:rsidRDefault="0044508D" w:rsidP="0044508D">
            <w:pPr>
              <w:rPr>
                <w:b/>
                <w:bCs/>
                <w:color w:val="000000" w:themeColor="text1"/>
                <w:sz w:val="20"/>
                <w:szCs w:val="20"/>
              </w:rPr>
            </w:pPr>
            <w:r w:rsidRPr="00CD2ADD">
              <w:rPr>
                <w:b/>
                <w:bCs/>
                <w:color w:val="000000" w:themeColor="text1"/>
                <w:sz w:val="20"/>
                <w:szCs w:val="20"/>
              </w:rPr>
              <w:t>Obiectivul general 3: Investiții în reducerea riscurilor și consolidarea rezilienței ecosistemelor și infrastructurii de mediu, prin integrarea acestor dimensiuni în politicile sectoriale, inclusiv în agricultură, silvicultură, apă, biodiversitate și soluri, precum și în domenii relevante pentru gestionarea mobilității umane generate de riscuri climatice</w:t>
            </w:r>
          </w:p>
          <w:p w14:paraId="370922E2" w14:textId="77777777" w:rsidR="0044508D" w:rsidRPr="00CD2ADD" w:rsidRDefault="0044508D" w:rsidP="0044508D">
            <w:pPr>
              <w:rPr>
                <w:i/>
                <w:iCs/>
                <w:color w:val="EE0000"/>
                <w:sz w:val="20"/>
                <w:szCs w:val="20"/>
                <w:u w:val="single"/>
              </w:rPr>
            </w:pPr>
            <w:r w:rsidRPr="00CD2ADD">
              <w:rPr>
                <w:i/>
                <w:iCs/>
                <w:color w:val="000000" w:themeColor="text1"/>
                <w:sz w:val="20"/>
                <w:szCs w:val="20"/>
                <w:u w:val="single"/>
              </w:rPr>
              <w:t>Contribuie la: ODD 6 - Țintele 6.3, 6.4, 6.5, 6.6, 6.a, ODD 12 - Ținta 12.2, ODD 13 - Ținta 13.1, ODD 15 - Țintele 15.1, 15.2, 15.3, 15.5, 15.8, 15.9</w:t>
            </w:r>
          </w:p>
        </w:tc>
      </w:tr>
      <w:tr w:rsidR="0044508D" w:rsidRPr="00CD2ADD" w14:paraId="5102C5A0" w14:textId="77777777" w:rsidTr="002C4956">
        <w:tc>
          <w:tcPr>
            <w:tcW w:w="15388" w:type="dxa"/>
            <w:gridSpan w:val="15"/>
            <w:shd w:val="clear" w:color="auto" w:fill="D9F2D0" w:themeFill="accent6" w:themeFillTint="33"/>
          </w:tcPr>
          <w:p w14:paraId="3C70DE09" w14:textId="77777777" w:rsidR="0044508D" w:rsidRPr="00CD2ADD" w:rsidRDefault="0044508D" w:rsidP="0044508D">
            <w:pPr>
              <w:rPr>
                <w:b/>
                <w:bCs/>
                <w:color w:val="000000" w:themeColor="text1"/>
                <w:sz w:val="20"/>
                <w:szCs w:val="20"/>
              </w:rPr>
            </w:pPr>
            <w:r w:rsidRPr="00CD2ADD">
              <w:rPr>
                <w:b/>
                <w:bCs/>
                <w:color w:val="000000" w:themeColor="text1"/>
                <w:sz w:val="20"/>
                <w:szCs w:val="20"/>
              </w:rPr>
              <w:t>Obiectiv specific 3.1: Până în 2030, suprafețele împădurite și terenurile cu vegetație forestieră degradată sunt extinse și restaurate în scopul reducerii riscurilor naturale si biologico-sociale și al consolidării rezilienței ecosistemelor și comunităților.</w:t>
            </w:r>
          </w:p>
        </w:tc>
      </w:tr>
      <w:tr w:rsidR="0044508D" w:rsidRPr="00CD2ADD" w14:paraId="70BCB0FB" w14:textId="77777777" w:rsidTr="002C4956">
        <w:tc>
          <w:tcPr>
            <w:tcW w:w="514" w:type="dxa"/>
          </w:tcPr>
          <w:p w14:paraId="72647A77" w14:textId="77777777" w:rsidR="0044508D" w:rsidRPr="00CD2ADD" w:rsidRDefault="0044508D" w:rsidP="0044508D">
            <w:pPr>
              <w:rPr>
                <w:color w:val="000000" w:themeColor="text1"/>
                <w:sz w:val="20"/>
                <w:szCs w:val="20"/>
              </w:rPr>
            </w:pPr>
            <w:r w:rsidRPr="00CD2ADD">
              <w:rPr>
                <w:color w:val="000000" w:themeColor="text1"/>
                <w:sz w:val="20"/>
                <w:szCs w:val="20"/>
              </w:rPr>
              <w:t>28.</w:t>
            </w:r>
          </w:p>
        </w:tc>
        <w:tc>
          <w:tcPr>
            <w:tcW w:w="2033" w:type="dxa"/>
          </w:tcPr>
          <w:p w14:paraId="13BB244A" w14:textId="056B51E4" w:rsidR="0044508D" w:rsidRPr="00CD2ADD" w:rsidRDefault="0044508D" w:rsidP="0044508D">
            <w:pPr>
              <w:rPr>
                <w:color w:val="000000" w:themeColor="text1"/>
                <w:sz w:val="20"/>
                <w:szCs w:val="20"/>
              </w:rPr>
            </w:pPr>
            <w:r w:rsidRPr="00CD2ADD">
              <w:rPr>
                <w:color w:val="000000" w:themeColor="text1"/>
                <w:sz w:val="20"/>
                <w:szCs w:val="20"/>
              </w:rPr>
              <w:t xml:space="preserve">3.1.1 Integrarea criteriilor RRD în extinderea strategică a suprafețelor forestiere prin plantări noi. În  ≥25% suprafețe intervențiile se vor face în zone vulnerabile, expuse riscurilor naturale si </w:t>
            </w:r>
            <w:r w:rsidRPr="00CD2ADD">
              <w:rPr>
                <w:color w:val="000000" w:themeColor="text1"/>
                <w:sz w:val="20"/>
                <w:szCs w:val="20"/>
              </w:rPr>
              <w:lastRenderedPageBreak/>
              <w:t>biologico sociale si vor integra criterii RRD</w:t>
            </w:r>
          </w:p>
        </w:tc>
        <w:tc>
          <w:tcPr>
            <w:tcW w:w="1701" w:type="dxa"/>
          </w:tcPr>
          <w:p w14:paraId="7F29F67C" w14:textId="1F62A0BD" w:rsidR="0044508D" w:rsidRPr="00CD2ADD" w:rsidRDefault="0044508D" w:rsidP="0044508D">
            <w:pPr>
              <w:rPr>
                <w:iCs/>
                <w:color w:val="000000" w:themeColor="text1"/>
                <w:sz w:val="20"/>
                <w:szCs w:val="20"/>
              </w:rPr>
            </w:pPr>
            <w:r w:rsidRPr="00CD2ADD">
              <w:rPr>
                <w:rStyle w:val="Strong"/>
                <w:i w:val="0"/>
                <w:iCs/>
                <w:color w:val="000000" w:themeColor="text1"/>
                <w:sz w:val="20"/>
                <w:szCs w:val="20"/>
              </w:rPr>
              <w:lastRenderedPageBreak/>
              <w:t xml:space="preserve">- Studiu național de restaurare a peisajului forestier </w:t>
            </w:r>
            <w:r w:rsidRPr="00CD2ADD">
              <w:rPr>
                <w:iCs/>
                <w:color w:val="000000" w:themeColor="text1"/>
                <w:sz w:val="20"/>
                <w:szCs w:val="20"/>
              </w:rPr>
              <w:t xml:space="preserve">realizat si </w:t>
            </w:r>
            <w:r w:rsidRPr="00CD2ADD">
              <w:rPr>
                <w:rStyle w:val="Strong"/>
                <w:rFonts w:eastAsiaTheme="majorEastAsia"/>
                <w:i w:val="0"/>
                <w:iCs/>
                <w:color w:val="000000" w:themeColor="text1"/>
                <w:sz w:val="20"/>
                <w:szCs w:val="20"/>
              </w:rPr>
              <w:t>evaluarea efectelor RRD al intervențiilor forestiere elaborat</w:t>
            </w:r>
          </w:p>
        </w:tc>
        <w:tc>
          <w:tcPr>
            <w:tcW w:w="850" w:type="dxa"/>
          </w:tcPr>
          <w:p w14:paraId="07E1FA25" w14:textId="4FAC79DE" w:rsidR="0044508D" w:rsidRPr="00CD2ADD" w:rsidRDefault="0044508D" w:rsidP="0044508D">
            <w:pPr>
              <w:rPr>
                <w:color w:val="000000" w:themeColor="text1"/>
                <w:sz w:val="20"/>
                <w:szCs w:val="20"/>
              </w:rPr>
            </w:pPr>
            <w:r w:rsidRPr="00CD2ADD">
              <w:rPr>
                <w:color w:val="000000" w:themeColor="text1"/>
                <w:sz w:val="20"/>
                <w:szCs w:val="20"/>
              </w:rPr>
              <w:t>1</w:t>
            </w:r>
            <w:r w:rsidR="00474A1A" w:rsidRPr="00CD2ADD">
              <w:rPr>
                <w:color w:val="000000" w:themeColor="text1"/>
                <w:sz w:val="20"/>
                <w:szCs w:val="20"/>
              </w:rPr>
              <w:t>,</w:t>
            </w:r>
            <w:r w:rsidRPr="00CD2ADD">
              <w:rPr>
                <w:color w:val="000000" w:themeColor="text1"/>
                <w:sz w:val="20"/>
                <w:szCs w:val="20"/>
              </w:rPr>
              <w:t>600</w:t>
            </w:r>
          </w:p>
        </w:tc>
        <w:tc>
          <w:tcPr>
            <w:tcW w:w="851" w:type="dxa"/>
          </w:tcPr>
          <w:p w14:paraId="0346241A" w14:textId="7F98829F" w:rsidR="0044508D" w:rsidRPr="00CD2ADD" w:rsidRDefault="0044508D" w:rsidP="0044508D">
            <w:pPr>
              <w:rPr>
                <w:color w:val="000000" w:themeColor="text1"/>
                <w:sz w:val="20"/>
                <w:szCs w:val="20"/>
              </w:rPr>
            </w:pPr>
            <w:r w:rsidRPr="00CD2ADD">
              <w:rPr>
                <w:color w:val="000000" w:themeColor="text1"/>
                <w:sz w:val="20"/>
                <w:szCs w:val="20"/>
              </w:rPr>
              <w:t>1</w:t>
            </w:r>
            <w:r w:rsidR="00474A1A" w:rsidRPr="00CD2ADD">
              <w:rPr>
                <w:color w:val="000000" w:themeColor="text1"/>
                <w:sz w:val="20"/>
                <w:szCs w:val="20"/>
              </w:rPr>
              <w:t>,</w:t>
            </w:r>
            <w:r w:rsidRPr="00CD2ADD">
              <w:rPr>
                <w:color w:val="000000" w:themeColor="text1"/>
                <w:sz w:val="20"/>
                <w:szCs w:val="20"/>
              </w:rPr>
              <w:t>600</w:t>
            </w:r>
          </w:p>
        </w:tc>
        <w:tc>
          <w:tcPr>
            <w:tcW w:w="709" w:type="dxa"/>
          </w:tcPr>
          <w:p w14:paraId="34E3B7F0" w14:textId="77777777" w:rsidR="0044508D" w:rsidRPr="00CD2ADD" w:rsidRDefault="0044508D" w:rsidP="0044508D">
            <w:pPr>
              <w:rPr>
                <w:color w:val="000000" w:themeColor="text1"/>
                <w:sz w:val="20"/>
                <w:szCs w:val="20"/>
              </w:rPr>
            </w:pPr>
          </w:p>
        </w:tc>
        <w:tc>
          <w:tcPr>
            <w:tcW w:w="992" w:type="dxa"/>
          </w:tcPr>
          <w:p w14:paraId="1F143866" w14:textId="77777777" w:rsidR="0044508D" w:rsidRPr="00CD2ADD" w:rsidRDefault="0044508D" w:rsidP="0044508D">
            <w:pPr>
              <w:rPr>
                <w:color w:val="000000" w:themeColor="text1"/>
                <w:sz w:val="20"/>
                <w:szCs w:val="20"/>
              </w:rPr>
            </w:pPr>
          </w:p>
        </w:tc>
        <w:tc>
          <w:tcPr>
            <w:tcW w:w="1134" w:type="dxa"/>
          </w:tcPr>
          <w:p w14:paraId="65C47319" w14:textId="77777777" w:rsidR="0044508D" w:rsidRPr="00CD2ADD" w:rsidRDefault="0044508D" w:rsidP="0044508D">
            <w:pPr>
              <w:rPr>
                <w:color w:val="000000" w:themeColor="text1"/>
                <w:sz w:val="20"/>
                <w:szCs w:val="20"/>
              </w:rPr>
            </w:pPr>
            <w:r w:rsidRPr="00CD2ADD">
              <w:rPr>
                <w:color w:val="000000" w:themeColor="text1"/>
                <w:sz w:val="20"/>
                <w:szCs w:val="20"/>
              </w:rPr>
              <w:t>5402</w:t>
            </w:r>
          </w:p>
        </w:tc>
        <w:tc>
          <w:tcPr>
            <w:tcW w:w="709" w:type="dxa"/>
          </w:tcPr>
          <w:p w14:paraId="3C808250" w14:textId="77777777" w:rsidR="0044508D" w:rsidRPr="00CD2ADD" w:rsidRDefault="0044508D" w:rsidP="0044508D">
            <w:pPr>
              <w:rPr>
                <w:color w:val="000000" w:themeColor="text1"/>
                <w:sz w:val="20"/>
                <w:szCs w:val="20"/>
              </w:rPr>
            </w:pPr>
            <w:r w:rsidRPr="00CD2ADD">
              <w:rPr>
                <w:color w:val="000000" w:themeColor="text1"/>
                <w:sz w:val="20"/>
                <w:szCs w:val="20"/>
              </w:rPr>
              <w:t>600</w:t>
            </w:r>
          </w:p>
        </w:tc>
        <w:tc>
          <w:tcPr>
            <w:tcW w:w="708" w:type="dxa"/>
          </w:tcPr>
          <w:p w14:paraId="2914170C" w14:textId="30A8906B" w:rsidR="0044508D" w:rsidRPr="00CD2ADD" w:rsidRDefault="0044508D" w:rsidP="0044508D">
            <w:pPr>
              <w:rPr>
                <w:color w:val="000000" w:themeColor="text1"/>
                <w:sz w:val="20"/>
                <w:szCs w:val="20"/>
              </w:rPr>
            </w:pPr>
            <w:r w:rsidRPr="00CD2ADD">
              <w:rPr>
                <w:color w:val="000000" w:themeColor="text1"/>
                <w:sz w:val="20"/>
                <w:szCs w:val="20"/>
              </w:rPr>
              <w:t>1</w:t>
            </w:r>
            <w:r w:rsidR="00474A1A" w:rsidRPr="00CD2ADD">
              <w:rPr>
                <w:color w:val="000000" w:themeColor="text1"/>
                <w:sz w:val="20"/>
                <w:szCs w:val="20"/>
              </w:rPr>
              <w:t>,</w:t>
            </w:r>
            <w:r w:rsidRPr="00CD2ADD">
              <w:rPr>
                <w:color w:val="000000" w:themeColor="text1"/>
                <w:sz w:val="20"/>
                <w:szCs w:val="20"/>
              </w:rPr>
              <w:t>000</w:t>
            </w:r>
          </w:p>
        </w:tc>
        <w:tc>
          <w:tcPr>
            <w:tcW w:w="709" w:type="dxa"/>
          </w:tcPr>
          <w:p w14:paraId="02C4F4FD" w14:textId="77777777" w:rsidR="0044508D" w:rsidRPr="00CD2ADD" w:rsidRDefault="0044508D" w:rsidP="0044508D">
            <w:pPr>
              <w:rPr>
                <w:color w:val="000000" w:themeColor="text1"/>
                <w:sz w:val="20"/>
                <w:szCs w:val="20"/>
              </w:rPr>
            </w:pPr>
          </w:p>
        </w:tc>
        <w:tc>
          <w:tcPr>
            <w:tcW w:w="709" w:type="dxa"/>
          </w:tcPr>
          <w:p w14:paraId="58F74847" w14:textId="77777777" w:rsidR="0044508D" w:rsidRPr="00CD2ADD" w:rsidRDefault="0044508D" w:rsidP="0044508D">
            <w:pPr>
              <w:rPr>
                <w:color w:val="000000" w:themeColor="text1"/>
                <w:sz w:val="20"/>
                <w:szCs w:val="20"/>
              </w:rPr>
            </w:pPr>
          </w:p>
        </w:tc>
        <w:tc>
          <w:tcPr>
            <w:tcW w:w="709" w:type="dxa"/>
          </w:tcPr>
          <w:p w14:paraId="219CB8BE" w14:textId="77777777" w:rsidR="0044508D" w:rsidRPr="00CD2ADD" w:rsidRDefault="0044508D" w:rsidP="0044508D">
            <w:pPr>
              <w:rPr>
                <w:color w:val="000000" w:themeColor="text1"/>
                <w:sz w:val="20"/>
                <w:szCs w:val="20"/>
              </w:rPr>
            </w:pPr>
          </w:p>
        </w:tc>
        <w:tc>
          <w:tcPr>
            <w:tcW w:w="1134" w:type="dxa"/>
          </w:tcPr>
          <w:p w14:paraId="14681F8D" w14:textId="77777777" w:rsidR="0044508D" w:rsidRPr="00CD2ADD" w:rsidRDefault="0044508D" w:rsidP="0044508D">
            <w:pPr>
              <w:rPr>
                <w:sz w:val="20"/>
                <w:szCs w:val="20"/>
              </w:rPr>
            </w:pPr>
            <w:r w:rsidRPr="00CD2ADD">
              <w:rPr>
                <w:sz w:val="20"/>
                <w:szCs w:val="20"/>
              </w:rPr>
              <w:t>Trim. II 2027</w:t>
            </w:r>
          </w:p>
          <w:p w14:paraId="798F257B" w14:textId="77777777" w:rsidR="0044508D" w:rsidRPr="00CD2ADD" w:rsidRDefault="0044508D" w:rsidP="0044508D">
            <w:pPr>
              <w:rPr>
                <w:sz w:val="20"/>
                <w:szCs w:val="20"/>
              </w:rPr>
            </w:pPr>
          </w:p>
          <w:p w14:paraId="039DE7E8" w14:textId="77777777" w:rsidR="0044508D" w:rsidRPr="00CD2ADD" w:rsidRDefault="0044508D" w:rsidP="0044508D">
            <w:pPr>
              <w:rPr>
                <w:sz w:val="20"/>
                <w:szCs w:val="20"/>
              </w:rPr>
            </w:pPr>
          </w:p>
          <w:p w14:paraId="5BD66B73" w14:textId="77777777" w:rsidR="0044508D" w:rsidRPr="00CD2ADD" w:rsidRDefault="0044508D" w:rsidP="0044508D">
            <w:pPr>
              <w:rPr>
                <w:sz w:val="20"/>
                <w:szCs w:val="20"/>
              </w:rPr>
            </w:pPr>
          </w:p>
          <w:p w14:paraId="4BE4EF25" w14:textId="77777777" w:rsidR="0044508D" w:rsidRPr="00CD2ADD" w:rsidRDefault="0044508D" w:rsidP="0044508D">
            <w:pPr>
              <w:rPr>
                <w:sz w:val="20"/>
                <w:szCs w:val="20"/>
              </w:rPr>
            </w:pPr>
          </w:p>
          <w:p w14:paraId="28B74C83" w14:textId="77777777" w:rsidR="0044508D" w:rsidRPr="00CD2ADD" w:rsidRDefault="0044508D" w:rsidP="0044508D">
            <w:pPr>
              <w:rPr>
                <w:sz w:val="20"/>
                <w:szCs w:val="20"/>
              </w:rPr>
            </w:pPr>
          </w:p>
          <w:p w14:paraId="1AFF10EA" w14:textId="77777777" w:rsidR="0044508D" w:rsidRPr="00CD2ADD" w:rsidRDefault="0044508D" w:rsidP="0044508D">
            <w:pPr>
              <w:rPr>
                <w:sz w:val="20"/>
                <w:szCs w:val="20"/>
              </w:rPr>
            </w:pPr>
          </w:p>
          <w:p w14:paraId="463893E2" w14:textId="77777777" w:rsidR="0044508D" w:rsidRPr="00CD2ADD" w:rsidRDefault="0044508D" w:rsidP="0044508D">
            <w:pPr>
              <w:rPr>
                <w:sz w:val="20"/>
                <w:szCs w:val="20"/>
              </w:rPr>
            </w:pPr>
          </w:p>
          <w:p w14:paraId="038E2BC2" w14:textId="77777777" w:rsidR="0044508D" w:rsidRPr="00CD2ADD" w:rsidRDefault="0044508D" w:rsidP="0044508D">
            <w:pPr>
              <w:rPr>
                <w:sz w:val="20"/>
                <w:szCs w:val="20"/>
              </w:rPr>
            </w:pPr>
          </w:p>
          <w:p w14:paraId="00315F1D" w14:textId="77777777" w:rsidR="0044508D" w:rsidRPr="00CD2ADD" w:rsidRDefault="0044508D" w:rsidP="0044508D">
            <w:pPr>
              <w:rPr>
                <w:color w:val="000000" w:themeColor="text1"/>
                <w:sz w:val="20"/>
                <w:szCs w:val="20"/>
              </w:rPr>
            </w:pPr>
            <w:r w:rsidRPr="00CD2ADD">
              <w:rPr>
                <w:sz w:val="20"/>
                <w:szCs w:val="20"/>
              </w:rPr>
              <w:lastRenderedPageBreak/>
              <w:t xml:space="preserve">Trim. I 2030 </w:t>
            </w:r>
          </w:p>
        </w:tc>
        <w:tc>
          <w:tcPr>
            <w:tcW w:w="1926" w:type="dxa"/>
          </w:tcPr>
          <w:p w14:paraId="011A8067" w14:textId="77777777" w:rsidR="0044508D" w:rsidRPr="00CD2ADD" w:rsidRDefault="0044508D" w:rsidP="0044508D">
            <w:pPr>
              <w:rPr>
                <w:color w:val="000000" w:themeColor="text1"/>
                <w:sz w:val="20"/>
                <w:szCs w:val="20"/>
              </w:rPr>
            </w:pPr>
            <w:r w:rsidRPr="00CD2ADD">
              <w:rPr>
                <w:color w:val="000000" w:themeColor="text1"/>
                <w:sz w:val="20"/>
                <w:szCs w:val="20"/>
              </w:rPr>
              <w:lastRenderedPageBreak/>
              <w:t xml:space="preserve">Agenția ,,Moldsilva”, Ministerul Mediului, ICAS, Agenția de Mediu, APL-uri Parteneri externi </w:t>
            </w:r>
          </w:p>
        </w:tc>
      </w:tr>
      <w:tr w:rsidR="0044508D" w:rsidRPr="00CD2ADD" w14:paraId="0CED3641" w14:textId="77777777" w:rsidTr="002C4956">
        <w:tc>
          <w:tcPr>
            <w:tcW w:w="514" w:type="dxa"/>
          </w:tcPr>
          <w:p w14:paraId="11DE72ED" w14:textId="77777777" w:rsidR="0044508D" w:rsidRPr="00CD2ADD" w:rsidRDefault="0044508D" w:rsidP="0044508D">
            <w:pPr>
              <w:rPr>
                <w:color w:val="000000" w:themeColor="text1"/>
                <w:sz w:val="20"/>
                <w:szCs w:val="20"/>
              </w:rPr>
            </w:pPr>
            <w:r w:rsidRPr="00CD2ADD">
              <w:rPr>
                <w:color w:val="000000" w:themeColor="text1"/>
                <w:sz w:val="20"/>
                <w:szCs w:val="20"/>
              </w:rPr>
              <w:t>29.</w:t>
            </w:r>
          </w:p>
        </w:tc>
        <w:tc>
          <w:tcPr>
            <w:tcW w:w="2033" w:type="dxa"/>
          </w:tcPr>
          <w:p w14:paraId="1DEBAFF6" w14:textId="0D303A6A" w:rsidR="0044508D" w:rsidRPr="00CD2ADD" w:rsidRDefault="0044508D" w:rsidP="0044508D">
            <w:pPr>
              <w:rPr>
                <w:color w:val="000000" w:themeColor="text1"/>
                <w:sz w:val="20"/>
                <w:szCs w:val="20"/>
              </w:rPr>
            </w:pPr>
            <w:r w:rsidRPr="00CD2ADD">
              <w:rPr>
                <w:color w:val="000000" w:themeColor="text1"/>
                <w:sz w:val="20"/>
                <w:szCs w:val="20"/>
              </w:rPr>
              <w:t>3.1.2 Integrarea analizei de valorizare economică a serviciilor ecosistemice în restaurarea pădurilor degradate în scopul reducerii riscurilor naturale si biologico sociale</w:t>
            </w:r>
          </w:p>
        </w:tc>
        <w:tc>
          <w:tcPr>
            <w:tcW w:w="1701" w:type="dxa"/>
          </w:tcPr>
          <w:p w14:paraId="75CA3D3E" w14:textId="77777777" w:rsidR="0044508D" w:rsidRPr="00CD2ADD" w:rsidRDefault="0044508D" w:rsidP="0044508D">
            <w:pPr>
              <w:rPr>
                <w:color w:val="000000" w:themeColor="text1"/>
                <w:sz w:val="20"/>
                <w:szCs w:val="20"/>
              </w:rPr>
            </w:pPr>
            <w:r w:rsidRPr="00CD2ADD">
              <w:rPr>
                <w:color w:val="000000" w:themeColor="text1"/>
                <w:sz w:val="20"/>
                <w:szCs w:val="20"/>
              </w:rPr>
              <w:t>- Analiză de valorizare economică a serviciilor ecosistemice realizată și aplicată în 1–2 raioane pilot</w:t>
            </w:r>
          </w:p>
        </w:tc>
        <w:tc>
          <w:tcPr>
            <w:tcW w:w="850" w:type="dxa"/>
          </w:tcPr>
          <w:p w14:paraId="6A9C5B4C" w14:textId="77777777" w:rsidR="0044508D" w:rsidRPr="00CD2ADD" w:rsidRDefault="0044508D" w:rsidP="0044508D">
            <w:pPr>
              <w:rPr>
                <w:color w:val="000000" w:themeColor="text1"/>
                <w:sz w:val="20"/>
                <w:szCs w:val="20"/>
              </w:rPr>
            </w:pPr>
            <w:r w:rsidRPr="00CD2ADD">
              <w:rPr>
                <w:color w:val="000000" w:themeColor="text1"/>
                <w:sz w:val="20"/>
                <w:szCs w:val="20"/>
              </w:rPr>
              <w:t>300</w:t>
            </w:r>
          </w:p>
        </w:tc>
        <w:tc>
          <w:tcPr>
            <w:tcW w:w="851" w:type="dxa"/>
          </w:tcPr>
          <w:p w14:paraId="0B67627B" w14:textId="77777777" w:rsidR="0044508D" w:rsidRPr="00CD2ADD" w:rsidRDefault="0044508D" w:rsidP="0044508D">
            <w:pPr>
              <w:rPr>
                <w:color w:val="000000" w:themeColor="text1"/>
                <w:sz w:val="20"/>
                <w:szCs w:val="20"/>
              </w:rPr>
            </w:pPr>
            <w:r w:rsidRPr="00CD2ADD">
              <w:rPr>
                <w:color w:val="000000" w:themeColor="text1"/>
                <w:sz w:val="20"/>
                <w:szCs w:val="20"/>
              </w:rPr>
              <w:t>300</w:t>
            </w:r>
          </w:p>
        </w:tc>
        <w:tc>
          <w:tcPr>
            <w:tcW w:w="709" w:type="dxa"/>
          </w:tcPr>
          <w:p w14:paraId="1839C36E" w14:textId="77777777" w:rsidR="0044508D" w:rsidRPr="00CD2ADD" w:rsidRDefault="0044508D" w:rsidP="0044508D">
            <w:pPr>
              <w:rPr>
                <w:color w:val="000000" w:themeColor="text1"/>
                <w:sz w:val="20"/>
                <w:szCs w:val="20"/>
              </w:rPr>
            </w:pPr>
          </w:p>
        </w:tc>
        <w:tc>
          <w:tcPr>
            <w:tcW w:w="992" w:type="dxa"/>
          </w:tcPr>
          <w:p w14:paraId="7B0B1605" w14:textId="77777777" w:rsidR="0044508D" w:rsidRPr="00CD2ADD" w:rsidRDefault="0044508D" w:rsidP="0044508D">
            <w:pPr>
              <w:rPr>
                <w:color w:val="000000" w:themeColor="text1"/>
                <w:sz w:val="20"/>
                <w:szCs w:val="20"/>
              </w:rPr>
            </w:pPr>
          </w:p>
        </w:tc>
        <w:tc>
          <w:tcPr>
            <w:tcW w:w="1134" w:type="dxa"/>
          </w:tcPr>
          <w:p w14:paraId="7358AD75" w14:textId="77777777" w:rsidR="0044508D" w:rsidRPr="00CD2ADD" w:rsidRDefault="0044508D" w:rsidP="0044508D">
            <w:pPr>
              <w:rPr>
                <w:color w:val="000000" w:themeColor="text1"/>
                <w:sz w:val="20"/>
                <w:szCs w:val="20"/>
              </w:rPr>
            </w:pPr>
            <w:r w:rsidRPr="00CD2ADD">
              <w:rPr>
                <w:color w:val="000000" w:themeColor="text1"/>
                <w:sz w:val="20"/>
                <w:szCs w:val="20"/>
              </w:rPr>
              <w:t>5402</w:t>
            </w:r>
          </w:p>
        </w:tc>
        <w:tc>
          <w:tcPr>
            <w:tcW w:w="709" w:type="dxa"/>
          </w:tcPr>
          <w:p w14:paraId="2C035438" w14:textId="77777777" w:rsidR="0044508D" w:rsidRPr="00CD2ADD" w:rsidRDefault="0044508D" w:rsidP="0044508D">
            <w:pPr>
              <w:rPr>
                <w:color w:val="000000" w:themeColor="text1"/>
                <w:sz w:val="20"/>
                <w:szCs w:val="20"/>
              </w:rPr>
            </w:pPr>
            <w:r w:rsidRPr="00CD2ADD">
              <w:rPr>
                <w:color w:val="000000" w:themeColor="text1"/>
                <w:sz w:val="20"/>
                <w:szCs w:val="20"/>
              </w:rPr>
              <w:t>300</w:t>
            </w:r>
          </w:p>
        </w:tc>
        <w:tc>
          <w:tcPr>
            <w:tcW w:w="708" w:type="dxa"/>
          </w:tcPr>
          <w:p w14:paraId="16C2C5C8" w14:textId="77777777" w:rsidR="0044508D" w:rsidRPr="00CD2ADD" w:rsidRDefault="0044508D" w:rsidP="0044508D">
            <w:pPr>
              <w:rPr>
                <w:color w:val="000000" w:themeColor="text1"/>
                <w:sz w:val="20"/>
                <w:szCs w:val="20"/>
              </w:rPr>
            </w:pPr>
          </w:p>
        </w:tc>
        <w:tc>
          <w:tcPr>
            <w:tcW w:w="709" w:type="dxa"/>
          </w:tcPr>
          <w:p w14:paraId="492A508A" w14:textId="77777777" w:rsidR="0044508D" w:rsidRPr="00CD2ADD" w:rsidRDefault="0044508D" w:rsidP="0044508D">
            <w:pPr>
              <w:rPr>
                <w:color w:val="000000" w:themeColor="text1"/>
                <w:sz w:val="20"/>
                <w:szCs w:val="20"/>
              </w:rPr>
            </w:pPr>
          </w:p>
        </w:tc>
        <w:tc>
          <w:tcPr>
            <w:tcW w:w="709" w:type="dxa"/>
          </w:tcPr>
          <w:p w14:paraId="77609186" w14:textId="77777777" w:rsidR="0044508D" w:rsidRPr="00CD2ADD" w:rsidRDefault="0044508D" w:rsidP="0044508D">
            <w:pPr>
              <w:rPr>
                <w:color w:val="000000" w:themeColor="text1"/>
                <w:sz w:val="20"/>
                <w:szCs w:val="20"/>
              </w:rPr>
            </w:pPr>
          </w:p>
        </w:tc>
        <w:tc>
          <w:tcPr>
            <w:tcW w:w="709" w:type="dxa"/>
          </w:tcPr>
          <w:p w14:paraId="4EBBC840" w14:textId="77777777" w:rsidR="0044508D" w:rsidRPr="00CD2ADD" w:rsidRDefault="0044508D" w:rsidP="0044508D">
            <w:pPr>
              <w:rPr>
                <w:color w:val="000000" w:themeColor="text1"/>
                <w:sz w:val="20"/>
                <w:szCs w:val="20"/>
              </w:rPr>
            </w:pPr>
          </w:p>
        </w:tc>
        <w:tc>
          <w:tcPr>
            <w:tcW w:w="1134" w:type="dxa"/>
          </w:tcPr>
          <w:p w14:paraId="14FE21C9" w14:textId="77777777" w:rsidR="0044508D" w:rsidRPr="00CD2ADD" w:rsidRDefault="0044508D" w:rsidP="0044508D">
            <w:pPr>
              <w:rPr>
                <w:color w:val="000000" w:themeColor="text1"/>
                <w:sz w:val="20"/>
                <w:szCs w:val="20"/>
              </w:rPr>
            </w:pPr>
            <w:r w:rsidRPr="00CD2ADD">
              <w:rPr>
                <w:sz w:val="20"/>
                <w:szCs w:val="20"/>
              </w:rPr>
              <w:t>Trim. IV 2026</w:t>
            </w:r>
          </w:p>
        </w:tc>
        <w:tc>
          <w:tcPr>
            <w:tcW w:w="1926" w:type="dxa"/>
          </w:tcPr>
          <w:p w14:paraId="7462CA06" w14:textId="77777777" w:rsidR="0044508D" w:rsidRPr="00CD2ADD" w:rsidRDefault="0044508D" w:rsidP="0044508D">
            <w:pPr>
              <w:rPr>
                <w:color w:val="000000" w:themeColor="text1"/>
                <w:sz w:val="20"/>
                <w:szCs w:val="20"/>
              </w:rPr>
            </w:pPr>
            <w:r w:rsidRPr="00CD2ADD">
              <w:rPr>
                <w:color w:val="000000" w:themeColor="text1"/>
                <w:sz w:val="20"/>
                <w:szCs w:val="20"/>
              </w:rPr>
              <w:t>Agenția ,,Moldsilva”, Ministerul Mediului, ICAS, APL-uri, parteneri externi</w:t>
            </w:r>
          </w:p>
        </w:tc>
      </w:tr>
      <w:tr w:rsidR="0044508D" w:rsidRPr="00CD2ADD" w14:paraId="403A3F54" w14:textId="77777777" w:rsidTr="002C4956">
        <w:tc>
          <w:tcPr>
            <w:tcW w:w="514" w:type="dxa"/>
          </w:tcPr>
          <w:p w14:paraId="034708A6" w14:textId="77777777" w:rsidR="0044508D" w:rsidRPr="00CD2ADD" w:rsidRDefault="0044508D" w:rsidP="0044508D">
            <w:pPr>
              <w:rPr>
                <w:color w:val="000000" w:themeColor="text1"/>
                <w:sz w:val="20"/>
                <w:szCs w:val="20"/>
              </w:rPr>
            </w:pPr>
            <w:r w:rsidRPr="00CD2ADD">
              <w:rPr>
                <w:color w:val="000000" w:themeColor="text1"/>
                <w:sz w:val="20"/>
                <w:szCs w:val="20"/>
              </w:rPr>
              <w:t>30.</w:t>
            </w:r>
          </w:p>
        </w:tc>
        <w:tc>
          <w:tcPr>
            <w:tcW w:w="2033" w:type="dxa"/>
          </w:tcPr>
          <w:p w14:paraId="57238226" w14:textId="40A068A8" w:rsidR="0044508D" w:rsidRPr="00CD2ADD" w:rsidRDefault="0044508D" w:rsidP="0044508D">
            <w:pPr>
              <w:rPr>
                <w:color w:val="000000" w:themeColor="text1"/>
                <w:sz w:val="20"/>
                <w:szCs w:val="20"/>
              </w:rPr>
            </w:pPr>
            <w:r w:rsidRPr="00CD2ADD">
              <w:rPr>
                <w:color w:val="000000" w:themeColor="text1"/>
                <w:sz w:val="20"/>
                <w:szCs w:val="20"/>
              </w:rPr>
              <w:t>3.1.3 Sprijinirea creării și refacerii perdelelor forestiere și fâșiilor riverane în zone vulnerabile</w:t>
            </w:r>
          </w:p>
        </w:tc>
        <w:tc>
          <w:tcPr>
            <w:tcW w:w="1701" w:type="dxa"/>
          </w:tcPr>
          <w:p w14:paraId="0844CE57" w14:textId="77777777" w:rsidR="0044508D" w:rsidRPr="00CD2ADD" w:rsidRDefault="0044508D" w:rsidP="0044508D">
            <w:pPr>
              <w:rPr>
                <w:color w:val="000000" w:themeColor="text1"/>
                <w:sz w:val="20"/>
                <w:szCs w:val="20"/>
              </w:rPr>
            </w:pPr>
            <w:r w:rsidRPr="00CD2ADD">
              <w:rPr>
                <w:color w:val="000000" w:themeColor="text1"/>
                <w:sz w:val="20"/>
                <w:szCs w:val="20"/>
              </w:rPr>
              <w:t xml:space="preserve">- Plan național de restaurare a perdelelor forestiere și fâșiilor riverane elaborat, cu zonelor prioritare, obiective anuale de restaurare definite </w:t>
            </w:r>
          </w:p>
        </w:tc>
        <w:tc>
          <w:tcPr>
            <w:tcW w:w="850" w:type="dxa"/>
          </w:tcPr>
          <w:p w14:paraId="52ACA49D" w14:textId="77777777" w:rsidR="0044508D" w:rsidRPr="00CD2ADD" w:rsidRDefault="0044508D" w:rsidP="0044508D">
            <w:pPr>
              <w:rPr>
                <w:color w:val="000000" w:themeColor="text1"/>
                <w:sz w:val="20"/>
                <w:szCs w:val="20"/>
              </w:rPr>
            </w:pPr>
            <w:r w:rsidRPr="00CD2ADD">
              <w:rPr>
                <w:color w:val="000000" w:themeColor="text1"/>
                <w:sz w:val="20"/>
                <w:szCs w:val="20"/>
              </w:rPr>
              <w:t>450</w:t>
            </w:r>
          </w:p>
        </w:tc>
        <w:tc>
          <w:tcPr>
            <w:tcW w:w="851" w:type="dxa"/>
          </w:tcPr>
          <w:p w14:paraId="4434000A" w14:textId="77777777" w:rsidR="0044508D" w:rsidRPr="00CD2ADD" w:rsidRDefault="0044508D" w:rsidP="0044508D">
            <w:pPr>
              <w:rPr>
                <w:color w:val="000000" w:themeColor="text1"/>
                <w:sz w:val="20"/>
                <w:szCs w:val="20"/>
              </w:rPr>
            </w:pPr>
            <w:r w:rsidRPr="00CD2ADD">
              <w:rPr>
                <w:color w:val="000000" w:themeColor="text1"/>
                <w:sz w:val="20"/>
                <w:szCs w:val="20"/>
              </w:rPr>
              <w:t>450</w:t>
            </w:r>
          </w:p>
        </w:tc>
        <w:tc>
          <w:tcPr>
            <w:tcW w:w="709" w:type="dxa"/>
          </w:tcPr>
          <w:p w14:paraId="19F253C8" w14:textId="77777777" w:rsidR="0044508D" w:rsidRPr="00CD2ADD" w:rsidRDefault="0044508D" w:rsidP="0044508D">
            <w:pPr>
              <w:rPr>
                <w:color w:val="000000" w:themeColor="text1"/>
                <w:sz w:val="20"/>
                <w:szCs w:val="20"/>
              </w:rPr>
            </w:pPr>
          </w:p>
        </w:tc>
        <w:tc>
          <w:tcPr>
            <w:tcW w:w="992" w:type="dxa"/>
          </w:tcPr>
          <w:p w14:paraId="0084D276" w14:textId="77777777" w:rsidR="0044508D" w:rsidRPr="00CD2ADD" w:rsidRDefault="0044508D" w:rsidP="0044508D">
            <w:pPr>
              <w:rPr>
                <w:color w:val="000000" w:themeColor="text1"/>
                <w:sz w:val="20"/>
                <w:szCs w:val="20"/>
              </w:rPr>
            </w:pPr>
          </w:p>
        </w:tc>
        <w:tc>
          <w:tcPr>
            <w:tcW w:w="1134" w:type="dxa"/>
          </w:tcPr>
          <w:p w14:paraId="028AB231" w14:textId="77777777" w:rsidR="0044508D" w:rsidRPr="00CD2ADD" w:rsidRDefault="0044508D" w:rsidP="0044508D">
            <w:pPr>
              <w:rPr>
                <w:color w:val="000000" w:themeColor="text1"/>
                <w:sz w:val="20"/>
                <w:szCs w:val="20"/>
              </w:rPr>
            </w:pPr>
            <w:r w:rsidRPr="00CD2ADD">
              <w:rPr>
                <w:color w:val="000000" w:themeColor="text1"/>
                <w:sz w:val="20"/>
                <w:szCs w:val="20"/>
              </w:rPr>
              <w:t>5402</w:t>
            </w:r>
          </w:p>
        </w:tc>
        <w:tc>
          <w:tcPr>
            <w:tcW w:w="709" w:type="dxa"/>
          </w:tcPr>
          <w:p w14:paraId="1DE2B38F" w14:textId="77777777" w:rsidR="0044508D" w:rsidRPr="00CD2ADD" w:rsidRDefault="0044508D" w:rsidP="0044508D">
            <w:pPr>
              <w:rPr>
                <w:color w:val="000000" w:themeColor="text1"/>
                <w:sz w:val="20"/>
                <w:szCs w:val="20"/>
              </w:rPr>
            </w:pPr>
            <w:r w:rsidRPr="00CD2ADD">
              <w:rPr>
                <w:color w:val="000000" w:themeColor="text1"/>
                <w:sz w:val="20"/>
                <w:szCs w:val="20"/>
              </w:rPr>
              <w:t>300</w:t>
            </w:r>
          </w:p>
        </w:tc>
        <w:tc>
          <w:tcPr>
            <w:tcW w:w="708" w:type="dxa"/>
          </w:tcPr>
          <w:p w14:paraId="1D0F24F1" w14:textId="77777777" w:rsidR="0044508D" w:rsidRPr="00CD2ADD" w:rsidRDefault="0044508D" w:rsidP="0044508D">
            <w:pPr>
              <w:rPr>
                <w:color w:val="000000" w:themeColor="text1"/>
                <w:sz w:val="20"/>
                <w:szCs w:val="20"/>
              </w:rPr>
            </w:pPr>
            <w:r w:rsidRPr="00CD2ADD">
              <w:rPr>
                <w:color w:val="000000" w:themeColor="text1"/>
                <w:sz w:val="20"/>
                <w:szCs w:val="20"/>
              </w:rPr>
              <w:t>150</w:t>
            </w:r>
          </w:p>
        </w:tc>
        <w:tc>
          <w:tcPr>
            <w:tcW w:w="709" w:type="dxa"/>
          </w:tcPr>
          <w:p w14:paraId="6908EE47" w14:textId="77777777" w:rsidR="0044508D" w:rsidRPr="00CD2ADD" w:rsidRDefault="0044508D" w:rsidP="0044508D">
            <w:pPr>
              <w:rPr>
                <w:color w:val="000000" w:themeColor="text1"/>
                <w:sz w:val="20"/>
                <w:szCs w:val="20"/>
              </w:rPr>
            </w:pPr>
          </w:p>
        </w:tc>
        <w:tc>
          <w:tcPr>
            <w:tcW w:w="709" w:type="dxa"/>
          </w:tcPr>
          <w:p w14:paraId="16AA0F3F" w14:textId="77777777" w:rsidR="0044508D" w:rsidRPr="00CD2ADD" w:rsidRDefault="0044508D" w:rsidP="0044508D">
            <w:pPr>
              <w:rPr>
                <w:color w:val="000000" w:themeColor="text1"/>
                <w:sz w:val="20"/>
                <w:szCs w:val="20"/>
              </w:rPr>
            </w:pPr>
          </w:p>
        </w:tc>
        <w:tc>
          <w:tcPr>
            <w:tcW w:w="709" w:type="dxa"/>
          </w:tcPr>
          <w:p w14:paraId="15179FD5" w14:textId="77777777" w:rsidR="0044508D" w:rsidRPr="00CD2ADD" w:rsidRDefault="0044508D" w:rsidP="0044508D">
            <w:pPr>
              <w:rPr>
                <w:color w:val="000000" w:themeColor="text1"/>
                <w:sz w:val="20"/>
                <w:szCs w:val="20"/>
              </w:rPr>
            </w:pPr>
          </w:p>
        </w:tc>
        <w:tc>
          <w:tcPr>
            <w:tcW w:w="1134" w:type="dxa"/>
          </w:tcPr>
          <w:p w14:paraId="465B6DD8" w14:textId="77777777" w:rsidR="0044508D" w:rsidRPr="00CD2ADD" w:rsidRDefault="0044508D" w:rsidP="0044508D">
            <w:pPr>
              <w:rPr>
                <w:color w:val="000000" w:themeColor="text1"/>
                <w:sz w:val="20"/>
                <w:szCs w:val="20"/>
              </w:rPr>
            </w:pPr>
            <w:r w:rsidRPr="00CD2ADD">
              <w:rPr>
                <w:sz w:val="20"/>
                <w:szCs w:val="20"/>
              </w:rPr>
              <w:t>Trim. II 2027</w:t>
            </w:r>
          </w:p>
        </w:tc>
        <w:tc>
          <w:tcPr>
            <w:tcW w:w="1926" w:type="dxa"/>
          </w:tcPr>
          <w:p w14:paraId="3C91CB8A" w14:textId="77777777" w:rsidR="0044508D" w:rsidRPr="00CD2ADD" w:rsidRDefault="0044508D" w:rsidP="0044508D">
            <w:pPr>
              <w:rPr>
                <w:color w:val="000000" w:themeColor="text1"/>
                <w:sz w:val="20"/>
                <w:szCs w:val="20"/>
              </w:rPr>
            </w:pPr>
            <w:r w:rsidRPr="00CD2ADD">
              <w:rPr>
                <w:color w:val="000000" w:themeColor="text1"/>
                <w:sz w:val="20"/>
                <w:szCs w:val="20"/>
              </w:rPr>
              <w:t>Agenția ,,Moldsilva”, Ministerul Mediului, ICAS, parteneri internaționali</w:t>
            </w:r>
          </w:p>
        </w:tc>
      </w:tr>
      <w:tr w:rsidR="0044508D" w:rsidRPr="00CD2ADD" w14:paraId="2AB4EA88" w14:textId="77777777" w:rsidTr="002C4956">
        <w:tc>
          <w:tcPr>
            <w:tcW w:w="15388" w:type="dxa"/>
            <w:gridSpan w:val="15"/>
            <w:shd w:val="clear" w:color="auto" w:fill="D9F2D0" w:themeFill="accent6" w:themeFillTint="33"/>
          </w:tcPr>
          <w:p w14:paraId="159C5D53" w14:textId="77777777" w:rsidR="0044508D" w:rsidRPr="00CD2ADD" w:rsidRDefault="0044508D" w:rsidP="0044508D">
            <w:pPr>
              <w:rPr>
                <w:b/>
                <w:bCs/>
                <w:color w:val="000000" w:themeColor="text1"/>
                <w:sz w:val="20"/>
                <w:szCs w:val="20"/>
              </w:rPr>
            </w:pPr>
            <w:r w:rsidRPr="00CD2ADD">
              <w:rPr>
                <w:b/>
                <w:bCs/>
                <w:color w:val="000000" w:themeColor="text1"/>
                <w:sz w:val="20"/>
                <w:szCs w:val="20"/>
              </w:rPr>
              <w:t xml:space="preserve">Obiectiv specific 3.2: Până în 2030, ecosistemele acvatice și zonele umede sunt conservate și restaurate pentru reducerea riscurilor de inundații și consolidarea rezilienței teritoriale </w:t>
            </w:r>
          </w:p>
        </w:tc>
      </w:tr>
      <w:tr w:rsidR="0044508D" w:rsidRPr="00CD2ADD" w14:paraId="060F3FBA" w14:textId="77777777" w:rsidTr="002C4956">
        <w:tc>
          <w:tcPr>
            <w:tcW w:w="514" w:type="dxa"/>
          </w:tcPr>
          <w:p w14:paraId="799631C7" w14:textId="77777777" w:rsidR="0044508D" w:rsidRPr="00CD2ADD" w:rsidRDefault="0044508D" w:rsidP="0044508D">
            <w:pPr>
              <w:rPr>
                <w:color w:val="000000" w:themeColor="text1"/>
                <w:sz w:val="20"/>
                <w:szCs w:val="20"/>
              </w:rPr>
            </w:pPr>
            <w:r w:rsidRPr="00CD2ADD">
              <w:rPr>
                <w:color w:val="000000" w:themeColor="text1"/>
                <w:sz w:val="20"/>
                <w:szCs w:val="20"/>
              </w:rPr>
              <w:t>31.</w:t>
            </w:r>
          </w:p>
        </w:tc>
        <w:tc>
          <w:tcPr>
            <w:tcW w:w="2033" w:type="dxa"/>
          </w:tcPr>
          <w:p w14:paraId="12009F59" w14:textId="1D672CFB" w:rsidR="0044508D" w:rsidRPr="00CD2ADD" w:rsidRDefault="0044508D" w:rsidP="0044508D">
            <w:pPr>
              <w:rPr>
                <w:color w:val="000000" w:themeColor="text1"/>
                <w:sz w:val="20"/>
                <w:szCs w:val="20"/>
              </w:rPr>
            </w:pPr>
            <w:r w:rsidRPr="00CD2ADD">
              <w:rPr>
                <w:color w:val="000000" w:themeColor="text1"/>
                <w:sz w:val="20"/>
                <w:szCs w:val="20"/>
              </w:rPr>
              <w:t>3.2.1 Sprijinirea restaurării ecosistemelor acvatice și a zonelor umede pentru reducerea riscurilor de inundații</w:t>
            </w:r>
          </w:p>
        </w:tc>
        <w:tc>
          <w:tcPr>
            <w:tcW w:w="1701" w:type="dxa"/>
          </w:tcPr>
          <w:p w14:paraId="3CEDDD25" w14:textId="77777777" w:rsidR="0044508D" w:rsidRPr="00CD2ADD" w:rsidRDefault="0044508D" w:rsidP="0044508D">
            <w:pPr>
              <w:rPr>
                <w:color w:val="000000" w:themeColor="text1"/>
                <w:sz w:val="20"/>
                <w:szCs w:val="20"/>
              </w:rPr>
            </w:pPr>
            <w:r w:rsidRPr="00CD2ADD">
              <w:rPr>
                <w:color w:val="000000" w:themeColor="text1"/>
                <w:sz w:val="20"/>
                <w:szCs w:val="20"/>
              </w:rPr>
              <w:t xml:space="preserve">-Studiu național de restaurare ecologică a ecosistemelor acvatice și zonelor umede, cu delimitarea zonelor prioritare </w:t>
            </w:r>
            <w:r w:rsidRPr="00CD2ADD">
              <w:rPr>
                <w:color w:val="000000" w:themeColor="text1"/>
                <w:sz w:val="20"/>
                <w:szCs w:val="20"/>
              </w:rPr>
              <w:lastRenderedPageBreak/>
              <w:t>de intervenție, elaborat conform metodologiilor Ramsar/IUCN/</w:t>
            </w:r>
          </w:p>
          <w:p w14:paraId="0C4996AE" w14:textId="77777777" w:rsidR="0044508D" w:rsidRPr="00CD2ADD" w:rsidRDefault="0044508D" w:rsidP="0044508D">
            <w:pPr>
              <w:rPr>
                <w:color w:val="000000" w:themeColor="text1"/>
                <w:sz w:val="20"/>
                <w:szCs w:val="20"/>
              </w:rPr>
            </w:pPr>
            <w:r w:rsidRPr="00CD2ADD">
              <w:rPr>
                <w:color w:val="000000" w:themeColor="text1"/>
                <w:sz w:val="20"/>
                <w:szCs w:val="20"/>
              </w:rPr>
              <w:t xml:space="preserve">WWF ș.a </w:t>
            </w:r>
          </w:p>
        </w:tc>
        <w:tc>
          <w:tcPr>
            <w:tcW w:w="850" w:type="dxa"/>
          </w:tcPr>
          <w:p w14:paraId="7E265A90" w14:textId="341F8447" w:rsidR="0044508D" w:rsidRPr="00CD2ADD" w:rsidRDefault="0044508D" w:rsidP="0044508D">
            <w:pPr>
              <w:rPr>
                <w:color w:val="000000" w:themeColor="text1"/>
                <w:sz w:val="20"/>
                <w:szCs w:val="20"/>
              </w:rPr>
            </w:pPr>
            <w:r w:rsidRPr="00CD2ADD">
              <w:rPr>
                <w:color w:val="000000" w:themeColor="text1"/>
                <w:sz w:val="20"/>
                <w:szCs w:val="20"/>
              </w:rPr>
              <w:lastRenderedPageBreak/>
              <w:t>1,000</w:t>
            </w:r>
          </w:p>
        </w:tc>
        <w:tc>
          <w:tcPr>
            <w:tcW w:w="851" w:type="dxa"/>
          </w:tcPr>
          <w:p w14:paraId="206D3FD9" w14:textId="1A4EDDF8" w:rsidR="0044508D" w:rsidRPr="00CD2ADD" w:rsidRDefault="0044508D" w:rsidP="0044508D">
            <w:pPr>
              <w:rPr>
                <w:color w:val="000000" w:themeColor="text1"/>
                <w:sz w:val="20"/>
                <w:szCs w:val="20"/>
              </w:rPr>
            </w:pPr>
            <w:r w:rsidRPr="00CD2ADD">
              <w:rPr>
                <w:color w:val="000000" w:themeColor="text1"/>
                <w:sz w:val="20"/>
                <w:szCs w:val="20"/>
              </w:rPr>
              <w:t>1,000</w:t>
            </w:r>
          </w:p>
        </w:tc>
        <w:tc>
          <w:tcPr>
            <w:tcW w:w="709" w:type="dxa"/>
          </w:tcPr>
          <w:p w14:paraId="1A37334A" w14:textId="77777777" w:rsidR="0044508D" w:rsidRPr="00CD2ADD" w:rsidRDefault="0044508D" w:rsidP="0044508D">
            <w:pPr>
              <w:rPr>
                <w:color w:val="000000" w:themeColor="text1"/>
                <w:sz w:val="20"/>
                <w:szCs w:val="20"/>
              </w:rPr>
            </w:pPr>
          </w:p>
        </w:tc>
        <w:tc>
          <w:tcPr>
            <w:tcW w:w="992" w:type="dxa"/>
          </w:tcPr>
          <w:p w14:paraId="52B74DFC" w14:textId="77777777" w:rsidR="0044508D" w:rsidRPr="00CD2ADD" w:rsidRDefault="0044508D" w:rsidP="0044508D">
            <w:pPr>
              <w:rPr>
                <w:color w:val="000000" w:themeColor="text1"/>
                <w:sz w:val="20"/>
                <w:szCs w:val="20"/>
              </w:rPr>
            </w:pPr>
          </w:p>
        </w:tc>
        <w:tc>
          <w:tcPr>
            <w:tcW w:w="1134" w:type="dxa"/>
          </w:tcPr>
          <w:p w14:paraId="5D37ADE9" w14:textId="77777777" w:rsidR="0044508D" w:rsidRPr="00CD2ADD" w:rsidRDefault="0044508D" w:rsidP="0044508D">
            <w:pPr>
              <w:rPr>
                <w:color w:val="000000" w:themeColor="text1"/>
                <w:sz w:val="20"/>
                <w:szCs w:val="20"/>
              </w:rPr>
            </w:pPr>
            <w:r w:rsidRPr="00CD2ADD">
              <w:rPr>
                <w:color w:val="000000" w:themeColor="text1"/>
                <w:sz w:val="20"/>
                <w:szCs w:val="20"/>
              </w:rPr>
              <w:t>7004</w:t>
            </w:r>
          </w:p>
        </w:tc>
        <w:tc>
          <w:tcPr>
            <w:tcW w:w="709" w:type="dxa"/>
          </w:tcPr>
          <w:p w14:paraId="3C17BD07" w14:textId="77777777" w:rsidR="0044508D" w:rsidRPr="00CD2ADD" w:rsidRDefault="0044508D" w:rsidP="0044508D">
            <w:pPr>
              <w:rPr>
                <w:color w:val="000000" w:themeColor="text1"/>
                <w:sz w:val="20"/>
                <w:szCs w:val="20"/>
              </w:rPr>
            </w:pPr>
          </w:p>
        </w:tc>
        <w:tc>
          <w:tcPr>
            <w:tcW w:w="708" w:type="dxa"/>
          </w:tcPr>
          <w:p w14:paraId="75BB9945" w14:textId="28CECD71" w:rsidR="0044508D" w:rsidRPr="00CD2ADD" w:rsidRDefault="0044508D" w:rsidP="0044508D">
            <w:pPr>
              <w:rPr>
                <w:color w:val="000000" w:themeColor="text1"/>
                <w:sz w:val="20"/>
                <w:szCs w:val="20"/>
              </w:rPr>
            </w:pPr>
            <w:r w:rsidRPr="00CD2ADD">
              <w:rPr>
                <w:color w:val="000000" w:themeColor="text1"/>
                <w:sz w:val="20"/>
                <w:szCs w:val="20"/>
              </w:rPr>
              <w:t>1,000</w:t>
            </w:r>
          </w:p>
        </w:tc>
        <w:tc>
          <w:tcPr>
            <w:tcW w:w="709" w:type="dxa"/>
          </w:tcPr>
          <w:p w14:paraId="38F3E334" w14:textId="77777777" w:rsidR="0044508D" w:rsidRPr="00CD2ADD" w:rsidRDefault="0044508D" w:rsidP="0044508D">
            <w:pPr>
              <w:rPr>
                <w:color w:val="000000" w:themeColor="text1"/>
                <w:sz w:val="20"/>
                <w:szCs w:val="20"/>
              </w:rPr>
            </w:pPr>
          </w:p>
        </w:tc>
        <w:tc>
          <w:tcPr>
            <w:tcW w:w="709" w:type="dxa"/>
          </w:tcPr>
          <w:p w14:paraId="7F601488" w14:textId="77777777" w:rsidR="0044508D" w:rsidRPr="00CD2ADD" w:rsidRDefault="0044508D" w:rsidP="0044508D">
            <w:pPr>
              <w:rPr>
                <w:color w:val="000000" w:themeColor="text1"/>
                <w:sz w:val="20"/>
                <w:szCs w:val="20"/>
              </w:rPr>
            </w:pPr>
          </w:p>
        </w:tc>
        <w:tc>
          <w:tcPr>
            <w:tcW w:w="709" w:type="dxa"/>
          </w:tcPr>
          <w:p w14:paraId="2400B306" w14:textId="77777777" w:rsidR="0044508D" w:rsidRPr="00CD2ADD" w:rsidRDefault="0044508D" w:rsidP="0044508D">
            <w:pPr>
              <w:rPr>
                <w:color w:val="000000" w:themeColor="text1"/>
                <w:sz w:val="20"/>
                <w:szCs w:val="20"/>
              </w:rPr>
            </w:pPr>
          </w:p>
        </w:tc>
        <w:tc>
          <w:tcPr>
            <w:tcW w:w="1134" w:type="dxa"/>
          </w:tcPr>
          <w:p w14:paraId="49E0AC58" w14:textId="77777777" w:rsidR="0044508D" w:rsidRPr="00CD2ADD" w:rsidRDefault="0044508D" w:rsidP="0044508D">
            <w:pPr>
              <w:rPr>
                <w:color w:val="000000" w:themeColor="text1"/>
                <w:sz w:val="20"/>
                <w:szCs w:val="20"/>
              </w:rPr>
            </w:pPr>
            <w:r w:rsidRPr="00CD2ADD">
              <w:rPr>
                <w:sz w:val="20"/>
                <w:szCs w:val="20"/>
              </w:rPr>
              <w:t>Trim. II 2027</w:t>
            </w:r>
          </w:p>
        </w:tc>
        <w:tc>
          <w:tcPr>
            <w:tcW w:w="1926" w:type="dxa"/>
          </w:tcPr>
          <w:p w14:paraId="4B408A87" w14:textId="49CF55AF" w:rsidR="0044508D" w:rsidRPr="00CD2ADD" w:rsidRDefault="0044508D" w:rsidP="0044508D">
            <w:pPr>
              <w:rPr>
                <w:color w:val="000000" w:themeColor="text1"/>
                <w:sz w:val="20"/>
                <w:szCs w:val="20"/>
              </w:rPr>
            </w:pPr>
            <w:r w:rsidRPr="00CD2ADD">
              <w:rPr>
                <w:color w:val="000000" w:themeColor="text1"/>
                <w:sz w:val="20"/>
                <w:szCs w:val="20"/>
              </w:rPr>
              <w:t>IP AN Apele Moldovei, Agenția Moldsilva, Ministerul Mediului, ICAS, APL-uri, parteneri internaționali</w:t>
            </w:r>
          </w:p>
        </w:tc>
      </w:tr>
      <w:tr w:rsidR="0044508D" w:rsidRPr="00CD2ADD" w14:paraId="078AA188" w14:textId="77777777" w:rsidTr="002C4956">
        <w:tc>
          <w:tcPr>
            <w:tcW w:w="514" w:type="dxa"/>
          </w:tcPr>
          <w:p w14:paraId="120C7E84" w14:textId="77777777" w:rsidR="0044508D" w:rsidRPr="00CD2ADD" w:rsidRDefault="0044508D" w:rsidP="0044508D">
            <w:pPr>
              <w:rPr>
                <w:color w:val="000000" w:themeColor="text1"/>
                <w:sz w:val="20"/>
                <w:szCs w:val="20"/>
              </w:rPr>
            </w:pPr>
            <w:r w:rsidRPr="00CD2ADD">
              <w:rPr>
                <w:color w:val="000000" w:themeColor="text1"/>
                <w:sz w:val="20"/>
                <w:szCs w:val="20"/>
              </w:rPr>
              <w:t>32.</w:t>
            </w:r>
          </w:p>
        </w:tc>
        <w:tc>
          <w:tcPr>
            <w:tcW w:w="2033" w:type="dxa"/>
          </w:tcPr>
          <w:p w14:paraId="045E4D6C" w14:textId="77777777" w:rsidR="0044508D" w:rsidRPr="00CD2ADD" w:rsidRDefault="0044508D" w:rsidP="0044508D">
            <w:pPr>
              <w:rPr>
                <w:color w:val="000000" w:themeColor="text1"/>
                <w:sz w:val="20"/>
                <w:szCs w:val="20"/>
              </w:rPr>
            </w:pPr>
            <w:r w:rsidRPr="00CD2ADD">
              <w:rPr>
                <w:color w:val="000000" w:themeColor="text1"/>
                <w:sz w:val="20"/>
                <w:szCs w:val="20"/>
              </w:rPr>
              <w:t>3.2.2 Coordonarea implementării și selectarea siturilor prioritare</w:t>
            </w:r>
          </w:p>
        </w:tc>
        <w:tc>
          <w:tcPr>
            <w:tcW w:w="1701" w:type="dxa"/>
          </w:tcPr>
          <w:p w14:paraId="30CCD5F1" w14:textId="77777777" w:rsidR="0044508D" w:rsidRPr="00CD2ADD" w:rsidRDefault="0044508D" w:rsidP="0044508D">
            <w:pPr>
              <w:rPr>
                <w:color w:val="000000" w:themeColor="text1"/>
                <w:sz w:val="20"/>
                <w:szCs w:val="20"/>
              </w:rPr>
            </w:pPr>
            <w:r w:rsidRPr="00CD2ADD">
              <w:rPr>
                <w:color w:val="000000" w:themeColor="text1"/>
                <w:sz w:val="20"/>
                <w:szCs w:val="20"/>
              </w:rPr>
              <w:t>- Lista zonelor acvatice și a zonelor umede prioritare pentru restaurare, validată interinstituțional</w:t>
            </w:r>
          </w:p>
        </w:tc>
        <w:tc>
          <w:tcPr>
            <w:tcW w:w="850" w:type="dxa"/>
          </w:tcPr>
          <w:p w14:paraId="3D3850BF" w14:textId="77777777" w:rsidR="0044508D" w:rsidRPr="00CD2ADD" w:rsidRDefault="0044508D" w:rsidP="0044508D">
            <w:pPr>
              <w:rPr>
                <w:color w:val="000000" w:themeColor="text1"/>
                <w:sz w:val="20"/>
                <w:szCs w:val="20"/>
              </w:rPr>
            </w:pPr>
            <w:r w:rsidRPr="00CD2ADD">
              <w:rPr>
                <w:color w:val="000000" w:themeColor="text1"/>
                <w:sz w:val="20"/>
                <w:szCs w:val="20"/>
              </w:rPr>
              <w:t>200</w:t>
            </w:r>
          </w:p>
        </w:tc>
        <w:tc>
          <w:tcPr>
            <w:tcW w:w="851" w:type="dxa"/>
          </w:tcPr>
          <w:p w14:paraId="347E9331" w14:textId="77777777" w:rsidR="0044508D" w:rsidRPr="00CD2ADD" w:rsidRDefault="0044508D" w:rsidP="0044508D">
            <w:pPr>
              <w:rPr>
                <w:color w:val="000000" w:themeColor="text1"/>
                <w:sz w:val="20"/>
                <w:szCs w:val="20"/>
              </w:rPr>
            </w:pPr>
            <w:r w:rsidRPr="00CD2ADD">
              <w:rPr>
                <w:color w:val="000000" w:themeColor="text1"/>
                <w:sz w:val="20"/>
                <w:szCs w:val="20"/>
              </w:rPr>
              <w:t>200</w:t>
            </w:r>
          </w:p>
        </w:tc>
        <w:tc>
          <w:tcPr>
            <w:tcW w:w="709" w:type="dxa"/>
          </w:tcPr>
          <w:p w14:paraId="76E1968A" w14:textId="77777777" w:rsidR="0044508D" w:rsidRPr="00CD2ADD" w:rsidRDefault="0044508D" w:rsidP="0044508D">
            <w:pPr>
              <w:rPr>
                <w:color w:val="000000" w:themeColor="text1"/>
                <w:sz w:val="20"/>
                <w:szCs w:val="20"/>
              </w:rPr>
            </w:pPr>
          </w:p>
        </w:tc>
        <w:tc>
          <w:tcPr>
            <w:tcW w:w="992" w:type="dxa"/>
          </w:tcPr>
          <w:p w14:paraId="475920DF" w14:textId="77777777" w:rsidR="0044508D" w:rsidRPr="00CD2ADD" w:rsidRDefault="0044508D" w:rsidP="0044508D">
            <w:pPr>
              <w:rPr>
                <w:color w:val="000000" w:themeColor="text1"/>
                <w:sz w:val="20"/>
                <w:szCs w:val="20"/>
              </w:rPr>
            </w:pPr>
          </w:p>
        </w:tc>
        <w:tc>
          <w:tcPr>
            <w:tcW w:w="1134" w:type="dxa"/>
          </w:tcPr>
          <w:p w14:paraId="414EE4DA" w14:textId="77777777" w:rsidR="0044508D" w:rsidRPr="00CD2ADD" w:rsidRDefault="0044508D" w:rsidP="0044508D">
            <w:pPr>
              <w:rPr>
                <w:color w:val="000000" w:themeColor="text1"/>
                <w:sz w:val="20"/>
                <w:szCs w:val="20"/>
              </w:rPr>
            </w:pPr>
            <w:r w:rsidRPr="00CD2ADD">
              <w:rPr>
                <w:color w:val="000000" w:themeColor="text1"/>
                <w:sz w:val="20"/>
                <w:szCs w:val="20"/>
              </w:rPr>
              <w:t>7004</w:t>
            </w:r>
          </w:p>
        </w:tc>
        <w:tc>
          <w:tcPr>
            <w:tcW w:w="709" w:type="dxa"/>
          </w:tcPr>
          <w:p w14:paraId="0AAE50DF" w14:textId="77777777" w:rsidR="0044508D" w:rsidRPr="00CD2ADD" w:rsidRDefault="0044508D" w:rsidP="0044508D">
            <w:pPr>
              <w:rPr>
                <w:color w:val="000000" w:themeColor="text1"/>
                <w:sz w:val="20"/>
                <w:szCs w:val="20"/>
              </w:rPr>
            </w:pPr>
          </w:p>
        </w:tc>
        <w:tc>
          <w:tcPr>
            <w:tcW w:w="708" w:type="dxa"/>
          </w:tcPr>
          <w:p w14:paraId="5C612E09" w14:textId="77777777" w:rsidR="0044508D" w:rsidRPr="00CD2ADD" w:rsidRDefault="0044508D" w:rsidP="0044508D">
            <w:pPr>
              <w:rPr>
                <w:color w:val="000000" w:themeColor="text1"/>
                <w:sz w:val="20"/>
                <w:szCs w:val="20"/>
              </w:rPr>
            </w:pPr>
            <w:r w:rsidRPr="00CD2ADD">
              <w:rPr>
                <w:color w:val="000000" w:themeColor="text1"/>
                <w:sz w:val="20"/>
                <w:szCs w:val="20"/>
              </w:rPr>
              <w:t>200</w:t>
            </w:r>
          </w:p>
        </w:tc>
        <w:tc>
          <w:tcPr>
            <w:tcW w:w="709" w:type="dxa"/>
          </w:tcPr>
          <w:p w14:paraId="173003DC" w14:textId="77777777" w:rsidR="0044508D" w:rsidRPr="00CD2ADD" w:rsidRDefault="0044508D" w:rsidP="0044508D">
            <w:pPr>
              <w:rPr>
                <w:color w:val="000000" w:themeColor="text1"/>
                <w:sz w:val="20"/>
                <w:szCs w:val="20"/>
              </w:rPr>
            </w:pPr>
          </w:p>
        </w:tc>
        <w:tc>
          <w:tcPr>
            <w:tcW w:w="709" w:type="dxa"/>
          </w:tcPr>
          <w:p w14:paraId="2810DAAD" w14:textId="77777777" w:rsidR="0044508D" w:rsidRPr="00CD2ADD" w:rsidRDefault="0044508D" w:rsidP="0044508D">
            <w:pPr>
              <w:rPr>
                <w:color w:val="000000" w:themeColor="text1"/>
                <w:sz w:val="20"/>
                <w:szCs w:val="20"/>
              </w:rPr>
            </w:pPr>
          </w:p>
        </w:tc>
        <w:tc>
          <w:tcPr>
            <w:tcW w:w="709" w:type="dxa"/>
          </w:tcPr>
          <w:p w14:paraId="29A1EAD4" w14:textId="77777777" w:rsidR="0044508D" w:rsidRPr="00CD2ADD" w:rsidRDefault="0044508D" w:rsidP="0044508D">
            <w:pPr>
              <w:rPr>
                <w:color w:val="000000" w:themeColor="text1"/>
                <w:sz w:val="20"/>
                <w:szCs w:val="20"/>
              </w:rPr>
            </w:pPr>
          </w:p>
        </w:tc>
        <w:tc>
          <w:tcPr>
            <w:tcW w:w="1134" w:type="dxa"/>
          </w:tcPr>
          <w:p w14:paraId="43BA8189" w14:textId="77777777" w:rsidR="0044508D" w:rsidRPr="00CD2ADD" w:rsidRDefault="0044508D" w:rsidP="0044508D">
            <w:pPr>
              <w:rPr>
                <w:color w:val="000000" w:themeColor="text1"/>
                <w:sz w:val="20"/>
                <w:szCs w:val="20"/>
              </w:rPr>
            </w:pPr>
          </w:p>
        </w:tc>
        <w:tc>
          <w:tcPr>
            <w:tcW w:w="1926" w:type="dxa"/>
          </w:tcPr>
          <w:p w14:paraId="65083949" w14:textId="64053DC4" w:rsidR="0044508D" w:rsidRPr="00CD2ADD" w:rsidRDefault="0044508D" w:rsidP="0044508D">
            <w:pPr>
              <w:rPr>
                <w:color w:val="000000" w:themeColor="text1"/>
                <w:sz w:val="20"/>
                <w:szCs w:val="20"/>
              </w:rPr>
            </w:pPr>
            <w:r w:rsidRPr="00CD2ADD">
              <w:rPr>
                <w:color w:val="000000" w:themeColor="text1"/>
                <w:sz w:val="20"/>
                <w:szCs w:val="20"/>
              </w:rPr>
              <w:t>IP AN Apele Moldovei,  Agenția Moldsilva, Ministerul Mediului, ICAS, parteneri internaționali</w:t>
            </w:r>
          </w:p>
        </w:tc>
      </w:tr>
      <w:tr w:rsidR="0044508D" w:rsidRPr="00CD2ADD" w14:paraId="40AA1640" w14:textId="77777777" w:rsidTr="002C4956">
        <w:tc>
          <w:tcPr>
            <w:tcW w:w="15388" w:type="dxa"/>
            <w:gridSpan w:val="15"/>
            <w:shd w:val="clear" w:color="auto" w:fill="D9F2D0" w:themeFill="accent6" w:themeFillTint="33"/>
          </w:tcPr>
          <w:p w14:paraId="6C63831E" w14:textId="77777777" w:rsidR="0044508D" w:rsidRPr="00CD2ADD" w:rsidRDefault="0044508D" w:rsidP="0044508D">
            <w:pPr>
              <w:rPr>
                <w:b/>
                <w:bCs/>
                <w:color w:val="000000" w:themeColor="text1"/>
                <w:sz w:val="20"/>
                <w:szCs w:val="20"/>
              </w:rPr>
            </w:pPr>
            <w:r w:rsidRPr="00CD2ADD">
              <w:rPr>
                <w:b/>
                <w:bCs/>
                <w:color w:val="000000" w:themeColor="text1"/>
                <w:sz w:val="20"/>
                <w:szCs w:val="20"/>
              </w:rPr>
              <w:t>Obiectiv specific 3.3: Până în 2030, practicile agricole și silvo-pastorale sustenabile sunt extinse pentru reducerea vulnerabilității terenurilor la riscuri naturale, biologico-sociale și la consolidarea adaptării în sectorul agricol.</w:t>
            </w:r>
          </w:p>
        </w:tc>
      </w:tr>
      <w:tr w:rsidR="0044508D" w:rsidRPr="00CD2ADD" w14:paraId="377270E7" w14:textId="77777777" w:rsidTr="00626ED0">
        <w:trPr>
          <w:trHeight w:val="795"/>
        </w:trPr>
        <w:tc>
          <w:tcPr>
            <w:tcW w:w="514" w:type="dxa"/>
          </w:tcPr>
          <w:p w14:paraId="582474EF" w14:textId="77777777" w:rsidR="0044508D" w:rsidRPr="00CD2ADD" w:rsidRDefault="0044508D" w:rsidP="0044508D">
            <w:pPr>
              <w:rPr>
                <w:color w:val="000000" w:themeColor="text1"/>
                <w:sz w:val="20"/>
                <w:szCs w:val="20"/>
              </w:rPr>
            </w:pPr>
            <w:r w:rsidRPr="00CD2ADD">
              <w:rPr>
                <w:color w:val="000000" w:themeColor="text1"/>
                <w:sz w:val="20"/>
                <w:szCs w:val="20"/>
              </w:rPr>
              <w:t>33.</w:t>
            </w:r>
          </w:p>
        </w:tc>
        <w:tc>
          <w:tcPr>
            <w:tcW w:w="2033" w:type="dxa"/>
          </w:tcPr>
          <w:p w14:paraId="09A6CCF2" w14:textId="6FE8EE55" w:rsidR="0044508D" w:rsidRPr="00CD2ADD" w:rsidRDefault="0044508D" w:rsidP="0044508D">
            <w:pPr>
              <w:rPr>
                <w:color w:val="000000" w:themeColor="text1"/>
                <w:sz w:val="20"/>
                <w:szCs w:val="20"/>
              </w:rPr>
            </w:pPr>
            <w:r w:rsidRPr="00CD2ADD">
              <w:rPr>
                <w:color w:val="000000" w:themeColor="text1"/>
                <w:sz w:val="20"/>
                <w:szCs w:val="20"/>
              </w:rPr>
              <w:t>3.3.1 Elaborarea raportului de lecții învățate privind implementarea HG nr. 864/2020 cu privire la aprobarea Programului de îmbunătățiri funciare</w:t>
            </w:r>
            <w:r w:rsidRPr="00CD2ADD">
              <w:rPr>
                <w:color w:val="000000" w:themeColor="text1"/>
                <w:sz w:val="20"/>
                <w:szCs w:val="20"/>
              </w:rPr>
              <w:br/>
              <w:t>în scopul asigurării managementului durabil al resurselor de sol pentru anii 2021-2025 cu analiza eficienței măsurilor aplicate, a mecanismelor de control, a calității execuției și a impactului asupra reducerii riscurilor</w:t>
            </w:r>
          </w:p>
        </w:tc>
        <w:tc>
          <w:tcPr>
            <w:tcW w:w="1701" w:type="dxa"/>
          </w:tcPr>
          <w:p w14:paraId="5F110467" w14:textId="651BDB22" w:rsidR="0044508D" w:rsidRPr="00CD2ADD" w:rsidRDefault="0044508D" w:rsidP="0044508D">
            <w:pPr>
              <w:rPr>
                <w:color w:val="000000" w:themeColor="text1"/>
                <w:sz w:val="20"/>
                <w:szCs w:val="20"/>
              </w:rPr>
            </w:pPr>
            <w:r w:rsidRPr="00CD2ADD">
              <w:rPr>
                <w:color w:val="000000" w:themeColor="text1"/>
                <w:sz w:val="20"/>
                <w:szCs w:val="20"/>
              </w:rPr>
              <w:t>- Raport de lecții învățate elaborat și publicat cu set de recomandări validate interinstituțional (Da/Nu)</w:t>
            </w:r>
          </w:p>
        </w:tc>
        <w:tc>
          <w:tcPr>
            <w:tcW w:w="850" w:type="dxa"/>
          </w:tcPr>
          <w:p w14:paraId="2AE2CEDE" w14:textId="589759F1" w:rsidR="0044508D" w:rsidRPr="00CD2ADD" w:rsidRDefault="0044508D" w:rsidP="0044508D">
            <w:pPr>
              <w:rPr>
                <w:color w:val="000000" w:themeColor="text1"/>
                <w:sz w:val="20"/>
                <w:szCs w:val="20"/>
              </w:rPr>
            </w:pPr>
            <w:r w:rsidRPr="00CD2ADD">
              <w:rPr>
                <w:color w:val="000000" w:themeColor="text1"/>
                <w:sz w:val="20"/>
                <w:szCs w:val="20"/>
              </w:rPr>
              <w:t>200</w:t>
            </w:r>
          </w:p>
        </w:tc>
        <w:tc>
          <w:tcPr>
            <w:tcW w:w="851" w:type="dxa"/>
          </w:tcPr>
          <w:p w14:paraId="5A26E041" w14:textId="75021403" w:rsidR="0044508D" w:rsidRPr="00CD2ADD" w:rsidRDefault="0044508D" w:rsidP="0044508D">
            <w:pPr>
              <w:rPr>
                <w:color w:val="000000" w:themeColor="text1"/>
                <w:sz w:val="20"/>
                <w:szCs w:val="20"/>
              </w:rPr>
            </w:pPr>
            <w:r w:rsidRPr="00CD2ADD">
              <w:rPr>
                <w:color w:val="000000" w:themeColor="text1"/>
                <w:sz w:val="20"/>
                <w:szCs w:val="20"/>
              </w:rPr>
              <w:t>200</w:t>
            </w:r>
          </w:p>
        </w:tc>
        <w:tc>
          <w:tcPr>
            <w:tcW w:w="709" w:type="dxa"/>
          </w:tcPr>
          <w:p w14:paraId="20761401" w14:textId="77777777" w:rsidR="0044508D" w:rsidRPr="00CD2ADD" w:rsidRDefault="0044508D" w:rsidP="0044508D">
            <w:pPr>
              <w:rPr>
                <w:color w:val="000000" w:themeColor="text1"/>
                <w:sz w:val="20"/>
                <w:szCs w:val="20"/>
              </w:rPr>
            </w:pPr>
          </w:p>
        </w:tc>
        <w:tc>
          <w:tcPr>
            <w:tcW w:w="992" w:type="dxa"/>
          </w:tcPr>
          <w:p w14:paraId="6CEA1D89" w14:textId="77777777" w:rsidR="0044508D" w:rsidRPr="00CD2ADD" w:rsidRDefault="0044508D" w:rsidP="0044508D">
            <w:pPr>
              <w:rPr>
                <w:color w:val="000000" w:themeColor="text1"/>
                <w:sz w:val="20"/>
                <w:szCs w:val="20"/>
              </w:rPr>
            </w:pPr>
          </w:p>
        </w:tc>
        <w:tc>
          <w:tcPr>
            <w:tcW w:w="1134" w:type="dxa"/>
          </w:tcPr>
          <w:p w14:paraId="6C7C134B" w14:textId="77777777" w:rsidR="0044508D" w:rsidRPr="00CD2ADD" w:rsidRDefault="0044508D" w:rsidP="0044508D">
            <w:pPr>
              <w:rPr>
                <w:color w:val="000000" w:themeColor="text1"/>
                <w:sz w:val="20"/>
                <w:szCs w:val="20"/>
              </w:rPr>
            </w:pPr>
            <w:r w:rsidRPr="00CD2ADD">
              <w:rPr>
                <w:color w:val="000000" w:themeColor="text1"/>
                <w:sz w:val="20"/>
                <w:szCs w:val="20"/>
              </w:rPr>
              <w:t>6903</w:t>
            </w:r>
          </w:p>
        </w:tc>
        <w:tc>
          <w:tcPr>
            <w:tcW w:w="709" w:type="dxa"/>
          </w:tcPr>
          <w:p w14:paraId="6EFD0E44" w14:textId="3FE01C19" w:rsidR="0044508D" w:rsidRPr="00CD2ADD" w:rsidRDefault="0044508D" w:rsidP="0044508D">
            <w:pPr>
              <w:rPr>
                <w:color w:val="000000" w:themeColor="text1"/>
                <w:sz w:val="20"/>
                <w:szCs w:val="20"/>
              </w:rPr>
            </w:pPr>
            <w:r w:rsidRPr="00CD2ADD">
              <w:rPr>
                <w:color w:val="000000" w:themeColor="text1"/>
                <w:sz w:val="20"/>
                <w:szCs w:val="20"/>
              </w:rPr>
              <w:t>200</w:t>
            </w:r>
          </w:p>
        </w:tc>
        <w:tc>
          <w:tcPr>
            <w:tcW w:w="708" w:type="dxa"/>
          </w:tcPr>
          <w:p w14:paraId="7D1947CD" w14:textId="77777777" w:rsidR="0044508D" w:rsidRPr="00CD2ADD" w:rsidRDefault="0044508D" w:rsidP="0044508D">
            <w:pPr>
              <w:rPr>
                <w:color w:val="000000" w:themeColor="text1"/>
                <w:sz w:val="20"/>
                <w:szCs w:val="20"/>
              </w:rPr>
            </w:pPr>
          </w:p>
        </w:tc>
        <w:tc>
          <w:tcPr>
            <w:tcW w:w="709" w:type="dxa"/>
          </w:tcPr>
          <w:p w14:paraId="4DE4827A" w14:textId="77777777" w:rsidR="0044508D" w:rsidRPr="00CD2ADD" w:rsidRDefault="0044508D" w:rsidP="0044508D">
            <w:pPr>
              <w:rPr>
                <w:color w:val="000000" w:themeColor="text1"/>
                <w:sz w:val="20"/>
                <w:szCs w:val="20"/>
              </w:rPr>
            </w:pPr>
          </w:p>
        </w:tc>
        <w:tc>
          <w:tcPr>
            <w:tcW w:w="709" w:type="dxa"/>
          </w:tcPr>
          <w:p w14:paraId="526E57AA" w14:textId="77777777" w:rsidR="0044508D" w:rsidRPr="00CD2ADD" w:rsidRDefault="0044508D" w:rsidP="0044508D">
            <w:pPr>
              <w:rPr>
                <w:color w:val="000000" w:themeColor="text1"/>
                <w:sz w:val="20"/>
                <w:szCs w:val="20"/>
              </w:rPr>
            </w:pPr>
          </w:p>
        </w:tc>
        <w:tc>
          <w:tcPr>
            <w:tcW w:w="709" w:type="dxa"/>
          </w:tcPr>
          <w:p w14:paraId="6E25EA53" w14:textId="77777777" w:rsidR="0044508D" w:rsidRPr="00CD2ADD" w:rsidRDefault="0044508D" w:rsidP="0044508D">
            <w:pPr>
              <w:rPr>
                <w:color w:val="000000" w:themeColor="text1"/>
                <w:sz w:val="20"/>
                <w:szCs w:val="20"/>
              </w:rPr>
            </w:pPr>
          </w:p>
        </w:tc>
        <w:tc>
          <w:tcPr>
            <w:tcW w:w="1134" w:type="dxa"/>
          </w:tcPr>
          <w:p w14:paraId="3F9B5CA0" w14:textId="77777777" w:rsidR="0044508D" w:rsidRPr="00CD2ADD" w:rsidRDefault="0044508D" w:rsidP="0044508D">
            <w:pPr>
              <w:rPr>
                <w:color w:val="000000" w:themeColor="text1"/>
                <w:sz w:val="20"/>
                <w:szCs w:val="20"/>
              </w:rPr>
            </w:pPr>
            <w:r w:rsidRPr="00CD2ADD">
              <w:rPr>
                <w:sz w:val="20"/>
                <w:szCs w:val="20"/>
              </w:rPr>
              <w:t>Trim. IV 2026</w:t>
            </w:r>
          </w:p>
        </w:tc>
        <w:tc>
          <w:tcPr>
            <w:tcW w:w="1926" w:type="dxa"/>
          </w:tcPr>
          <w:p w14:paraId="463D444F" w14:textId="43CABABB" w:rsidR="0044508D" w:rsidRPr="00CD2ADD" w:rsidRDefault="0044508D" w:rsidP="0044508D">
            <w:pPr>
              <w:rPr>
                <w:color w:val="000000" w:themeColor="text1"/>
                <w:sz w:val="20"/>
                <w:szCs w:val="20"/>
              </w:rPr>
            </w:pPr>
            <w:r w:rsidRPr="00CD2ADD">
              <w:rPr>
                <w:color w:val="000000" w:themeColor="text1"/>
                <w:sz w:val="20"/>
                <w:szCs w:val="20"/>
              </w:rPr>
              <w:t xml:space="preserve">Ministerul Agriculturii și Industriei Alimentare (MAIA), Institutul de Pedologie și Agrochimie, Agenția Națională de Dezvoltare Rurală, ICAS, în coordonare cu Ministerul Mediului </w:t>
            </w:r>
          </w:p>
        </w:tc>
      </w:tr>
      <w:tr w:rsidR="0044508D" w:rsidRPr="00CD2ADD" w14:paraId="1B3107B4" w14:textId="77777777" w:rsidTr="002C4956">
        <w:tc>
          <w:tcPr>
            <w:tcW w:w="514" w:type="dxa"/>
          </w:tcPr>
          <w:p w14:paraId="3C621E77" w14:textId="77777777" w:rsidR="0044508D" w:rsidRPr="00CD2ADD" w:rsidRDefault="0044508D" w:rsidP="0044508D">
            <w:pPr>
              <w:rPr>
                <w:color w:val="000000" w:themeColor="text1"/>
                <w:sz w:val="20"/>
                <w:szCs w:val="20"/>
              </w:rPr>
            </w:pPr>
            <w:r w:rsidRPr="00CD2ADD">
              <w:rPr>
                <w:color w:val="000000" w:themeColor="text1"/>
                <w:sz w:val="20"/>
                <w:szCs w:val="20"/>
              </w:rPr>
              <w:lastRenderedPageBreak/>
              <w:t>34.</w:t>
            </w:r>
          </w:p>
        </w:tc>
        <w:tc>
          <w:tcPr>
            <w:tcW w:w="2033" w:type="dxa"/>
          </w:tcPr>
          <w:p w14:paraId="1B379F30" w14:textId="723E2F27" w:rsidR="0044508D" w:rsidRPr="00CD2ADD" w:rsidRDefault="0044508D" w:rsidP="0044508D">
            <w:pPr>
              <w:rPr>
                <w:color w:val="000000" w:themeColor="text1"/>
                <w:sz w:val="20"/>
                <w:szCs w:val="20"/>
              </w:rPr>
            </w:pPr>
            <w:r w:rsidRPr="00CD2ADD">
              <w:rPr>
                <w:color w:val="000000" w:themeColor="text1"/>
                <w:sz w:val="20"/>
                <w:szCs w:val="20"/>
              </w:rPr>
              <w:t>3.3.2 Realizarea unui studiu privind corelarea și optimizarea stimulentelor financiare destinate conservării biodiversității pe terenuri agricole, forestiere și alte terenuri naturale, inclusiv analiza posibilității introducerii de subvenții cu condiționalități de mediu și climă.</w:t>
            </w:r>
          </w:p>
        </w:tc>
        <w:tc>
          <w:tcPr>
            <w:tcW w:w="1701" w:type="dxa"/>
          </w:tcPr>
          <w:p w14:paraId="1114BCEA" w14:textId="0623D666" w:rsidR="0044508D" w:rsidRPr="00CD2ADD" w:rsidRDefault="0044508D" w:rsidP="0044508D">
            <w:pPr>
              <w:rPr>
                <w:color w:val="000000" w:themeColor="text1"/>
                <w:sz w:val="20"/>
                <w:szCs w:val="20"/>
              </w:rPr>
            </w:pPr>
            <w:r w:rsidRPr="00CD2ADD">
              <w:rPr>
                <w:color w:val="000000" w:themeColor="text1"/>
                <w:sz w:val="20"/>
                <w:szCs w:val="20"/>
              </w:rPr>
              <w:t>- Studiu de corelare a stimulentelor financiare elaborat (Da/Nu)</w:t>
            </w:r>
          </w:p>
          <w:p w14:paraId="0E7458EC" w14:textId="528BF6BF" w:rsidR="0044508D" w:rsidRPr="00CD2ADD" w:rsidRDefault="0044508D" w:rsidP="0044508D">
            <w:pPr>
              <w:rPr>
                <w:color w:val="000000" w:themeColor="text1"/>
                <w:sz w:val="20"/>
                <w:szCs w:val="20"/>
              </w:rPr>
            </w:pPr>
            <w:r w:rsidRPr="00CD2ADD">
              <w:rPr>
                <w:color w:val="000000" w:themeColor="text1"/>
                <w:sz w:val="20"/>
                <w:szCs w:val="20"/>
              </w:rPr>
              <w:t xml:space="preserve">- Număr de tipuri de stimulente analizate (min. 4: subvenții agricole, plăți pentru servicii ecosistemice, măsuri agro-mediu, stimulente pentru apă/biodiversitate (lista non exhaustivă) </w:t>
            </w:r>
          </w:p>
          <w:p w14:paraId="3FE2B3C1" w14:textId="4E4E4CDF" w:rsidR="0044508D" w:rsidRPr="00CD2ADD" w:rsidRDefault="0044508D" w:rsidP="0044508D">
            <w:pPr>
              <w:rPr>
                <w:color w:val="000000" w:themeColor="text1"/>
                <w:sz w:val="20"/>
                <w:szCs w:val="20"/>
              </w:rPr>
            </w:pPr>
            <w:r w:rsidRPr="00CD2ADD">
              <w:rPr>
                <w:color w:val="000000" w:themeColor="text1"/>
                <w:sz w:val="20"/>
                <w:szCs w:val="20"/>
              </w:rPr>
              <w:t>- Propuneri de mecanisme financiare adaptate contextului RM formulate (Da/Nu)</w:t>
            </w:r>
          </w:p>
        </w:tc>
        <w:tc>
          <w:tcPr>
            <w:tcW w:w="850" w:type="dxa"/>
          </w:tcPr>
          <w:p w14:paraId="7716B93E" w14:textId="160239A6" w:rsidR="0044508D" w:rsidRPr="00CD2ADD" w:rsidRDefault="0044508D" w:rsidP="0044508D">
            <w:pPr>
              <w:rPr>
                <w:color w:val="000000" w:themeColor="text1"/>
                <w:sz w:val="20"/>
                <w:szCs w:val="20"/>
              </w:rPr>
            </w:pPr>
            <w:r w:rsidRPr="00CD2ADD">
              <w:rPr>
                <w:color w:val="000000" w:themeColor="text1"/>
                <w:sz w:val="20"/>
                <w:szCs w:val="20"/>
              </w:rPr>
              <w:t>300</w:t>
            </w:r>
          </w:p>
        </w:tc>
        <w:tc>
          <w:tcPr>
            <w:tcW w:w="851" w:type="dxa"/>
          </w:tcPr>
          <w:p w14:paraId="3DCD8053" w14:textId="76128826" w:rsidR="0044508D" w:rsidRPr="00CD2ADD" w:rsidRDefault="0044508D" w:rsidP="0044508D">
            <w:pPr>
              <w:rPr>
                <w:color w:val="000000" w:themeColor="text1"/>
                <w:sz w:val="20"/>
                <w:szCs w:val="20"/>
              </w:rPr>
            </w:pPr>
            <w:r w:rsidRPr="00CD2ADD">
              <w:rPr>
                <w:color w:val="000000" w:themeColor="text1"/>
                <w:sz w:val="20"/>
                <w:szCs w:val="20"/>
              </w:rPr>
              <w:t>100</w:t>
            </w:r>
          </w:p>
        </w:tc>
        <w:tc>
          <w:tcPr>
            <w:tcW w:w="709" w:type="dxa"/>
          </w:tcPr>
          <w:p w14:paraId="0FC0D349" w14:textId="7CB9DB0E" w:rsidR="0044508D" w:rsidRPr="00CD2ADD" w:rsidRDefault="0044508D" w:rsidP="0044508D">
            <w:pPr>
              <w:rPr>
                <w:color w:val="000000" w:themeColor="text1"/>
                <w:sz w:val="20"/>
                <w:szCs w:val="20"/>
              </w:rPr>
            </w:pPr>
            <w:r w:rsidRPr="00CD2ADD">
              <w:rPr>
                <w:color w:val="000000" w:themeColor="text1"/>
                <w:sz w:val="20"/>
                <w:szCs w:val="20"/>
              </w:rPr>
              <w:t>200</w:t>
            </w:r>
          </w:p>
        </w:tc>
        <w:tc>
          <w:tcPr>
            <w:tcW w:w="992" w:type="dxa"/>
          </w:tcPr>
          <w:p w14:paraId="737656E8" w14:textId="054F132B" w:rsidR="0044508D" w:rsidRPr="00CD2ADD" w:rsidRDefault="0044508D" w:rsidP="0044508D">
            <w:pPr>
              <w:rPr>
                <w:color w:val="000000" w:themeColor="text1"/>
                <w:sz w:val="20"/>
                <w:szCs w:val="20"/>
              </w:rPr>
            </w:pPr>
          </w:p>
        </w:tc>
        <w:tc>
          <w:tcPr>
            <w:tcW w:w="1134" w:type="dxa"/>
          </w:tcPr>
          <w:p w14:paraId="1DF0F5C0" w14:textId="77777777" w:rsidR="0044508D" w:rsidRPr="00CD2ADD" w:rsidRDefault="0044508D" w:rsidP="0044508D">
            <w:pPr>
              <w:rPr>
                <w:color w:val="000000" w:themeColor="text1"/>
                <w:sz w:val="20"/>
                <w:szCs w:val="20"/>
              </w:rPr>
            </w:pPr>
            <w:r w:rsidRPr="00CD2ADD">
              <w:rPr>
                <w:color w:val="000000" w:themeColor="text1"/>
                <w:sz w:val="20"/>
                <w:szCs w:val="20"/>
              </w:rPr>
              <w:t>6903</w:t>
            </w:r>
          </w:p>
        </w:tc>
        <w:tc>
          <w:tcPr>
            <w:tcW w:w="709" w:type="dxa"/>
          </w:tcPr>
          <w:p w14:paraId="401076C8" w14:textId="3D9B58F7" w:rsidR="0044508D" w:rsidRPr="00CD2ADD" w:rsidRDefault="0044508D" w:rsidP="0044508D">
            <w:pPr>
              <w:rPr>
                <w:color w:val="000000" w:themeColor="text1"/>
                <w:sz w:val="20"/>
                <w:szCs w:val="20"/>
              </w:rPr>
            </w:pPr>
            <w:r w:rsidRPr="00CD2ADD">
              <w:rPr>
                <w:color w:val="000000" w:themeColor="text1"/>
                <w:sz w:val="20"/>
                <w:szCs w:val="20"/>
              </w:rPr>
              <w:t>100</w:t>
            </w:r>
          </w:p>
        </w:tc>
        <w:tc>
          <w:tcPr>
            <w:tcW w:w="708" w:type="dxa"/>
          </w:tcPr>
          <w:p w14:paraId="52A99AB1" w14:textId="78FE5BE1" w:rsidR="0044508D" w:rsidRPr="00CD2ADD" w:rsidRDefault="0044508D" w:rsidP="0044508D">
            <w:pPr>
              <w:rPr>
                <w:color w:val="000000" w:themeColor="text1"/>
                <w:sz w:val="20"/>
                <w:szCs w:val="20"/>
              </w:rPr>
            </w:pPr>
            <w:r w:rsidRPr="00CD2ADD">
              <w:rPr>
                <w:color w:val="000000" w:themeColor="text1"/>
                <w:sz w:val="20"/>
                <w:szCs w:val="20"/>
              </w:rPr>
              <w:t>200</w:t>
            </w:r>
          </w:p>
        </w:tc>
        <w:tc>
          <w:tcPr>
            <w:tcW w:w="709" w:type="dxa"/>
          </w:tcPr>
          <w:p w14:paraId="4FA04F71" w14:textId="77777777" w:rsidR="0044508D" w:rsidRPr="00CD2ADD" w:rsidRDefault="0044508D" w:rsidP="0044508D">
            <w:pPr>
              <w:rPr>
                <w:color w:val="000000" w:themeColor="text1"/>
                <w:sz w:val="20"/>
                <w:szCs w:val="20"/>
              </w:rPr>
            </w:pPr>
          </w:p>
        </w:tc>
        <w:tc>
          <w:tcPr>
            <w:tcW w:w="709" w:type="dxa"/>
          </w:tcPr>
          <w:p w14:paraId="54148568" w14:textId="77777777" w:rsidR="0044508D" w:rsidRPr="00CD2ADD" w:rsidRDefault="0044508D" w:rsidP="0044508D">
            <w:pPr>
              <w:rPr>
                <w:color w:val="000000" w:themeColor="text1"/>
                <w:sz w:val="20"/>
                <w:szCs w:val="20"/>
              </w:rPr>
            </w:pPr>
          </w:p>
        </w:tc>
        <w:tc>
          <w:tcPr>
            <w:tcW w:w="709" w:type="dxa"/>
          </w:tcPr>
          <w:p w14:paraId="324EBB14" w14:textId="77777777" w:rsidR="0044508D" w:rsidRPr="00CD2ADD" w:rsidRDefault="0044508D" w:rsidP="0044508D">
            <w:pPr>
              <w:rPr>
                <w:color w:val="000000" w:themeColor="text1"/>
                <w:sz w:val="20"/>
                <w:szCs w:val="20"/>
              </w:rPr>
            </w:pPr>
          </w:p>
        </w:tc>
        <w:tc>
          <w:tcPr>
            <w:tcW w:w="1134" w:type="dxa"/>
          </w:tcPr>
          <w:p w14:paraId="116BAF02" w14:textId="77777777" w:rsidR="0044508D" w:rsidRPr="00CD2ADD" w:rsidRDefault="0044508D" w:rsidP="0044508D">
            <w:pPr>
              <w:rPr>
                <w:color w:val="000000" w:themeColor="text1"/>
                <w:sz w:val="20"/>
                <w:szCs w:val="20"/>
              </w:rPr>
            </w:pPr>
            <w:r w:rsidRPr="00CD2ADD">
              <w:rPr>
                <w:sz w:val="20"/>
                <w:szCs w:val="20"/>
              </w:rPr>
              <w:t>Trim. IV 2026</w:t>
            </w:r>
          </w:p>
        </w:tc>
        <w:tc>
          <w:tcPr>
            <w:tcW w:w="1926" w:type="dxa"/>
          </w:tcPr>
          <w:p w14:paraId="6B2590CD" w14:textId="54F5135F" w:rsidR="0044508D" w:rsidRPr="00CD2ADD" w:rsidRDefault="0044508D" w:rsidP="0044508D">
            <w:pPr>
              <w:rPr>
                <w:color w:val="000000" w:themeColor="text1"/>
                <w:sz w:val="20"/>
                <w:szCs w:val="20"/>
              </w:rPr>
            </w:pPr>
            <w:r w:rsidRPr="00CD2ADD">
              <w:rPr>
                <w:color w:val="000000" w:themeColor="text1"/>
                <w:sz w:val="20"/>
                <w:szCs w:val="20"/>
              </w:rPr>
              <w:t>Ministerul Agriculturii și Industriei Alimentare, Ministerul Mediului,  Moldsilva, ICAS, Institutul Național de Cercetări Aplicative în Agricultură și Medicină Veterinară</w:t>
            </w:r>
          </w:p>
        </w:tc>
      </w:tr>
      <w:tr w:rsidR="0044508D" w:rsidRPr="00CD2ADD" w14:paraId="5E2FFFC3" w14:textId="77777777" w:rsidTr="002C4956">
        <w:tc>
          <w:tcPr>
            <w:tcW w:w="514" w:type="dxa"/>
          </w:tcPr>
          <w:p w14:paraId="4301485A" w14:textId="34EA35B1" w:rsidR="0044508D" w:rsidRPr="00CD2ADD" w:rsidRDefault="0044508D" w:rsidP="0044508D">
            <w:pPr>
              <w:rPr>
                <w:color w:val="000000" w:themeColor="text1"/>
                <w:sz w:val="20"/>
                <w:szCs w:val="20"/>
              </w:rPr>
            </w:pPr>
            <w:r w:rsidRPr="00CD2ADD">
              <w:rPr>
                <w:color w:val="000000" w:themeColor="text1"/>
                <w:sz w:val="20"/>
                <w:szCs w:val="20"/>
              </w:rPr>
              <w:t>35</w:t>
            </w:r>
            <w:r w:rsidR="00EB718E" w:rsidRPr="00CD2ADD">
              <w:rPr>
                <w:color w:val="000000" w:themeColor="text1"/>
                <w:sz w:val="20"/>
                <w:szCs w:val="20"/>
              </w:rPr>
              <w:t>.</w:t>
            </w:r>
          </w:p>
        </w:tc>
        <w:tc>
          <w:tcPr>
            <w:tcW w:w="2033" w:type="dxa"/>
          </w:tcPr>
          <w:p w14:paraId="4C296D91" w14:textId="77777777" w:rsidR="0044508D" w:rsidRPr="00CD2ADD" w:rsidRDefault="0044508D" w:rsidP="0044508D">
            <w:pPr>
              <w:rPr>
                <w:color w:val="000000" w:themeColor="text1"/>
                <w:sz w:val="20"/>
                <w:szCs w:val="20"/>
              </w:rPr>
            </w:pPr>
            <w:r w:rsidRPr="00CD2ADD">
              <w:rPr>
                <w:color w:val="000000" w:themeColor="text1"/>
                <w:sz w:val="20"/>
                <w:szCs w:val="20"/>
              </w:rPr>
              <w:t>3.3.3  Promovarea refacerii și a managementul sustenabil al pășunilor naturale și al controlul pășunatului</w:t>
            </w:r>
          </w:p>
          <w:p w14:paraId="234174DF" w14:textId="2E806763" w:rsidR="0044508D" w:rsidRPr="00CD2ADD" w:rsidRDefault="0044508D" w:rsidP="0044508D">
            <w:pPr>
              <w:rPr>
                <w:color w:val="000000" w:themeColor="text1"/>
                <w:sz w:val="20"/>
                <w:szCs w:val="20"/>
              </w:rPr>
            </w:pPr>
          </w:p>
        </w:tc>
        <w:tc>
          <w:tcPr>
            <w:tcW w:w="1701" w:type="dxa"/>
          </w:tcPr>
          <w:p w14:paraId="6267AF8B" w14:textId="6493E5D9" w:rsidR="0044508D" w:rsidRPr="00CD2ADD" w:rsidRDefault="0044508D" w:rsidP="0044508D">
            <w:pPr>
              <w:rPr>
                <w:color w:val="000000" w:themeColor="text1"/>
                <w:sz w:val="20"/>
                <w:szCs w:val="20"/>
                <w:highlight w:val="yellow"/>
              </w:rPr>
            </w:pPr>
            <w:r w:rsidRPr="00CD2ADD">
              <w:rPr>
                <w:color w:val="000000" w:themeColor="text1"/>
                <w:sz w:val="20"/>
                <w:szCs w:val="20"/>
              </w:rPr>
              <w:t xml:space="preserve">- Elaborarea unui set de recomandări tehnice privind refacerea și managementul sustenabil al pășunilor naturale </w:t>
            </w:r>
            <w:r w:rsidRPr="00CD2ADD">
              <w:rPr>
                <w:color w:val="000000" w:themeColor="text1"/>
                <w:sz w:val="20"/>
                <w:szCs w:val="20"/>
              </w:rPr>
              <w:lastRenderedPageBreak/>
              <w:t>în condiții de risc climatic, bazate pe analiza datelor existente, bune practici naționale și europene, precum și pe consultări cu APL-uri și fermieri reprezentativi.</w:t>
            </w:r>
          </w:p>
        </w:tc>
        <w:tc>
          <w:tcPr>
            <w:tcW w:w="850" w:type="dxa"/>
          </w:tcPr>
          <w:p w14:paraId="3EC6521F" w14:textId="3A2D0680" w:rsidR="0044508D" w:rsidRPr="00CD2ADD" w:rsidRDefault="0044508D" w:rsidP="0044508D">
            <w:pPr>
              <w:rPr>
                <w:color w:val="000000" w:themeColor="text1"/>
                <w:sz w:val="20"/>
                <w:szCs w:val="20"/>
              </w:rPr>
            </w:pPr>
            <w:r w:rsidRPr="00CD2ADD">
              <w:rPr>
                <w:color w:val="000000" w:themeColor="text1"/>
                <w:sz w:val="20"/>
                <w:szCs w:val="20"/>
              </w:rPr>
              <w:lastRenderedPageBreak/>
              <w:t>300</w:t>
            </w:r>
          </w:p>
        </w:tc>
        <w:tc>
          <w:tcPr>
            <w:tcW w:w="851" w:type="dxa"/>
          </w:tcPr>
          <w:p w14:paraId="594934F2" w14:textId="2C4F5BC0" w:rsidR="0044508D" w:rsidRPr="00CD2ADD" w:rsidRDefault="0044508D" w:rsidP="0044508D">
            <w:pPr>
              <w:rPr>
                <w:color w:val="000000" w:themeColor="text1"/>
                <w:sz w:val="20"/>
                <w:szCs w:val="20"/>
              </w:rPr>
            </w:pPr>
            <w:r w:rsidRPr="00CD2ADD">
              <w:rPr>
                <w:color w:val="000000" w:themeColor="text1"/>
                <w:sz w:val="20"/>
                <w:szCs w:val="20"/>
              </w:rPr>
              <w:t>100</w:t>
            </w:r>
          </w:p>
        </w:tc>
        <w:tc>
          <w:tcPr>
            <w:tcW w:w="709" w:type="dxa"/>
          </w:tcPr>
          <w:p w14:paraId="6880FEE7" w14:textId="5EBC7EDB" w:rsidR="0044508D" w:rsidRPr="00CD2ADD" w:rsidRDefault="0044508D" w:rsidP="0044508D">
            <w:pPr>
              <w:rPr>
                <w:color w:val="000000" w:themeColor="text1"/>
                <w:sz w:val="20"/>
                <w:szCs w:val="20"/>
              </w:rPr>
            </w:pPr>
            <w:r w:rsidRPr="00CD2ADD">
              <w:rPr>
                <w:color w:val="000000" w:themeColor="text1"/>
                <w:sz w:val="20"/>
                <w:szCs w:val="20"/>
              </w:rPr>
              <w:t>200</w:t>
            </w:r>
          </w:p>
        </w:tc>
        <w:tc>
          <w:tcPr>
            <w:tcW w:w="992" w:type="dxa"/>
          </w:tcPr>
          <w:p w14:paraId="37BFDFB3" w14:textId="77777777" w:rsidR="0044508D" w:rsidRPr="00CD2ADD" w:rsidRDefault="0044508D" w:rsidP="0044508D">
            <w:pPr>
              <w:rPr>
                <w:color w:val="000000" w:themeColor="text1"/>
                <w:sz w:val="20"/>
                <w:szCs w:val="20"/>
              </w:rPr>
            </w:pPr>
          </w:p>
        </w:tc>
        <w:tc>
          <w:tcPr>
            <w:tcW w:w="1134" w:type="dxa"/>
          </w:tcPr>
          <w:p w14:paraId="56F5B290" w14:textId="77777777" w:rsidR="0044508D" w:rsidRPr="00CD2ADD" w:rsidRDefault="0044508D" w:rsidP="0044508D">
            <w:pPr>
              <w:rPr>
                <w:color w:val="000000" w:themeColor="text1"/>
                <w:sz w:val="20"/>
                <w:szCs w:val="20"/>
              </w:rPr>
            </w:pPr>
            <w:r w:rsidRPr="00CD2ADD">
              <w:rPr>
                <w:color w:val="000000" w:themeColor="text1"/>
                <w:sz w:val="20"/>
                <w:szCs w:val="20"/>
              </w:rPr>
              <w:t>5101</w:t>
            </w:r>
          </w:p>
        </w:tc>
        <w:tc>
          <w:tcPr>
            <w:tcW w:w="709" w:type="dxa"/>
          </w:tcPr>
          <w:p w14:paraId="2AD024AB" w14:textId="77777777" w:rsidR="0044508D" w:rsidRPr="00CD2ADD" w:rsidRDefault="0044508D" w:rsidP="0044508D">
            <w:pPr>
              <w:rPr>
                <w:color w:val="000000" w:themeColor="text1"/>
                <w:sz w:val="20"/>
                <w:szCs w:val="20"/>
              </w:rPr>
            </w:pPr>
          </w:p>
        </w:tc>
        <w:tc>
          <w:tcPr>
            <w:tcW w:w="708" w:type="dxa"/>
          </w:tcPr>
          <w:p w14:paraId="0E1B6C3F" w14:textId="61FF2AD6" w:rsidR="0044508D" w:rsidRPr="00CD2ADD" w:rsidRDefault="0044508D" w:rsidP="0044508D">
            <w:pPr>
              <w:rPr>
                <w:color w:val="000000" w:themeColor="text1"/>
                <w:sz w:val="20"/>
                <w:szCs w:val="20"/>
              </w:rPr>
            </w:pPr>
            <w:r w:rsidRPr="00CD2ADD">
              <w:rPr>
                <w:color w:val="000000" w:themeColor="text1"/>
                <w:sz w:val="20"/>
                <w:szCs w:val="20"/>
              </w:rPr>
              <w:t>100</w:t>
            </w:r>
          </w:p>
        </w:tc>
        <w:tc>
          <w:tcPr>
            <w:tcW w:w="709" w:type="dxa"/>
          </w:tcPr>
          <w:p w14:paraId="4D14623C" w14:textId="504E6C2D" w:rsidR="0044508D" w:rsidRPr="00CD2ADD" w:rsidRDefault="0044508D" w:rsidP="0044508D">
            <w:pPr>
              <w:rPr>
                <w:color w:val="000000" w:themeColor="text1"/>
                <w:sz w:val="20"/>
                <w:szCs w:val="20"/>
              </w:rPr>
            </w:pPr>
            <w:r w:rsidRPr="00CD2ADD">
              <w:rPr>
                <w:color w:val="000000" w:themeColor="text1"/>
                <w:sz w:val="20"/>
                <w:szCs w:val="20"/>
              </w:rPr>
              <w:t>200</w:t>
            </w:r>
          </w:p>
        </w:tc>
        <w:tc>
          <w:tcPr>
            <w:tcW w:w="709" w:type="dxa"/>
          </w:tcPr>
          <w:p w14:paraId="22097E3A" w14:textId="77777777" w:rsidR="0044508D" w:rsidRPr="00CD2ADD" w:rsidRDefault="0044508D" w:rsidP="0044508D">
            <w:pPr>
              <w:rPr>
                <w:color w:val="000000" w:themeColor="text1"/>
                <w:sz w:val="20"/>
                <w:szCs w:val="20"/>
              </w:rPr>
            </w:pPr>
          </w:p>
        </w:tc>
        <w:tc>
          <w:tcPr>
            <w:tcW w:w="709" w:type="dxa"/>
          </w:tcPr>
          <w:p w14:paraId="613C3629" w14:textId="77777777" w:rsidR="0044508D" w:rsidRPr="00CD2ADD" w:rsidRDefault="0044508D" w:rsidP="0044508D">
            <w:pPr>
              <w:rPr>
                <w:color w:val="000000" w:themeColor="text1"/>
                <w:sz w:val="20"/>
                <w:szCs w:val="20"/>
              </w:rPr>
            </w:pPr>
          </w:p>
        </w:tc>
        <w:tc>
          <w:tcPr>
            <w:tcW w:w="1134" w:type="dxa"/>
          </w:tcPr>
          <w:p w14:paraId="5DF69A7C" w14:textId="77777777" w:rsidR="0044508D" w:rsidRPr="00CD2ADD" w:rsidRDefault="0044508D" w:rsidP="0044508D">
            <w:pPr>
              <w:rPr>
                <w:color w:val="000000" w:themeColor="text1"/>
                <w:sz w:val="20"/>
                <w:szCs w:val="20"/>
              </w:rPr>
            </w:pPr>
            <w:r w:rsidRPr="00CD2ADD">
              <w:rPr>
                <w:sz w:val="20"/>
                <w:szCs w:val="20"/>
              </w:rPr>
              <w:t>Trim. IV 2028</w:t>
            </w:r>
          </w:p>
        </w:tc>
        <w:tc>
          <w:tcPr>
            <w:tcW w:w="1926" w:type="dxa"/>
          </w:tcPr>
          <w:p w14:paraId="58916DD9" w14:textId="2EC129BE" w:rsidR="0044508D" w:rsidRPr="00CD2ADD" w:rsidRDefault="0044508D" w:rsidP="0044508D">
            <w:pPr>
              <w:rPr>
                <w:color w:val="000000" w:themeColor="text1"/>
                <w:sz w:val="20"/>
                <w:szCs w:val="20"/>
              </w:rPr>
            </w:pPr>
            <w:r w:rsidRPr="00CD2ADD">
              <w:rPr>
                <w:color w:val="000000" w:themeColor="text1"/>
                <w:sz w:val="20"/>
                <w:szCs w:val="20"/>
              </w:rPr>
              <w:t xml:space="preserve">Ministerul Mediului, Ministerul Agriculturii și Industriei Alimentare,  Moldsilva, ICAS, Institutul Național de Cercetări Aplicative </w:t>
            </w:r>
            <w:r w:rsidRPr="00CD2ADD">
              <w:rPr>
                <w:color w:val="000000" w:themeColor="text1"/>
                <w:sz w:val="20"/>
                <w:szCs w:val="20"/>
              </w:rPr>
              <w:lastRenderedPageBreak/>
              <w:t>în Agricultură și Medicină Veterinară, APL-uri și ONG-uri specializate în agroecologie și schimbări climatice</w:t>
            </w:r>
          </w:p>
        </w:tc>
      </w:tr>
      <w:tr w:rsidR="0044508D" w:rsidRPr="00CD2ADD" w14:paraId="3D9147EF" w14:textId="77777777" w:rsidTr="002C4956">
        <w:tc>
          <w:tcPr>
            <w:tcW w:w="15388" w:type="dxa"/>
            <w:gridSpan w:val="15"/>
            <w:shd w:val="clear" w:color="auto" w:fill="FAE2D5" w:themeFill="accent2" w:themeFillTint="33"/>
          </w:tcPr>
          <w:p w14:paraId="7273C530" w14:textId="77777777" w:rsidR="0044508D" w:rsidRPr="00CD2ADD" w:rsidRDefault="0044508D" w:rsidP="0044508D">
            <w:pPr>
              <w:rPr>
                <w:b/>
                <w:bCs/>
                <w:color w:val="000000" w:themeColor="text1"/>
                <w:sz w:val="20"/>
                <w:szCs w:val="20"/>
              </w:rPr>
            </w:pPr>
            <w:r w:rsidRPr="00CD2ADD">
              <w:rPr>
                <w:b/>
                <w:bCs/>
                <w:color w:val="000000" w:themeColor="text1"/>
                <w:sz w:val="20"/>
                <w:szCs w:val="20"/>
              </w:rPr>
              <w:lastRenderedPageBreak/>
              <w:t>Obiectiv general 4: Consolidarea pregătirii și capacității de răspuns în situații de dezastre naturale si biologico-sociale, urmată de o restabilire eficientă și durabilă.</w:t>
            </w:r>
          </w:p>
          <w:p w14:paraId="5E60AB1C" w14:textId="77777777" w:rsidR="0044508D" w:rsidRPr="00CD2ADD" w:rsidRDefault="0044508D" w:rsidP="0044508D">
            <w:pPr>
              <w:rPr>
                <w:b/>
                <w:bCs/>
                <w:color w:val="000000" w:themeColor="text1"/>
                <w:sz w:val="20"/>
                <w:szCs w:val="20"/>
              </w:rPr>
            </w:pPr>
            <w:r w:rsidRPr="00CD2ADD">
              <w:rPr>
                <w:i/>
                <w:iCs/>
                <w:sz w:val="20"/>
                <w:szCs w:val="20"/>
                <w:u w:val="single"/>
              </w:rPr>
              <w:t>Contribuie la: ODD 1 -Ținta 1.5, ODD 3 -Ținta 3.d, ODD 9 - Ținta 9.1, ODD 11 - Ținta 11.5, ODD 13 - Ținta 13.1</w:t>
            </w:r>
          </w:p>
        </w:tc>
      </w:tr>
      <w:tr w:rsidR="0044508D" w:rsidRPr="00CD2ADD" w14:paraId="45F93306" w14:textId="77777777" w:rsidTr="002C4956">
        <w:tc>
          <w:tcPr>
            <w:tcW w:w="15388" w:type="dxa"/>
            <w:gridSpan w:val="15"/>
            <w:shd w:val="clear" w:color="auto" w:fill="D9F2D0" w:themeFill="accent6" w:themeFillTint="33"/>
          </w:tcPr>
          <w:p w14:paraId="098171D8" w14:textId="77777777" w:rsidR="0044508D" w:rsidRPr="00CD2ADD" w:rsidRDefault="0044508D" w:rsidP="0044508D">
            <w:pPr>
              <w:rPr>
                <w:b/>
                <w:bCs/>
                <w:color w:val="000000" w:themeColor="text1"/>
                <w:sz w:val="20"/>
                <w:szCs w:val="20"/>
              </w:rPr>
            </w:pPr>
            <w:r w:rsidRPr="00CD2ADD">
              <w:rPr>
                <w:b/>
                <w:bCs/>
                <w:color w:val="000000" w:themeColor="text1"/>
                <w:sz w:val="20"/>
                <w:szCs w:val="20"/>
              </w:rPr>
              <w:t>Obiectivul Specific 4.1: Consolidarea anticipării, avertizării timpurii și a răspunsului rapid la dezastre naturale și biologico-sociale</w:t>
            </w:r>
          </w:p>
        </w:tc>
      </w:tr>
      <w:tr w:rsidR="0044508D" w:rsidRPr="00CD2ADD" w14:paraId="279210A2" w14:textId="77777777" w:rsidTr="002C4956">
        <w:tc>
          <w:tcPr>
            <w:tcW w:w="514" w:type="dxa"/>
          </w:tcPr>
          <w:p w14:paraId="042758EE" w14:textId="77777777" w:rsidR="0044508D" w:rsidRPr="00CD2ADD" w:rsidRDefault="0044508D" w:rsidP="0044508D">
            <w:pPr>
              <w:rPr>
                <w:color w:val="000000" w:themeColor="text1"/>
                <w:sz w:val="20"/>
                <w:szCs w:val="20"/>
              </w:rPr>
            </w:pPr>
            <w:r w:rsidRPr="00CD2ADD">
              <w:rPr>
                <w:color w:val="000000" w:themeColor="text1"/>
                <w:sz w:val="20"/>
                <w:szCs w:val="20"/>
              </w:rPr>
              <w:t xml:space="preserve">36. </w:t>
            </w:r>
          </w:p>
        </w:tc>
        <w:tc>
          <w:tcPr>
            <w:tcW w:w="2033" w:type="dxa"/>
          </w:tcPr>
          <w:p w14:paraId="177B515D" w14:textId="34F46492" w:rsidR="0044508D" w:rsidRPr="00CD2ADD" w:rsidRDefault="0044508D" w:rsidP="0044508D">
            <w:pPr>
              <w:rPr>
                <w:color w:val="000000" w:themeColor="text1"/>
                <w:sz w:val="20"/>
                <w:szCs w:val="20"/>
              </w:rPr>
            </w:pPr>
            <w:r w:rsidRPr="00CD2ADD">
              <w:rPr>
                <w:color w:val="000000" w:themeColor="text1"/>
                <w:sz w:val="20"/>
                <w:szCs w:val="20"/>
              </w:rPr>
              <w:t>4.1.1 Rețea națională de monitorizare climatologica și hidrologica modernizată prin extinderea si reabilitarea rețelei stațiilor existente cu senzori noi, telemetrie și înlocuirea infrastructurii depășite</w:t>
            </w:r>
          </w:p>
        </w:tc>
        <w:tc>
          <w:tcPr>
            <w:tcW w:w="1701" w:type="dxa"/>
          </w:tcPr>
          <w:p w14:paraId="45EF4DD5" w14:textId="73F87494" w:rsidR="0044508D" w:rsidRPr="00CD2ADD" w:rsidRDefault="0044508D" w:rsidP="0044508D">
            <w:pPr>
              <w:rPr>
                <w:color w:val="000000" w:themeColor="text1"/>
                <w:sz w:val="20"/>
                <w:szCs w:val="20"/>
              </w:rPr>
            </w:pPr>
            <w:r w:rsidRPr="00CD2ADD">
              <w:rPr>
                <w:color w:val="000000" w:themeColor="text1"/>
                <w:sz w:val="20"/>
                <w:szCs w:val="20"/>
              </w:rPr>
              <w:t xml:space="preserve">- Modernizarea și digitalizarea sistemelor SH (Da/Nu) : </w:t>
            </w:r>
          </w:p>
          <w:p w14:paraId="0889AEA3" w14:textId="77777777" w:rsidR="0044508D" w:rsidRPr="00CD2ADD" w:rsidRDefault="0044508D" w:rsidP="0044508D">
            <w:pPr>
              <w:rPr>
                <w:color w:val="000000" w:themeColor="text1"/>
                <w:sz w:val="20"/>
                <w:szCs w:val="20"/>
              </w:rPr>
            </w:pPr>
            <w:r w:rsidRPr="00CD2ADD">
              <w:rPr>
                <w:color w:val="000000" w:themeColor="text1"/>
                <w:sz w:val="20"/>
                <w:szCs w:val="20"/>
              </w:rPr>
              <w:t>- extinderea rețelei de stații climatologice și hidrologice;</w:t>
            </w:r>
          </w:p>
          <w:p w14:paraId="24FD56EB" w14:textId="3779CA91" w:rsidR="0044508D" w:rsidRPr="00CD2ADD" w:rsidRDefault="0044508D" w:rsidP="0044508D">
            <w:pPr>
              <w:rPr>
                <w:color w:val="000000" w:themeColor="text1"/>
                <w:sz w:val="20"/>
                <w:szCs w:val="20"/>
              </w:rPr>
            </w:pPr>
            <w:r w:rsidRPr="00CD2ADD">
              <w:rPr>
                <w:color w:val="000000" w:themeColor="text1"/>
                <w:sz w:val="20"/>
                <w:szCs w:val="20"/>
              </w:rPr>
              <w:t>- reabilitarea stațiilor existente cu senzori noi, telemetrie;</w:t>
            </w:r>
          </w:p>
          <w:p w14:paraId="25FC3596" w14:textId="58F2950C" w:rsidR="0044508D" w:rsidRPr="00CD2ADD" w:rsidRDefault="0044508D" w:rsidP="0044508D">
            <w:pPr>
              <w:rPr>
                <w:color w:val="000000" w:themeColor="text1"/>
                <w:sz w:val="20"/>
                <w:szCs w:val="20"/>
              </w:rPr>
            </w:pPr>
            <w:r w:rsidRPr="00CD2ADD">
              <w:rPr>
                <w:color w:val="000000" w:themeColor="text1"/>
                <w:sz w:val="20"/>
                <w:szCs w:val="20"/>
              </w:rPr>
              <w:t>- instituirea unui sistem de observare a aerului superior;</w:t>
            </w:r>
          </w:p>
          <w:p w14:paraId="57A08884" w14:textId="2186C736" w:rsidR="0044508D" w:rsidRPr="00CD2ADD" w:rsidRDefault="0044508D" w:rsidP="0044508D">
            <w:pPr>
              <w:rPr>
                <w:color w:val="000000" w:themeColor="text1"/>
                <w:sz w:val="20"/>
                <w:szCs w:val="20"/>
              </w:rPr>
            </w:pPr>
            <w:r w:rsidRPr="00CD2ADD">
              <w:rPr>
                <w:color w:val="000000" w:themeColor="text1"/>
                <w:sz w:val="20"/>
                <w:szCs w:val="20"/>
              </w:rPr>
              <w:t>- modernizarea radarului meteorologic;</w:t>
            </w:r>
          </w:p>
          <w:p w14:paraId="1B8BD250" w14:textId="4897E00D" w:rsidR="0044508D" w:rsidRPr="00CD2ADD" w:rsidRDefault="0044508D" w:rsidP="0044508D">
            <w:pPr>
              <w:rPr>
                <w:color w:val="000000" w:themeColor="text1"/>
                <w:sz w:val="20"/>
                <w:szCs w:val="20"/>
              </w:rPr>
            </w:pPr>
            <w:r w:rsidRPr="00CD2ADD">
              <w:rPr>
                <w:color w:val="000000" w:themeColor="text1"/>
                <w:sz w:val="20"/>
                <w:szCs w:val="20"/>
              </w:rPr>
              <w:lastRenderedPageBreak/>
              <w:t>- instalarea unui sistem de detecție a fulgerelor;</w:t>
            </w:r>
          </w:p>
          <w:p w14:paraId="5E0FFB96" w14:textId="057B1EC7" w:rsidR="0044508D" w:rsidRPr="00CD2ADD" w:rsidRDefault="0044508D" w:rsidP="0044508D">
            <w:pPr>
              <w:rPr>
                <w:color w:val="000000" w:themeColor="text1"/>
                <w:sz w:val="20"/>
                <w:szCs w:val="20"/>
              </w:rPr>
            </w:pPr>
            <w:r w:rsidRPr="00CD2ADD">
              <w:rPr>
                <w:color w:val="000000" w:themeColor="text1"/>
                <w:sz w:val="20"/>
                <w:szCs w:val="20"/>
              </w:rPr>
              <w:t xml:space="preserve">- dezvoltarea și operaționalizarea Sistemului de Management al Datelor Climatice </w:t>
            </w:r>
          </w:p>
          <w:p w14:paraId="26338FFF" w14:textId="77777777" w:rsidR="0044508D" w:rsidRPr="00CD2ADD" w:rsidRDefault="0044508D" w:rsidP="0044508D">
            <w:pPr>
              <w:rPr>
                <w:color w:val="000000" w:themeColor="text1"/>
                <w:sz w:val="20"/>
                <w:szCs w:val="20"/>
              </w:rPr>
            </w:pPr>
            <w:r w:rsidRPr="00CD2ADD">
              <w:rPr>
                <w:color w:val="000000" w:themeColor="text1"/>
                <w:sz w:val="20"/>
                <w:szCs w:val="20"/>
              </w:rPr>
              <w:t>- introducerea prognozei sectoriale (agricultură, apă, silvicultură etc.);</w:t>
            </w:r>
          </w:p>
          <w:p w14:paraId="70ED0EFC" w14:textId="21432412" w:rsidR="0044508D" w:rsidRPr="00CD2ADD" w:rsidRDefault="0044508D" w:rsidP="0044508D">
            <w:pPr>
              <w:rPr>
                <w:color w:val="000000" w:themeColor="text1"/>
                <w:sz w:val="20"/>
                <w:szCs w:val="20"/>
              </w:rPr>
            </w:pPr>
            <w:r w:rsidRPr="00CD2ADD">
              <w:rPr>
                <w:color w:val="000000" w:themeColor="text1"/>
                <w:sz w:val="20"/>
                <w:szCs w:val="20"/>
              </w:rPr>
              <w:t>- Dezvoltarea prognozei hidrologice și îmbunătățirea utilizării modelelor hidrometeorologice regionale și globale.</w:t>
            </w:r>
          </w:p>
        </w:tc>
        <w:tc>
          <w:tcPr>
            <w:tcW w:w="850" w:type="dxa"/>
          </w:tcPr>
          <w:p w14:paraId="5164CE36" w14:textId="77777777" w:rsidR="0044508D" w:rsidRPr="00CD2ADD" w:rsidRDefault="0044508D" w:rsidP="0044508D">
            <w:pPr>
              <w:rPr>
                <w:color w:val="000000" w:themeColor="text1"/>
                <w:sz w:val="20"/>
                <w:szCs w:val="20"/>
              </w:rPr>
            </w:pPr>
            <w:r w:rsidRPr="00CD2ADD">
              <w:rPr>
                <w:sz w:val="20"/>
                <w:szCs w:val="20"/>
              </w:rPr>
              <w:lastRenderedPageBreak/>
              <w:t>94,643.72</w:t>
            </w:r>
          </w:p>
        </w:tc>
        <w:tc>
          <w:tcPr>
            <w:tcW w:w="851" w:type="dxa"/>
          </w:tcPr>
          <w:p w14:paraId="2347C06A" w14:textId="77777777" w:rsidR="0044508D" w:rsidRPr="00CD2ADD" w:rsidRDefault="0044508D" w:rsidP="0044508D">
            <w:pPr>
              <w:rPr>
                <w:color w:val="000000" w:themeColor="text1"/>
                <w:sz w:val="20"/>
                <w:szCs w:val="20"/>
              </w:rPr>
            </w:pPr>
          </w:p>
        </w:tc>
        <w:tc>
          <w:tcPr>
            <w:tcW w:w="709" w:type="dxa"/>
          </w:tcPr>
          <w:p w14:paraId="12AD7156" w14:textId="77777777" w:rsidR="0044508D" w:rsidRPr="00CD2ADD" w:rsidRDefault="0044508D" w:rsidP="0044508D">
            <w:pPr>
              <w:rPr>
                <w:color w:val="000000" w:themeColor="text1"/>
                <w:sz w:val="20"/>
                <w:szCs w:val="20"/>
              </w:rPr>
            </w:pPr>
            <w:r w:rsidRPr="00CD2ADD">
              <w:rPr>
                <w:sz w:val="20"/>
                <w:szCs w:val="20"/>
              </w:rPr>
              <w:t>94,643.72</w:t>
            </w:r>
          </w:p>
        </w:tc>
        <w:tc>
          <w:tcPr>
            <w:tcW w:w="992" w:type="dxa"/>
          </w:tcPr>
          <w:p w14:paraId="22E1A704" w14:textId="77777777" w:rsidR="0044508D" w:rsidRPr="00CD2ADD" w:rsidRDefault="0044508D" w:rsidP="0044508D">
            <w:pPr>
              <w:rPr>
                <w:color w:val="000000" w:themeColor="text1"/>
                <w:sz w:val="20"/>
                <w:szCs w:val="20"/>
              </w:rPr>
            </w:pPr>
          </w:p>
        </w:tc>
        <w:tc>
          <w:tcPr>
            <w:tcW w:w="1134" w:type="dxa"/>
          </w:tcPr>
          <w:p w14:paraId="45D115D3" w14:textId="77777777" w:rsidR="0044508D" w:rsidRPr="00CD2ADD" w:rsidRDefault="0044508D" w:rsidP="0044508D">
            <w:pPr>
              <w:rPr>
                <w:color w:val="000000" w:themeColor="text1"/>
                <w:sz w:val="20"/>
                <w:szCs w:val="20"/>
              </w:rPr>
            </w:pPr>
          </w:p>
        </w:tc>
        <w:tc>
          <w:tcPr>
            <w:tcW w:w="709" w:type="dxa"/>
          </w:tcPr>
          <w:p w14:paraId="013F2389" w14:textId="77777777" w:rsidR="0044508D" w:rsidRPr="00CD2ADD" w:rsidRDefault="0044508D" w:rsidP="0044508D">
            <w:pPr>
              <w:rPr>
                <w:color w:val="000000" w:themeColor="text1"/>
                <w:sz w:val="20"/>
                <w:szCs w:val="20"/>
              </w:rPr>
            </w:pPr>
            <w:r w:rsidRPr="00CD2ADD">
              <w:rPr>
                <w:sz w:val="20"/>
                <w:szCs w:val="20"/>
              </w:rPr>
              <w:t>66,859.83</w:t>
            </w:r>
          </w:p>
        </w:tc>
        <w:tc>
          <w:tcPr>
            <w:tcW w:w="708" w:type="dxa"/>
          </w:tcPr>
          <w:p w14:paraId="6E42F71D" w14:textId="77777777" w:rsidR="0044508D" w:rsidRPr="00CD2ADD" w:rsidRDefault="0044508D" w:rsidP="0044508D">
            <w:pPr>
              <w:rPr>
                <w:color w:val="000000" w:themeColor="text1"/>
                <w:sz w:val="20"/>
                <w:szCs w:val="20"/>
              </w:rPr>
            </w:pPr>
            <w:r w:rsidRPr="00CD2ADD">
              <w:rPr>
                <w:sz w:val="20"/>
                <w:szCs w:val="20"/>
              </w:rPr>
              <w:t>22,713.99</w:t>
            </w:r>
          </w:p>
        </w:tc>
        <w:tc>
          <w:tcPr>
            <w:tcW w:w="709" w:type="dxa"/>
          </w:tcPr>
          <w:p w14:paraId="1A0F0428" w14:textId="77777777" w:rsidR="0044508D" w:rsidRPr="00CD2ADD" w:rsidRDefault="0044508D" w:rsidP="0044508D">
            <w:pPr>
              <w:rPr>
                <w:color w:val="000000" w:themeColor="text1"/>
                <w:sz w:val="20"/>
                <w:szCs w:val="20"/>
              </w:rPr>
            </w:pPr>
            <w:r w:rsidRPr="00CD2ADD">
              <w:rPr>
                <w:sz w:val="20"/>
                <w:szCs w:val="20"/>
              </w:rPr>
              <w:t>2,995.85</w:t>
            </w:r>
          </w:p>
        </w:tc>
        <w:tc>
          <w:tcPr>
            <w:tcW w:w="709" w:type="dxa"/>
          </w:tcPr>
          <w:p w14:paraId="4D1F31D8" w14:textId="77777777" w:rsidR="0044508D" w:rsidRPr="00CD2ADD" w:rsidRDefault="0044508D" w:rsidP="0044508D">
            <w:pPr>
              <w:rPr>
                <w:color w:val="000000" w:themeColor="text1"/>
                <w:sz w:val="20"/>
                <w:szCs w:val="20"/>
              </w:rPr>
            </w:pPr>
            <w:r w:rsidRPr="00CD2ADD">
              <w:rPr>
                <w:sz w:val="20"/>
                <w:szCs w:val="20"/>
              </w:rPr>
              <w:t>1,99025</w:t>
            </w:r>
          </w:p>
        </w:tc>
        <w:tc>
          <w:tcPr>
            <w:tcW w:w="709" w:type="dxa"/>
          </w:tcPr>
          <w:p w14:paraId="40C817F7" w14:textId="77777777" w:rsidR="0044508D" w:rsidRPr="00CD2ADD" w:rsidRDefault="0044508D" w:rsidP="0044508D">
            <w:pPr>
              <w:rPr>
                <w:color w:val="000000" w:themeColor="text1"/>
                <w:sz w:val="20"/>
                <w:szCs w:val="20"/>
              </w:rPr>
            </w:pPr>
            <w:r w:rsidRPr="00CD2ADD">
              <w:rPr>
                <w:sz w:val="20"/>
                <w:szCs w:val="20"/>
              </w:rPr>
              <w:t>83.80</w:t>
            </w:r>
          </w:p>
        </w:tc>
        <w:tc>
          <w:tcPr>
            <w:tcW w:w="1134" w:type="dxa"/>
          </w:tcPr>
          <w:p w14:paraId="574C392B" w14:textId="77777777" w:rsidR="0044508D" w:rsidRPr="00CD2ADD" w:rsidRDefault="0044508D" w:rsidP="0044508D">
            <w:pPr>
              <w:rPr>
                <w:color w:val="000000" w:themeColor="text1"/>
                <w:sz w:val="20"/>
                <w:szCs w:val="20"/>
              </w:rPr>
            </w:pPr>
            <w:r w:rsidRPr="00CD2ADD">
              <w:rPr>
                <w:color w:val="000000" w:themeColor="text1"/>
                <w:sz w:val="20"/>
                <w:szCs w:val="20"/>
              </w:rPr>
              <w:t>Trim. IV 2028</w:t>
            </w:r>
          </w:p>
        </w:tc>
        <w:tc>
          <w:tcPr>
            <w:tcW w:w="1926" w:type="dxa"/>
          </w:tcPr>
          <w:p w14:paraId="223A09AE" w14:textId="5BF94D15" w:rsidR="0044508D" w:rsidRPr="00CD2ADD" w:rsidRDefault="0044508D" w:rsidP="0044508D">
            <w:pPr>
              <w:rPr>
                <w:color w:val="000000" w:themeColor="text1"/>
                <w:sz w:val="20"/>
                <w:szCs w:val="20"/>
              </w:rPr>
            </w:pPr>
            <w:r w:rsidRPr="00CD2ADD">
              <w:rPr>
                <w:color w:val="000000" w:themeColor="text1"/>
                <w:sz w:val="20"/>
                <w:szCs w:val="20"/>
              </w:rPr>
              <w:t xml:space="preserve">Serviciul Hidrometeorologic de Stat, IP AN Apele Moldovei, Ministerul Mediului </w:t>
            </w:r>
          </w:p>
        </w:tc>
      </w:tr>
      <w:tr w:rsidR="0044508D" w:rsidRPr="00CD2ADD" w14:paraId="38FEFE78" w14:textId="77777777" w:rsidTr="002C4956">
        <w:tc>
          <w:tcPr>
            <w:tcW w:w="514" w:type="dxa"/>
          </w:tcPr>
          <w:p w14:paraId="2994E813" w14:textId="0F3171D1" w:rsidR="0044508D" w:rsidRPr="00CD2ADD" w:rsidRDefault="0044508D" w:rsidP="0044508D">
            <w:pPr>
              <w:rPr>
                <w:color w:val="000000" w:themeColor="text1"/>
                <w:sz w:val="20"/>
                <w:szCs w:val="20"/>
              </w:rPr>
            </w:pPr>
            <w:r w:rsidRPr="00CD2ADD">
              <w:rPr>
                <w:color w:val="000000" w:themeColor="text1"/>
                <w:sz w:val="20"/>
                <w:szCs w:val="20"/>
              </w:rPr>
              <w:t>37.</w:t>
            </w:r>
          </w:p>
        </w:tc>
        <w:tc>
          <w:tcPr>
            <w:tcW w:w="2033" w:type="dxa"/>
          </w:tcPr>
          <w:p w14:paraId="5097F6D8" w14:textId="6B53BBB3" w:rsidR="0044508D" w:rsidRPr="00CD2ADD" w:rsidRDefault="00EB718E" w:rsidP="0044508D">
            <w:pPr>
              <w:rPr>
                <w:color w:val="000000" w:themeColor="text1"/>
                <w:sz w:val="20"/>
                <w:szCs w:val="20"/>
              </w:rPr>
            </w:pPr>
            <w:r w:rsidRPr="00CD2ADD">
              <w:rPr>
                <w:color w:val="000000" w:themeColor="text1"/>
                <w:sz w:val="20"/>
                <w:szCs w:val="20"/>
              </w:rPr>
              <w:t xml:space="preserve">4.1.2 </w:t>
            </w:r>
            <w:r w:rsidR="0044508D" w:rsidRPr="00CD2ADD">
              <w:rPr>
                <w:color w:val="000000" w:themeColor="text1"/>
                <w:sz w:val="20"/>
                <w:szCs w:val="20"/>
              </w:rPr>
              <w:t>Dotarea laboratorului de referință apa, deșeuri, aer cu echipamente moderne</w:t>
            </w:r>
          </w:p>
        </w:tc>
        <w:tc>
          <w:tcPr>
            <w:tcW w:w="1701" w:type="dxa"/>
          </w:tcPr>
          <w:p w14:paraId="34BB2FBD" w14:textId="6E2089E0" w:rsidR="0044508D" w:rsidRPr="00CD2ADD" w:rsidRDefault="0044508D" w:rsidP="0044508D">
            <w:pPr>
              <w:rPr>
                <w:color w:val="000000" w:themeColor="text1"/>
                <w:sz w:val="20"/>
                <w:szCs w:val="20"/>
              </w:rPr>
            </w:pPr>
            <w:r w:rsidRPr="00CD2ADD">
              <w:rPr>
                <w:color w:val="000000" w:themeColor="text1"/>
                <w:sz w:val="20"/>
                <w:szCs w:val="20"/>
              </w:rPr>
              <w:t>Echipamente de ameliorare a monitorizării calității apei, aerului, deșeurilor</w:t>
            </w:r>
          </w:p>
        </w:tc>
        <w:tc>
          <w:tcPr>
            <w:tcW w:w="850" w:type="dxa"/>
          </w:tcPr>
          <w:p w14:paraId="0C2346D8" w14:textId="4B70C343" w:rsidR="0044508D" w:rsidRPr="00CD2ADD" w:rsidRDefault="0044508D" w:rsidP="0044508D">
            <w:pPr>
              <w:rPr>
                <w:color w:val="000000" w:themeColor="text1"/>
                <w:sz w:val="20"/>
                <w:szCs w:val="20"/>
              </w:rPr>
            </w:pPr>
            <w:r w:rsidRPr="00CD2ADD">
              <w:rPr>
                <w:color w:val="000000" w:themeColor="text1"/>
                <w:sz w:val="20"/>
                <w:szCs w:val="20"/>
              </w:rPr>
              <w:t>13,445</w:t>
            </w:r>
          </w:p>
        </w:tc>
        <w:tc>
          <w:tcPr>
            <w:tcW w:w="851" w:type="dxa"/>
          </w:tcPr>
          <w:p w14:paraId="40619680" w14:textId="77777777" w:rsidR="0044508D" w:rsidRPr="00CD2ADD" w:rsidRDefault="0044508D" w:rsidP="0044508D">
            <w:pPr>
              <w:rPr>
                <w:color w:val="000000" w:themeColor="text1"/>
                <w:sz w:val="20"/>
                <w:szCs w:val="20"/>
              </w:rPr>
            </w:pPr>
          </w:p>
        </w:tc>
        <w:tc>
          <w:tcPr>
            <w:tcW w:w="709" w:type="dxa"/>
          </w:tcPr>
          <w:p w14:paraId="7AD771A8" w14:textId="77777777" w:rsidR="0044508D" w:rsidRPr="00CD2ADD" w:rsidRDefault="0044508D" w:rsidP="0044508D">
            <w:pPr>
              <w:rPr>
                <w:color w:val="000000" w:themeColor="text1"/>
                <w:sz w:val="20"/>
                <w:szCs w:val="20"/>
              </w:rPr>
            </w:pPr>
          </w:p>
        </w:tc>
        <w:tc>
          <w:tcPr>
            <w:tcW w:w="992" w:type="dxa"/>
          </w:tcPr>
          <w:p w14:paraId="36302CF9" w14:textId="1E2C6CBE" w:rsidR="0044508D" w:rsidRPr="00CD2ADD" w:rsidRDefault="0044508D" w:rsidP="0044508D">
            <w:pPr>
              <w:rPr>
                <w:color w:val="000000" w:themeColor="text1"/>
                <w:sz w:val="20"/>
                <w:szCs w:val="20"/>
              </w:rPr>
            </w:pPr>
            <w:r w:rsidRPr="00CD2ADD">
              <w:rPr>
                <w:color w:val="000000" w:themeColor="text1"/>
                <w:sz w:val="20"/>
                <w:szCs w:val="20"/>
              </w:rPr>
              <w:t>13,445</w:t>
            </w:r>
          </w:p>
        </w:tc>
        <w:tc>
          <w:tcPr>
            <w:tcW w:w="1134" w:type="dxa"/>
          </w:tcPr>
          <w:p w14:paraId="713A1882" w14:textId="77777777" w:rsidR="0044508D" w:rsidRPr="00CD2ADD" w:rsidRDefault="0044508D" w:rsidP="0044508D">
            <w:pPr>
              <w:rPr>
                <w:color w:val="000000" w:themeColor="text1"/>
                <w:sz w:val="20"/>
                <w:szCs w:val="20"/>
              </w:rPr>
            </w:pPr>
          </w:p>
        </w:tc>
        <w:tc>
          <w:tcPr>
            <w:tcW w:w="709" w:type="dxa"/>
          </w:tcPr>
          <w:p w14:paraId="5CCB1B13" w14:textId="5C0137B6" w:rsidR="0044508D" w:rsidRPr="00CD2ADD" w:rsidRDefault="0044508D" w:rsidP="0044508D">
            <w:pPr>
              <w:rPr>
                <w:color w:val="000000" w:themeColor="text1"/>
                <w:sz w:val="20"/>
                <w:szCs w:val="20"/>
              </w:rPr>
            </w:pPr>
          </w:p>
        </w:tc>
        <w:tc>
          <w:tcPr>
            <w:tcW w:w="708" w:type="dxa"/>
          </w:tcPr>
          <w:p w14:paraId="76DA9ECF" w14:textId="7976C219" w:rsidR="0044508D" w:rsidRPr="00CD2ADD" w:rsidRDefault="0044508D" w:rsidP="0044508D">
            <w:pPr>
              <w:rPr>
                <w:color w:val="000000" w:themeColor="text1"/>
                <w:sz w:val="20"/>
                <w:szCs w:val="20"/>
              </w:rPr>
            </w:pPr>
          </w:p>
        </w:tc>
        <w:tc>
          <w:tcPr>
            <w:tcW w:w="709" w:type="dxa"/>
          </w:tcPr>
          <w:p w14:paraId="3C0B7584" w14:textId="77777777" w:rsidR="0044508D" w:rsidRPr="00CD2ADD" w:rsidRDefault="0044508D" w:rsidP="0044508D">
            <w:pPr>
              <w:rPr>
                <w:color w:val="000000" w:themeColor="text1"/>
                <w:sz w:val="20"/>
                <w:szCs w:val="20"/>
              </w:rPr>
            </w:pPr>
          </w:p>
        </w:tc>
        <w:tc>
          <w:tcPr>
            <w:tcW w:w="709" w:type="dxa"/>
          </w:tcPr>
          <w:p w14:paraId="1EA82EC8" w14:textId="74507325" w:rsidR="0044508D" w:rsidRPr="00CD2ADD" w:rsidRDefault="0044508D" w:rsidP="0044508D">
            <w:pPr>
              <w:rPr>
                <w:color w:val="000000" w:themeColor="text1"/>
                <w:sz w:val="20"/>
                <w:szCs w:val="20"/>
              </w:rPr>
            </w:pPr>
            <w:r w:rsidRPr="00CD2ADD">
              <w:rPr>
                <w:color w:val="000000" w:themeColor="text1"/>
                <w:sz w:val="20"/>
                <w:szCs w:val="20"/>
              </w:rPr>
              <w:t>4,445</w:t>
            </w:r>
          </w:p>
        </w:tc>
        <w:tc>
          <w:tcPr>
            <w:tcW w:w="709" w:type="dxa"/>
          </w:tcPr>
          <w:p w14:paraId="351782BA" w14:textId="34D20A11" w:rsidR="0044508D" w:rsidRPr="00CD2ADD" w:rsidRDefault="0044508D" w:rsidP="0044508D">
            <w:pPr>
              <w:rPr>
                <w:color w:val="000000" w:themeColor="text1"/>
                <w:sz w:val="20"/>
                <w:szCs w:val="20"/>
              </w:rPr>
            </w:pPr>
            <w:r w:rsidRPr="00CD2ADD">
              <w:rPr>
                <w:color w:val="000000" w:themeColor="text1"/>
                <w:sz w:val="20"/>
                <w:szCs w:val="20"/>
              </w:rPr>
              <w:t>9,000</w:t>
            </w:r>
          </w:p>
        </w:tc>
        <w:tc>
          <w:tcPr>
            <w:tcW w:w="1134" w:type="dxa"/>
          </w:tcPr>
          <w:p w14:paraId="61FEEBC4" w14:textId="476AF914" w:rsidR="0044508D" w:rsidRPr="00CD2ADD" w:rsidRDefault="0044508D" w:rsidP="0044508D">
            <w:pPr>
              <w:rPr>
                <w:color w:val="000000" w:themeColor="text1"/>
                <w:sz w:val="20"/>
                <w:szCs w:val="20"/>
              </w:rPr>
            </w:pPr>
            <w:r w:rsidRPr="00CD2ADD">
              <w:rPr>
                <w:color w:val="000000" w:themeColor="text1"/>
                <w:sz w:val="20"/>
                <w:szCs w:val="20"/>
              </w:rPr>
              <w:t>Trim. II 2030</w:t>
            </w:r>
          </w:p>
        </w:tc>
        <w:tc>
          <w:tcPr>
            <w:tcW w:w="1926" w:type="dxa"/>
          </w:tcPr>
          <w:p w14:paraId="0BA7A203" w14:textId="77777777" w:rsidR="0044508D" w:rsidRPr="00CD2ADD" w:rsidRDefault="0044508D" w:rsidP="0044508D">
            <w:pPr>
              <w:rPr>
                <w:color w:val="000000" w:themeColor="text1"/>
                <w:sz w:val="20"/>
                <w:szCs w:val="20"/>
              </w:rPr>
            </w:pPr>
            <w:r w:rsidRPr="00CD2ADD">
              <w:rPr>
                <w:color w:val="000000" w:themeColor="text1"/>
                <w:sz w:val="20"/>
                <w:szCs w:val="20"/>
              </w:rPr>
              <w:t xml:space="preserve">Agenția de Mediu, Laborator de referință, Ministerul Mediului </w:t>
            </w:r>
          </w:p>
        </w:tc>
      </w:tr>
      <w:tr w:rsidR="0044508D" w:rsidRPr="00CD2ADD" w14:paraId="2B5CE2D1" w14:textId="77777777" w:rsidTr="002C4956">
        <w:tc>
          <w:tcPr>
            <w:tcW w:w="15388" w:type="dxa"/>
            <w:gridSpan w:val="15"/>
            <w:shd w:val="clear" w:color="auto" w:fill="D9F2D0" w:themeFill="accent6" w:themeFillTint="33"/>
          </w:tcPr>
          <w:p w14:paraId="24FD7ACD" w14:textId="77777777" w:rsidR="0044508D" w:rsidRPr="00CD2ADD" w:rsidRDefault="0044508D" w:rsidP="0044508D">
            <w:pPr>
              <w:rPr>
                <w:b/>
                <w:bCs/>
                <w:color w:val="000000" w:themeColor="text1"/>
                <w:sz w:val="20"/>
                <w:szCs w:val="20"/>
              </w:rPr>
            </w:pPr>
            <w:r w:rsidRPr="00CD2ADD">
              <w:rPr>
                <w:b/>
                <w:bCs/>
                <w:color w:val="000000" w:themeColor="text1"/>
                <w:sz w:val="20"/>
                <w:szCs w:val="20"/>
              </w:rPr>
              <w:t>Obiectivul specific 4.2: Până în 2030, sunt consolidate pregătirea tehnică și capacitatea sectorului de mediu de a gestiona consecințele dezastrelor naturale și biologico-sociale, asigurând o restabilire eficientă și durabilă a ecosistemelor și infrastructurii afectate.</w:t>
            </w:r>
          </w:p>
        </w:tc>
      </w:tr>
      <w:tr w:rsidR="0044508D" w:rsidRPr="00CD2ADD" w14:paraId="10B29D77" w14:textId="77777777" w:rsidTr="002C4956">
        <w:tc>
          <w:tcPr>
            <w:tcW w:w="514" w:type="dxa"/>
          </w:tcPr>
          <w:p w14:paraId="25762553" w14:textId="4641EC37" w:rsidR="0044508D" w:rsidRPr="00CD2ADD" w:rsidRDefault="0044508D" w:rsidP="0044508D">
            <w:pPr>
              <w:rPr>
                <w:color w:val="000000" w:themeColor="text1"/>
                <w:sz w:val="20"/>
                <w:szCs w:val="20"/>
              </w:rPr>
            </w:pPr>
            <w:r w:rsidRPr="00CD2ADD">
              <w:rPr>
                <w:color w:val="000000" w:themeColor="text1"/>
                <w:sz w:val="20"/>
                <w:szCs w:val="20"/>
              </w:rPr>
              <w:t>3</w:t>
            </w:r>
            <w:r w:rsidR="00EB718E" w:rsidRPr="00CD2ADD">
              <w:rPr>
                <w:color w:val="000000" w:themeColor="text1"/>
                <w:sz w:val="20"/>
                <w:szCs w:val="20"/>
              </w:rPr>
              <w:t>8.</w:t>
            </w:r>
          </w:p>
        </w:tc>
        <w:tc>
          <w:tcPr>
            <w:tcW w:w="2033" w:type="dxa"/>
          </w:tcPr>
          <w:p w14:paraId="408299E0" w14:textId="77777777" w:rsidR="0044508D" w:rsidRPr="00CD2ADD" w:rsidRDefault="0044508D" w:rsidP="0044508D">
            <w:pPr>
              <w:rPr>
                <w:color w:val="000000" w:themeColor="text1"/>
                <w:sz w:val="20"/>
                <w:szCs w:val="20"/>
              </w:rPr>
            </w:pPr>
            <w:r w:rsidRPr="00CD2ADD">
              <w:rPr>
                <w:color w:val="000000" w:themeColor="text1"/>
                <w:sz w:val="20"/>
                <w:szCs w:val="20"/>
              </w:rPr>
              <w:t xml:space="preserve">4.2.1 Elaborarea și operaționalizarea unei metodologii naționale de evaluare a </w:t>
            </w:r>
            <w:r w:rsidRPr="00CD2ADD">
              <w:rPr>
                <w:color w:val="000000" w:themeColor="text1"/>
                <w:sz w:val="20"/>
                <w:szCs w:val="20"/>
              </w:rPr>
              <w:lastRenderedPageBreak/>
              <w:t>pagubelor și pierderilor post-dezastru, aliniată instrumentelor internaționale (DaLA/PDNA) și metodologiei GRADE a Băncii Mondiale precum si elaborarea de metodologii rapide de evaluare post-dezastru sectoriale, specifice riscurilor naturale si biologico-sociale</w:t>
            </w:r>
          </w:p>
        </w:tc>
        <w:tc>
          <w:tcPr>
            <w:tcW w:w="1701" w:type="dxa"/>
          </w:tcPr>
          <w:p w14:paraId="6D55ED1B" w14:textId="77777777" w:rsidR="0044508D" w:rsidRPr="00CD2ADD" w:rsidRDefault="0044508D" w:rsidP="0044508D">
            <w:pPr>
              <w:rPr>
                <w:color w:val="000000" w:themeColor="text1"/>
                <w:sz w:val="20"/>
                <w:szCs w:val="20"/>
              </w:rPr>
            </w:pPr>
            <w:r w:rsidRPr="00CD2ADD">
              <w:rPr>
                <w:color w:val="000000" w:themeColor="text1"/>
                <w:sz w:val="20"/>
                <w:szCs w:val="20"/>
              </w:rPr>
              <w:lastRenderedPageBreak/>
              <w:t xml:space="preserve">- Metodologie națională aprobată și aplicată în cel puțin 1 exercițiu </w:t>
            </w:r>
            <w:r w:rsidRPr="00CD2ADD">
              <w:rPr>
                <w:color w:val="000000" w:themeColor="text1"/>
                <w:sz w:val="20"/>
                <w:szCs w:val="20"/>
              </w:rPr>
              <w:lastRenderedPageBreak/>
              <w:t>pilot de evaluare post-dezastru (Da/Nu)</w:t>
            </w:r>
          </w:p>
          <w:p w14:paraId="147610A2" w14:textId="77777777" w:rsidR="0044508D" w:rsidRPr="00CD2ADD" w:rsidRDefault="0044508D" w:rsidP="0044508D">
            <w:pPr>
              <w:rPr>
                <w:color w:val="000000" w:themeColor="text1"/>
                <w:sz w:val="20"/>
                <w:szCs w:val="20"/>
              </w:rPr>
            </w:pPr>
            <w:r w:rsidRPr="00CD2ADD">
              <w:rPr>
                <w:color w:val="000000" w:themeColor="text1"/>
                <w:sz w:val="20"/>
                <w:szCs w:val="20"/>
              </w:rPr>
              <w:t xml:space="preserve">- 3 metodologii  de evaluare post-dezastru sectoriale pentru secetă, inundații, incendii de vegetație sau altele riscuri naturale și biologico sociale relevante elaborate, validate  </w:t>
            </w:r>
          </w:p>
        </w:tc>
        <w:tc>
          <w:tcPr>
            <w:tcW w:w="850" w:type="dxa"/>
          </w:tcPr>
          <w:p w14:paraId="1068D904" w14:textId="77777777" w:rsidR="0044508D" w:rsidRPr="00CD2ADD" w:rsidRDefault="0044508D" w:rsidP="0044508D">
            <w:pPr>
              <w:rPr>
                <w:color w:val="000000" w:themeColor="text1"/>
                <w:sz w:val="20"/>
                <w:szCs w:val="20"/>
              </w:rPr>
            </w:pPr>
            <w:r w:rsidRPr="00CD2ADD">
              <w:rPr>
                <w:color w:val="000000" w:themeColor="text1"/>
                <w:sz w:val="20"/>
                <w:szCs w:val="20"/>
              </w:rPr>
              <w:lastRenderedPageBreak/>
              <w:t>450</w:t>
            </w:r>
          </w:p>
        </w:tc>
        <w:tc>
          <w:tcPr>
            <w:tcW w:w="851" w:type="dxa"/>
          </w:tcPr>
          <w:p w14:paraId="215A30D7" w14:textId="77777777" w:rsidR="0044508D" w:rsidRPr="00CD2ADD" w:rsidRDefault="0044508D" w:rsidP="0044508D">
            <w:pPr>
              <w:rPr>
                <w:color w:val="000000" w:themeColor="text1"/>
                <w:sz w:val="20"/>
                <w:szCs w:val="20"/>
              </w:rPr>
            </w:pPr>
            <w:r w:rsidRPr="00CD2ADD">
              <w:rPr>
                <w:color w:val="000000" w:themeColor="text1"/>
                <w:sz w:val="20"/>
                <w:szCs w:val="20"/>
              </w:rPr>
              <w:t>450</w:t>
            </w:r>
          </w:p>
        </w:tc>
        <w:tc>
          <w:tcPr>
            <w:tcW w:w="709" w:type="dxa"/>
          </w:tcPr>
          <w:p w14:paraId="1C107F66" w14:textId="77777777" w:rsidR="0044508D" w:rsidRPr="00CD2ADD" w:rsidRDefault="0044508D" w:rsidP="0044508D">
            <w:pPr>
              <w:rPr>
                <w:color w:val="000000" w:themeColor="text1"/>
                <w:sz w:val="20"/>
                <w:szCs w:val="20"/>
              </w:rPr>
            </w:pPr>
          </w:p>
        </w:tc>
        <w:tc>
          <w:tcPr>
            <w:tcW w:w="992" w:type="dxa"/>
          </w:tcPr>
          <w:p w14:paraId="3FF436FC" w14:textId="77777777" w:rsidR="0044508D" w:rsidRPr="00CD2ADD" w:rsidRDefault="0044508D" w:rsidP="0044508D">
            <w:pPr>
              <w:rPr>
                <w:color w:val="000000" w:themeColor="text1"/>
                <w:sz w:val="20"/>
                <w:szCs w:val="20"/>
              </w:rPr>
            </w:pPr>
          </w:p>
        </w:tc>
        <w:tc>
          <w:tcPr>
            <w:tcW w:w="1134" w:type="dxa"/>
          </w:tcPr>
          <w:p w14:paraId="16EE2D9A" w14:textId="77777777" w:rsidR="0044508D" w:rsidRPr="00CD2ADD" w:rsidRDefault="0044508D" w:rsidP="0044508D">
            <w:pPr>
              <w:rPr>
                <w:color w:val="000000" w:themeColor="text1"/>
                <w:sz w:val="20"/>
                <w:szCs w:val="20"/>
              </w:rPr>
            </w:pPr>
            <w:r w:rsidRPr="00CD2ADD">
              <w:rPr>
                <w:color w:val="000000" w:themeColor="text1"/>
                <w:sz w:val="20"/>
                <w:szCs w:val="20"/>
              </w:rPr>
              <w:t>5101</w:t>
            </w:r>
          </w:p>
          <w:p w14:paraId="4A582E6F" w14:textId="77777777" w:rsidR="0044508D" w:rsidRPr="00CD2ADD" w:rsidRDefault="0044508D" w:rsidP="0044508D">
            <w:pPr>
              <w:rPr>
                <w:color w:val="000000" w:themeColor="text1"/>
                <w:sz w:val="20"/>
                <w:szCs w:val="20"/>
              </w:rPr>
            </w:pPr>
            <w:r w:rsidRPr="00CD2ADD">
              <w:rPr>
                <w:color w:val="000000" w:themeColor="text1"/>
                <w:sz w:val="20"/>
                <w:szCs w:val="20"/>
              </w:rPr>
              <w:t>5401</w:t>
            </w:r>
          </w:p>
          <w:p w14:paraId="33FA28B9" w14:textId="77777777" w:rsidR="0044508D" w:rsidRPr="00CD2ADD" w:rsidRDefault="0044508D" w:rsidP="0044508D">
            <w:pPr>
              <w:rPr>
                <w:color w:val="000000" w:themeColor="text1"/>
                <w:sz w:val="20"/>
                <w:szCs w:val="20"/>
              </w:rPr>
            </w:pPr>
            <w:r w:rsidRPr="00CD2ADD">
              <w:rPr>
                <w:color w:val="000000" w:themeColor="text1"/>
                <w:sz w:val="20"/>
                <w:szCs w:val="20"/>
              </w:rPr>
              <w:t>8001</w:t>
            </w:r>
          </w:p>
        </w:tc>
        <w:tc>
          <w:tcPr>
            <w:tcW w:w="709" w:type="dxa"/>
          </w:tcPr>
          <w:p w14:paraId="1EF9173A" w14:textId="77777777" w:rsidR="0044508D" w:rsidRPr="00CD2ADD" w:rsidRDefault="0044508D" w:rsidP="0044508D">
            <w:pPr>
              <w:rPr>
                <w:color w:val="000000" w:themeColor="text1"/>
                <w:sz w:val="20"/>
                <w:szCs w:val="20"/>
              </w:rPr>
            </w:pPr>
            <w:r w:rsidRPr="00CD2ADD">
              <w:rPr>
                <w:color w:val="000000" w:themeColor="text1"/>
                <w:sz w:val="20"/>
                <w:szCs w:val="20"/>
              </w:rPr>
              <w:t>150</w:t>
            </w:r>
          </w:p>
        </w:tc>
        <w:tc>
          <w:tcPr>
            <w:tcW w:w="708" w:type="dxa"/>
          </w:tcPr>
          <w:p w14:paraId="54FCD3A0" w14:textId="77777777" w:rsidR="0044508D" w:rsidRPr="00CD2ADD" w:rsidRDefault="0044508D" w:rsidP="0044508D">
            <w:pPr>
              <w:rPr>
                <w:color w:val="000000" w:themeColor="text1"/>
                <w:sz w:val="20"/>
                <w:szCs w:val="20"/>
              </w:rPr>
            </w:pPr>
            <w:r w:rsidRPr="00CD2ADD">
              <w:rPr>
                <w:color w:val="000000" w:themeColor="text1"/>
                <w:sz w:val="20"/>
                <w:szCs w:val="20"/>
              </w:rPr>
              <w:t>150</w:t>
            </w:r>
          </w:p>
        </w:tc>
        <w:tc>
          <w:tcPr>
            <w:tcW w:w="709" w:type="dxa"/>
          </w:tcPr>
          <w:p w14:paraId="024F8CE0" w14:textId="77777777" w:rsidR="0044508D" w:rsidRPr="00CD2ADD" w:rsidRDefault="0044508D" w:rsidP="0044508D">
            <w:pPr>
              <w:rPr>
                <w:color w:val="000000" w:themeColor="text1"/>
                <w:sz w:val="20"/>
                <w:szCs w:val="20"/>
              </w:rPr>
            </w:pPr>
            <w:r w:rsidRPr="00CD2ADD">
              <w:rPr>
                <w:color w:val="000000" w:themeColor="text1"/>
                <w:sz w:val="20"/>
                <w:szCs w:val="20"/>
              </w:rPr>
              <w:t>150</w:t>
            </w:r>
          </w:p>
        </w:tc>
        <w:tc>
          <w:tcPr>
            <w:tcW w:w="709" w:type="dxa"/>
          </w:tcPr>
          <w:p w14:paraId="40DC287E" w14:textId="77777777" w:rsidR="0044508D" w:rsidRPr="00CD2ADD" w:rsidRDefault="0044508D" w:rsidP="0044508D">
            <w:pPr>
              <w:rPr>
                <w:color w:val="000000" w:themeColor="text1"/>
                <w:sz w:val="20"/>
                <w:szCs w:val="20"/>
              </w:rPr>
            </w:pPr>
          </w:p>
        </w:tc>
        <w:tc>
          <w:tcPr>
            <w:tcW w:w="709" w:type="dxa"/>
          </w:tcPr>
          <w:p w14:paraId="590A4FAD" w14:textId="77777777" w:rsidR="0044508D" w:rsidRPr="00CD2ADD" w:rsidRDefault="0044508D" w:rsidP="0044508D">
            <w:pPr>
              <w:rPr>
                <w:color w:val="000000" w:themeColor="text1"/>
                <w:sz w:val="20"/>
                <w:szCs w:val="20"/>
              </w:rPr>
            </w:pPr>
          </w:p>
        </w:tc>
        <w:tc>
          <w:tcPr>
            <w:tcW w:w="1134" w:type="dxa"/>
          </w:tcPr>
          <w:p w14:paraId="7B9F91E3" w14:textId="77777777" w:rsidR="0044508D" w:rsidRPr="00CD2ADD" w:rsidRDefault="0044508D" w:rsidP="0044508D">
            <w:pPr>
              <w:rPr>
                <w:sz w:val="20"/>
                <w:szCs w:val="20"/>
              </w:rPr>
            </w:pPr>
            <w:r w:rsidRPr="00CD2ADD">
              <w:rPr>
                <w:sz w:val="20"/>
                <w:szCs w:val="20"/>
              </w:rPr>
              <w:t>Trim. IV 2027</w:t>
            </w:r>
          </w:p>
          <w:p w14:paraId="33AC9CD7" w14:textId="77777777" w:rsidR="0044508D" w:rsidRPr="00CD2ADD" w:rsidRDefault="0044508D" w:rsidP="0044508D">
            <w:pPr>
              <w:rPr>
                <w:sz w:val="20"/>
                <w:szCs w:val="20"/>
              </w:rPr>
            </w:pPr>
            <w:r w:rsidRPr="00CD2ADD">
              <w:rPr>
                <w:sz w:val="20"/>
                <w:szCs w:val="20"/>
              </w:rPr>
              <w:t>Trim. IV4 2028</w:t>
            </w:r>
          </w:p>
          <w:p w14:paraId="0009A2D3" w14:textId="77777777" w:rsidR="0044508D" w:rsidRPr="00CD2ADD" w:rsidRDefault="0044508D" w:rsidP="0044508D">
            <w:pPr>
              <w:rPr>
                <w:color w:val="000000" w:themeColor="text1"/>
                <w:sz w:val="20"/>
                <w:szCs w:val="20"/>
              </w:rPr>
            </w:pPr>
            <w:r w:rsidRPr="00CD2ADD">
              <w:rPr>
                <w:sz w:val="20"/>
                <w:szCs w:val="20"/>
              </w:rPr>
              <w:lastRenderedPageBreak/>
              <w:t>Trim IV 2029</w:t>
            </w:r>
          </w:p>
        </w:tc>
        <w:tc>
          <w:tcPr>
            <w:tcW w:w="1926" w:type="dxa"/>
          </w:tcPr>
          <w:p w14:paraId="0CB82D68" w14:textId="1822A0A1" w:rsidR="0044508D" w:rsidRPr="00CD2ADD" w:rsidRDefault="0044508D" w:rsidP="0044508D">
            <w:pPr>
              <w:rPr>
                <w:color w:val="000000" w:themeColor="text1"/>
                <w:sz w:val="20"/>
                <w:szCs w:val="20"/>
              </w:rPr>
            </w:pPr>
            <w:r w:rsidRPr="00CD2ADD">
              <w:rPr>
                <w:color w:val="000000" w:themeColor="text1"/>
                <w:sz w:val="20"/>
                <w:szCs w:val="20"/>
              </w:rPr>
              <w:lastRenderedPageBreak/>
              <w:t xml:space="preserve">Ministerul Mediului, Serviciul Hidrometeorologic de Stat, Agenția </w:t>
            </w:r>
            <w:r w:rsidRPr="00CD2ADD">
              <w:rPr>
                <w:color w:val="000000" w:themeColor="text1"/>
                <w:sz w:val="20"/>
                <w:szCs w:val="20"/>
              </w:rPr>
              <w:lastRenderedPageBreak/>
              <w:t xml:space="preserve">Moldsilva, IP AN Apele Moldovei, Agenția de Mediu, Ministerul Agriculturii si Industriei Alimentare, Ministerul Sănătății și APL-uri. </w:t>
            </w:r>
          </w:p>
        </w:tc>
      </w:tr>
      <w:tr w:rsidR="0044508D" w:rsidRPr="00CD2ADD" w14:paraId="0A8A8A8C" w14:textId="77777777" w:rsidTr="002C4956">
        <w:tc>
          <w:tcPr>
            <w:tcW w:w="514" w:type="dxa"/>
          </w:tcPr>
          <w:p w14:paraId="2F4FA595" w14:textId="77777777" w:rsidR="0044508D" w:rsidRPr="00CD2ADD" w:rsidRDefault="0044508D" w:rsidP="0044508D">
            <w:pPr>
              <w:rPr>
                <w:color w:val="000000" w:themeColor="text1"/>
                <w:sz w:val="20"/>
                <w:szCs w:val="20"/>
              </w:rPr>
            </w:pPr>
            <w:r w:rsidRPr="00CD2ADD">
              <w:rPr>
                <w:color w:val="000000" w:themeColor="text1"/>
                <w:sz w:val="20"/>
                <w:szCs w:val="20"/>
              </w:rPr>
              <w:lastRenderedPageBreak/>
              <w:t>38.</w:t>
            </w:r>
          </w:p>
        </w:tc>
        <w:tc>
          <w:tcPr>
            <w:tcW w:w="2033" w:type="dxa"/>
          </w:tcPr>
          <w:p w14:paraId="1D901420" w14:textId="77777777" w:rsidR="0044508D" w:rsidRPr="00CD2ADD" w:rsidRDefault="0044508D" w:rsidP="0044508D">
            <w:pPr>
              <w:rPr>
                <w:color w:val="000000" w:themeColor="text1"/>
                <w:sz w:val="20"/>
                <w:szCs w:val="20"/>
              </w:rPr>
            </w:pPr>
            <w:r w:rsidRPr="00CD2ADD">
              <w:rPr>
                <w:color w:val="000000" w:themeColor="text1"/>
                <w:sz w:val="20"/>
                <w:szCs w:val="20"/>
              </w:rPr>
              <w:t>4.2.2 Elaborarea și aprobarea unui pachet integrat de 3 metodologii sectoriale:</w:t>
            </w:r>
          </w:p>
          <w:p w14:paraId="3B60CC78" w14:textId="77777777" w:rsidR="0044508D" w:rsidRPr="00CD2ADD" w:rsidRDefault="0044508D" w:rsidP="0044508D">
            <w:pPr>
              <w:rPr>
                <w:color w:val="000000" w:themeColor="text1"/>
                <w:sz w:val="20"/>
                <w:szCs w:val="20"/>
              </w:rPr>
            </w:pPr>
            <w:r w:rsidRPr="00CD2ADD">
              <w:rPr>
                <w:color w:val="000000" w:themeColor="text1"/>
                <w:sz w:val="20"/>
                <w:szCs w:val="20"/>
              </w:rPr>
              <w:t>(i) metodologia privind managementul apelor pluviale;</w:t>
            </w:r>
          </w:p>
          <w:p w14:paraId="0B90DDF4" w14:textId="77777777" w:rsidR="0044508D" w:rsidRPr="00CD2ADD" w:rsidRDefault="0044508D" w:rsidP="0044508D">
            <w:pPr>
              <w:rPr>
                <w:color w:val="000000" w:themeColor="text1"/>
                <w:sz w:val="20"/>
                <w:szCs w:val="20"/>
              </w:rPr>
            </w:pPr>
            <w:r w:rsidRPr="00CD2ADD">
              <w:rPr>
                <w:color w:val="000000" w:themeColor="text1"/>
                <w:sz w:val="20"/>
                <w:szCs w:val="20"/>
              </w:rPr>
              <w:t>(ii) metodologia de gestionare a riscului de caniculă;</w:t>
            </w:r>
          </w:p>
          <w:p w14:paraId="4F9FA29F" w14:textId="593995CA" w:rsidR="0044508D" w:rsidRPr="00CD2ADD" w:rsidRDefault="0044508D" w:rsidP="0044508D">
            <w:pPr>
              <w:rPr>
                <w:color w:val="000000" w:themeColor="text1"/>
                <w:sz w:val="20"/>
                <w:szCs w:val="20"/>
              </w:rPr>
            </w:pPr>
          </w:p>
        </w:tc>
        <w:tc>
          <w:tcPr>
            <w:tcW w:w="1701" w:type="dxa"/>
          </w:tcPr>
          <w:p w14:paraId="3A2E8474" w14:textId="1F4DFCD3" w:rsidR="0044508D" w:rsidRPr="00CD2ADD" w:rsidRDefault="0044508D" w:rsidP="0044508D">
            <w:pPr>
              <w:rPr>
                <w:color w:val="000000" w:themeColor="text1"/>
                <w:sz w:val="20"/>
                <w:szCs w:val="20"/>
              </w:rPr>
            </w:pPr>
            <w:r w:rsidRPr="00CD2ADD">
              <w:rPr>
                <w:color w:val="000000" w:themeColor="text1"/>
                <w:sz w:val="20"/>
                <w:szCs w:val="20"/>
              </w:rPr>
              <w:t>- Pachet metodologic integrat elaborat și aprobat (2 documente tehnice validate)</w:t>
            </w:r>
          </w:p>
        </w:tc>
        <w:tc>
          <w:tcPr>
            <w:tcW w:w="850" w:type="dxa"/>
          </w:tcPr>
          <w:p w14:paraId="259C360D" w14:textId="77777777" w:rsidR="0044508D" w:rsidRPr="00CD2ADD" w:rsidRDefault="0044508D" w:rsidP="0044508D">
            <w:pPr>
              <w:rPr>
                <w:color w:val="000000" w:themeColor="text1"/>
                <w:sz w:val="20"/>
                <w:szCs w:val="20"/>
              </w:rPr>
            </w:pPr>
            <w:r w:rsidRPr="00CD2ADD">
              <w:rPr>
                <w:color w:val="000000" w:themeColor="text1"/>
                <w:sz w:val="20"/>
                <w:szCs w:val="20"/>
              </w:rPr>
              <w:t>450</w:t>
            </w:r>
          </w:p>
        </w:tc>
        <w:tc>
          <w:tcPr>
            <w:tcW w:w="851" w:type="dxa"/>
          </w:tcPr>
          <w:p w14:paraId="74D25761" w14:textId="77777777" w:rsidR="0044508D" w:rsidRPr="00CD2ADD" w:rsidRDefault="0044508D" w:rsidP="0044508D">
            <w:pPr>
              <w:rPr>
                <w:color w:val="000000" w:themeColor="text1"/>
                <w:sz w:val="20"/>
                <w:szCs w:val="20"/>
              </w:rPr>
            </w:pPr>
            <w:r w:rsidRPr="00CD2ADD">
              <w:rPr>
                <w:color w:val="000000" w:themeColor="text1"/>
                <w:sz w:val="20"/>
                <w:szCs w:val="20"/>
              </w:rPr>
              <w:t>450</w:t>
            </w:r>
          </w:p>
        </w:tc>
        <w:tc>
          <w:tcPr>
            <w:tcW w:w="709" w:type="dxa"/>
          </w:tcPr>
          <w:p w14:paraId="446F0918" w14:textId="77777777" w:rsidR="0044508D" w:rsidRPr="00CD2ADD" w:rsidRDefault="0044508D" w:rsidP="0044508D">
            <w:pPr>
              <w:rPr>
                <w:color w:val="000000" w:themeColor="text1"/>
                <w:sz w:val="20"/>
                <w:szCs w:val="20"/>
              </w:rPr>
            </w:pPr>
          </w:p>
        </w:tc>
        <w:tc>
          <w:tcPr>
            <w:tcW w:w="992" w:type="dxa"/>
          </w:tcPr>
          <w:p w14:paraId="72BCA413" w14:textId="77777777" w:rsidR="0044508D" w:rsidRPr="00CD2ADD" w:rsidRDefault="0044508D" w:rsidP="0044508D">
            <w:pPr>
              <w:rPr>
                <w:color w:val="000000" w:themeColor="text1"/>
                <w:sz w:val="20"/>
                <w:szCs w:val="20"/>
              </w:rPr>
            </w:pPr>
          </w:p>
        </w:tc>
        <w:tc>
          <w:tcPr>
            <w:tcW w:w="1134" w:type="dxa"/>
          </w:tcPr>
          <w:p w14:paraId="49EF5C3F" w14:textId="77777777" w:rsidR="0044508D" w:rsidRPr="00CD2ADD" w:rsidRDefault="0044508D" w:rsidP="0044508D">
            <w:pPr>
              <w:rPr>
                <w:color w:val="000000" w:themeColor="text1"/>
                <w:sz w:val="20"/>
                <w:szCs w:val="20"/>
              </w:rPr>
            </w:pPr>
            <w:r w:rsidRPr="00CD2ADD">
              <w:rPr>
                <w:color w:val="000000" w:themeColor="text1"/>
                <w:sz w:val="20"/>
                <w:szCs w:val="20"/>
              </w:rPr>
              <w:t>5101</w:t>
            </w:r>
          </w:p>
          <w:p w14:paraId="7EB2B3BA" w14:textId="77777777" w:rsidR="0044508D" w:rsidRPr="00CD2ADD" w:rsidRDefault="0044508D" w:rsidP="0044508D">
            <w:pPr>
              <w:rPr>
                <w:color w:val="000000" w:themeColor="text1"/>
                <w:sz w:val="20"/>
                <w:szCs w:val="20"/>
              </w:rPr>
            </w:pPr>
            <w:r w:rsidRPr="00CD2ADD">
              <w:rPr>
                <w:color w:val="000000" w:themeColor="text1"/>
                <w:sz w:val="20"/>
                <w:szCs w:val="20"/>
              </w:rPr>
              <w:t>5401</w:t>
            </w:r>
          </w:p>
          <w:p w14:paraId="28A5D46B" w14:textId="77777777" w:rsidR="0044508D" w:rsidRPr="00CD2ADD" w:rsidRDefault="0044508D" w:rsidP="0044508D">
            <w:pPr>
              <w:rPr>
                <w:color w:val="000000" w:themeColor="text1"/>
                <w:sz w:val="20"/>
                <w:szCs w:val="20"/>
              </w:rPr>
            </w:pPr>
            <w:r w:rsidRPr="00CD2ADD">
              <w:rPr>
                <w:color w:val="000000" w:themeColor="text1"/>
                <w:sz w:val="20"/>
                <w:szCs w:val="20"/>
              </w:rPr>
              <w:t>8001</w:t>
            </w:r>
          </w:p>
        </w:tc>
        <w:tc>
          <w:tcPr>
            <w:tcW w:w="709" w:type="dxa"/>
          </w:tcPr>
          <w:p w14:paraId="7CD2CB6F" w14:textId="77777777" w:rsidR="0044508D" w:rsidRPr="00CD2ADD" w:rsidRDefault="0044508D" w:rsidP="0044508D">
            <w:pPr>
              <w:rPr>
                <w:color w:val="000000" w:themeColor="text1"/>
                <w:sz w:val="20"/>
                <w:szCs w:val="20"/>
              </w:rPr>
            </w:pPr>
            <w:r w:rsidRPr="00CD2ADD">
              <w:rPr>
                <w:color w:val="000000" w:themeColor="text1"/>
                <w:sz w:val="20"/>
                <w:szCs w:val="20"/>
              </w:rPr>
              <w:t>150</w:t>
            </w:r>
          </w:p>
        </w:tc>
        <w:tc>
          <w:tcPr>
            <w:tcW w:w="708" w:type="dxa"/>
          </w:tcPr>
          <w:p w14:paraId="3DD354DD" w14:textId="77777777" w:rsidR="0044508D" w:rsidRPr="00CD2ADD" w:rsidRDefault="0044508D" w:rsidP="0044508D">
            <w:pPr>
              <w:rPr>
                <w:color w:val="000000" w:themeColor="text1"/>
                <w:sz w:val="20"/>
                <w:szCs w:val="20"/>
              </w:rPr>
            </w:pPr>
            <w:r w:rsidRPr="00CD2ADD">
              <w:rPr>
                <w:color w:val="000000" w:themeColor="text1"/>
                <w:sz w:val="20"/>
                <w:szCs w:val="20"/>
              </w:rPr>
              <w:t>150</w:t>
            </w:r>
          </w:p>
        </w:tc>
        <w:tc>
          <w:tcPr>
            <w:tcW w:w="709" w:type="dxa"/>
          </w:tcPr>
          <w:p w14:paraId="6F6B7FB8" w14:textId="77777777" w:rsidR="0044508D" w:rsidRPr="00CD2ADD" w:rsidRDefault="0044508D" w:rsidP="0044508D">
            <w:pPr>
              <w:rPr>
                <w:color w:val="000000" w:themeColor="text1"/>
                <w:sz w:val="20"/>
                <w:szCs w:val="20"/>
              </w:rPr>
            </w:pPr>
            <w:r w:rsidRPr="00CD2ADD">
              <w:rPr>
                <w:color w:val="000000" w:themeColor="text1"/>
                <w:sz w:val="20"/>
                <w:szCs w:val="20"/>
              </w:rPr>
              <w:t>150</w:t>
            </w:r>
          </w:p>
        </w:tc>
        <w:tc>
          <w:tcPr>
            <w:tcW w:w="709" w:type="dxa"/>
          </w:tcPr>
          <w:p w14:paraId="0A0FA318" w14:textId="77777777" w:rsidR="0044508D" w:rsidRPr="00CD2ADD" w:rsidRDefault="0044508D" w:rsidP="0044508D">
            <w:pPr>
              <w:rPr>
                <w:color w:val="000000" w:themeColor="text1"/>
                <w:sz w:val="20"/>
                <w:szCs w:val="20"/>
              </w:rPr>
            </w:pPr>
          </w:p>
        </w:tc>
        <w:tc>
          <w:tcPr>
            <w:tcW w:w="709" w:type="dxa"/>
          </w:tcPr>
          <w:p w14:paraId="14F07CE7" w14:textId="77777777" w:rsidR="0044508D" w:rsidRPr="00CD2ADD" w:rsidRDefault="0044508D" w:rsidP="0044508D">
            <w:pPr>
              <w:rPr>
                <w:color w:val="000000" w:themeColor="text1"/>
                <w:sz w:val="20"/>
                <w:szCs w:val="20"/>
              </w:rPr>
            </w:pPr>
          </w:p>
        </w:tc>
        <w:tc>
          <w:tcPr>
            <w:tcW w:w="1134" w:type="dxa"/>
          </w:tcPr>
          <w:p w14:paraId="68F471B2" w14:textId="77777777" w:rsidR="0044508D" w:rsidRPr="00CD2ADD" w:rsidRDefault="0044508D" w:rsidP="0044508D">
            <w:pPr>
              <w:rPr>
                <w:color w:val="000000" w:themeColor="text1"/>
                <w:sz w:val="20"/>
                <w:szCs w:val="20"/>
              </w:rPr>
            </w:pPr>
          </w:p>
        </w:tc>
        <w:tc>
          <w:tcPr>
            <w:tcW w:w="1926" w:type="dxa"/>
          </w:tcPr>
          <w:p w14:paraId="04BABA52" w14:textId="0731432A" w:rsidR="0044508D" w:rsidRPr="00CD2ADD" w:rsidRDefault="0044508D" w:rsidP="0044508D">
            <w:pPr>
              <w:rPr>
                <w:color w:val="000000" w:themeColor="text1"/>
                <w:sz w:val="20"/>
                <w:szCs w:val="20"/>
              </w:rPr>
            </w:pPr>
            <w:r w:rsidRPr="00CD2ADD">
              <w:rPr>
                <w:color w:val="000000" w:themeColor="text1"/>
                <w:sz w:val="20"/>
                <w:szCs w:val="20"/>
              </w:rPr>
              <w:t>Ministerul Mediului, Serviciul Hidrometeorologic de Stat, Agenția Moldsilva, IP AN Apele Moldovei, Agenția de Mediu, Ministerul Agriculturii si Industriei Alimentare, Ministerul Infrastructurii si Dezvoltării Regionale, Ministerul Sănătății și APL-uri.</w:t>
            </w:r>
          </w:p>
        </w:tc>
      </w:tr>
      <w:tr w:rsidR="0044508D" w:rsidRPr="00CD2ADD" w14:paraId="537F46E8" w14:textId="77777777" w:rsidTr="002C4956">
        <w:tc>
          <w:tcPr>
            <w:tcW w:w="514" w:type="dxa"/>
          </w:tcPr>
          <w:p w14:paraId="7FF1DD85" w14:textId="77777777" w:rsidR="0044508D" w:rsidRPr="00CD2ADD" w:rsidRDefault="0044508D" w:rsidP="0044508D">
            <w:pPr>
              <w:rPr>
                <w:color w:val="000000" w:themeColor="text1"/>
                <w:sz w:val="20"/>
                <w:szCs w:val="20"/>
              </w:rPr>
            </w:pPr>
            <w:r w:rsidRPr="00CD2ADD">
              <w:rPr>
                <w:color w:val="000000" w:themeColor="text1"/>
                <w:sz w:val="20"/>
                <w:szCs w:val="20"/>
              </w:rPr>
              <w:lastRenderedPageBreak/>
              <w:t>39.</w:t>
            </w:r>
          </w:p>
        </w:tc>
        <w:tc>
          <w:tcPr>
            <w:tcW w:w="2033" w:type="dxa"/>
          </w:tcPr>
          <w:p w14:paraId="7CCC2E26" w14:textId="77777777" w:rsidR="0044508D" w:rsidRPr="00CD2ADD" w:rsidRDefault="0044508D" w:rsidP="0044508D">
            <w:pPr>
              <w:rPr>
                <w:color w:val="000000" w:themeColor="text1"/>
                <w:sz w:val="20"/>
                <w:szCs w:val="20"/>
              </w:rPr>
            </w:pPr>
            <w:r w:rsidRPr="00CD2ADD">
              <w:rPr>
                <w:color w:val="000000" w:themeColor="text1"/>
                <w:sz w:val="20"/>
                <w:szCs w:val="20"/>
              </w:rPr>
              <w:t>4.2.3 Elaborarea și validarea unui Template/model standardizat pentru Planul de continuitate a activităților critice în situații de inundații și secetă, aplicabil instituțiilor publice și operatorilor economici din sectorul de mediu si sănătate</w:t>
            </w:r>
          </w:p>
        </w:tc>
        <w:tc>
          <w:tcPr>
            <w:tcW w:w="1701" w:type="dxa"/>
          </w:tcPr>
          <w:p w14:paraId="40136B4E" w14:textId="77777777" w:rsidR="0044508D" w:rsidRPr="00CD2ADD" w:rsidRDefault="0044508D" w:rsidP="0044508D">
            <w:pPr>
              <w:rPr>
                <w:color w:val="000000" w:themeColor="text1"/>
                <w:sz w:val="20"/>
                <w:szCs w:val="20"/>
              </w:rPr>
            </w:pPr>
            <w:r w:rsidRPr="00CD2ADD">
              <w:rPr>
                <w:color w:val="000000" w:themeColor="text1"/>
                <w:sz w:val="20"/>
                <w:szCs w:val="20"/>
              </w:rPr>
              <w:t>- Modelul național pentru planurile de continuitate elaborat și validat (1 Template operațional aprobat)</w:t>
            </w:r>
          </w:p>
        </w:tc>
        <w:tc>
          <w:tcPr>
            <w:tcW w:w="850" w:type="dxa"/>
          </w:tcPr>
          <w:p w14:paraId="440860C8" w14:textId="77777777" w:rsidR="0044508D" w:rsidRPr="00CD2ADD" w:rsidRDefault="0044508D" w:rsidP="0044508D">
            <w:pPr>
              <w:rPr>
                <w:color w:val="000000" w:themeColor="text1"/>
                <w:sz w:val="20"/>
                <w:szCs w:val="20"/>
              </w:rPr>
            </w:pPr>
            <w:r w:rsidRPr="00CD2ADD">
              <w:rPr>
                <w:color w:val="000000" w:themeColor="text1"/>
                <w:sz w:val="20"/>
                <w:szCs w:val="20"/>
              </w:rPr>
              <w:t>150</w:t>
            </w:r>
          </w:p>
        </w:tc>
        <w:tc>
          <w:tcPr>
            <w:tcW w:w="851" w:type="dxa"/>
          </w:tcPr>
          <w:p w14:paraId="1075C382" w14:textId="39ED65D5" w:rsidR="0044508D" w:rsidRPr="00CD2ADD" w:rsidRDefault="0044508D" w:rsidP="0044508D">
            <w:pPr>
              <w:rPr>
                <w:color w:val="000000" w:themeColor="text1"/>
                <w:sz w:val="20"/>
                <w:szCs w:val="20"/>
              </w:rPr>
            </w:pPr>
            <w:r w:rsidRPr="00CD2ADD">
              <w:rPr>
                <w:color w:val="000000" w:themeColor="text1"/>
                <w:sz w:val="20"/>
                <w:szCs w:val="20"/>
              </w:rPr>
              <w:t>150</w:t>
            </w:r>
          </w:p>
        </w:tc>
        <w:tc>
          <w:tcPr>
            <w:tcW w:w="709" w:type="dxa"/>
          </w:tcPr>
          <w:p w14:paraId="10DA0674" w14:textId="77777777" w:rsidR="0044508D" w:rsidRPr="00CD2ADD" w:rsidRDefault="0044508D" w:rsidP="0044508D">
            <w:pPr>
              <w:rPr>
                <w:color w:val="000000" w:themeColor="text1"/>
                <w:sz w:val="20"/>
                <w:szCs w:val="20"/>
              </w:rPr>
            </w:pPr>
          </w:p>
        </w:tc>
        <w:tc>
          <w:tcPr>
            <w:tcW w:w="992" w:type="dxa"/>
          </w:tcPr>
          <w:p w14:paraId="17365AC6" w14:textId="77777777" w:rsidR="0044508D" w:rsidRPr="00CD2ADD" w:rsidRDefault="0044508D" w:rsidP="0044508D">
            <w:pPr>
              <w:rPr>
                <w:color w:val="000000" w:themeColor="text1"/>
                <w:sz w:val="20"/>
                <w:szCs w:val="20"/>
              </w:rPr>
            </w:pPr>
          </w:p>
        </w:tc>
        <w:tc>
          <w:tcPr>
            <w:tcW w:w="1134" w:type="dxa"/>
          </w:tcPr>
          <w:p w14:paraId="1B450E1C" w14:textId="77777777" w:rsidR="0044508D" w:rsidRPr="00CD2ADD" w:rsidRDefault="0044508D" w:rsidP="0044508D">
            <w:pPr>
              <w:rPr>
                <w:color w:val="000000" w:themeColor="text1"/>
                <w:sz w:val="20"/>
                <w:szCs w:val="20"/>
              </w:rPr>
            </w:pPr>
            <w:r w:rsidRPr="00CD2ADD">
              <w:rPr>
                <w:color w:val="000000" w:themeColor="text1"/>
                <w:sz w:val="20"/>
                <w:szCs w:val="20"/>
              </w:rPr>
              <w:t>7001</w:t>
            </w:r>
          </w:p>
        </w:tc>
        <w:tc>
          <w:tcPr>
            <w:tcW w:w="709" w:type="dxa"/>
          </w:tcPr>
          <w:p w14:paraId="433B1A25" w14:textId="77777777" w:rsidR="0044508D" w:rsidRPr="00CD2ADD" w:rsidRDefault="0044508D" w:rsidP="0044508D">
            <w:pPr>
              <w:rPr>
                <w:color w:val="000000" w:themeColor="text1"/>
                <w:sz w:val="20"/>
                <w:szCs w:val="20"/>
              </w:rPr>
            </w:pPr>
          </w:p>
        </w:tc>
        <w:tc>
          <w:tcPr>
            <w:tcW w:w="708" w:type="dxa"/>
          </w:tcPr>
          <w:p w14:paraId="4D66CC57" w14:textId="77777777" w:rsidR="0044508D" w:rsidRPr="00CD2ADD" w:rsidRDefault="0044508D" w:rsidP="0044508D">
            <w:pPr>
              <w:rPr>
                <w:color w:val="000000" w:themeColor="text1"/>
                <w:sz w:val="20"/>
                <w:szCs w:val="20"/>
              </w:rPr>
            </w:pPr>
          </w:p>
        </w:tc>
        <w:tc>
          <w:tcPr>
            <w:tcW w:w="709" w:type="dxa"/>
          </w:tcPr>
          <w:p w14:paraId="7BBA09B5" w14:textId="77777777" w:rsidR="0044508D" w:rsidRPr="00CD2ADD" w:rsidRDefault="0044508D" w:rsidP="0044508D">
            <w:pPr>
              <w:rPr>
                <w:color w:val="000000" w:themeColor="text1"/>
                <w:sz w:val="20"/>
                <w:szCs w:val="20"/>
              </w:rPr>
            </w:pPr>
            <w:r w:rsidRPr="00CD2ADD">
              <w:rPr>
                <w:color w:val="000000" w:themeColor="text1"/>
                <w:sz w:val="20"/>
                <w:szCs w:val="20"/>
              </w:rPr>
              <w:t>150</w:t>
            </w:r>
          </w:p>
        </w:tc>
        <w:tc>
          <w:tcPr>
            <w:tcW w:w="709" w:type="dxa"/>
          </w:tcPr>
          <w:p w14:paraId="2B13585F" w14:textId="77777777" w:rsidR="0044508D" w:rsidRPr="00CD2ADD" w:rsidRDefault="0044508D" w:rsidP="0044508D">
            <w:pPr>
              <w:rPr>
                <w:color w:val="000000" w:themeColor="text1"/>
                <w:sz w:val="20"/>
                <w:szCs w:val="20"/>
              </w:rPr>
            </w:pPr>
          </w:p>
        </w:tc>
        <w:tc>
          <w:tcPr>
            <w:tcW w:w="709" w:type="dxa"/>
          </w:tcPr>
          <w:p w14:paraId="2031F27B" w14:textId="77777777" w:rsidR="0044508D" w:rsidRPr="00CD2ADD" w:rsidRDefault="0044508D" w:rsidP="0044508D">
            <w:pPr>
              <w:rPr>
                <w:color w:val="000000" w:themeColor="text1"/>
                <w:sz w:val="20"/>
                <w:szCs w:val="20"/>
              </w:rPr>
            </w:pPr>
          </w:p>
        </w:tc>
        <w:tc>
          <w:tcPr>
            <w:tcW w:w="1134" w:type="dxa"/>
          </w:tcPr>
          <w:p w14:paraId="3730147A" w14:textId="77777777" w:rsidR="0044508D" w:rsidRPr="00CD2ADD" w:rsidRDefault="0044508D" w:rsidP="0044508D">
            <w:pPr>
              <w:rPr>
                <w:sz w:val="20"/>
                <w:szCs w:val="20"/>
              </w:rPr>
            </w:pPr>
            <w:r w:rsidRPr="00CD2ADD">
              <w:rPr>
                <w:sz w:val="20"/>
                <w:szCs w:val="20"/>
              </w:rPr>
              <w:t>Trim. IV4 2028</w:t>
            </w:r>
          </w:p>
          <w:p w14:paraId="4A8E6436" w14:textId="77777777" w:rsidR="0044508D" w:rsidRPr="00CD2ADD" w:rsidRDefault="0044508D" w:rsidP="0044508D">
            <w:pPr>
              <w:rPr>
                <w:color w:val="000000" w:themeColor="text1"/>
                <w:sz w:val="20"/>
                <w:szCs w:val="20"/>
              </w:rPr>
            </w:pPr>
          </w:p>
        </w:tc>
        <w:tc>
          <w:tcPr>
            <w:tcW w:w="1926" w:type="dxa"/>
          </w:tcPr>
          <w:p w14:paraId="53A747EE" w14:textId="056AEC45" w:rsidR="0044508D" w:rsidRPr="00CD2ADD" w:rsidRDefault="0044508D" w:rsidP="0044508D">
            <w:pPr>
              <w:rPr>
                <w:color w:val="000000" w:themeColor="text1"/>
                <w:sz w:val="20"/>
                <w:szCs w:val="20"/>
              </w:rPr>
            </w:pPr>
            <w:r w:rsidRPr="00CD2ADD">
              <w:rPr>
                <w:color w:val="000000" w:themeColor="text1"/>
                <w:sz w:val="20"/>
                <w:szCs w:val="20"/>
              </w:rPr>
              <w:t>Ministerul Mediului, Serviciul Hidrometeorologic de Stat, Agenția Moldsilva, IP AN Apele Moldovei, Agenția de Mediu, Ministerul Agriculturii si Industriei Alimentare, Ministerul Infrastructurii si Dezvoltării Regionale, Ministerul Sănătății și APL-uri.</w:t>
            </w:r>
          </w:p>
        </w:tc>
      </w:tr>
      <w:tr w:rsidR="0044508D" w:rsidRPr="00CD2ADD" w14:paraId="22783B57" w14:textId="77777777" w:rsidTr="002C4956">
        <w:tc>
          <w:tcPr>
            <w:tcW w:w="514" w:type="dxa"/>
          </w:tcPr>
          <w:p w14:paraId="54D01D21" w14:textId="77777777" w:rsidR="0044508D" w:rsidRPr="00CD2ADD" w:rsidRDefault="0044508D" w:rsidP="0044508D">
            <w:pPr>
              <w:rPr>
                <w:color w:val="000000" w:themeColor="text1"/>
                <w:sz w:val="20"/>
                <w:szCs w:val="20"/>
              </w:rPr>
            </w:pPr>
            <w:r w:rsidRPr="00CD2ADD">
              <w:rPr>
                <w:color w:val="000000" w:themeColor="text1"/>
                <w:sz w:val="20"/>
                <w:szCs w:val="20"/>
              </w:rPr>
              <w:t>40.</w:t>
            </w:r>
          </w:p>
        </w:tc>
        <w:tc>
          <w:tcPr>
            <w:tcW w:w="2033" w:type="dxa"/>
          </w:tcPr>
          <w:p w14:paraId="4EFA5593" w14:textId="77777777" w:rsidR="0044508D" w:rsidRPr="00CD2ADD" w:rsidRDefault="0044508D" w:rsidP="0044508D">
            <w:pPr>
              <w:rPr>
                <w:color w:val="000000" w:themeColor="text1"/>
                <w:sz w:val="20"/>
                <w:szCs w:val="20"/>
              </w:rPr>
            </w:pPr>
            <w:r w:rsidRPr="00CD2ADD">
              <w:rPr>
                <w:color w:val="000000" w:themeColor="text1"/>
                <w:sz w:val="20"/>
                <w:szCs w:val="20"/>
              </w:rPr>
              <w:t>4.2.4 Elaborarea și aprobarea unui cadru metodologic pentru reconstrucție și restabilire „Build Back Better” (BBB), care să includă criterii, protocoale și ghiduri tehnice pentru declanșarea, planificarea și implementarea restabilirii durabile, inclusiv pentru infrastructuri critice, ecosisteme și locuințe.</w:t>
            </w:r>
          </w:p>
        </w:tc>
        <w:tc>
          <w:tcPr>
            <w:tcW w:w="1701" w:type="dxa"/>
          </w:tcPr>
          <w:p w14:paraId="74B1D964" w14:textId="77777777" w:rsidR="0044508D" w:rsidRPr="00CD2ADD" w:rsidRDefault="0044508D" w:rsidP="0044508D">
            <w:pPr>
              <w:rPr>
                <w:color w:val="000000" w:themeColor="text1"/>
                <w:sz w:val="20"/>
                <w:szCs w:val="20"/>
              </w:rPr>
            </w:pPr>
            <w:r w:rsidRPr="00CD2ADD">
              <w:rPr>
                <w:color w:val="000000" w:themeColor="text1"/>
                <w:sz w:val="20"/>
                <w:szCs w:val="20"/>
              </w:rPr>
              <w:t>- Cadru metodologic național elaborat și aprobat prin Ordin interministerial  (Da/Nu)</w:t>
            </w:r>
          </w:p>
          <w:p w14:paraId="65EDCE3B" w14:textId="77777777" w:rsidR="0044508D" w:rsidRPr="00CD2ADD" w:rsidRDefault="0044508D" w:rsidP="0044508D">
            <w:pPr>
              <w:rPr>
                <w:color w:val="000000" w:themeColor="text1"/>
                <w:sz w:val="20"/>
                <w:szCs w:val="20"/>
              </w:rPr>
            </w:pPr>
          </w:p>
          <w:p w14:paraId="6F0DA5D7" w14:textId="77777777" w:rsidR="0044508D" w:rsidRPr="00CD2ADD" w:rsidRDefault="0044508D" w:rsidP="0044508D">
            <w:pPr>
              <w:rPr>
                <w:color w:val="000000" w:themeColor="text1"/>
                <w:sz w:val="20"/>
                <w:szCs w:val="20"/>
              </w:rPr>
            </w:pPr>
          </w:p>
        </w:tc>
        <w:tc>
          <w:tcPr>
            <w:tcW w:w="850" w:type="dxa"/>
          </w:tcPr>
          <w:p w14:paraId="79A02555" w14:textId="77777777" w:rsidR="0044508D" w:rsidRPr="00CD2ADD" w:rsidRDefault="0044508D" w:rsidP="0044508D">
            <w:pPr>
              <w:rPr>
                <w:color w:val="000000" w:themeColor="text1"/>
                <w:sz w:val="20"/>
                <w:szCs w:val="20"/>
              </w:rPr>
            </w:pPr>
            <w:r w:rsidRPr="00CD2ADD">
              <w:rPr>
                <w:color w:val="000000" w:themeColor="text1"/>
                <w:sz w:val="20"/>
                <w:szCs w:val="20"/>
              </w:rPr>
              <w:t>200</w:t>
            </w:r>
          </w:p>
        </w:tc>
        <w:tc>
          <w:tcPr>
            <w:tcW w:w="851" w:type="dxa"/>
          </w:tcPr>
          <w:p w14:paraId="0FC53461" w14:textId="77777777" w:rsidR="0044508D" w:rsidRPr="00CD2ADD" w:rsidRDefault="0044508D" w:rsidP="0044508D">
            <w:pPr>
              <w:rPr>
                <w:color w:val="000000" w:themeColor="text1"/>
                <w:sz w:val="20"/>
                <w:szCs w:val="20"/>
              </w:rPr>
            </w:pPr>
            <w:r w:rsidRPr="00CD2ADD">
              <w:rPr>
                <w:color w:val="000000" w:themeColor="text1"/>
                <w:sz w:val="20"/>
                <w:szCs w:val="20"/>
              </w:rPr>
              <w:t>200</w:t>
            </w:r>
          </w:p>
        </w:tc>
        <w:tc>
          <w:tcPr>
            <w:tcW w:w="709" w:type="dxa"/>
          </w:tcPr>
          <w:p w14:paraId="1B772284" w14:textId="77777777" w:rsidR="0044508D" w:rsidRPr="00CD2ADD" w:rsidRDefault="0044508D" w:rsidP="0044508D">
            <w:pPr>
              <w:rPr>
                <w:color w:val="000000" w:themeColor="text1"/>
                <w:sz w:val="20"/>
                <w:szCs w:val="20"/>
              </w:rPr>
            </w:pPr>
          </w:p>
        </w:tc>
        <w:tc>
          <w:tcPr>
            <w:tcW w:w="992" w:type="dxa"/>
          </w:tcPr>
          <w:p w14:paraId="4473DB0C" w14:textId="77777777" w:rsidR="0044508D" w:rsidRPr="00CD2ADD" w:rsidRDefault="0044508D" w:rsidP="0044508D">
            <w:pPr>
              <w:rPr>
                <w:color w:val="000000" w:themeColor="text1"/>
                <w:sz w:val="20"/>
                <w:szCs w:val="20"/>
              </w:rPr>
            </w:pPr>
          </w:p>
        </w:tc>
        <w:tc>
          <w:tcPr>
            <w:tcW w:w="1134" w:type="dxa"/>
          </w:tcPr>
          <w:p w14:paraId="2BA744EF" w14:textId="77777777" w:rsidR="0044508D" w:rsidRPr="00CD2ADD" w:rsidRDefault="0044508D" w:rsidP="0044508D">
            <w:pPr>
              <w:rPr>
                <w:color w:val="000000" w:themeColor="text1"/>
                <w:sz w:val="20"/>
                <w:szCs w:val="20"/>
              </w:rPr>
            </w:pPr>
            <w:r w:rsidRPr="00CD2ADD">
              <w:rPr>
                <w:color w:val="000000" w:themeColor="text1"/>
                <w:sz w:val="20"/>
                <w:szCs w:val="20"/>
              </w:rPr>
              <w:t>7001</w:t>
            </w:r>
          </w:p>
        </w:tc>
        <w:tc>
          <w:tcPr>
            <w:tcW w:w="709" w:type="dxa"/>
          </w:tcPr>
          <w:p w14:paraId="4B0C5C0A" w14:textId="77777777" w:rsidR="0044508D" w:rsidRPr="00CD2ADD" w:rsidRDefault="0044508D" w:rsidP="0044508D">
            <w:pPr>
              <w:rPr>
                <w:color w:val="000000" w:themeColor="text1"/>
                <w:sz w:val="20"/>
                <w:szCs w:val="20"/>
              </w:rPr>
            </w:pPr>
          </w:p>
        </w:tc>
        <w:tc>
          <w:tcPr>
            <w:tcW w:w="708" w:type="dxa"/>
          </w:tcPr>
          <w:p w14:paraId="3433D5F5" w14:textId="77777777" w:rsidR="0044508D" w:rsidRPr="00CD2ADD" w:rsidRDefault="0044508D" w:rsidP="0044508D">
            <w:pPr>
              <w:rPr>
                <w:color w:val="000000" w:themeColor="text1"/>
                <w:sz w:val="20"/>
                <w:szCs w:val="20"/>
              </w:rPr>
            </w:pPr>
          </w:p>
        </w:tc>
        <w:tc>
          <w:tcPr>
            <w:tcW w:w="709" w:type="dxa"/>
          </w:tcPr>
          <w:p w14:paraId="43A3E82D" w14:textId="77777777" w:rsidR="0044508D" w:rsidRPr="00CD2ADD" w:rsidRDefault="0044508D" w:rsidP="0044508D">
            <w:pPr>
              <w:rPr>
                <w:color w:val="000000" w:themeColor="text1"/>
                <w:sz w:val="20"/>
                <w:szCs w:val="20"/>
              </w:rPr>
            </w:pPr>
            <w:r w:rsidRPr="00CD2ADD">
              <w:rPr>
                <w:color w:val="000000" w:themeColor="text1"/>
                <w:sz w:val="20"/>
                <w:szCs w:val="20"/>
              </w:rPr>
              <w:t>200</w:t>
            </w:r>
          </w:p>
        </w:tc>
        <w:tc>
          <w:tcPr>
            <w:tcW w:w="709" w:type="dxa"/>
          </w:tcPr>
          <w:p w14:paraId="020EEDD4" w14:textId="77777777" w:rsidR="0044508D" w:rsidRPr="00CD2ADD" w:rsidRDefault="0044508D" w:rsidP="0044508D">
            <w:pPr>
              <w:rPr>
                <w:color w:val="000000" w:themeColor="text1"/>
                <w:sz w:val="20"/>
                <w:szCs w:val="20"/>
              </w:rPr>
            </w:pPr>
          </w:p>
        </w:tc>
        <w:tc>
          <w:tcPr>
            <w:tcW w:w="709" w:type="dxa"/>
          </w:tcPr>
          <w:p w14:paraId="11C68B93" w14:textId="77777777" w:rsidR="0044508D" w:rsidRPr="00CD2ADD" w:rsidRDefault="0044508D" w:rsidP="0044508D">
            <w:pPr>
              <w:rPr>
                <w:color w:val="000000" w:themeColor="text1"/>
                <w:sz w:val="20"/>
                <w:szCs w:val="20"/>
              </w:rPr>
            </w:pPr>
          </w:p>
        </w:tc>
        <w:tc>
          <w:tcPr>
            <w:tcW w:w="1134" w:type="dxa"/>
          </w:tcPr>
          <w:p w14:paraId="08E54AAB" w14:textId="77777777" w:rsidR="0044508D" w:rsidRPr="00CD2ADD" w:rsidRDefault="0044508D" w:rsidP="0044508D">
            <w:pPr>
              <w:rPr>
                <w:sz w:val="20"/>
                <w:szCs w:val="20"/>
              </w:rPr>
            </w:pPr>
          </w:p>
        </w:tc>
        <w:tc>
          <w:tcPr>
            <w:tcW w:w="1926" w:type="dxa"/>
          </w:tcPr>
          <w:p w14:paraId="5F6E3871" w14:textId="6161D252" w:rsidR="0044508D" w:rsidRPr="00CD2ADD" w:rsidRDefault="0044508D" w:rsidP="0044508D">
            <w:pPr>
              <w:rPr>
                <w:color w:val="000000" w:themeColor="text1"/>
                <w:sz w:val="20"/>
                <w:szCs w:val="20"/>
              </w:rPr>
            </w:pPr>
            <w:r w:rsidRPr="00CD2ADD">
              <w:rPr>
                <w:color w:val="000000" w:themeColor="text1"/>
                <w:sz w:val="20"/>
                <w:szCs w:val="20"/>
              </w:rPr>
              <w:t>Ministerul Mediului, Serviciul Hidrometeorologic de Stat, Moldsilva, IP AN Apele Moldovei, Agenția de Mediu, Ministerul Agriculturii si Industriei Alimentare, Ministerul Infrastructurii si Dezvoltării Regionale, Ministerul Sănătății și APL-uri.</w:t>
            </w:r>
          </w:p>
        </w:tc>
      </w:tr>
      <w:tr w:rsidR="0044508D" w:rsidRPr="00CD2ADD" w14:paraId="3CA511FB" w14:textId="77777777" w:rsidTr="002C4956">
        <w:tc>
          <w:tcPr>
            <w:tcW w:w="514" w:type="dxa"/>
          </w:tcPr>
          <w:p w14:paraId="79894ED8" w14:textId="77777777" w:rsidR="0044508D" w:rsidRPr="00CD2ADD" w:rsidRDefault="0044508D" w:rsidP="0044508D">
            <w:pPr>
              <w:rPr>
                <w:color w:val="000000" w:themeColor="text1"/>
                <w:sz w:val="20"/>
                <w:szCs w:val="20"/>
              </w:rPr>
            </w:pPr>
            <w:r w:rsidRPr="00CD2ADD">
              <w:rPr>
                <w:color w:val="000000" w:themeColor="text1"/>
                <w:sz w:val="20"/>
                <w:szCs w:val="20"/>
              </w:rPr>
              <w:lastRenderedPageBreak/>
              <w:t>41.</w:t>
            </w:r>
          </w:p>
        </w:tc>
        <w:tc>
          <w:tcPr>
            <w:tcW w:w="2033" w:type="dxa"/>
          </w:tcPr>
          <w:p w14:paraId="23A2B74C" w14:textId="77777777" w:rsidR="0044508D" w:rsidRPr="00CD2ADD" w:rsidRDefault="0044508D" w:rsidP="0044508D">
            <w:pPr>
              <w:rPr>
                <w:color w:val="000000" w:themeColor="text1"/>
                <w:sz w:val="20"/>
                <w:szCs w:val="20"/>
              </w:rPr>
            </w:pPr>
            <w:r w:rsidRPr="00CD2ADD">
              <w:rPr>
                <w:color w:val="000000" w:themeColor="text1"/>
                <w:sz w:val="20"/>
                <w:szCs w:val="20"/>
              </w:rPr>
              <w:t xml:space="preserve">4.2.5 Training pentru autorități centrale și locale (mediu, sănătate, agricultură, APL-uri) privind: </w:t>
            </w:r>
          </w:p>
          <w:p w14:paraId="345E97C8" w14:textId="77777777" w:rsidR="0044508D" w:rsidRPr="00CD2ADD" w:rsidRDefault="0044508D" w:rsidP="0044508D">
            <w:pPr>
              <w:rPr>
                <w:color w:val="000000" w:themeColor="text1"/>
                <w:sz w:val="20"/>
                <w:szCs w:val="20"/>
              </w:rPr>
            </w:pPr>
            <w:r w:rsidRPr="00CD2ADD">
              <w:rPr>
                <w:color w:val="000000" w:themeColor="text1"/>
                <w:sz w:val="20"/>
                <w:szCs w:val="20"/>
              </w:rPr>
              <w:t xml:space="preserve">- evaluarea pierderilor și pagubelor </w:t>
            </w:r>
          </w:p>
          <w:p w14:paraId="2BF19DD6" w14:textId="77777777" w:rsidR="0044508D" w:rsidRPr="00CD2ADD" w:rsidRDefault="0044508D" w:rsidP="0044508D">
            <w:pPr>
              <w:rPr>
                <w:color w:val="000000" w:themeColor="text1"/>
                <w:sz w:val="20"/>
                <w:szCs w:val="20"/>
              </w:rPr>
            </w:pPr>
            <w:r w:rsidRPr="00CD2ADD">
              <w:rPr>
                <w:color w:val="000000" w:themeColor="text1"/>
                <w:sz w:val="20"/>
                <w:szCs w:val="20"/>
              </w:rPr>
              <w:t>- planificarea restabilirii durabile</w:t>
            </w:r>
          </w:p>
          <w:p w14:paraId="6F40EDD6" w14:textId="77777777" w:rsidR="0044508D" w:rsidRPr="00CD2ADD" w:rsidRDefault="0044508D" w:rsidP="0044508D">
            <w:pPr>
              <w:rPr>
                <w:color w:val="000000" w:themeColor="text1"/>
                <w:sz w:val="20"/>
                <w:szCs w:val="20"/>
              </w:rPr>
            </w:pPr>
            <w:r w:rsidRPr="00CD2ADD">
              <w:rPr>
                <w:color w:val="000000" w:themeColor="text1"/>
                <w:sz w:val="20"/>
                <w:szCs w:val="20"/>
              </w:rPr>
              <w:t>- integrarea BBB în reconstrucție</w:t>
            </w:r>
          </w:p>
          <w:p w14:paraId="28F11571" w14:textId="77777777" w:rsidR="0044508D" w:rsidRPr="00CD2ADD" w:rsidRDefault="0044508D" w:rsidP="0044508D">
            <w:pPr>
              <w:rPr>
                <w:color w:val="000000" w:themeColor="text1"/>
                <w:sz w:val="20"/>
                <w:szCs w:val="20"/>
              </w:rPr>
            </w:pPr>
          </w:p>
        </w:tc>
        <w:tc>
          <w:tcPr>
            <w:tcW w:w="1701" w:type="dxa"/>
          </w:tcPr>
          <w:p w14:paraId="43D05CB4" w14:textId="77777777" w:rsidR="0044508D" w:rsidRPr="00CD2ADD" w:rsidRDefault="0044508D" w:rsidP="0044508D">
            <w:pPr>
              <w:rPr>
                <w:color w:val="000000" w:themeColor="text1"/>
                <w:sz w:val="20"/>
                <w:szCs w:val="20"/>
              </w:rPr>
            </w:pPr>
            <w:r w:rsidRPr="00CD2ADD">
              <w:rPr>
                <w:color w:val="000000" w:themeColor="text1"/>
                <w:sz w:val="20"/>
                <w:szCs w:val="20"/>
              </w:rPr>
              <w:t>- Elaborare modul de instruire în evaluare post-dezastru și BBB</w:t>
            </w:r>
          </w:p>
          <w:p w14:paraId="2B813843" w14:textId="77777777" w:rsidR="0044508D" w:rsidRPr="00CD2ADD" w:rsidRDefault="0044508D" w:rsidP="0044508D">
            <w:pPr>
              <w:rPr>
                <w:color w:val="000000" w:themeColor="text1"/>
                <w:sz w:val="20"/>
                <w:szCs w:val="20"/>
              </w:rPr>
            </w:pPr>
            <w:r w:rsidRPr="00CD2ADD">
              <w:rPr>
                <w:color w:val="000000" w:themeColor="text1"/>
                <w:sz w:val="20"/>
                <w:szCs w:val="20"/>
              </w:rPr>
              <w:t>- Minim 150 specialiști instruiți în evaluare post-dezastru și BBB</w:t>
            </w:r>
          </w:p>
        </w:tc>
        <w:tc>
          <w:tcPr>
            <w:tcW w:w="850" w:type="dxa"/>
          </w:tcPr>
          <w:p w14:paraId="17583823" w14:textId="77777777" w:rsidR="0044508D" w:rsidRPr="00CD2ADD" w:rsidRDefault="0044508D" w:rsidP="0044508D">
            <w:pPr>
              <w:rPr>
                <w:color w:val="000000" w:themeColor="text1"/>
                <w:sz w:val="20"/>
                <w:szCs w:val="20"/>
              </w:rPr>
            </w:pPr>
            <w:r w:rsidRPr="00CD2ADD">
              <w:rPr>
                <w:color w:val="000000" w:themeColor="text1"/>
                <w:sz w:val="20"/>
                <w:szCs w:val="20"/>
              </w:rPr>
              <w:t>450</w:t>
            </w:r>
          </w:p>
        </w:tc>
        <w:tc>
          <w:tcPr>
            <w:tcW w:w="851" w:type="dxa"/>
          </w:tcPr>
          <w:p w14:paraId="2E6E495E" w14:textId="77777777" w:rsidR="0044508D" w:rsidRPr="00CD2ADD" w:rsidRDefault="0044508D" w:rsidP="0044508D">
            <w:pPr>
              <w:rPr>
                <w:color w:val="000000" w:themeColor="text1"/>
                <w:sz w:val="20"/>
                <w:szCs w:val="20"/>
              </w:rPr>
            </w:pPr>
          </w:p>
        </w:tc>
        <w:tc>
          <w:tcPr>
            <w:tcW w:w="709" w:type="dxa"/>
          </w:tcPr>
          <w:p w14:paraId="58016CE5" w14:textId="77777777" w:rsidR="0044508D" w:rsidRPr="00CD2ADD" w:rsidRDefault="0044508D" w:rsidP="0044508D">
            <w:pPr>
              <w:rPr>
                <w:color w:val="000000" w:themeColor="text1"/>
                <w:sz w:val="20"/>
                <w:szCs w:val="20"/>
              </w:rPr>
            </w:pPr>
          </w:p>
        </w:tc>
        <w:tc>
          <w:tcPr>
            <w:tcW w:w="992" w:type="dxa"/>
          </w:tcPr>
          <w:p w14:paraId="49BB6D8D" w14:textId="77777777" w:rsidR="0044508D" w:rsidRPr="00CD2ADD" w:rsidRDefault="0044508D" w:rsidP="0044508D">
            <w:pPr>
              <w:rPr>
                <w:color w:val="000000" w:themeColor="text1"/>
                <w:sz w:val="20"/>
                <w:szCs w:val="20"/>
              </w:rPr>
            </w:pPr>
            <w:r w:rsidRPr="00CD2ADD">
              <w:rPr>
                <w:color w:val="000000" w:themeColor="text1"/>
                <w:sz w:val="20"/>
                <w:szCs w:val="20"/>
              </w:rPr>
              <w:t>450</w:t>
            </w:r>
          </w:p>
        </w:tc>
        <w:tc>
          <w:tcPr>
            <w:tcW w:w="1134" w:type="dxa"/>
          </w:tcPr>
          <w:p w14:paraId="36668454" w14:textId="77777777" w:rsidR="0044508D" w:rsidRPr="00CD2ADD" w:rsidRDefault="0044508D" w:rsidP="0044508D">
            <w:pPr>
              <w:rPr>
                <w:color w:val="000000" w:themeColor="text1"/>
                <w:sz w:val="20"/>
                <w:szCs w:val="20"/>
              </w:rPr>
            </w:pPr>
            <w:r w:rsidRPr="00CD2ADD">
              <w:rPr>
                <w:color w:val="000000" w:themeColor="text1"/>
                <w:sz w:val="20"/>
                <w:szCs w:val="20"/>
              </w:rPr>
              <w:t>5101</w:t>
            </w:r>
          </w:p>
          <w:p w14:paraId="15EF56A5" w14:textId="77777777" w:rsidR="0044508D" w:rsidRPr="00CD2ADD" w:rsidRDefault="0044508D" w:rsidP="0044508D">
            <w:pPr>
              <w:rPr>
                <w:color w:val="000000" w:themeColor="text1"/>
                <w:sz w:val="20"/>
                <w:szCs w:val="20"/>
              </w:rPr>
            </w:pPr>
            <w:r w:rsidRPr="00CD2ADD">
              <w:rPr>
                <w:color w:val="000000" w:themeColor="text1"/>
                <w:sz w:val="20"/>
                <w:szCs w:val="20"/>
              </w:rPr>
              <w:t>5401</w:t>
            </w:r>
          </w:p>
          <w:p w14:paraId="19DBC066" w14:textId="77777777" w:rsidR="0044508D" w:rsidRPr="00CD2ADD" w:rsidRDefault="0044508D" w:rsidP="0044508D">
            <w:pPr>
              <w:rPr>
                <w:color w:val="000000" w:themeColor="text1"/>
                <w:sz w:val="20"/>
                <w:szCs w:val="20"/>
              </w:rPr>
            </w:pPr>
            <w:r w:rsidRPr="00CD2ADD">
              <w:rPr>
                <w:color w:val="000000" w:themeColor="text1"/>
                <w:sz w:val="20"/>
                <w:szCs w:val="20"/>
              </w:rPr>
              <w:t>8001</w:t>
            </w:r>
          </w:p>
        </w:tc>
        <w:tc>
          <w:tcPr>
            <w:tcW w:w="709" w:type="dxa"/>
          </w:tcPr>
          <w:p w14:paraId="1E70D556" w14:textId="77777777" w:rsidR="0044508D" w:rsidRPr="00CD2ADD" w:rsidRDefault="0044508D" w:rsidP="0044508D">
            <w:pPr>
              <w:rPr>
                <w:color w:val="000000" w:themeColor="text1"/>
                <w:sz w:val="20"/>
                <w:szCs w:val="20"/>
              </w:rPr>
            </w:pPr>
            <w:r w:rsidRPr="00CD2ADD">
              <w:rPr>
                <w:color w:val="000000" w:themeColor="text1"/>
                <w:sz w:val="20"/>
                <w:szCs w:val="20"/>
              </w:rPr>
              <w:t>150</w:t>
            </w:r>
          </w:p>
        </w:tc>
        <w:tc>
          <w:tcPr>
            <w:tcW w:w="708" w:type="dxa"/>
          </w:tcPr>
          <w:p w14:paraId="69B4F445" w14:textId="77777777" w:rsidR="0044508D" w:rsidRPr="00CD2ADD" w:rsidRDefault="0044508D" w:rsidP="0044508D">
            <w:pPr>
              <w:rPr>
                <w:color w:val="000000" w:themeColor="text1"/>
                <w:sz w:val="20"/>
                <w:szCs w:val="20"/>
              </w:rPr>
            </w:pPr>
            <w:r w:rsidRPr="00CD2ADD">
              <w:rPr>
                <w:color w:val="000000" w:themeColor="text1"/>
                <w:sz w:val="20"/>
                <w:szCs w:val="20"/>
              </w:rPr>
              <w:t>150</w:t>
            </w:r>
          </w:p>
        </w:tc>
        <w:tc>
          <w:tcPr>
            <w:tcW w:w="709" w:type="dxa"/>
          </w:tcPr>
          <w:p w14:paraId="5E0BE577" w14:textId="77777777" w:rsidR="0044508D" w:rsidRPr="00CD2ADD" w:rsidRDefault="0044508D" w:rsidP="0044508D">
            <w:pPr>
              <w:rPr>
                <w:color w:val="000000" w:themeColor="text1"/>
                <w:sz w:val="20"/>
                <w:szCs w:val="20"/>
              </w:rPr>
            </w:pPr>
            <w:r w:rsidRPr="00CD2ADD">
              <w:rPr>
                <w:color w:val="000000" w:themeColor="text1"/>
                <w:sz w:val="20"/>
                <w:szCs w:val="20"/>
              </w:rPr>
              <w:t>150</w:t>
            </w:r>
          </w:p>
        </w:tc>
        <w:tc>
          <w:tcPr>
            <w:tcW w:w="709" w:type="dxa"/>
          </w:tcPr>
          <w:p w14:paraId="096EDD60" w14:textId="77777777" w:rsidR="0044508D" w:rsidRPr="00CD2ADD" w:rsidRDefault="0044508D" w:rsidP="0044508D">
            <w:pPr>
              <w:rPr>
                <w:color w:val="000000" w:themeColor="text1"/>
                <w:sz w:val="20"/>
                <w:szCs w:val="20"/>
              </w:rPr>
            </w:pPr>
          </w:p>
        </w:tc>
        <w:tc>
          <w:tcPr>
            <w:tcW w:w="709" w:type="dxa"/>
          </w:tcPr>
          <w:p w14:paraId="7D2F68DD" w14:textId="77777777" w:rsidR="0044508D" w:rsidRPr="00CD2ADD" w:rsidRDefault="0044508D" w:rsidP="0044508D">
            <w:pPr>
              <w:rPr>
                <w:color w:val="000000" w:themeColor="text1"/>
                <w:sz w:val="20"/>
                <w:szCs w:val="20"/>
              </w:rPr>
            </w:pPr>
          </w:p>
        </w:tc>
        <w:tc>
          <w:tcPr>
            <w:tcW w:w="1134" w:type="dxa"/>
          </w:tcPr>
          <w:p w14:paraId="1ED6E0F2" w14:textId="77777777" w:rsidR="0044508D" w:rsidRPr="00CD2ADD" w:rsidRDefault="0044508D" w:rsidP="0044508D">
            <w:pPr>
              <w:rPr>
                <w:sz w:val="20"/>
                <w:szCs w:val="20"/>
              </w:rPr>
            </w:pPr>
            <w:r w:rsidRPr="00CD2ADD">
              <w:rPr>
                <w:sz w:val="20"/>
                <w:szCs w:val="20"/>
              </w:rPr>
              <w:t>Trim. III 2028</w:t>
            </w:r>
          </w:p>
        </w:tc>
        <w:tc>
          <w:tcPr>
            <w:tcW w:w="1926" w:type="dxa"/>
          </w:tcPr>
          <w:p w14:paraId="348064BA" w14:textId="77777777" w:rsidR="0044508D" w:rsidRPr="00CD2ADD" w:rsidRDefault="0044508D" w:rsidP="0044508D">
            <w:pPr>
              <w:rPr>
                <w:color w:val="000000" w:themeColor="text1"/>
                <w:sz w:val="20"/>
                <w:szCs w:val="20"/>
              </w:rPr>
            </w:pPr>
            <w:r w:rsidRPr="00CD2ADD">
              <w:rPr>
                <w:color w:val="000000" w:themeColor="text1"/>
                <w:sz w:val="20"/>
                <w:szCs w:val="20"/>
              </w:rPr>
              <w:t>Ministerul Mediului, Serviciul Hidrometeorologic de Stat, Agenția Moldsilva, IP AN ,Apele Moldovei”, Agenția de Mediu, Ministerul Agriculturii si Industriei Alimentare, Ministerul Infrastructurii si Dezvoltării Regionale, Ministerul Sănătății și APL-uri.</w:t>
            </w:r>
          </w:p>
        </w:tc>
      </w:tr>
      <w:tr w:rsidR="0044508D" w:rsidRPr="00CD2ADD" w14:paraId="3A9AA305" w14:textId="77777777" w:rsidTr="002C4956">
        <w:tc>
          <w:tcPr>
            <w:tcW w:w="15388" w:type="dxa"/>
            <w:gridSpan w:val="15"/>
            <w:shd w:val="clear" w:color="auto" w:fill="FAE2D5" w:themeFill="accent2" w:themeFillTint="33"/>
          </w:tcPr>
          <w:p w14:paraId="23AF9EEE" w14:textId="77777777" w:rsidR="0044508D" w:rsidRPr="00CD2ADD" w:rsidRDefault="0044508D" w:rsidP="0044508D">
            <w:pPr>
              <w:rPr>
                <w:b/>
                <w:bCs/>
                <w:color w:val="000000" w:themeColor="text1"/>
                <w:sz w:val="20"/>
                <w:szCs w:val="20"/>
              </w:rPr>
            </w:pPr>
            <w:r w:rsidRPr="00CD2ADD">
              <w:rPr>
                <w:b/>
                <w:bCs/>
                <w:color w:val="000000" w:themeColor="text1"/>
                <w:sz w:val="20"/>
                <w:szCs w:val="20"/>
              </w:rPr>
              <w:t>Obiectiv general 5: Dezvoltarea cooperării internaționale și regionale în domeniul reducerii riscurilor naturale si biologico-sociale, prin participarea la programe și mecanisme europene, schimb de date și bune practici, precum și armonizarea cadrului normativ național cu standardele UE și ONU.</w:t>
            </w:r>
          </w:p>
          <w:p w14:paraId="2370D4A6" w14:textId="77777777" w:rsidR="0044508D" w:rsidRPr="00CD2ADD" w:rsidRDefault="0044508D" w:rsidP="0044508D">
            <w:pPr>
              <w:rPr>
                <w:b/>
                <w:bCs/>
                <w:color w:val="000000" w:themeColor="text1"/>
                <w:sz w:val="20"/>
                <w:szCs w:val="20"/>
              </w:rPr>
            </w:pPr>
            <w:r w:rsidRPr="00CD2ADD">
              <w:rPr>
                <w:i/>
                <w:iCs/>
                <w:sz w:val="20"/>
                <w:szCs w:val="20"/>
                <w:u w:val="single"/>
              </w:rPr>
              <w:t>Contribuie la: ODD 1 -Ținta 1.5, ODD 6 - Ținta 6.a, ODD 9 - Ținta 9.1, ODD 11 - Ținta 11.5, ODD 13 - Ținta 13.1 si 13.a, ODD 15 - Țintele 15.1 și 15.2</w:t>
            </w:r>
          </w:p>
        </w:tc>
      </w:tr>
      <w:tr w:rsidR="0044508D" w:rsidRPr="00CD2ADD" w14:paraId="3EBE6C81" w14:textId="77777777" w:rsidTr="002C4956">
        <w:tc>
          <w:tcPr>
            <w:tcW w:w="15388" w:type="dxa"/>
            <w:gridSpan w:val="15"/>
            <w:shd w:val="clear" w:color="auto" w:fill="D9F2D0" w:themeFill="accent6" w:themeFillTint="33"/>
          </w:tcPr>
          <w:p w14:paraId="596CD1EE" w14:textId="77777777" w:rsidR="0044508D" w:rsidRPr="00CD2ADD" w:rsidRDefault="0044508D" w:rsidP="0044508D">
            <w:pPr>
              <w:rPr>
                <w:b/>
                <w:bCs/>
                <w:color w:val="000000" w:themeColor="text1"/>
                <w:sz w:val="20"/>
                <w:szCs w:val="20"/>
              </w:rPr>
            </w:pPr>
            <w:r w:rsidRPr="00CD2ADD">
              <w:rPr>
                <w:b/>
                <w:bCs/>
                <w:color w:val="000000" w:themeColor="text1"/>
                <w:sz w:val="20"/>
                <w:szCs w:val="20"/>
              </w:rPr>
              <w:t>Obiectiv specific  5.1:  Mobilizarea resurselor externe și accesul la fonduri internaționale pentru prevenire și adaptare</w:t>
            </w:r>
          </w:p>
        </w:tc>
      </w:tr>
      <w:tr w:rsidR="0044508D" w:rsidRPr="00CD2ADD" w14:paraId="4E9E2A21" w14:textId="77777777" w:rsidTr="002C4956">
        <w:tc>
          <w:tcPr>
            <w:tcW w:w="514" w:type="dxa"/>
          </w:tcPr>
          <w:p w14:paraId="2A5570EC" w14:textId="77777777" w:rsidR="0044508D" w:rsidRPr="00CD2ADD" w:rsidRDefault="0044508D" w:rsidP="0044508D">
            <w:pPr>
              <w:rPr>
                <w:color w:val="000000" w:themeColor="text1"/>
                <w:sz w:val="20"/>
                <w:szCs w:val="20"/>
              </w:rPr>
            </w:pPr>
            <w:r w:rsidRPr="00CD2ADD">
              <w:rPr>
                <w:color w:val="000000" w:themeColor="text1"/>
                <w:sz w:val="20"/>
                <w:szCs w:val="20"/>
              </w:rPr>
              <w:t>42.</w:t>
            </w:r>
          </w:p>
        </w:tc>
        <w:tc>
          <w:tcPr>
            <w:tcW w:w="2033" w:type="dxa"/>
          </w:tcPr>
          <w:p w14:paraId="2AD9E254" w14:textId="77777777" w:rsidR="0044508D" w:rsidRPr="00CD2ADD" w:rsidRDefault="0044508D" w:rsidP="0044508D">
            <w:pPr>
              <w:rPr>
                <w:color w:val="000000" w:themeColor="text1"/>
                <w:sz w:val="20"/>
                <w:szCs w:val="20"/>
              </w:rPr>
            </w:pPr>
            <w:r w:rsidRPr="00CD2ADD">
              <w:rPr>
                <w:color w:val="000000" w:themeColor="text1"/>
                <w:sz w:val="20"/>
                <w:szCs w:val="20"/>
              </w:rPr>
              <w:t xml:space="preserve">5.1.1 Facilitarea accesului Republicii Moldova la fonduri internaționale (ex. GCF, Adaptation Fund, GEF, fonduri UE), precum și mobilizarea resurselor din diaspora, integrarea sectorul privat și autoritățile locale, în sprijinul </w:t>
            </w:r>
            <w:r w:rsidRPr="00CD2ADD">
              <w:rPr>
                <w:color w:val="000000" w:themeColor="text1"/>
                <w:sz w:val="20"/>
                <w:szCs w:val="20"/>
              </w:rPr>
              <w:lastRenderedPageBreak/>
              <w:t>proiectelor verzi de prevenire și adaptare</w:t>
            </w:r>
          </w:p>
        </w:tc>
        <w:tc>
          <w:tcPr>
            <w:tcW w:w="1701" w:type="dxa"/>
          </w:tcPr>
          <w:p w14:paraId="03CC8D22" w14:textId="77777777" w:rsidR="0044508D" w:rsidRPr="00CD2ADD" w:rsidRDefault="0044508D" w:rsidP="0044508D">
            <w:pPr>
              <w:rPr>
                <w:color w:val="000000" w:themeColor="text1"/>
                <w:sz w:val="20"/>
                <w:szCs w:val="20"/>
              </w:rPr>
            </w:pPr>
            <w:r w:rsidRPr="00CD2ADD">
              <w:rPr>
                <w:color w:val="000000" w:themeColor="text1"/>
                <w:sz w:val="20"/>
                <w:szCs w:val="20"/>
              </w:rPr>
              <w:lastRenderedPageBreak/>
              <w:t xml:space="preserve">- cel puțin 3 propuneri de proiect pentru fonduri internaționale în domeniul riscurilor naturale si biologico-sociale (ex. GCF concept notes, apeluri GEF sau Horizon Europe) </w:t>
            </w:r>
            <w:r w:rsidRPr="00CD2ADD">
              <w:rPr>
                <w:color w:val="000000" w:themeColor="text1"/>
                <w:sz w:val="20"/>
                <w:szCs w:val="20"/>
              </w:rPr>
              <w:lastRenderedPageBreak/>
              <w:t xml:space="preserve">elaborate și cel puțin 1 finanțată </w:t>
            </w:r>
          </w:p>
        </w:tc>
        <w:tc>
          <w:tcPr>
            <w:tcW w:w="850" w:type="dxa"/>
          </w:tcPr>
          <w:p w14:paraId="594EF1F2" w14:textId="77777777" w:rsidR="0044508D" w:rsidRPr="00CD2ADD" w:rsidRDefault="0044508D" w:rsidP="0044508D">
            <w:pPr>
              <w:rPr>
                <w:color w:val="000000" w:themeColor="text1"/>
                <w:sz w:val="20"/>
                <w:szCs w:val="20"/>
              </w:rPr>
            </w:pPr>
            <w:r w:rsidRPr="00CD2ADD">
              <w:rPr>
                <w:color w:val="000000" w:themeColor="text1"/>
                <w:sz w:val="20"/>
                <w:szCs w:val="20"/>
              </w:rPr>
              <w:lastRenderedPageBreak/>
              <w:t>400</w:t>
            </w:r>
          </w:p>
        </w:tc>
        <w:tc>
          <w:tcPr>
            <w:tcW w:w="851" w:type="dxa"/>
          </w:tcPr>
          <w:p w14:paraId="44A4AB47" w14:textId="77777777" w:rsidR="0044508D" w:rsidRPr="00CD2ADD" w:rsidRDefault="0044508D" w:rsidP="0044508D">
            <w:pPr>
              <w:rPr>
                <w:color w:val="000000" w:themeColor="text1"/>
                <w:sz w:val="20"/>
                <w:szCs w:val="20"/>
              </w:rPr>
            </w:pPr>
          </w:p>
        </w:tc>
        <w:tc>
          <w:tcPr>
            <w:tcW w:w="709" w:type="dxa"/>
          </w:tcPr>
          <w:p w14:paraId="7C4B9EE0" w14:textId="6B1777E4" w:rsidR="0044508D" w:rsidRPr="00CD2ADD" w:rsidRDefault="0044508D" w:rsidP="0044508D">
            <w:pPr>
              <w:rPr>
                <w:color w:val="000000" w:themeColor="text1"/>
                <w:sz w:val="20"/>
                <w:szCs w:val="20"/>
              </w:rPr>
            </w:pPr>
          </w:p>
        </w:tc>
        <w:tc>
          <w:tcPr>
            <w:tcW w:w="992" w:type="dxa"/>
          </w:tcPr>
          <w:p w14:paraId="7C1B00A4" w14:textId="77777777" w:rsidR="0044508D" w:rsidRPr="00CD2ADD" w:rsidRDefault="0044508D" w:rsidP="0044508D">
            <w:pPr>
              <w:rPr>
                <w:color w:val="000000" w:themeColor="text1"/>
                <w:sz w:val="20"/>
                <w:szCs w:val="20"/>
              </w:rPr>
            </w:pPr>
            <w:r w:rsidRPr="00CD2ADD">
              <w:rPr>
                <w:color w:val="000000" w:themeColor="text1"/>
                <w:sz w:val="20"/>
                <w:szCs w:val="20"/>
              </w:rPr>
              <w:t>400</w:t>
            </w:r>
          </w:p>
        </w:tc>
        <w:tc>
          <w:tcPr>
            <w:tcW w:w="1134" w:type="dxa"/>
          </w:tcPr>
          <w:p w14:paraId="32F48ACA" w14:textId="77777777" w:rsidR="0044508D" w:rsidRPr="00CD2ADD" w:rsidRDefault="0044508D" w:rsidP="0044508D">
            <w:pPr>
              <w:rPr>
                <w:color w:val="000000" w:themeColor="text1"/>
                <w:sz w:val="20"/>
                <w:szCs w:val="20"/>
              </w:rPr>
            </w:pPr>
            <w:r w:rsidRPr="00CD2ADD">
              <w:rPr>
                <w:color w:val="000000" w:themeColor="text1"/>
                <w:sz w:val="20"/>
                <w:szCs w:val="20"/>
              </w:rPr>
              <w:t>n/a</w:t>
            </w:r>
          </w:p>
        </w:tc>
        <w:tc>
          <w:tcPr>
            <w:tcW w:w="709" w:type="dxa"/>
          </w:tcPr>
          <w:p w14:paraId="6A7D40EB" w14:textId="77777777" w:rsidR="0044508D" w:rsidRPr="00CD2ADD" w:rsidRDefault="0044508D" w:rsidP="0044508D">
            <w:pPr>
              <w:rPr>
                <w:color w:val="000000" w:themeColor="text1"/>
                <w:sz w:val="20"/>
                <w:szCs w:val="20"/>
              </w:rPr>
            </w:pPr>
          </w:p>
        </w:tc>
        <w:tc>
          <w:tcPr>
            <w:tcW w:w="708" w:type="dxa"/>
          </w:tcPr>
          <w:p w14:paraId="623079E5" w14:textId="77777777" w:rsidR="0044508D" w:rsidRPr="00CD2ADD" w:rsidRDefault="0044508D" w:rsidP="0044508D">
            <w:pPr>
              <w:rPr>
                <w:color w:val="000000" w:themeColor="text1"/>
                <w:sz w:val="20"/>
                <w:szCs w:val="20"/>
              </w:rPr>
            </w:pPr>
          </w:p>
        </w:tc>
        <w:tc>
          <w:tcPr>
            <w:tcW w:w="709" w:type="dxa"/>
          </w:tcPr>
          <w:p w14:paraId="78C13010" w14:textId="77777777" w:rsidR="0044508D" w:rsidRPr="00CD2ADD" w:rsidRDefault="0044508D" w:rsidP="0044508D">
            <w:pPr>
              <w:rPr>
                <w:color w:val="000000" w:themeColor="text1"/>
                <w:sz w:val="20"/>
                <w:szCs w:val="20"/>
              </w:rPr>
            </w:pPr>
            <w:r w:rsidRPr="00CD2ADD">
              <w:rPr>
                <w:color w:val="000000" w:themeColor="text1"/>
                <w:sz w:val="20"/>
                <w:szCs w:val="20"/>
              </w:rPr>
              <w:t>100</w:t>
            </w:r>
          </w:p>
        </w:tc>
        <w:tc>
          <w:tcPr>
            <w:tcW w:w="709" w:type="dxa"/>
          </w:tcPr>
          <w:p w14:paraId="265DC8E7" w14:textId="77777777" w:rsidR="0044508D" w:rsidRPr="00CD2ADD" w:rsidRDefault="0044508D" w:rsidP="0044508D">
            <w:pPr>
              <w:rPr>
                <w:color w:val="000000" w:themeColor="text1"/>
                <w:sz w:val="20"/>
                <w:szCs w:val="20"/>
              </w:rPr>
            </w:pPr>
            <w:r w:rsidRPr="00CD2ADD">
              <w:rPr>
                <w:color w:val="000000" w:themeColor="text1"/>
                <w:sz w:val="20"/>
                <w:szCs w:val="20"/>
              </w:rPr>
              <w:t>300</w:t>
            </w:r>
          </w:p>
        </w:tc>
        <w:tc>
          <w:tcPr>
            <w:tcW w:w="709" w:type="dxa"/>
          </w:tcPr>
          <w:p w14:paraId="76F11FC1" w14:textId="77777777" w:rsidR="0044508D" w:rsidRPr="00CD2ADD" w:rsidRDefault="0044508D" w:rsidP="0044508D">
            <w:pPr>
              <w:rPr>
                <w:color w:val="000000" w:themeColor="text1"/>
                <w:sz w:val="20"/>
                <w:szCs w:val="20"/>
              </w:rPr>
            </w:pPr>
          </w:p>
        </w:tc>
        <w:tc>
          <w:tcPr>
            <w:tcW w:w="1134" w:type="dxa"/>
          </w:tcPr>
          <w:p w14:paraId="1B5C2727" w14:textId="77777777" w:rsidR="0044508D" w:rsidRPr="00CD2ADD" w:rsidRDefault="0044508D" w:rsidP="0044508D">
            <w:pPr>
              <w:rPr>
                <w:color w:val="000000" w:themeColor="text1"/>
                <w:sz w:val="20"/>
                <w:szCs w:val="20"/>
              </w:rPr>
            </w:pPr>
            <w:r w:rsidRPr="00CD2ADD">
              <w:rPr>
                <w:sz w:val="20"/>
                <w:szCs w:val="20"/>
              </w:rPr>
              <w:t>Trim. IV 2029</w:t>
            </w:r>
          </w:p>
        </w:tc>
        <w:tc>
          <w:tcPr>
            <w:tcW w:w="1926" w:type="dxa"/>
          </w:tcPr>
          <w:p w14:paraId="3956B658" w14:textId="77777777" w:rsidR="0044508D" w:rsidRPr="00CD2ADD" w:rsidRDefault="0044508D" w:rsidP="0044508D">
            <w:pPr>
              <w:rPr>
                <w:color w:val="000000" w:themeColor="text1"/>
                <w:sz w:val="20"/>
                <w:szCs w:val="20"/>
              </w:rPr>
            </w:pPr>
            <w:r w:rsidRPr="00CD2ADD">
              <w:rPr>
                <w:color w:val="000000" w:themeColor="text1"/>
                <w:sz w:val="20"/>
                <w:szCs w:val="20"/>
              </w:rPr>
              <w:t xml:space="preserve">Mediului, Serviciul Hidrometeorologic de Stat, Agenția Moldsilva, IP AN ,Apele Moldovei”, Agenția de Mediu, Ministerul Agriculturii si Industriei Alimentare, Ministerul Sănătății, </w:t>
            </w:r>
            <w:r w:rsidRPr="00CD2ADD">
              <w:rPr>
                <w:color w:val="000000" w:themeColor="text1"/>
                <w:sz w:val="20"/>
                <w:szCs w:val="20"/>
              </w:rPr>
              <w:lastRenderedPageBreak/>
              <w:t>Cancelaria de Stat, Ministerul Finanțelor</w:t>
            </w:r>
          </w:p>
        </w:tc>
      </w:tr>
      <w:tr w:rsidR="0044508D" w:rsidRPr="00CD2ADD" w14:paraId="5F89244A" w14:textId="77777777" w:rsidTr="002C4956">
        <w:tc>
          <w:tcPr>
            <w:tcW w:w="514" w:type="dxa"/>
          </w:tcPr>
          <w:p w14:paraId="24C31DDD" w14:textId="77777777" w:rsidR="0044508D" w:rsidRPr="00CD2ADD" w:rsidRDefault="0044508D" w:rsidP="0044508D">
            <w:pPr>
              <w:rPr>
                <w:color w:val="000000" w:themeColor="text1"/>
                <w:sz w:val="20"/>
                <w:szCs w:val="20"/>
              </w:rPr>
            </w:pPr>
            <w:r w:rsidRPr="00CD2ADD">
              <w:rPr>
                <w:color w:val="000000" w:themeColor="text1"/>
                <w:sz w:val="20"/>
                <w:szCs w:val="20"/>
              </w:rPr>
              <w:lastRenderedPageBreak/>
              <w:t>43.</w:t>
            </w:r>
          </w:p>
        </w:tc>
        <w:tc>
          <w:tcPr>
            <w:tcW w:w="2033" w:type="dxa"/>
          </w:tcPr>
          <w:p w14:paraId="6C5D7402" w14:textId="77777777" w:rsidR="0044508D" w:rsidRPr="00CD2ADD" w:rsidRDefault="0044508D" w:rsidP="0044508D">
            <w:pPr>
              <w:rPr>
                <w:color w:val="000000" w:themeColor="text1"/>
                <w:sz w:val="20"/>
                <w:szCs w:val="20"/>
              </w:rPr>
            </w:pPr>
            <w:r w:rsidRPr="00CD2ADD">
              <w:rPr>
                <w:color w:val="000000" w:themeColor="text1"/>
                <w:sz w:val="20"/>
                <w:szCs w:val="20"/>
              </w:rPr>
              <w:t>5.1.2 Promovarea mecanismelor locale de co-finanțare mobilizate (diaspora, APL, sector privat – ex. DAR 1+3, crowdfunding, granturi comunitare</w:t>
            </w:r>
          </w:p>
        </w:tc>
        <w:tc>
          <w:tcPr>
            <w:tcW w:w="1701" w:type="dxa"/>
          </w:tcPr>
          <w:p w14:paraId="583870ED" w14:textId="77777777" w:rsidR="0044508D" w:rsidRPr="00CD2ADD" w:rsidRDefault="0044508D" w:rsidP="0044508D">
            <w:pPr>
              <w:rPr>
                <w:color w:val="000000" w:themeColor="text1"/>
                <w:sz w:val="20"/>
                <w:szCs w:val="20"/>
              </w:rPr>
            </w:pPr>
            <w:r w:rsidRPr="00CD2ADD">
              <w:rPr>
                <w:color w:val="000000" w:themeColor="text1"/>
                <w:sz w:val="20"/>
                <w:szCs w:val="20"/>
              </w:rPr>
              <w:t>- Cel puțin 2 mecanisme locale de co-finanțare mobilizate și pilotate</w:t>
            </w:r>
          </w:p>
        </w:tc>
        <w:tc>
          <w:tcPr>
            <w:tcW w:w="850" w:type="dxa"/>
          </w:tcPr>
          <w:p w14:paraId="08512C36" w14:textId="77777777" w:rsidR="0044508D" w:rsidRPr="00CD2ADD" w:rsidRDefault="0044508D" w:rsidP="0044508D">
            <w:pPr>
              <w:rPr>
                <w:color w:val="000000" w:themeColor="text1"/>
                <w:sz w:val="20"/>
                <w:szCs w:val="20"/>
              </w:rPr>
            </w:pPr>
            <w:r w:rsidRPr="00CD2ADD">
              <w:rPr>
                <w:color w:val="000000" w:themeColor="text1"/>
                <w:sz w:val="20"/>
                <w:szCs w:val="20"/>
              </w:rPr>
              <w:t>300</w:t>
            </w:r>
          </w:p>
        </w:tc>
        <w:tc>
          <w:tcPr>
            <w:tcW w:w="851" w:type="dxa"/>
          </w:tcPr>
          <w:p w14:paraId="2D19CD9D" w14:textId="77777777" w:rsidR="0044508D" w:rsidRPr="00CD2ADD" w:rsidRDefault="0044508D" w:rsidP="0044508D">
            <w:pPr>
              <w:rPr>
                <w:color w:val="000000" w:themeColor="text1"/>
                <w:sz w:val="20"/>
                <w:szCs w:val="20"/>
              </w:rPr>
            </w:pPr>
          </w:p>
        </w:tc>
        <w:tc>
          <w:tcPr>
            <w:tcW w:w="709" w:type="dxa"/>
          </w:tcPr>
          <w:p w14:paraId="51F1CA23" w14:textId="3A3A3416" w:rsidR="0044508D" w:rsidRPr="00CD2ADD" w:rsidRDefault="0044508D" w:rsidP="0044508D">
            <w:pPr>
              <w:rPr>
                <w:color w:val="000000" w:themeColor="text1"/>
                <w:sz w:val="20"/>
                <w:szCs w:val="20"/>
              </w:rPr>
            </w:pPr>
          </w:p>
        </w:tc>
        <w:tc>
          <w:tcPr>
            <w:tcW w:w="992" w:type="dxa"/>
          </w:tcPr>
          <w:p w14:paraId="43E49335" w14:textId="77777777" w:rsidR="0044508D" w:rsidRPr="00CD2ADD" w:rsidRDefault="0044508D" w:rsidP="0044508D">
            <w:pPr>
              <w:rPr>
                <w:color w:val="000000" w:themeColor="text1"/>
                <w:sz w:val="20"/>
                <w:szCs w:val="20"/>
              </w:rPr>
            </w:pPr>
            <w:r w:rsidRPr="00CD2ADD">
              <w:rPr>
                <w:color w:val="000000" w:themeColor="text1"/>
                <w:sz w:val="20"/>
                <w:szCs w:val="20"/>
              </w:rPr>
              <w:t>300</w:t>
            </w:r>
          </w:p>
        </w:tc>
        <w:tc>
          <w:tcPr>
            <w:tcW w:w="1134" w:type="dxa"/>
          </w:tcPr>
          <w:p w14:paraId="32F020B6" w14:textId="77777777" w:rsidR="0044508D" w:rsidRPr="00CD2ADD" w:rsidRDefault="0044508D" w:rsidP="0044508D">
            <w:pPr>
              <w:rPr>
                <w:color w:val="000000" w:themeColor="text1"/>
                <w:sz w:val="20"/>
                <w:szCs w:val="20"/>
              </w:rPr>
            </w:pPr>
            <w:r w:rsidRPr="00CD2ADD">
              <w:rPr>
                <w:color w:val="000000" w:themeColor="text1"/>
                <w:sz w:val="20"/>
                <w:szCs w:val="20"/>
              </w:rPr>
              <w:t>n/a</w:t>
            </w:r>
          </w:p>
        </w:tc>
        <w:tc>
          <w:tcPr>
            <w:tcW w:w="709" w:type="dxa"/>
          </w:tcPr>
          <w:p w14:paraId="4123B265" w14:textId="77777777" w:rsidR="0044508D" w:rsidRPr="00CD2ADD" w:rsidRDefault="0044508D" w:rsidP="0044508D">
            <w:pPr>
              <w:rPr>
                <w:color w:val="000000" w:themeColor="text1"/>
                <w:sz w:val="20"/>
                <w:szCs w:val="20"/>
              </w:rPr>
            </w:pPr>
          </w:p>
        </w:tc>
        <w:tc>
          <w:tcPr>
            <w:tcW w:w="708" w:type="dxa"/>
          </w:tcPr>
          <w:p w14:paraId="117FA316" w14:textId="77777777" w:rsidR="0044508D" w:rsidRPr="00CD2ADD" w:rsidRDefault="0044508D" w:rsidP="0044508D">
            <w:pPr>
              <w:rPr>
                <w:color w:val="000000" w:themeColor="text1"/>
                <w:sz w:val="20"/>
                <w:szCs w:val="20"/>
              </w:rPr>
            </w:pPr>
            <w:r w:rsidRPr="00CD2ADD">
              <w:rPr>
                <w:color w:val="000000" w:themeColor="text1"/>
                <w:sz w:val="20"/>
                <w:szCs w:val="20"/>
              </w:rPr>
              <w:t>50</w:t>
            </w:r>
          </w:p>
        </w:tc>
        <w:tc>
          <w:tcPr>
            <w:tcW w:w="709" w:type="dxa"/>
          </w:tcPr>
          <w:p w14:paraId="68A04706" w14:textId="77777777" w:rsidR="0044508D" w:rsidRPr="00CD2ADD" w:rsidRDefault="0044508D" w:rsidP="0044508D">
            <w:pPr>
              <w:rPr>
                <w:color w:val="000000" w:themeColor="text1"/>
                <w:sz w:val="20"/>
                <w:szCs w:val="20"/>
              </w:rPr>
            </w:pPr>
            <w:r w:rsidRPr="00CD2ADD">
              <w:rPr>
                <w:color w:val="000000" w:themeColor="text1"/>
                <w:sz w:val="20"/>
                <w:szCs w:val="20"/>
              </w:rPr>
              <w:t>100</w:t>
            </w:r>
          </w:p>
        </w:tc>
        <w:tc>
          <w:tcPr>
            <w:tcW w:w="709" w:type="dxa"/>
          </w:tcPr>
          <w:p w14:paraId="67D1AEAF" w14:textId="77777777" w:rsidR="0044508D" w:rsidRPr="00CD2ADD" w:rsidRDefault="0044508D" w:rsidP="0044508D">
            <w:pPr>
              <w:rPr>
                <w:color w:val="000000" w:themeColor="text1"/>
                <w:sz w:val="20"/>
                <w:szCs w:val="20"/>
              </w:rPr>
            </w:pPr>
            <w:r w:rsidRPr="00CD2ADD">
              <w:rPr>
                <w:color w:val="000000" w:themeColor="text1"/>
                <w:sz w:val="20"/>
                <w:szCs w:val="20"/>
              </w:rPr>
              <w:t>150</w:t>
            </w:r>
          </w:p>
        </w:tc>
        <w:tc>
          <w:tcPr>
            <w:tcW w:w="709" w:type="dxa"/>
          </w:tcPr>
          <w:p w14:paraId="722752ED" w14:textId="77777777" w:rsidR="0044508D" w:rsidRPr="00CD2ADD" w:rsidRDefault="0044508D" w:rsidP="0044508D">
            <w:pPr>
              <w:rPr>
                <w:color w:val="000000" w:themeColor="text1"/>
                <w:sz w:val="20"/>
                <w:szCs w:val="20"/>
              </w:rPr>
            </w:pPr>
          </w:p>
        </w:tc>
        <w:tc>
          <w:tcPr>
            <w:tcW w:w="1134" w:type="dxa"/>
          </w:tcPr>
          <w:p w14:paraId="69A548C1" w14:textId="77777777" w:rsidR="0044508D" w:rsidRPr="00CD2ADD" w:rsidRDefault="0044508D" w:rsidP="0044508D">
            <w:pPr>
              <w:rPr>
                <w:color w:val="000000" w:themeColor="text1"/>
                <w:sz w:val="20"/>
                <w:szCs w:val="20"/>
              </w:rPr>
            </w:pPr>
            <w:r w:rsidRPr="00CD2ADD">
              <w:rPr>
                <w:sz w:val="20"/>
                <w:szCs w:val="20"/>
              </w:rPr>
              <w:t>Trim. IV 2029</w:t>
            </w:r>
          </w:p>
        </w:tc>
        <w:tc>
          <w:tcPr>
            <w:tcW w:w="1926" w:type="dxa"/>
          </w:tcPr>
          <w:p w14:paraId="04E4FB4B" w14:textId="77777777" w:rsidR="0044508D" w:rsidRPr="00CD2ADD" w:rsidRDefault="0044508D" w:rsidP="0044508D">
            <w:pPr>
              <w:rPr>
                <w:color w:val="000000" w:themeColor="text1"/>
                <w:sz w:val="20"/>
                <w:szCs w:val="20"/>
              </w:rPr>
            </w:pPr>
            <w:r w:rsidRPr="00CD2ADD">
              <w:rPr>
                <w:color w:val="000000" w:themeColor="text1"/>
                <w:sz w:val="20"/>
                <w:szCs w:val="20"/>
              </w:rPr>
              <w:t>Ministerul Mediului, Ministerul Sănătății, Ministerul Agriculturii si Industriei Alimentare, Cancelaria de Stat, Ministerul Finanțelor  si parteneri de dezvoltare</w:t>
            </w:r>
          </w:p>
        </w:tc>
      </w:tr>
      <w:tr w:rsidR="0044508D" w:rsidRPr="00CD2ADD" w14:paraId="23B84576" w14:textId="77777777" w:rsidTr="002C4956">
        <w:tc>
          <w:tcPr>
            <w:tcW w:w="15388" w:type="dxa"/>
            <w:gridSpan w:val="15"/>
            <w:shd w:val="clear" w:color="auto" w:fill="D9F2D0" w:themeFill="accent6" w:themeFillTint="33"/>
          </w:tcPr>
          <w:p w14:paraId="2B4225FE" w14:textId="77777777" w:rsidR="0044508D" w:rsidRPr="00CD2ADD" w:rsidRDefault="0044508D" w:rsidP="0044508D">
            <w:pPr>
              <w:rPr>
                <w:b/>
                <w:bCs/>
                <w:color w:val="000000" w:themeColor="text1"/>
                <w:sz w:val="20"/>
                <w:szCs w:val="20"/>
              </w:rPr>
            </w:pPr>
            <w:r w:rsidRPr="00CD2ADD">
              <w:rPr>
                <w:b/>
                <w:bCs/>
                <w:color w:val="000000" w:themeColor="text1"/>
                <w:sz w:val="20"/>
                <w:szCs w:val="20"/>
              </w:rPr>
              <w:t>Obiectiv specific  5.2: Participarea activă la convențiile internaționale (UNFCCC, UNDRR, UNCCD, CBD)</w:t>
            </w:r>
          </w:p>
        </w:tc>
      </w:tr>
      <w:tr w:rsidR="0044508D" w:rsidRPr="00CD2ADD" w14:paraId="124CEA62" w14:textId="77777777" w:rsidTr="002C4956">
        <w:tc>
          <w:tcPr>
            <w:tcW w:w="514" w:type="dxa"/>
          </w:tcPr>
          <w:p w14:paraId="6F4D7E94" w14:textId="77777777" w:rsidR="0044508D" w:rsidRPr="00CD2ADD" w:rsidRDefault="0044508D" w:rsidP="0044508D">
            <w:pPr>
              <w:rPr>
                <w:color w:val="000000" w:themeColor="text1"/>
                <w:sz w:val="20"/>
                <w:szCs w:val="20"/>
              </w:rPr>
            </w:pPr>
            <w:r w:rsidRPr="00CD2ADD">
              <w:rPr>
                <w:color w:val="000000" w:themeColor="text1"/>
                <w:sz w:val="20"/>
                <w:szCs w:val="20"/>
              </w:rPr>
              <w:t>44.</w:t>
            </w:r>
          </w:p>
        </w:tc>
        <w:tc>
          <w:tcPr>
            <w:tcW w:w="2033" w:type="dxa"/>
          </w:tcPr>
          <w:p w14:paraId="0AFDF53F" w14:textId="77777777" w:rsidR="0044508D" w:rsidRPr="00CD2ADD" w:rsidRDefault="0044508D" w:rsidP="0044508D">
            <w:pPr>
              <w:rPr>
                <w:color w:val="000000" w:themeColor="text1"/>
                <w:sz w:val="20"/>
                <w:szCs w:val="20"/>
              </w:rPr>
            </w:pPr>
            <w:r w:rsidRPr="00CD2ADD">
              <w:rPr>
                <w:color w:val="000000" w:themeColor="text1"/>
                <w:sz w:val="20"/>
                <w:szCs w:val="20"/>
              </w:rPr>
              <w:t>5.2.1 Raportările internaționale obligatorii  includ în mod explicit riscuri naturale, climatice și biologico-sociale.</w:t>
            </w:r>
          </w:p>
        </w:tc>
        <w:tc>
          <w:tcPr>
            <w:tcW w:w="1701" w:type="dxa"/>
          </w:tcPr>
          <w:p w14:paraId="4BB62091" w14:textId="77777777" w:rsidR="0044508D" w:rsidRPr="00CD2ADD" w:rsidRDefault="0044508D" w:rsidP="0044508D">
            <w:pPr>
              <w:rPr>
                <w:color w:val="000000" w:themeColor="text1"/>
                <w:sz w:val="20"/>
                <w:szCs w:val="20"/>
              </w:rPr>
            </w:pPr>
            <w:r w:rsidRPr="00CD2ADD">
              <w:rPr>
                <w:color w:val="000000" w:themeColor="text1"/>
                <w:sz w:val="20"/>
                <w:szCs w:val="20"/>
              </w:rPr>
              <w:t>- ≥ 4 raportări actualizate cu integrarea RRD</w:t>
            </w:r>
          </w:p>
        </w:tc>
        <w:tc>
          <w:tcPr>
            <w:tcW w:w="850" w:type="dxa"/>
          </w:tcPr>
          <w:p w14:paraId="250C3ABC" w14:textId="77777777" w:rsidR="0044508D" w:rsidRPr="00CD2ADD" w:rsidRDefault="0044508D" w:rsidP="0044508D">
            <w:pPr>
              <w:rPr>
                <w:color w:val="000000" w:themeColor="text1"/>
                <w:sz w:val="20"/>
                <w:szCs w:val="20"/>
              </w:rPr>
            </w:pPr>
            <w:r w:rsidRPr="00CD2ADD">
              <w:rPr>
                <w:color w:val="000000" w:themeColor="text1"/>
                <w:sz w:val="20"/>
                <w:szCs w:val="20"/>
              </w:rPr>
              <w:t>80</w:t>
            </w:r>
          </w:p>
        </w:tc>
        <w:tc>
          <w:tcPr>
            <w:tcW w:w="851" w:type="dxa"/>
          </w:tcPr>
          <w:p w14:paraId="613612E4" w14:textId="77777777" w:rsidR="0044508D" w:rsidRPr="00CD2ADD" w:rsidRDefault="0044508D" w:rsidP="0044508D">
            <w:pPr>
              <w:rPr>
                <w:color w:val="000000" w:themeColor="text1"/>
                <w:sz w:val="20"/>
                <w:szCs w:val="20"/>
              </w:rPr>
            </w:pPr>
            <w:r w:rsidRPr="00CD2ADD">
              <w:rPr>
                <w:color w:val="000000" w:themeColor="text1"/>
                <w:sz w:val="20"/>
                <w:szCs w:val="20"/>
              </w:rPr>
              <w:t>80</w:t>
            </w:r>
          </w:p>
        </w:tc>
        <w:tc>
          <w:tcPr>
            <w:tcW w:w="709" w:type="dxa"/>
          </w:tcPr>
          <w:p w14:paraId="727F9170" w14:textId="77777777" w:rsidR="0044508D" w:rsidRPr="00CD2ADD" w:rsidRDefault="0044508D" w:rsidP="0044508D">
            <w:pPr>
              <w:rPr>
                <w:color w:val="000000" w:themeColor="text1"/>
                <w:sz w:val="20"/>
                <w:szCs w:val="20"/>
              </w:rPr>
            </w:pPr>
          </w:p>
        </w:tc>
        <w:tc>
          <w:tcPr>
            <w:tcW w:w="992" w:type="dxa"/>
          </w:tcPr>
          <w:p w14:paraId="22FB6303" w14:textId="77777777" w:rsidR="0044508D" w:rsidRPr="00CD2ADD" w:rsidRDefault="0044508D" w:rsidP="0044508D">
            <w:pPr>
              <w:rPr>
                <w:color w:val="000000" w:themeColor="text1"/>
                <w:sz w:val="20"/>
                <w:szCs w:val="20"/>
              </w:rPr>
            </w:pPr>
          </w:p>
        </w:tc>
        <w:tc>
          <w:tcPr>
            <w:tcW w:w="1134" w:type="dxa"/>
          </w:tcPr>
          <w:p w14:paraId="21121E2B" w14:textId="77777777" w:rsidR="0044508D" w:rsidRPr="00CD2ADD" w:rsidRDefault="0044508D" w:rsidP="0044508D">
            <w:pPr>
              <w:rPr>
                <w:sz w:val="20"/>
                <w:szCs w:val="20"/>
              </w:rPr>
            </w:pPr>
            <w:r w:rsidRPr="00CD2ADD">
              <w:rPr>
                <w:sz w:val="20"/>
                <w:szCs w:val="20"/>
              </w:rPr>
              <w:t>7011</w:t>
            </w:r>
          </w:p>
          <w:p w14:paraId="4F1C1450" w14:textId="77777777" w:rsidR="0044508D" w:rsidRPr="00CD2ADD" w:rsidRDefault="0044508D" w:rsidP="0044508D">
            <w:pPr>
              <w:rPr>
                <w:color w:val="000000" w:themeColor="text1"/>
                <w:sz w:val="20"/>
                <w:szCs w:val="20"/>
              </w:rPr>
            </w:pPr>
            <w:r w:rsidRPr="00CD2ADD">
              <w:rPr>
                <w:sz w:val="20"/>
                <w:szCs w:val="20"/>
              </w:rPr>
              <w:t>8001</w:t>
            </w:r>
          </w:p>
        </w:tc>
        <w:tc>
          <w:tcPr>
            <w:tcW w:w="709" w:type="dxa"/>
          </w:tcPr>
          <w:p w14:paraId="03441FDA" w14:textId="77777777" w:rsidR="0044508D" w:rsidRPr="00CD2ADD" w:rsidRDefault="0044508D" w:rsidP="0044508D">
            <w:pPr>
              <w:rPr>
                <w:color w:val="000000" w:themeColor="text1"/>
                <w:sz w:val="20"/>
                <w:szCs w:val="20"/>
              </w:rPr>
            </w:pPr>
          </w:p>
        </w:tc>
        <w:tc>
          <w:tcPr>
            <w:tcW w:w="708" w:type="dxa"/>
          </w:tcPr>
          <w:p w14:paraId="6786990D" w14:textId="77777777" w:rsidR="0044508D" w:rsidRPr="00CD2ADD" w:rsidRDefault="0044508D" w:rsidP="0044508D">
            <w:pPr>
              <w:rPr>
                <w:color w:val="000000" w:themeColor="text1"/>
                <w:sz w:val="20"/>
                <w:szCs w:val="20"/>
              </w:rPr>
            </w:pPr>
            <w:r w:rsidRPr="00CD2ADD">
              <w:rPr>
                <w:color w:val="000000" w:themeColor="text1"/>
                <w:sz w:val="20"/>
                <w:szCs w:val="20"/>
              </w:rPr>
              <w:t>20</w:t>
            </w:r>
          </w:p>
        </w:tc>
        <w:tc>
          <w:tcPr>
            <w:tcW w:w="709" w:type="dxa"/>
          </w:tcPr>
          <w:p w14:paraId="31AA8408" w14:textId="77777777" w:rsidR="0044508D" w:rsidRPr="00CD2ADD" w:rsidRDefault="0044508D" w:rsidP="0044508D">
            <w:pPr>
              <w:rPr>
                <w:color w:val="000000" w:themeColor="text1"/>
                <w:sz w:val="20"/>
                <w:szCs w:val="20"/>
              </w:rPr>
            </w:pPr>
            <w:r w:rsidRPr="00CD2ADD">
              <w:rPr>
                <w:color w:val="000000" w:themeColor="text1"/>
                <w:sz w:val="20"/>
                <w:szCs w:val="20"/>
              </w:rPr>
              <w:t>20</w:t>
            </w:r>
          </w:p>
        </w:tc>
        <w:tc>
          <w:tcPr>
            <w:tcW w:w="709" w:type="dxa"/>
          </w:tcPr>
          <w:p w14:paraId="7597FE7F" w14:textId="77777777" w:rsidR="0044508D" w:rsidRPr="00CD2ADD" w:rsidRDefault="0044508D" w:rsidP="0044508D">
            <w:pPr>
              <w:rPr>
                <w:color w:val="000000" w:themeColor="text1"/>
                <w:sz w:val="20"/>
                <w:szCs w:val="20"/>
              </w:rPr>
            </w:pPr>
            <w:r w:rsidRPr="00CD2ADD">
              <w:rPr>
                <w:color w:val="000000" w:themeColor="text1"/>
                <w:sz w:val="20"/>
                <w:szCs w:val="20"/>
              </w:rPr>
              <w:t>20</w:t>
            </w:r>
          </w:p>
        </w:tc>
        <w:tc>
          <w:tcPr>
            <w:tcW w:w="709" w:type="dxa"/>
          </w:tcPr>
          <w:p w14:paraId="630B34F0" w14:textId="77777777" w:rsidR="0044508D" w:rsidRPr="00CD2ADD" w:rsidRDefault="0044508D" w:rsidP="0044508D">
            <w:pPr>
              <w:rPr>
                <w:color w:val="000000" w:themeColor="text1"/>
                <w:sz w:val="20"/>
                <w:szCs w:val="20"/>
              </w:rPr>
            </w:pPr>
            <w:r w:rsidRPr="00CD2ADD">
              <w:rPr>
                <w:color w:val="000000" w:themeColor="text1"/>
                <w:sz w:val="20"/>
                <w:szCs w:val="20"/>
              </w:rPr>
              <w:t>20</w:t>
            </w:r>
          </w:p>
        </w:tc>
        <w:tc>
          <w:tcPr>
            <w:tcW w:w="1134" w:type="dxa"/>
          </w:tcPr>
          <w:p w14:paraId="3FFABD1E" w14:textId="77777777" w:rsidR="0044508D" w:rsidRPr="00CD2ADD" w:rsidRDefault="0044508D" w:rsidP="0044508D">
            <w:pPr>
              <w:rPr>
                <w:sz w:val="20"/>
                <w:szCs w:val="20"/>
              </w:rPr>
            </w:pPr>
            <w:r w:rsidRPr="00CD2ADD">
              <w:rPr>
                <w:sz w:val="20"/>
                <w:szCs w:val="20"/>
              </w:rPr>
              <w:t>Trim. IV 2027</w:t>
            </w:r>
          </w:p>
          <w:p w14:paraId="11361140" w14:textId="77777777" w:rsidR="0044508D" w:rsidRPr="00CD2ADD" w:rsidRDefault="0044508D" w:rsidP="0044508D">
            <w:pPr>
              <w:rPr>
                <w:sz w:val="20"/>
                <w:szCs w:val="20"/>
              </w:rPr>
            </w:pPr>
            <w:r w:rsidRPr="00CD2ADD">
              <w:rPr>
                <w:sz w:val="20"/>
                <w:szCs w:val="20"/>
              </w:rPr>
              <w:t>Trim. IV4 2028</w:t>
            </w:r>
          </w:p>
          <w:p w14:paraId="6240868F" w14:textId="77777777" w:rsidR="0044508D" w:rsidRPr="00CD2ADD" w:rsidRDefault="0044508D" w:rsidP="0044508D">
            <w:pPr>
              <w:rPr>
                <w:sz w:val="20"/>
                <w:szCs w:val="20"/>
              </w:rPr>
            </w:pPr>
            <w:r w:rsidRPr="00CD2ADD">
              <w:rPr>
                <w:sz w:val="20"/>
                <w:szCs w:val="20"/>
              </w:rPr>
              <w:t>Trim IV 2029</w:t>
            </w:r>
          </w:p>
          <w:p w14:paraId="607712A2" w14:textId="77777777" w:rsidR="0044508D" w:rsidRPr="00CD2ADD" w:rsidRDefault="0044508D" w:rsidP="0044508D">
            <w:pPr>
              <w:rPr>
                <w:sz w:val="20"/>
                <w:szCs w:val="20"/>
              </w:rPr>
            </w:pPr>
            <w:r w:rsidRPr="00CD2ADD">
              <w:rPr>
                <w:sz w:val="20"/>
                <w:szCs w:val="20"/>
              </w:rPr>
              <w:t>Trim IV 2030</w:t>
            </w:r>
          </w:p>
        </w:tc>
        <w:tc>
          <w:tcPr>
            <w:tcW w:w="1926" w:type="dxa"/>
          </w:tcPr>
          <w:p w14:paraId="5312C643" w14:textId="77777777" w:rsidR="0044508D" w:rsidRPr="00CD2ADD" w:rsidRDefault="0044508D" w:rsidP="0044508D">
            <w:pPr>
              <w:rPr>
                <w:color w:val="000000" w:themeColor="text1"/>
                <w:sz w:val="20"/>
                <w:szCs w:val="20"/>
              </w:rPr>
            </w:pPr>
            <w:r w:rsidRPr="00CD2ADD">
              <w:rPr>
                <w:color w:val="000000" w:themeColor="text1"/>
                <w:sz w:val="20"/>
                <w:szCs w:val="20"/>
              </w:rPr>
              <w:t>Ministerul Mediului, Ministerul Sănătății, Ministerul Agriculturii si Industriei Alimentare, Cancelaria de Stat, Ministerul Finanțelor  si parteneri de dezvoltare</w:t>
            </w:r>
          </w:p>
        </w:tc>
      </w:tr>
      <w:tr w:rsidR="0044508D" w:rsidRPr="00CD2ADD" w14:paraId="4D3C2370" w14:textId="77777777" w:rsidTr="002C4956">
        <w:tc>
          <w:tcPr>
            <w:tcW w:w="514" w:type="dxa"/>
          </w:tcPr>
          <w:p w14:paraId="2BC8769D" w14:textId="77777777" w:rsidR="0044508D" w:rsidRPr="00CD2ADD" w:rsidRDefault="0044508D" w:rsidP="0044508D">
            <w:pPr>
              <w:rPr>
                <w:color w:val="000000" w:themeColor="text1"/>
                <w:sz w:val="20"/>
                <w:szCs w:val="20"/>
              </w:rPr>
            </w:pPr>
            <w:r w:rsidRPr="00CD2ADD">
              <w:rPr>
                <w:color w:val="000000" w:themeColor="text1"/>
                <w:sz w:val="20"/>
                <w:szCs w:val="20"/>
              </w:rPr>
              <w:t>45.</w:t>
            </w:r>
          </w:p>
        </w:tc>
        <w:tc>
          <w:tcPr>
            <w:tcW w:w="2033" w:type="dxa"/>
          </w:tcPr>
          <w:p w14:paraId="447B23AD" w14:textId="11B449ED" w:rsidR="0044508D" w:rsidRPr="00CD2ADD" w:rsidRDefault="0044508D" w:rsidP="0044508D">
            <w:pPr>
              <w:rPr>
                <w:color w:val="000000" w:themeColor="text1"/>
                <w:sz w:val="20"/>
                <w:szCs w:val="20"/>
              </w:rPr>
            </w:pPr>
            <w:r w:rsidRPr="00CD2ADD">
              <w:rPr>
                <w:color w:val="000000" w:themeColor="text1"/>
                <w:sz w:val="20"/>
                <w:szCs w:val="20"/>
              </w:rPr>
              <w:t xml:space="preserve">5.2.2 Participarea anuală a Republicii Moldova la reuniunile COP  și alte mecanismele tehnice aferente convențiilor Sendai, UNFCCC, CBD, UNCCD, etc. </w:t>
            </w:r>
          </w:p>
        </w:tc>
        <w:tc>
          <w:tcPr>
            <w:tcW w:w="1701" w:type="dxa"/>
          </w:tcPr>
          <w:p w14:paraId="431477FE" w14:textId="77777777" w:rsidR="0044508D" w:rsidRPr="00CD2ADD" w:rsidRDefault="0044508D" w:rsidP="0044508D">
            <w:pPr>
              <w:rPr>
                <w:color w:val="000000" w:themeColor="text1"/>
                <w:sz w:val="20"/>
                <w:szCs w:val="20"/>
              </w:rPr>
            </w:pPr>
            <w:r w:rsidRPr="00CD2ADD">
              <w:rPr>
                <w:color w:val="000000" w:themeColor="text1"/>
                <w:sz w:val="20"/>
                <w:szCs w:val="20"/>
              </w:rPr>
              <w:t>- Participare anuală consecventă (≥ 1 delegație/an la toate convențiile relevante)</w:t>
            </w:r>
          </w:p>
        </w:tc>
        <w:tc>
          <w:tcPr>
            <w:tcW w:w="850" w:type="dxa"/>
          </w:tcPr>
          <w:p w14:paraId="034C2471" w14:textId="77777777" w:rsidR="0044508D" w:rsidRPr="00CD2ADD" w:rsidRDefault="0044508D" w:rsidP="0044508D">
            <w:pPr>
              <w:rPr>
                <w:color w:val="000000" w:themeColor="text1"/>
                <w:sz w:val="20"/>
                <w:szCs w:val="20"/>
              </w:rPr>
            </w:pPr>
            <w:r w:rsidRPr="00CD2ADD">
              <w:rPr>
                <w:color w:val="000000" w:themeColor="text1"/>
                <w:sz w:val="20"/>
                <w:szCs w:val="20"/>
              </w:rPr>
              <w:t>800</w:t>
            </w:r>
          </w:p>
        </w:tc>
        <w:tc>
          <w:tcPr>
            <w:tcW w:w="851" w:type="dxa"/>
          </w:tcPr>
          <w:p w14:paraId="1B1EBC60" w14:textId="77777777" w:rsidR="0044508D" w:rsidRPr="00CD2ADD" w:rsidRDefault="0044508D" w:rsidP="0044508D">
            <w:pPr>
              <w:rPr>
                <w:color w:val="000000" w:themeColor="text1"/>
                <w:sz w:val="20"/>
                <w:szCs w:val="20"/>
              </w:rPr>
            </w:pPr>
          </w:p>
        </w:tc>
        <w:tc>
          <w:tcPr>
            <w:tcW w:w="709" w:type="dxa"/>
          </w:tcPr>
          <w:p w14:paraId="052D60A2" w14:textId="70D3DC37" w:rsidR="0044508D" w:rsidRPr="00CD2ADD" w:rsidRDefault="0044508D" w:rsidP="0044508D">
            <w:pPr>
              <w:rPr>
                <w:color w:val="000000" w:themeColor="text1"/>
                <w:sz w:val="20"/>
                <w:szCs w:val="20"/>
              </w:rPr>
            </w:pPr>
          </w:p>
        </w:tc>
        <w:tc>
          <w:tcPr>
            <w:tcW w:w="992" w:type="dxa"/>
          </w:tcPr>
          <w:p w14:paraId="38E0E258" w14:textId="77777777" w:rsidR="0044508D" w:rsidRPr="00CD2ADD" w:rsidRDefault="0044508D" w:rsidP="0044508D">
            <w:pPr>
              <w:rPr>
                <w:color w:val="000000" w:themeColor="text1"/>
                <w:sz w:val="20"/>
                <w:szCs w:val="20"/>
              </w:rPr>
            </w:pPr>
            <w:r w:rsidRPr="00CD2ADD">
              <w:rPr>
                <w:color w:val="000000" w:themeColor="text1"/>
                <w:sz w:val="20"/>
                <w:szCs w:val="20"/>
              </w:rPr>
              <w:t>800</w:t>
            </w:r>
          </w:p>
        </w:tc>
        <w:tc>
          <w:tcPr>
            <w:tcW w:w="1134" w:type="dxa"/>
          </w:tcPr>
          <w:p w14:paraId="26582C5A" w14:textId="77777777" w:rsidR="0044508D" w:rsidRPr="00CD2ADD" w:rsidRDefault="0044508D" w:rsidP="0044508D">
            <w:pPr>
              <w:rPr>
                <w:color w:val="000000" w:themeColor="text1"/>
                <w:sz w:val="20"/>
                <w:szCs w:val="20"/>
              </w:rPr>
            </w:pPr>
            <w:r w:rsidRPr="00CD2ADD">
              <w:rPr>
                <w:color w:val="000000" w:themeColor="text1"/>
                <w:sz w:val="20"/>
                <w:szCs w:val="20"/>
              </w:rPr>
              <w:t>n/a</w:t>
            </w:r>
          </w:p>
        </w:tc>
        <w:tc>
          <w:tcPr>
            <w:tcW w:w="709" w:type="dxa"/>
          </w:tcPr>
          <w:p w14:paraId="1FAA3F21" w14:textId="77777777" w:rsidR="0044508D" w:rsidRPr="00CD2ADD" w:rsidRDefault="0044508D" w:rsidP="0044508D">
            <w:pPr>
              <w:rPr>
                <w:color w:val="000000" w:themeColor="text1"/>
                <w:sz w:val="20"/>
                <w:szCs w:val="20"/>
              </w:rPr>
            </w:pPr>
          </w:p>
        </w:tc>
        <w:tc>
          <w:tcPr>
            <w:tcW w:w="708" w:type="dxa"/>
          </w:tcPr>
          <w:p w14:paraId="6144A4EF" w14:textId="77777777" w:rsidR="0044508D" w:rsidRPr="00CD2ADD" w:rsidRDefault="0044508D" w:rsidP="0044508D">
            <w:pPr>
              <w:rPr>
                <w:color w:val="000000" w:themeColor="text1"/>
                <w:sz w:val="20"/>
                <w:szCs w:val="20"/>
              </w:rPr>
            </w:pPr>
            <w:r w:rsidRPr="00CD2ADD">
              <w:rPr>
                <w:color w:val="000000" w:themeColor="text1"/>
                <w:sz w:val="20"/>
                <w:szCs w:val="20"/>
              </w:rPr>
              <w:t>200</w:t>
            </w:r>
          </w:p>
        </w:tc>
        <w:tc>
          <w:tcPr>
            <w:tcW w:w="709" w:type="dxa"/>
          </w:tcPr>
          <w:p w14:paraId="21785DC3" w14:textId="77777777" w:rsidR="0044508D" w:rsidRPr="00CD2ADD" w:rsidRDefault="0044508D" w:rsidP="0044508D">
            <w:pPr>
              <w:rPr>
                <w:color w:val="000000" w:themeColor="text1"/>
                <w:sz w:val="20"/>
                <w:szCs w:val="20"/>
              </w:rPr>
            </w:pPr>
            <w:r w:rsidRPr="00CD2ADD">
              <w:rPr>
                <w:color w:val="000000" w:themeColor="text1"/>
                <w:sz w:val="20"/>
                <w:szCs w:val="20"/>
              </w:rPr>
              <w:t>200</w:t>
            </w:r>
          </w:p>
        </w:tc>
        <w:tc>
          <w:tcPr>
            <w:tcW w:w="709" w:type="dxa"/>
          </w:tcPr>
          <w:p w14:paraId="21B1BBC3" w14:textId="77777777" w:rsidR="0044508D" w:rsidRPr="00CD2ADD" w:rsidRDefault="0044508D" w:rsidP="0044508D">
            <w:pPr>
              <w:rPr>
                <w:color w:val="000000" w:themeColor="text1"/>
                <w:sz w:val="20"/>
                <w:szCs w:val="20"/>
              </w:rPr>
            </w:pPr>
            <w:r w:rsidRPr="00CD2ADD">
              <w:rPr>
                <w:color w:val="000000" w:themeColor="text1"/>
                <w:sz w:val="20"/>
                <w:szCs w:val="20"/>
              </w:rPr>
              <w:t>200</w:t>
            </w:r>
          </w:p>
        </w:tc>
        <w:tc>
          <w:tcPr>
            <w:tcW w:w="709" w:type="dxa"/>
          </w:tcPr>
          <w:p w14:paraId="3A7CEAFA" w14:textId="77777777" w:rsidR="0044508D" w:rsidRPr="00CD2ADD" w:rsidRDefault="0044508D" w:rsidP="0044508D">
            <w:pPr>
              <w:rPr>
                <w:color w:val="000000" w:themeColor="text1"/>
                <w:sz w:val="20"/>
                <w:szCs w:val="20"/>
              </w:rPr>
            </w:pPr>
            <w:r w:rsidRPr="00CD2ADD">
              <w:rPr>
                <w:color w:val="000000" w:themeColor="text1"/>
                <w:sz w:val="20"/>
                <w:szCs w:val="20"/>
              </w:rPr>
              <w:t>200</w:t>
            </w:r>
          </w:p>
        </w:tc>
        <w:tc>
          <w:tcPr>
            <w:tcW w:w="1134" w:type="dxa"/>
          </w:tcPr>
          <w:p w14:paraId="654F4911" w14:textId="77777777" w:rsidR="0044508D" w:rsidRPr="00CD2ADD" w:rsidRDefault="0044508D" w:rsidP="0044508D">
            <w:pPr>
              <w:rPr>
                <w:sz w:val="20"/>
                <w:szCs w:val="20"/>
              </w:rPr>
            </w:pPr>
            <w:r w:rsidRPr="00CD2ADD">
              <w:rPr>
                <w:sz w:val="20"/>
                <w:szCs w:val="20"/>
              </w:rPr>
              <w:t>Trim. IV 2027</w:t>
            </w:r>
          </w:p>
          <w:p w14:paraId="2DB2FF9F" w14:textId="77777777" w:rsidR="0044508D" w:rsidRPr="00CD2ADD" w:rsidRDefault="0044508D" w:rsidP="0044508D">
            <w:pPr>
              <w:rPr>
                <w:sz w:val="20"/>
                <w:szCs w:val="20"/>
              </w:rPr>
            </w:pPr>
            <w:r w:rsidRPr="00CD2ADD">
              <w:rPr>
                <w:sz w:val="20"/>
                <w:szCs w:val="20"/>
              </w:rPr>
              <w:t>Trim. IV4 2028</w:t>
            </w:r>
          </w:p>
          <w:p w14:paraId="4705468F" w14:textId="77777777" w:rsidR="0044508D" w:rsidRPr="00CD2ADD" w:rsidRDefault="0044508D" w:rsidP="0044508D">
            <w:pPr>
              <w:rPr>
                <w:sz w:val="20"/>
                <w:szCs w:val="20"/>
              </w:rPr>
            </w:pPr>
            <w:r w:rsidRPr="00CD2ADD">
              <w:rPr>
                <w:sz w:val="20"/>
                <w:szCs w:val="20"/>
              </w:rPr>
              <w:t>Trim IV 2029</w:t>
            </w:r>
          </w:p>
          <w:p w14:paraId="3070C6F3" w14:textId="77777777" w:rsidR="0044508D" w:rsidRPr="00CD2ADD" w:rsidRDefault="0044508D" w:rsidP="0044508D">
            <w:pPr>
              <w:rPr>
                <w:color w:val="000000" w:themeColor="text1"/>
                <w:sz w:val="20"/>
                <w:szCs w:val="20"/>
              </w:rPr>
            </w:pPr>
            <w:r w:rsidRPr="00CD2ADD">
              <w:rPr>
                <w:sz w:val="20"/>
                <w:szCs w:val="20"/>
              </w:rPr>
              <w:t>Trim IV 2030</w:t>
            </w:r>
          </w:p>
        </w:tc>
        <w:tc>
          <w:tcPr>
            <w:tcW w:w="1926" w:type="dxa"/>
          </w:tcPr>
          <w:p w14:paraId="718D1A70" w14:textId="77777777" w:rsidR="0044508D" w:rsidRPr="00CD2ADD" w:rsidRDefault="0044508D" w:rsidP="0044508D">
            <w:pPr>
              <w:rPr>
                <w:color w:val="000000" w:themeColor="text1"/>
                <w:sz w:val="20"/>
                <w:szCs w:val="20"/>
              </w:rPr>
            </w:pPr>
            <w:r w:rsidRPr="00CD2ADD">
              <w:rPr>
                <w:color w:val="000000" w:themeColor="text1"/>
                <w:sz w:val="20"/>
                <w:szCs w:val="20"/>
              </w:rPr>
              <w:t>Ministerul Mediului, Ministerul Sănătății, Ministerul Agriculturii si Industriei Alimentare, Cancelaria de Stat, Ministerul Finanțelor  si parteneri de dezvoltare</w:t>
            </w:r>
          </w:p>
        </w:tc>
      </w:tr>
      <w:tr w:rsidR="0044508D" w:rsidRPr="00CD2ADD" w14:paraId="01A365DB" w14:textId="77777777" w:rsidTr="002C4956">
        <w:tc>
          <w:tcPr>
            <w:tcW w:w="15388" w:type="dxa"/>
            <w:gridSpan w:val="15"/>
            <w:shd w:val="clear" w:color="auto" w:fill="D9F2D0" w:themeFill="accent6" w:themeFillTint="33"/>
          </w:tcPr>
          <w:p w14:paraId="17285722" w14:textId="77777777" w:rsidR="0044508D" w:rsidRPr="00CD2ADD" w:rsidRDefault="0044508D" w:rsidP="0044508D">
            <w:pPr>
              <w:rPr>
                <w:color w:val="000000" w:themeColor="text1"/>
                <w:sz w:val="20"/>
                <w:szCs w:val="20"/>
              </w:rPr>
            </w:pPr>
            <w:r w:rsidRPr="00CD2ADD">
              <w:rPr>
                <w:b/>
                <w:bCs/>
                <w:color w:val="000000" w:themeColor="text1"/>
                <w:sz w:val="20"/>
                <w:szCs w:val="20"/>
              </w:rPr>
              <w:lastRenderedPageBreak/>
              <w:t>Obiectiv specific  5.3: Consolidarea parteneriatelor strategice internaționale și regionale în RRD</w:t>
            </w:r>
          </w:p>
        </w:tc>
      </w:tr>
      <w:tr w:rsidR="0044508D" w:rsidRPr="00CD2ADD" w14:paraId="5475E011" w14:textId="77777777" w:rsidTr="002C4956">
        <w:tc>
          <w:tcPr>
            <w:tcW w:w="514" w:type="dxa"/>
          </w:tcPr>
          <w:p w14:paraId="7487465E" w14:textId="77777777" w:rsidR="0044508D" w:rsidRPr="00CD2ADD" w:rsidRDefault="0044508D" w:rsidP="0044508D">
            <w:pPr>
              <w:rPr>
                <w:color w:val="000000" w:themeColor="text1"/>
                <w:sz w:val="20"/>
                <w:szCs w:val="20"/>
              </w:rPr>
            </w:pPr>
            <w:r w:rsidRPr="00CD2ADD">
              <w:rPr>
                <w:color w:val="000000" w:themeColor="text1"/>
                <w:sz w:val="20"/>
                <w:szCs w:val="20"/>
              </w:rPr>
              <w:t>46.</w:t>
            </w:r>
          </w:p>
        </w:tc>
        <w:tc>
          <w:tcPr>
            <w:tcW w:w="2033" w:type="dxa"/>
          </w:tcPr>
          <w:p w14:paraId="04A36CC1" w14:textId="77777777" w:rsidR="0044508D" w:rsidRPr="00CD2ADD" w:rsidRDefault="0044508D" w:rsidP="0044508D">
            <w:pPr>
              <w:rPr>
                <w:color w:val="000000" w:themeColor="text1"/>
                <w:sz w:val="20"/>
                <w:szCs w:val="20"/>
              </w:rPr>
            </w:pPr>
            <w:r w:rsidRPr="00CD2ADD">
              <w:rPr>
                <w:color w:val="000000" w:themeColor="text1"/>
                <w:sz w:val="20"/>
                <w:szCs w:val="20"/>
              </w:rPr>
              <w:t>5.3.1 Susținerea parteneriatelor internaționale noi sau extinse în domeniul RRD și adaptare climatică (ONU, UE, IFI, organisme regionale) creste pana in 2030</w:t>
            </w:r>
          </w:p>
        </w:tc>
        <w:tc>
          <w:tcPr>
            <w:tcW w:w="1701" w:type="dxa"/>
          </w:tcPr>
          <w:p w14:paraId="0C8FD6A6" w14:textId="77777777" w:rsidR="0044508D" w:rsidRPr="00CD2ADD" w:rsidRDefault="0044508D" w:rsidP="0044508D">
            <w:pPr>
              <w:rPr>
                <w:color w:val="000000" w:themeColor="text1"/>
                <w:sz w:val="20"/>
                <w:szCs w:val="20"/>
              </w:rPr>
            </w:pPr>
            <w:r w:rsidRPr="00CD2ADD">
              <w:rPr>
                <w:color w:val="000000" w:themeColor="text1"/>
                <w:sz w:val="20"/>
                <w:szCs w:val="20"/>
              </w:rPr>
              <w:t>- ≥ 3 parteneriate active</w:t>
            </w:r>
          </w:p>
        </w:tc>
        <w:tc>
          <w:tcPr>
            <w:tcW w:w="850" w:type="dxa"/>
          </w:tcPr>
          <w:p w14:paraId="052A4A11" w14:textId="77777777" w:rsidR="0044508D" w:rsidRPr="00CD2ADD" w:rsidRDefault="0044508D" w:rsidP="0044508D">
            <w:pPr>
              <w:rPr>
                <w:color w:val="000000" w:themeColor="text1"/>
                <w:sz w:val="20"/>
                <w:szCs w:val="20"/>
              </w:rPr>
            </w:pPr>
            <w:r w:rsidRPr="00CD2ADD">
              <w:rPr>
                <w:color w:val="000000" w:themeColor="text1"/>
                <w:sz w:val="20"/>
                <w:szCs w:val="20"/>
              </w:rPr>
              <w:t>250</w:t>
            </w:r>
          </w:p>
        </w:tc>
        <w:tc>
          <w:tcPr>
            <w:tcW w:w="851" w:type="dxa"/>
          </w:tcPr>
          <w:p w14:paraId="426824A6" w14:textId="77777777" w:rsidR="0044508D" w:rsidRPr="00CD2ADD" w:rsidRDefault="0044508D" w:rsidP="0044508D">
            <w:pPr>
              <w:rPr>
                <w:color w:val="000000" w:themeColor="text1"/>
                <w:sz w:val="20"/>
                <w:szCs w:val="20"/>
              </w:rPr>
            </w:pPr>
          </w:p>
        </w:tc>
        <w:tc>
          <w:tcPr>
            <w:tcW w:w="709" w:type="dxa"/>
          </w:tcPr>
          <w:p w14:paraId="3052D02B" w14:textId="77777777" w:rsidR="0044508D" w:rsidRPr="00CD2ADD" w:rsidRDefault="0044508D" w:rsidP="0044508D">
            <w:pPr>
              <w:rPr>
                <w:color w:val="000000" w:themeColor="text1"/>
                <w:sz w:val="20"/>
                <w:szCs w:val="20"/>
              </w:rPr>
            </w:pPr>
          </w:p>
        </w:tc>
        <w:tc>
          <w:tcPr>
            <w:tcW w:w="992" w:type="dxa"/>
          </w:tcPr>
          <w:p w14:paraId="7408CF9E" w14:textId="77777777" w:rsidR="0044508D" w:rsidRPr="00CD2ADD" w:rsidRDefault="0044508D" w:rsidP="0044508D">
            <w:pPr>
              <w:rPr>
                <w:color w:val="000000" w:themeColor="text1"/>
                <w:sz w:val="20"/>
                <w:szCs w:val="20"/>
              </w:rPr>
            </w:pPr>
            <w:r w:rsidRPr="00CD2ADD">
              <w:rPr>
                <w:color w:val="000000" w:themeColor="text1"/>
                <w:sz w:val="20"/>
                <w:szCs w:val="20"/>
              </w:rPr>
              <w:t>250</w:t>
            </w:r>
          </w:p>
        </w:tc>
        <w:tc>
          <w:tcPr>
            <w:tcW w:w="1134" w:type="dxa"/>
          </w:tcPr>
          <w:p w14:paraId="1111E3FA" w14:textId="77777777" w:rsidR="0044508D" w:rsidRPr="00CD2ADD" w:rsidRDefault="0044508D" w:rsidP="0044508D">
            <w:pPr>
              <w:rPr>
                <w:color w:val="000000" w:themeColor="text1"/>
                <w:sz w:val="20"/>
                <w:szCs w:val="20"/>
              </w:rPr>
            </w:pPr>
            <w:r w:rsidRPr="00CD2ADD">
              <w:rPr>
                <w:color w:val="000000" w:themeColor="text1"/>
                <w:sz w:val="20"/>
                <w:szCs w:val="20"/>
              </w:rPr>
              <w:t>7011</w:t>
            </w:r>
          </w:p>
        </w:tc>
        <w:tc>
          <w:tcPr>
            <w:tcW w:w="709" w:type="dxa"/>
          </w:tcPr>
          <w:p w14:paraId="76639FCB" w14:textId="77777777" w:rsidR="0044508D" w:rsidRPr="00CD2ADD" w:rsidRDefault="0044508D" w:rsidP="0044508D">
            <w:pPr>
              <w:rPr>
                <w:color w:val="000000" w:themeColor="text1"/>
                <w:sz w:val="20"/>
                <w:szCs w:val="20"/>
              </w:rPr>
            </w:pPr>
            <w:r w:rsidRPr="00CD2ADD">
              <w:rPr>
                <w:color w:val="000000" w:themeColor="text1"/>
                <w:sz w:val="20"/>
                <w:szCs w:val="20"/>
              </w:rPr>
              <w:t>50</w:t>
            </w:r>
          </w:p>
        </w:tc>
        <w:tc>
          <w:tcPr>
            <w:tcW w:w="708" w:type="dxa"/>
          </w:tcPr>
          <w:p w14:paraId="66F634DE" w14:textId="77777777" w:rsidR="0044508D" w:rsidRPr="00CD2ADD" w:rsidRDefault="0044508D" w:rsidP="0044508D">
            <w:pPr>
              <w:rPr>
                <w:color w:val="000000" w:themeColor="text1"/>
                <w:sz w:val="20"/>
                <w:szCs w:val="20"/>
              </w:rPr>
            </w:pPr>
            <w:r w:rsidRPr="00CD2ADD">
              <w:rPr>
                <w:color w:val="000000" w:themeColor="text1"/>
                <w:sz w:val="20"/>
                <w:szCs w:val="20"/>
              </w:rPr>
              <w:t>50</w:t>
            </w:r>
          </w:p>
        </w:tc>
        <w:tc>
          <w:tcPr>
            <w:tcW w:w="709" w:type="dxa"/>
          </w:tcPr>
          <w:p w14:paraId="0E5707E3" w14:textId="77777777" w:rsidR="0044508D" w:rsidRPr="00CD2ADD" w:rsidRDefault="0044508D" w:rsidP="0044508D">
            <w:pPr>
              <w:rPr>
                <w:color w:val="000000" w:themeColor="text1"/>
                <w:sz w:val="20"/>
                <w:szCs w:val="20"/>
              </w:rPr>
            </w:pPr>
            <w:r w:rsidRPr="00CD2ADD">
              <w:rPr>
                <w:color w:val="000000" w:themeColor="text1"/>
                <w:sz w:val="20"/>
                <w:szCs w:val="20"/>
              </w:rPr>
              <w:t>50</w:t>
            </w:r>
          </w:p>
        </w:tc>
        <w:tc>
          <w:tcPr>
            <w:tcW w:w="709" w:type="dxa"/>
          </w:tcPr>
          <w:p w14:paraId="3BD63DC5" w14:textId="77777777" w:rsidR="0044508D" w:rsidRPr="00CD2ADD" w:rsidRDefault="0044508D" w:rsidP="0044508D">
            <w:pPr>
              <w:rPr>
                <w:color w:val="000000" w:themeColor="text1"/>
                <w:sz w:val="20"/>
                <w:szCs w:val="20"/>
              </w:rPr>
            </w:pPr>
            <w:r w:rsidRPr="00CD2ADD">
              <w:rPr>
                <w:color w:val="000000" w:themeColor="text1"/>
                <w:sz w:val="20"/>
                <w:szCs w:val="20"/>
              </w:rPr>
              <w:t>50</w:t>
            </w:r>
          </w:p>
        </w:tc>
        <w:tc>
          <w:tcPr>
            <w:tcW w:w="709" w:type="dxa"/>
          </w:tcPr>
          <w:p w14:paraId="250C9226" w14:textId="77777777" w:rsidR="0044508D" w:rsidRPr="00CD2ADD" w:rsidRDefault="0044508D" w:rsidP="0044508D">
            <w:pPr>
              <w:rPr>
                <w:color w:val="000000" w:themeColor="text1"/>
                <w:sz w:val="20"/>
                <w:szCs w:val="20"/>
              </w:rPr>
            </w:pPr>
            <w:r w:rsidRPr="00CD2ADD">
              <w:rPr>
                <w:color w:val="000000" w:themeColor="text1"/>
                <w:sz w:val="20"/>
                <w:szCs w:val="20"/>
              </w:rPr>
              <w:t>50</w:t>
            </w:r>
          </w:p>
        </w:tc>
        <w:tc>
          <w:tcPr>
            <w:tcW w:w="1134" w:type="dxa"/>
          </w:tcPr>
          <w:p w14:paraId="6E4F7EA3" w14:textId="77777777" w:rsidR="0044508D" w:rsidRPr="00CD2ADD" w:rsidRDefault="0044508D" w:rsidP="0044508D">
            <w:pPr>
              <w:rPr>
                <w:sz w:val="20"/>
                <w:szCs w:val="20"/>
              </w:rPr>
            </w:pPr>
            <w:r w:rsidRPr="00CD2ADD">
              <w:rPr>
                <w:sz w:val="20"/>
                <w:szCs w:val="20"/>
              </w:rPr>
              <w:t>Anual</w:t>
            </w:r>
          </w:p>
        </w:tc>
        <w:tc>
          <w:tcPr>
            <w:tcW w:w="1926" w:type="dxa"/>
          </w:tcPr>
          <w:p w14:paraId="7ABA3450" w14:textId="77777777" w:rsidR="0044508D" w:rsidRPr="00CD2ADD" w:rsidRDefault="0044508D" w:rsidP="0044508D">
            <w:pPr>
              <w:rPr>
                <w:color w:val="000000" w:themeColor="text1"/>
                <w:sz w:val="20"/>
                <w:szCs w:val="20"/>
              </w:rPr>
            </w:pPr>
            <w:r w:rsidRPr="00CD2ADD">
              <w:rPr>
                <w:color w:val="000000" w:themeColor="text1"/>
                <w:sz w:val="20"/>
                <w:szCs w:val="20"/>
              </w:rPr>
              <w:t>Ministerul Mediului, Ministerul Sănătății, Ministerul Agriculturii si Industriei Alimentare, Cancelaria de Stat, Ministerul Finanțelor  si parteneri de dezvoltare</w:t>
            </w:r>
          </w:p>
        </w:tc>
      </w:tr>
      <w:tr w:rsidR="0044508D" w:rsidRPr="00CD2ADD" w14:paraId="78542FC3" w14:textId="77777777" w:rsidTr="002C4956">
        <w:tc>
          <w:tcPr>
            <w:tcW w:w="514" w:type="dxa"/>
          </w:tcPr>
          <w:p w14:paraId="4921C185" w14:textId="77777777" w:rsidR="0044508D" w:rsidRPr="00CD2ADD" w:rsidRDefault="0044508D" w:rsidP="0044508D">
            <w:pPr>
              <w:rPr>
                <w:color w:val="000000" w:themeColor="text1"/>
                <w:sz w:val="20"/>
                <w:szCs w:val="20"/>
              </w:rPr>
            </w:pPr>
            <w:r w:rsidRPr="00CD2ADD">
              <w:rPr>
                <w:color w:val="000000" w:themeColor="text1"/>
                <w:sz w:val="20"/>
                <w:szCs w:val="20"/>
              </w:rPr>
              <w:t>47.</w:t>
            </w:r>
          </w:p>
        </w:tc>
        <w:tc>
          <w:tcPr>
            <w:tcW w:w="2033" w:type="dxa"/>
          </w:tcPr>
          <w:p w14:paraId="2F09E0E3" w14:textId="77777777" w:rsidR="0044508D" w:rsidRPr="00CD2ADD" w:rsidRDefault="0044508D" w:rsidP="0044508D">
            <w:pPr>
              <w:rPr>
                <w:color w:val="000000" w:themeColor="text1"/>
                <w:sz w:val="20"/>
                <w:szCs w:val="20"/>
              </w:rPr>
            </w:pPr>
            <w:r w:rsidRPr="00CD2ADD">
              <w:rPr>
                <w:color w:val="000000" w:themeColor="text1"/>
                <w:sz w:val="20"/>
                <w:szCs w:val="20"/>
              </w:rPr>
              <w:t>5.3.2 Numărul proiectelor pilot implementate în cooperare internațională (soluții bazate pe natură, digitalizare, restaurare ecologică, gestionarea mobilității) creste pana in 2030</w:t>
            </w:r>
          </w:p>
        </w:tc>
        <w:tc>
          <w:tcPr>
            <w:tcW w:w="1701" w:type="dxa"/>
          </w:tcPr>
          <w:p w14:paraId="29052894" w14:textId="77777777" w:rsidR="0044508D" w:rsidRPr="00CD2ADD" w:rsidRDefault="0044508D" w:rsidP="0044508D">
            <w:pPr>
              <w:rPr>
                <w:color w:val="000000" w:themeColor="text1"/>
                <w:sz w:val="20"/>
                <w:szCs w:val="20"/>
              </w:rPr>
            </w:pPr>
            <w:r w:rsidRPr="00CD2ADD">
              <w:rPr>
                <w:color w:val="000000" w:themeColor="text1"/>
                <w:sz w:val="20"/>
                <w:szCs w:val="20"/>
              </w:rPr>
              <w:t>- ≥ 3 proiecte pilot noi implementate</w:t>
            </w:r>
          </w:p>
        </w:tc>
        <w:tc>
          <w:tcPr>
            <w:tcW w:w="850" w:type="dxa"/>
          </w:tcPr>
          <w:p w14:paraId="45F26D83" w14:textId="77777777" w:rsidR="0044508D" w:rsidRPr="00CD2ADD" w:rsidRDefault="0044508D" w:rsidP="0044508D">
            <w:pPr>
              <w:rPr>
                <w:color w:val="000000" w:themeColor="text1"/>
                <w:sz w:val="20"/>
                <w:szCs w:val="20"/>
              </w:rPr>
            </w:pPr>
            <w:r w:rsidRPr="00CD2ADD">
              <w:rPr>
                <w:color w:val="000000" w:themeColor="text1"/>
                <w:sz w:val="20"/>
                <w:szCs w:val="20"/>
              </w:rPr>
              <w:t>400</w:t>
            </w:r>
          </w:p>
        </w:tc>
        <w:tc>
          <w:tcPr>
            <w:tcW w:w="851" w:type="dxa"/>
          </w:tcPr>
          <w:p w14:paraId="006019D4" w14:textId="77777777" w:rsidR="0044508D" w:rsidRPr="00CD2ADD" w:rsidRDefault="0044508D" w:rsidP="0044508D">
            <w:pPr>
              <w:rPr>
                <w:color w:val="000000" w:themeColor="text1"/>
                <w:sz w:val="20"/>
                <w:szCs w:val="20"/>
              </w:rPr>
            </w:pPr>
            <w:r w:rsidRPr="00CD2ADD">
              <w:rPr>
                <w:color w:val="000000" w:themeColor="text1"/>
                <w:sz w:val="20"/>
                <w:szCs w:val="20"/>
              </w:rPr>
              <w:t>200</w:t>
            </w:r>
          </w:p>
        </w:tc>
        <w:tc>
          <w:tcPr>
            <w:tcW w:w="709" w:type="dxa"/>
          </w:tcPr>
          <w:p w14:paraId="01CB8853" w14:textId="77777777" w:rsidR="0044508D" w:rsidRPr="00CD2ADD" w:rsidRDefault="0044508D" w:rsidP="0044508D">
            <w:pPr>
              <w:rPr>
                <w:color w:val="000000" w:themeColor="text1"/>
                <w:sz w:val="20"/>
                <w:szCs w:val="20"/>
              </w:rPr>
            </w:pPr>
          </w:p>
        </w:tc>
        <w:tc>
          <w:tcPr>
            <w:tcW w:w="992" w:type="dxa"/>
          </w:tcPr>
          <w:p w14:paraId="7839955E" w14:textId="77777777" w:rsidR="0044508D" w:rsidRPr="00CD2ADD" w:rsidRDefault="0044508D" w:rsidP="0044508D">
            <w:pPr>
              <w:rPr>
                <w:color w:val="000000" w:themeColor="text1"/>
                <w:sz w:val="20"/>
                <w:szCs w:val="20"/>
              </w:rPr>
            </w:pPr>
            <w:r w:rsidRPr="00CD2ADD">
              <w:rPr>
                <w:color w:val="000000" w:themeColor="text1"/>
                <w:sz w:val="20"/>
                <w:szCs w:val="20"/>
              </w:rPr>
              <w:t>200</w:t>
            </w:r>
          </w:p>
        </w:tc>
        <w:tc>
          <w:tcPr>
            <w:tcW w:w="1134" w:type="dxa"/>
          </w:tcPr>
          <w:p w14:paraId="54242EB9" w14:textId="77777777" w:rsidR="0044508D" w:rsidRPr="00CD2ADD" w:rsidRDefault="0044508D" w:rsidP="0044508D">
            <w:pPr>
              <w:rPr>
                <w:color w:val="000000" w:themeColor="text1"/>
                <w:sz w:val="20"/>
                <w:szCs w:val="20"/>
              </w:rPr>
            </w:pPr>
            <w:r w:rsidRPr="00CD2ADD">
              <w:rPr>
                <w:color w:val="000000" w:themeColor="text1"/>
                <w:sz w:val="20"/>
                <w:szCs w:val="20"/>
              </w:rPr>
              <w:t>7011</w:t>
            </w:r>
          </w:p>
        </w:tc>
        <w:tc>
          <w:tcPr>
            <w:tcW w:w="709" w:type="dxa"/>
          </w:tcPr>
          <w:p w14:paraId="0B21454E" w14:textId="77777777" w:rsidR="0044508D" w:rsidRPr="00CD2ADD" w:rsidRDefault="0044508D" w:rsidP="0044508D">
            <w:pPr>
              <w:rPr>
                <w:color w:val="000000" w:themeColor="text1"/>
                <w:sz w:val="20"/>
                <w:szCs w:val="20"/>
              </w:rPr>
            </w:pPr>
          </w:p>
        </w:tc>
        <w:tc>
          <w:tcPr>
            <w:tcW w:w="708" w:type="dxa"/>
          </w:tcPr>
          <w:p w14:paraId="166C6980" w14:textId="2E3722D6" w:rsidR="0044508D" w:rsidRPr="00CD2ADD" w:rsidRDefault="0044508D" w:rsidP="0044508D">
            <w:pPr>
              <w:rPr>
                <w:color w:val="000000" w:themeColor="text1"/>
                <w:sz w:val="20"/>
                <w:szCs w:val="20"/>
              </w:rPr>
            </w:pPr>
          </w:p>
        </w:tc>
        <w:tc>
          <w:tcPr>
            <w:tcW w:w="709" w:type="dxa"/>
          </w:tcPr>
          <w:p w14:paraId="581814C3" w14:textId="097F0209" w:rsidR="0044508D" w:rsidRPr="00CD2ADD" w:rsidRDefault="0044508D" w:rsidP="0044508D">
            <w:pPr>
              <w:rPr>
                <w:color w:val="000000" w:themeColor="text1"/>
                <w:sz w:val="20"/>
                <w:szCs w:val="20"/>
              </w:rPr>
            </w:pPr>
            <w:r w:rsidRPr="00CD2ADD">
              <w:rPr>
                <w:color w:val="000000" w:themeColor="text1"/>
                <w:sz w:val="20"/>
                <w:szCs w:val="20"/>
              </w:rPr>
              <w:t>200</w:t>
            </w:r>
          </w:p>
        </w:tc>
        <w:tc>
          <w:tcPr>
            <w:tcW w:w="709" w:type="dxa"/>
          </w:tcPr>
          <w:p w14:paraId="2EE15EB3" w14:textId="77777777" w:rsidR="0044508D" w:rsidRPr="00CD2ADD" w:rsidRDefault="0044508D" w:rsidP="0044508D">
            <w:pPr>
              <w:rPr>
                <w:color w:val="000000" w:themeColor="text1"/>
                <w:sz w:val="20"/>
                <w:szCs w:val="20"/>
              </w:rPr>
            </w:pPr>
            <w:r w:rsidRPr="00CD2ADD">
              <w:rPr>
                <w:color w:val="000000" w:themeColor="text1"/>
                <w:sz w:val="20"/>
                <w:szCs w:val="20"/>
              </w:rPr>
              <w:t>100</w:t>
            </w:r>
          </w:p>
        </w:tc>
        <w:tc>
          <w:tcPr>
            <w:tcW w:w="709" w:type="dxa"/>
          </w:tcPr>
          <w:p w14:paraId="16FAB50C" w14:textId="77777777" w:rsidR="0044508D" w:rsidRPr="00CD2ADD" w:rsidRDefault="0044508D" w:rsidP="0044508D">
            <w:pPr>
              <w:rPr>
                <w:color w:val="000000" w:themeColor="text1"/>
                <w:sz w:val="20"/>
                <w:szCs w:val="20"/>
              </w:rPr>
            </w:pPr>
            <w:r w:rsidRPr="00CD2ADD">
              <w:rPr>
                <w:color w:val="000000" w:themeColor="text1"/>
                <w:sz w:val="20"/>
                <w:szCs w:val="20"/>
              </w:rPr>
              <w:t>100</w:t>
            </w:r>
          </w:p>
        </w:tc>
        <w:tc>
          <w:tcPr>
            <w:tcW w:w="1134" w:type="dxa"/>
          </w:tcPr>
          <w:p w14:paraId="2B0053CB" w14:textId="4FADC6B7" w:rsidR="0044508D" w:rsidRPr="00CD2ADD" w:rsidRDefault="0044508D" w:rsidP="0044508D">
            <w:pPr>
              <w:rPr>
                <w:sz w:val="20"/>
                <w:szCs w:val="20"/>
              </w:rPr>
            </w:pPr>
            <w:r w:rsidRPr="00CD2ADD">
              <w:rPr>
                <w:sz w:val="20"/>
                <w:szCs w:val="20"/>
              </w:rPr>
              <w:t>Trim. III 2028</w:t>
            </w:r>
          </w:p>
          <w:p w14:paraId="469B62B2" w14:textId="77777777" w:rsidR="0044508D" w:rsidRPr="00CD2ADD" w:rsidRDefault="0044508D" w:rsidP="0044508D">
            <w:pPr>
              <w:rPr>
                <w:sz w:val="20"/>
                <w:szCs w:val="20"/>
              </w:rPr>
            </w:pPr>
            <w:r w:rsidRPr="00CD2ADD">
              <w:rPr>
                <w:sz w:val="20"/>
                <w:szCs w:val="20"/>
              </w:rPr>
              <w:t>Trim. IV4 2029</w:t>
            </w:r>
          </w:p>
          <w:p w14:paraId="5226193C" w14:textId="77777777" w:rsidR="0044508D" w:rsidRPr="00CD2ADD" w:rsidRDefault="0044508D" w:rsidP="0044508D">
            <w:pPr>
              <w:rPr>
                <w:sz w:val="20"/>
                <w:szCs w:val="20"/>
              </w:rPr>
            </w:pPr>
            <w:r w:rsidRPr="00CD2ADD">
              <w:rPr>
                <w:sz w:val="20"/>
                <w:szCs w:val="20"/>
              </w:rPr>
              <w:t>Trim IV 2030</w:t>
            </w:r>
          </w:p>
        </w:tc>
        <w:tc>
          <w:tcPr>
            <w:tcW w:w="1926" w:type="dxa"/>
          </w:tcPr>
          <w:p w14:paraId="1AA2F315" w14:textId="77777777" w:rsidR="0044508D" w:rsidRPr="00CD2ADD" w:rsidRDefault="0044508D" w:rsidP="0044508D">
            <w:pPr>
              <w:rPr>
                <w:color w:val="000000" w:themeColor="text1"/>
                <w:sz w:val="20"/>
                <w:szCs w:val="20"/>
              </w:rPr>
            </w:pPr>
            <w:r w:rsidRPr="00CD2ADD">
              <w:rPr>
                <w:color w:val="000000" w:themeColor="text1"/>
                <w:sz w:val="20"/>
                <w:szCs w:val="20"/>
              </w:rPr>
              <w:t>Ministerul Mediului, Ministerul Sănătății, Ministerul Agriculturii si Industriei Alimentare, Cancelaria de Stat, Ministerul Finanțelor  si parteneri de dezvoltare</w:t>
            </w:r>
          </w:p>
        </w:tc>
      </w:tr>
      <w:tr w:rsidR="0044508D" w:rsidRPr="00CD2ADD" w14:paraId="41E3ABC9" w14:textId="77777777" w:rsidTr="002C4956">
        <w:tc>
          <w:tcPr>
            <w:tcW w:w="514" w:type="dxa"/>
          </w:tcPr>
          <w:p w14:paraId="50B94273" w14:textId="77777777" w:rsidR="0044508D" w:rsidRPr="00CD2ADD" w:rsidRDefault="0044508D" w:rsidP="0044508D">
            <w:pPr>
              <w:rPr>
                <w:color w:val="000000" w:themeColor="text1"/>
                <w:sz w:val="20"/>
                <w:szCs w:val="20"/>
              </w:rPr>
            </w:pPr>
            <w:r w:rsidRPr="00CD2ADD">
              <w:rPr>
                <w:color w:val="000000" w:themeColor="text1"/>
                <w:sz w:val="20"/>
                <w:szCs w:val="20"/>
              </w:rPr>
              <w:t>48.</w:t>
            </w:r>
          </w:p>
        </w:tc>
        <w:tc>
          <w:tcPr>
            <w:tcW w:w="2033" w:type="dxa"/>
          </w:tcPr>
          <w:p w14:paraId="6E37244B" w14:textId="77777777" w:rsidR="0044508D" w:rsidRPr="00CD2ADD" w:rsidRDefault="0044508D" w:rsidP="0044508D">
            <w:pPr>
              <w:rPr>
                <w:color w:val="000000" w:themeColor="text1"/>
                <w:sz w:val="20"/>
                <w:szCs w:val="20"/>
              </w:rPr>
            </w:pPr>
            <w:r w:rsidRPr="00CD2ADD">
              <w:rPr>
                <w:color w:val="000000" w:themeColor="text1"/>
                <w:sz w:val="20"/>
                <w:szCs w:val="20"/>
              </w:rPr>
              <w:t>5.3.3 Sprijinirea schimburilor de bune practici și cercetări comune realizate</w:t>
            </w:r>
          </w:p>
        </w:tc>
        <w:tc>
          <w:tcPr>
            <w:tcW w:w="1701" w:type="dxa"/>
          </w:tcPr>
          <w:p w14:paraId="54784E60" w14:textId="77777777" w:rsidR="0044508D" w:rsidRPr="00CD2ADD" w:rsidRDefault="0044508D" w:rsidP="0044508D">
            <w:pPr>
              <w:rPr>
                <w:color w:val="000000" w:themeColor="text1"/>
                <w:sz w:val="20"/>
                <w:szCs w:val="20"/>
              </w:rPr>
            </w:pPr>
            <w:r w:rsidRPr="00CD2ADD">
              <w:rPr>
                <w:color w:val="000000" w:themeColor="text1"/>
                <w:sz w:val="20"/>
                <w:szCs w:val="20"/>
              </w:rPr>
              <w:t>- ≥ 5 schimburi de date/expertiză realizate</w:t>
            </w:r>
          </w:p>
        </w:tc>
        <w:tc>
          <w:tcPr>
            <w:tcW w:w="850" w:type="dxa"/>
          </w:tcPr>
          <w:p w14:paraId="26639FE7" w14:textId="77777777" w:rsidR="0044508D" w:rsidRPr="00CD2ADD" w:rsidRDefault="0044508D" w:rsidP="0044508D">
            <w:pPr>
              <w:rPr>
                <w:color w:val="000000" w:themeColor="text1"/>
                <w:sz w:val="20"/>
                <w:szCs w:val="20"/>
              </w:rPr>
            </w:pPr>
            <w:r w:rsidRPr="00CD2ADD">
              <w:rPr>
                <w:color w:val="000000" w:themeColor="text1"/>
                <w:sz w:val="20"/>
                <w:szCs w:val="20"/>
              </w:rPr>
              <w:t>400</w:t>
            </w:r>
          </w:p>
        </w:tc>
        <w:tc>
          <w:tcPr>
            <w:tcW w:w="851" w:type="dxa"/>
          </w:tcPr>
          <w:p w14:paraId="56FA3164" w14:textId="77777777" w:rsidR="0044508D" w:rsidRPr="00CD2ADD" w:rsidRDefault="0044508D" w:rsidP="0044508D">
            <w:pPr>
              <w:rPr>
                <w:color w:val="000000" w:themeColor="text1"/>
                <w:sz w:val="20"/>
                <w:szCs w:val="20"/>
              </w:rPr>
            </w:pPr>
            <w:r w:rsidRPr="00CD2ADD">
              <w:rPr>
                <w:color w:val="000000" w:themeColor="text1"/>
                <w:sz w:val="20"/>
                <w:szCs w:val="20"/>
              </w:rPr>
              <w:t>200</w:t>
            </w:r>
          </w:p>
        </w:tc>
        <w:tc>
          <w:tcPr>
            <w:tcW w:w="709" w:type="dxa"/>
          </w:tcPr>
          <w:p w14:paraId="5745A650" w14:textId="77777777" w:rsidR="0044508D" w:rsidRPr="00CD2ADD" w:rsidRDefault="0044508D" w:rsidP="0044508D">
            <w:pPr>
              <w:rPr>
                <w:color w:val="000000" w:themeColor="text1"/>
                <w:sz w:val="20"/>
                <w:szCs w:val="20"/>
              </w:rPr>
            </w:pPr>
          </w:p>
        </w:tc>
        <w:tc>
          <w:tcPr>
            <w:tcW w:w="992" w:type="dxa"/>
          </w:tcPr>
          <w:p w14:paraId="260A34DD" w14:textId="77777777" w:rsidR="0044508D" w:rsidRPr="00CD2ADD" w:rsidRDefault="0044508D" w:rsidP="0044508D">
            <w:pPr>
              <w:rPr>
                <w:color w:val="000000" w:themeColor="text1"/>
                <w:sz w:val="20"/>
                <w:szCs w:val="20"/>
              </w:rPr>
            </w:pPr>
            <w:r w:rsidRPr="00CD2ADD">
              <w:rPr>
                <w:color w:val="000000" w:themeColor="text1"/>
                <w:sz w:val="20"/>
                <w:szCs w:val="20"/>
              </w:rPr>
              <w:t>200</w:t>
            </w:r>
          </w:p>
        </w:tc>
        <w:tc>
          <w:tcPr>
            <w:tcW w:w="1134" w:type="dxa"/>
          </w:tcPr>
          <w:p w14:paraId="709AC80A" w14:textId="77777777" w:rsidR="0044508D" w:rsidRPr="00CD2ADD" w:rsidRDefault="0044508D" w:rsidP="0044508D">
            <w:pPr>
              <w:rPr>
                <w:color w:val="000000" w:themeColor="text1"/>
                <w:sz w:val="20"/>
                <w:szCs w:val="20"/>
              </w:rPr>
            </w:pPr>
            <w:r w:rsidRPr="00CD2ADD">
              <w:rPr>
                <w:color w:val="000000" w:themeColor="text1"/>
                <w:sz w:val="20"/>
                <w:szCs w:val="20"/>
              </w:rPr>
              <w:t>7011</w:t>
            </w:r>
          </w:p>
        </w:tc>
        <w:tc>
          <w:tcPr>
            <w:tcW w:w="709" w:type="dxa"/>
          </w:tcPr>
          <w:p w14:paraId="7CF92BF4" w14:textId="77777777" w:rsidR="0044508D" w:rsidRPr="00CD2ADD" w:rsidRDefault="0044508D" w:rsidP="0044508D">
            <w:pPr>
              <w:rPr>
                <w:color w:val="000000" w:themeColor="text1"/>
                <w:sz w:val="20"/>
                <w:szCs w:val="20"/>
              </w:rPr>
            </w:pPr>
          </w:p>
        </w:tc>
        <w:tc>
          <w:tcPr>
            <w:tcW w:w="708" w:type="dxa"/>
          </w:tcPr>
          <w:p w14:paraId="7E182773" w14:textId="77777777" w:rsidR="0044508D" w:rsidRPr="00CD2ADD" w:rsidRDefault="0044508D" w:rsidP="0044508D">
            <w:pPr>
              <w:rPr>
                <w:color w:val="000000" w:themeColor="text1"/>
                <w:sz w:val="20"/>
                <w:szCs w:val="20"/>
              </w:rPr>
            </w:pPr>
            <w:r w:rsidRPr="00CD2ADD">
              <w:rPr>
                <w:color w:val="000000" w:themeColor="text1"/>
                <w:sz w:val="20"/>
                <w:szCs w:val="20"/>
              </w:rPr>
              <w:t>200</w:t>
            </w:r>
          </w:p>
        </w:tc>
        <w:tc>
          <w:tcPr>
            <w:tcW w:w="709" w:type="dxa"/>
          </w:tcPr>
          <w:p w14:paraId="7FAE51B2" w14:textId="77777777" w:rsidR="0044508D" w:rsidRPr="00CD2ADD" w:rsidRDefault="0044508D" w:rsidP="0044508D">
            <w:pPr>
              <w:rPr>
                <w:color w:val="000000" w:themeColor="text1"/>
                <w:sz w:val="20"/>
                <w:szCs w:val="20"/>
              </w:rPr>
            </w:pPr>
          </w:p>
        </w:tc>
        <w:tc>
          <w:tcPr>
            <w:tcW w:w="709" w:type="dxa"/>
          </w:tcPr>
          <w:p w14:paraId="5D8121A8" w14:textId="77777777" w:rsidR="0044508D" w:rsidRPr="00CD2ADD" w:rsidRDefault="0044508D" w:rsidP="0044508D">
            <w:pPr>
              <w:rPr>
                <w:color w:val="000000" w:themeColor="text1"/>
                <w:sz w:val="20"/>
                <w:szCs w:val="20"/>
              </w:rPr>
            </w:pPr>
            <w:r w:rsidRPr="00CD2ADD">
              <w:rPr>
                <w:color w:val="000000" w:themeColor="text1"/>
                <w:sz w:val="20"/>
                <w:szCs w:val="20"/>
              </w:rPr>
              <w:t>100</w:t>
            </w:r>
          </w:p>
        </w:tc>
        <w:tc>
          <w:tcPr>
            <w:tcW w:w="709" w:type="dxa"/>
          </w:tcPr>
          <w:p w14:paraId="3DF51DF2" w14:textId="77777777" w:rsidR="0044508D" w:rsidRPr="00CD2ADD" w:rsidRDefault="0044508D" w:rsidP="0044508D">
            <w:pPr>
              <w:rPr>
                <w:color w:val="000000" w:themeColor="text1"/>
                <w:sz w:val="20"/>
                <w:szCs w:val="20"/>
              </w:rPr>
            </w:pPr>
            <w:r w:rsidRPr="00CD2ADD">
              <w:rPr>
                <w:color w:val="000000" w:themeColor="text1"/>
                <w:sz w:val="20"/>
                <w:szCs w:val="20"/>
              </w:rPr>
              <w:t>100</w:t>
            </w:r>
          </w:p>
        </w:tc>
        <w:tc>
          <w:tcPr>
            <w:tcW w:w="1134" w:type="dxa"/>
          </w:tcPr>
          <w:p w14:paraId="7F8AA6AD" w14:textId="77777777" w:rsidR="0044508D" w:rsidRPr="00CD2ADD" w:rsidRDefault="0044508D" w:rsidP="0044508D">
            <w:pPr>
              <w:rPr>
                <w:sz w:val="20"/>
                <w:szCs w:val="20"/>
              </w:rPr>
            </w:pPr>
            <w:r w:rsidRPr="00CD2ADD">
              <w:rPr>
                <w:sz w:val="20"/>
                <w:szCs w:val="20"/>
              </w:rPr>
              <w:t>Trim. IV 2027</w:t>
            </w:r>
          </w:p>
          <w:p w14:paraId="05292BEB" w14:textId="77777777" w:rsidR="0044508D" w:rsidRPr="00CD2ADD" w:rsidRDefault="0044508D" w:rsidP="0044508D">
            <w:pPr>
              <w:rPr>
                <w:sz w:val="20"/>
                <w:szCs w:val="20"/>
              </w:rPr>
            </w:pPr>
            <w:r w:rsidRPr="00CD2ADD">
              <w:rPr>
                <w:sz w:val="20"/>
                <w:szCs w:val="20"/>
              </w:rPr>
              <w:t>Trim. IV4 2029</w:t>
            </w:r>
          </w:p>
          <w:p w14:paraId="17868D99" w14:textId="77777777" w:rsidR="0044508D" w:rsidRPr="00CD2ADD" w:rsidRDefault="0044508D" w:rsidP="0044508D">
            <w:pPr>
              <w:rPr>
                <w:sz w:val="20"/>
                <w:szCs w:val="20"/>
              </w:rPr>
            </w:pPr>
            <w:r w:rsidRPr="00CD2ADD">
              <w:rPr>
                <w:sz w:val="20"/>
                <w:szCs w:val="20"/>
              </w:rPr>
              <w:t>Trim IV 2030</w:t>
            </w:r>
          </w:p>
        </w:tc>
        <w:tc>
          <w:tcPr>
            <w:tcW w:w="1926" w:type="dxa"/>
          </w:tcPr>
          <w:p w14:paraId="1FF2D50A" w14:textId="77777777" w:rsidR="0044508D" w:rsidRPr="00CD2ADD" w:rsidRDefault="0044508D" w:rsidP="0044508D">
            <w:pPr>
              <w:rPr>
                <w:color w:val="000000" w:themeColor="text1"/>
                <w:sz w:val="20"/>
                <w:szCs w:val="20"/>
              </w:rPr>
            </w:pPr>
            <w:r w:rsidRPr="00CD2ADD">
              <w:rPr>
                <w:color w:val="000000" w:themeColor="text1"/>
                <w:sz w:val="20"/>
                <w:szCs w:val="20"/>
              </w:rPr>
              <w:t>Ministerul Mediului, Ministerul Sănătății, Ministerul Agriculturii si Industriei Alimentare, Cancelaria de Stat, Ministerul Finanțelor  si parteneri de dezvoltare</w:t>
            </w:r>
          </w:p>
        </w:tc>
      </w:tr>
      <w:tr w:rsidR="0044508D" w:rsidRPr="00CD2ADD" w14:paraId="27003877" w14:textId="77777777" w:rsidTr="002C4956">
        <w:tc>
          <w:tcPr>
            <w:tcW w:w="4248" w:type="dxa"/>
            <w:gridSpan w:val="3"/>
          </w:tcPr>
          <w:p w14:paraId="4E5C05DB" w14:textId="1A7E478F" w:rsidR="0044508D" w:rsidRPr="00CD2ADD" w:rsidRDefault="0044508D" w:rsidP="0044508D">
            <w:pPr>
              <w:rPr>
                <w:b/>
                <w:bCs/>
                <w:color w:val="000000" w:themeColor="text1"/>
                <w:sz w:val="20"/>
                <w:szCs w:val="20"/>
              </w:rPr>
            </w:pPr>
            <w:r w:rsidRPr="00CD2ADD">
              <w:rPr>
                <w:b/>
                <w:bCs/>
                <w:color w:val="000000" w:themeColor="text1"/>
                <w:sz w:val="20"/>
                <w:szCs w:val="20"/>
              </w:rPr>
              <w:t>TOTAL</w:t>
            </w:r>
          </w:p>
        </w:tc>
        <w:tc>
          <w:tcPr>
            <w:tcW w:w="850" w:type="dxa"/>
          </w:tcPr>
          <w:p w14:paraId="3B5994AD" w14:textId="52D8BD5C" w:rsidR="0044508D" w:rsidRPr="00CD2ADD" w:rsidRDefault="0044508D" w:rsidP="0044508D">
            <w:pPr>
              <w:rPr>
                <w:b/>
                <w:bCs/>
                <w:color w:val="000000" w:themeColor="text1"/>
                <w:sz w:val="20"/>
                <w:szCs w:val="20"/>
              </w:rPr>
            </w:pPr>
            <w:r w:rsidRPr="00CD2ADD">
              <w:rPr>
                <w:b/>
                <w:bCs/>
                <w:color w:val="000000" w:themeColor="text1"/>
                <w:sz w:val="20"/>
                <w:szCs w:val="20"/>
              </w:rPr>
              <w:t>129,</w:t>
            </w:r>
            <w:r w:rsidR="0060025B" w:rsidRPr="00CD2ADD">
              <w:rPr>
                <w:b/>
                <w:bCs/>
                <w:color w:val="000000" w:themeColor="text1"/>
                <w:sz w:val="20"/>
                <w:szCs w:val="20"/>
              </w:rPr>
              <w:t>828</w:t>
            </w:r>
          </w:p>
        </w:tc>
        <w:tc>
          <w:tcPr>
            <w:tcW w:w="851" w:type="dxa"/>
          </w:tcPr>
          <w:p w14:paraId="76A97CD2" w14:textId="056E0166" w:rsidR="0044508D" w:rsidRPr="00CD2ADD" w:rsidRDefault="0044508D" w:rsidP="0044508D">
            <w:pPr>
              <w:rPr>
                <w:b/>
                <w:bCs/>
                <w:color w:val="000000" w:themeColor="text1"/>
                <w:sz w:val="20"/>
                <w:szCs w:val="20"/>
              </w:rPr>
            </w:pPr>
            <w:r w:rsidRPr="00CD2ADD">
              <w:rPr>
                <w:b/>
                <w:bCs/>
                <w:color w:val="000000" w:themeColor="text1"/>
                <w:sz w:val="20"/>
                <w:szCs w:val="20"/>
              </w:rPr>
              <w:t>1</w:t>
            </w:r>
            <w:r w:rsidR="0060025B" w:rsidRPr="00CD2ADD">
              <w:rPr>
                <w:b/>
                <w:bCs/>
                <w:color w:val="000000" w:themeColor="text1"/>
                <w:sz w:val="20"/>
                <w:szCs w:val="20"/>
              </w:rPr>
              <w:t>3,2</w:t>
            </w:r>
            <w:r w:rsidR="001B108D" w:rsidRPr="00CD2ADD">
              <w:rPr>
                <w:b/>
                <w:bCs/>
                <w:color w:val="000000" w:themeColor="text1"/>
                <w:sz w:val="20"/>
                <w:szCs w:val="20"/>
              </w:rPr>
              <w:t>89</w:t>
            </w:r>
          </w:p>
        </w:tc>
        <w:tc>
          <w:tcPr>
            <w:tcW w:w="709" w:type="dxa"/>
          </w:tcPr>
          <w:p w14:paraId="5F268B88" w14:textId="32BC6414" w:rsidR="0044508D" w:rsidRPr="00CD2ADD" w:rsidRDefault="0044508D" w:rsidP="0044508D">
            <w:pPr>
              <w:rPr>
                <w:b/>
                <w:bCs/>
                <w:color w:val="000000" w:themeColor="text1"/>
                <w:sz w:val="20"/>
                <w:szCs w:val="20"/>
              </w:rPr>
            </w:pPr>
            <w:r w:rsidRPr="00CD2ADD">
              <w:rPr>
                <w:b/>
                <w:bCs/>
                <w:color w:val="000000" w:themeColor="text1"/>
                <w:sz w:val="20"/>
                <w:szCs w:val="20"/>
              </w:rPr>
              <w:t>97, 024</w:t>
            </w:r>
          </w:p>
        </w:tc>
        <w:tc>
          <w:tcPr>
            <w:tcW w:w="992" w:type="dxa"/>
          </w:tcPr>
          <w:p w14:paraId="64C3DB5D" w14:textId="2E6ABB6E" w:rsidR="0044508D" w:rsidRPr="00CD2ADD" w:rsidRDefault="0044508D" w:rsidP="0044508D">
            <w:pPr>
              <w:rPr>
                <w:b/>
                <w:bCs/>
                <w:color w:val="000000" w:themeColor="text1"/>
                <w:sz w:val="20"/>
                <w:szCs w:val="20"/>
              </w:rPr>
            </w:pPr>
            <w:r w:rsidRPr="00CD2ADD">
              <w:rPr>
                <w:b/>
                <w:bCs/>
                <w:color w:val="000000" w:themeColor="text1"/>
                <w:sz w:val="20"/>
                <w:szCs w:val="20"/>
              </w:rPr>
              <w:t>1</w:t>
            </w:r>
            <w:r w:rsidR="0060025B" w:rsidRPr="00CD2ADD">
              <w:rPr>
                <w:b/>
                <w:bCs/>
                <w:color w:val="000000" w:themeColor="text1"/>
                <w:sz w:val="20"/>
                <w:szCs w:val="20"/>
              </w:rPr>
              <w:t>9,515</w:t>
            </w:r>
          </w:p>
        </w:tc>
        <w:tc>
          <w:tcPr>
            <w:tcW w:w="1134" w:type="dxa"/>
          </w:tcPr>
          <w:p w14:paraId="48C35B65" w14:textId="77777777" w:rsidR="0044508D" w:rsidRPr="00CD2ADD" w:rsidRDefault="0044508D" w:rsidP="0044508D">
            <w:pPr>
              <w:rPr>
                <w:color w:val="000000" w:themeColor="text1"/>
                <w:sz w:val="20"/>
                <w:szCs w:val="20"/>
              </w:rPr>
            </w:pPr>
          </w:p>
        </w:tc>
        <w:tc>
          <w:tcPr>
            <w:tcW w:w="709" w:type="dxa"/>
          </w:tcPr>
          <w:p w14:paraId="09961F04" w14:textId="28784523" w:rsidR="0044508D" w:rsidRPr="00CD2ADD" w:rsidRDefault="0044508D" w:rsidP="0044508D">
            <w:pPr>
              <w:rPr>
                <w:b/>
                <w:bCs/>
                <w:color w:val="000000" w:themeColor="text1"/>
                <w:sz w:val="20"/>
                <w:szCs w:val="20"/>
              </w:rPr>
            </w:pPr>
            <w:r w:rsidRPr="00CD2ADD">
              <w:rPr>
                <w:b/>
                <w:bCs/>
                <w:color w:val="000000" w:themeColor="text1"/>
                <w:sz w:val="20"/>
                <w:szCs w:val="20"/>
              </w:rPr>
              <w:t>7</w:t>
            </w:r>
            <w:r w:rsidR="0060025B" w:rsidRPr="00CD2ADD">
              <w:rPr>
                <w:b/>
                <w:bCs/>
                <w:color w:val="000000" w:themeColor="text1"/>
                <w:sz w:val="20"/>
                <w:szCs w:val="20"/>
              </w:rPr>
              <w:t>6,045</w:t>
            </w:r>
          </w:p>
        </w:tc>
        <w:tc>
          <w:tcPr>
            <w:tcW w:w="708" w:type="dxa"/>
          </w:tcPr>
          <w:p w14:paraId="5F309074" w14:textId="72297417" w:rsidR="0044508D" w:rsidRPr="00CD2ADD" w:rsidRDefault="0044508D" w:rsidP="0044508D">
            <w:pPr>
              <w:rPr>
                <w:b/>
                <w:bCs/>
                <w:color w:val="000000" w:themeColor="text1"/>
                <w:sz w:val="20"/>
                <w:szCs w:val="20"/>
              </w:rPr>
            </w:pPr>
            <w:r w:rsidRPr="00CD2ADD">
              <w:rPr>
                <w:b/>
                <w:bCs/>
                <w:color w:val="000000" w:themeColor="text1"/>
                <w:sz w:val="20"/>
                <w:szCs w:val="20"/>
              </w:rPr>
              <w:t>3</w:t>
            </w:r>
            <w:r w:rsidR="0060025B" w:rsidRPr="00CD2ADD">
              <w:rPr>
                <w:b/>
                <w:bCs/>
                <w:color w:val="000000" w:themeColor="text1"/>
                <w:sz w:val="20"/>
                <w:szCs w:val="20"/>
              </w:rPr>
              <w:t>9</w:t>
            </w:r>
            <w:r w:rsidRPr="00CD2ADD">
              <w:rPr>
                <w:b/>
                <w:bCs/>
                <w:color w:val="000000" w:themeColor="text1"/>
                <w:sz w:val="20"/>
                <w:szCs w:val="20"/>
              </w:rPr>
              <w:t>,</w:t>
            </w:r>
            <w:r w:rsidR="0060025B" w:rsidRPr="00CD2ADD">
              <w:rPr>
                <w:b/>
                <w:bCs/>
                <w:color w:val="000000" w:themeColor="text1"/>
                <w:sz w:val="20"/>
                <w:szCs w:val="20"/>
              </w:rPr>
              <w:t>189</w:t>
            </w:r>
          </w:p>
        </w:tc>
        <w:tc>
          <w:tcPr>
            <w:tcW w:w="709" w:type="dxa"/>
          </w:tcPr>
          <w:p w14:paraId="65228E3A" w14:textId="7854C715" w:rsidR="0044508D" w:rsidRPr="00CD2ADD" w:rsidRDefault="0060025B" w:rsidP="0044508D">
            <w:pPr>
              <w:rPr>
                <w:b/>
                <w:bCs/>
                <w:color w:val="000000" w:themeColor="text1"/>
                <w:sz w:val="20"/>
                <w:szCs w:val="20"/>
              </w:rPr>
            </w:pPr>
            <w:r w:rsidRPr="00CD2ADD">
              <w:rPr>
                <w:b/>
                <w:bCs/>
                <w:color w:val="000000" w:themeColor="text1"/>
                <w:sz w:val="20"/>
                <w:szCs w:val="20"/>
              </w:rPr>
              <w:t>8,281</w:t>
            </w:r>
          </w:p>
        </w:tc>
        <w:tc>
          <w:tcPr>
            <w:tcW w:w="709" w:type="dxa"/>
          </w:tcPr>
          <w:p w14:paraId="79B729F9" w14:textId="193A51FD" w:rsidR="0044508D" w:rsidRPr="00CD2ADD" w:rsidRDefault="004776A4" w:rsidP="0044508D">
            <w:pPr>
              <w:rPr>
                <w:b/>
                <w:bCs/>
                <w:color w:val="000000" w:themeColor="text1"/>
                <w:sz w:val="20"/>
                <w:szCs w:val="20"/>
              </w:rPr>
            </w:pPr>
            <w:r w:rsidRPr="00CD2ADD">
              <w:rPr>
                <w:b/>
                <w:bCs/>
                <w:color w:val="000000" w:themeColor="text1"/>
                <w:sz w:val="20"/>
                <w:szCs w:val="20"/>
              </w:rPr>
              <w:t>4,685</w:t>
            </w:r>
          </w:p>
        </w:tc>
        <w:tc>
          <w:tcPr>
            <w:tcW w:w="709" w:type="dxa"/>
          </w:tcPr>
          <w:p w14:paraId="02D22CAC" w14:textId="1B46DE88" w:rsidR="0044508D" w:rsidRPr="00CD2ADD" w:rsidRDefault="0044508D" w:rsidP="0044508D">
            <w:pPr>
              <w:rPr>
                <w:b/>
                <w:bCs/>
                <w:color w:val="000000" w:themeColor="text1"/>
                <w:sz w:val="20"/>
                <w:szCs w:val="20"/>
              </w:rPr>
            </w:pPr>
            <w:r w:rsidRPr="00CD2ADD">
              <w:rPr>
                <w:b/>
                <w:bCs/>
                <w:color w:val="000000" w:themeColor="text1"/>
                <w:sz w:val="20"/>
                <w:szCs w:val="20"/>
              </w:rPr>
              <w:t>1,</w:t>
            </w:r>
            <w:r w:rsidR="004776A4" w:rsidRPr="00CD2ADD">
              <w:rPr>
                <w:b/>
                <w:bCs/>
                <w:color w:val="000000" w:themeColor="text1"/>
                <w:sz w:val="20"/>
                <w:szCs w:val="20"/>
              </w:rPr>
              <w:t>629</w:t>
            </w:r>
          </w:p>
        </w:tc>
        <w:tc>
          <w:tcPr>
            <w:tcW w:w="1134" w:type="dxa"/>
          </w:tcPr>
          <w:p w14:paraId="540875A9" w14:textId="77777777" w:rsidR="0044508D" w:rsidRPr="00CD2ADD" w:rsidRDefault="0044508D" w:rsidP="0044508D">
            <w:pPr>
              <w:rPr>
                <w:b/>
                <w:bCs/>
                <w:sz w:val="20"/>
                <w:szCs w:val="20"/>
              </w:rPr>
            </w:pPr>
          </w:p>
        </w:tc>
        <w:tc>
          <w:tcPr>
            <w:tcW w:w="1926" w:type="dxa"/>
          </w:tcPr>
          <w:p w14:paraId="6396B08F" w14:textId="77777777" w:rsidR="0044508D" w:rsidRPr="00CD2ADD" w:rsidRDefault="0044508D" w:rsidP="0044508D">
            <w:pPr>
              <w:rPr>
                <w:b/>
                <w:bCs/>
                <w:color w:val="000000" w:themeColor="text1"/>
                <w:sz w:val="20"/>
                <w:szCs w:val="20"/>
              </w:rPr>
            </w:pPr>
          </w:p>
        </w:tc>
      </w:tr>
    </w:tbl>
    <w:p w14:paraId="3B83F9D9" w14:textId="77777777" w:rsidR="003212AC" w:rsidRPr="00FA52E5" w:rsidRDefault="003212AC" w:rsidP="0021781F">
      <w:pPr>
        <w:spacing w:after="120"/>
        <w:jc w:val="both"/>
        <w:rPr>
          <w:rFonts w:asciiTheme="minorHAnsi" w:hAnsiTheme="minorHAnsi"/>
          <w:sz w:val="22"/>
          <w:szCs w:val="22"/>
          <w:lang w:val="ro-RO" w:eastAsia="en-US"/>
        </w:rPr>
      </w:pPr>
    </w:p>
    <w:sectPr w:rsidR="003212AC" w:rsidRPr="00FA52E5" w:rsidSect="00590F8B">
      <w:pgSz w:w="16838" w:h="11906" w:orient="landscape"/>
      <w:pgMar w:top="720" w:right="720" w:bottom="720" w:left="720"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AD26E" w14:textId="77777777" w:rsidR="00FA2CCC" w:rsidRPr="00CD2ADD" w:rsidRDefault="00FA2CCC" w:rsidP="00E7157D">
      <w:r w:rsidRPr="00CD2ADD">
        <w:separator/>
      </w:r>
    </w:p>
  </w:endnote>
  <w:endnote w:type="continuationSeparator" w:id="0">
    <w:p w14:paraId="4B3E5148" w14:textId="77777777" w:rsidR="00FA2CCC" w:rsidRPr="00CD2ADD" w:rsidRDefault="00FA2CCC" w:rsidP="00E7157D">
      <w:r w:rsidRPr="00CD2ADD">
        <w:continuationSeparator/>
      </w:r>
    </w:p>
  </w:endnote>
  <w:endnote w:type="continuationNotice" w:id="1">
    <w:p w14:paraId="7C287C1D" w14:textId="77777777" w:rsidR="00FA2CCC" w:rsidRPr="00CD2ADD" w:rsidRDefault="00FA2C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91887636"/>
      <w:docPartObj>
        <w:docPartGallery w:val="Page Numbers (Bottom of Page)"/>
        <w:docPartUnique/>
      </w:docPartObj>
    </w:sdtPr>
    <w:sdtContent>
      <w:p w14:paraId="56A9D1DC" w14:textId="7D755D6B" w:rsidR="00C80AB2" w:rsidRPr="00CD2ADD" w:rsidRDefault="00C80AB2" w:rsidP="008A48C3">
        <w:pPr>
          <w:pStyle w:val="Footer"/>
          <w:framePr w:wrap="none" w:vAnchor="text" w:hAnchor="margin" w:xAlign="right" w:y="1"/>
          <w:rPr>
            <w:rStyle w:val="PageNumber"/>
          </w:rPr>
        </w:pPr>
        <w:r w:rsidRPr="00CD2ADD">
          <w:rPr>
            <w:rStyle w:val="PageNumber"/>
          </w:rPr>
          <w:fldChar w:fldCharType="begin"/>
        </w:r>
        <w:r w:rsidRPr="00CD2ADD">
          <w:rPr>
            <w:rStyle w:val="PageNumber"/>
          </w:rPr>
          <w:instrText xml:space="preserve"> PAGE </w:instrText>
        </w:r>
        <w:r w:rsidRPr="00CD2ADD">
          <w:rPr>
            <w:rStyle w:val="PageNumber"/>
          </w:rPr>
          <w:fldChar w:fldCharType="separate"/>
        </w:r>
        <w:r w:rsidR="00FD2DEC">
          <w:rPr>
            <w:rStyle w:val="PageNumber"/>
            <w:noProof/>
          </w:rPr>
          <w:t>2</w:t>
        </w:r>
        <w:r w:rsidRPr="00CD2ADD">
          <w:rPr>
            <w:rStyle w:val="PageNumber"/>
          </w:rPr>
          <w:fldChar w:fldCharType="end"/>
        </w:r>
      </w:p>
    </w:sdtContent>
  </w:sdt>
  <w:p w14:paraId="05C0F5FE" w14:textId="77777777" w:rsidR="00C80AB2" w:rsidRPr="00CD2ADD" w:rsidRDefault="00C80AB2" w:rsidP="00C80A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85F4C" w14:textId="77777777" w:rsidR="00F25B71" w:rsidRPr="00CD2ADD" w:rsidRDefault="002C4956">
    <w:r w:rsidRPr="00CD2ADD">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0000C" w14:textId="77777777" w:rsidR="00FA2CCC" w:rsidRPr="00CD2ADD" w:rsidRDefault="00FA2CCC" w:rsidP="00E7157D">
      <w:r w:rsidRPr="00CD2ADD">
        <w:separator/>
      </w:r>
    </w:p>
  </w:footnote>
  <w:footnote w:type="continuationSeparator" w:id="0">
    <w:p w14:paraId="0CEDE023" w14:textId="77777777" w:rsidR="00FA2CCC" w:rsidRPr="00CD2ADD" w:rsidRDefault="00FA2CCC" w:rsidP="00E7157D">
      <w:r w:rsidRPr="00CD2ADD">
        <w:continuationSeparator/>
      </w:r>
    </w:p>
  </w:footnote>
  <w:footnote w:type="continuationNotice" w:id="1">
    <w:p w14:paraId="00C3A6CE" w14:textId="77777777" w:rsidR="00FA2CCC" w:rsidRPr="00CD2ADD" w:rsidRDefault="00FA2CCC"/>
  </w:footnote>
  <w:footnote w:id="2">
    <w:p w14:paraId="23E5BDCB" w14:textId="77777777" w:rsidR="00C621C0" w:rsidRPr="00CD2ADD" w:rsidRDefault="00C621C0" w:rsidP="00C621C0">
      <w:pPr>
        <w:pStyle w:val="FootnoteText"/>
        <w:spacing w:after="0" w:line="240" w:lineRule="auto"/>
        <w:rPr>
          <w:rFonts w:ascii="Times New Roman" w:hAnsi="Times New Roman" w:cs="Times New Roman"/>
          <w:lang w:val="ro-MD"/>
        </w:rPr>
      </w:pPr>
      <w:r w:rsidRPr="00CD2ADD">
        <w:rPr>
          <w:rStyle w:val="FootnoteReference"/>
          <w:rFonts w:ascii="Times New Roman" w:hAnsi="Times New Roman" w:cs="Times New Roman"/>
          <w:lang w:val="ro-MD"/>
        </w:rPr>
        <w:footnoteRef/>
      </w:r>
      <w:r w:rsidRPr="00CD2ADD">
        <w:rPr>
          <w:rFonts w:ascii="Times New Roman" w:hAnsi="Times New Roman" w:cs="Times New Roman"/>
          <w:lang w:val="ro-MD"/>
        </w:rPr>
        <w:t xml:space="preserve"> </w:t>
      </w:r>
      <w:hyperlink r:id="rId1" w:anchor="Phase-3-" w:history="1">
        <w:r w:rsidRPr="00CD2ADD">
          <w:rPr>
            <w:rStyle w:val="Hyperlink"/>
            <w:rFonts w:ascii="Times New Roman" w:hAnsi="Times New Roman" w:cs="Times New Roman"/>
            <w:sz w:val="18"/>
            <w:szCs w:val="18"/>
            <w:lang w:val="ro-MD"/>
          </w:rPr>
          <w:t>Human mobility, including migration, displacement and planned relocation | UNFCCC</w:t>
        </w:r>
      </w:hyperlink>
    </w:p>
  </w:footnote>
  <w:footnote w:id="3">
    <w:p w14:paraId="2CB5AF7D" w14:textId="6D16E200" w:rsidR="007C3E9B" w:rsidRPr="00CD2ADD" w:rsidRDefault="007C3E9B" w:rsidP="00C03417">
      <w:pPr>
        <w:pStyle w:val="FootnoteText"/>
        <w:spacing w:after="0" w:line="240" w:lineRule="auto"/>
        <w:rPr>
          <w:rFonts w:ascii="Times New Roman" w:hAnsi="Times New Roman" w:cs="Times New Roman"/>
          <w:sz w:val="18"/>
          <w:szCs w:val="18"/>
          <w:lang w:val="ro-MD"/>
        </w:rPr>
      </w:pPr>
      <w:r w:rsidRPr="00CD2ADD">
        <w:rPr>
          <w:rStyle w:val="FootnoteReference"/>
          <w:rFonts w:ascii="Times New Roman" w:hAnsi="Times New Roman" w:cs="Times New Roman"/>
          <w:sz w:val="18"/>
          <w:szCs w:val="18"/>
          <w:lang w:val="ro-MD"/>
        </w:rPr>
        <w:footnoteRef/>
      </w:r>
      <w:r w:rsidRPr="00CD2ADD">
        <w:rPr>
          <w:rFonts w:ascii="Times New Roman" w:hAnsi="Times New Roman" w:cs="Times New Roman"/>
          <w:sz w:val="18"/>
          <w:szCs w:val="18"/>
          <w:lang w:val="ro-MD"/>
        </w:rPr>
        <w:t xml:space="preserve"> </w:t>
      </w:r>
      <w:hyperlink r:id="rId2" w:history="1">
        <w:r w:rsidRPr="00CD2ADD">
          <w:rPr>
            <w:rStyle w:val="Hyperlink"/>
            <w:rFonts w:ascii="Times New Roman" w:hAnsi="Times New Roman" w:cs="Times New Roman"/>
            <w:sz w:val="18"/>
            <w:szCs w:val="18"/>
            <w:lang w:val="ro-MD"/>
          </w:rPr>
          <w:t>https://esaro.unfpa.org/sites/default/files/pub-pdf/recommendations_unfpa_cc_cop26_final.pdf</w:t>
        </w:r>
      </w:hyperlink>
      <w:r w:rsidRPr="00CD2ADD">
        <w:rPr>
          <w:rFonts w:ascii="Times New Roman" w:hAnsi="Times New Roman" w:cs="Times New Roman"/>
          <w:sz w:val="18"/>
          <w:szCs w:val="18"/>
          <w:lang w:val="ro-MD"/>
        </w:rPr>
        <w:t xml:space="preserve"> </w:t>
      </w:r>
    </w:p>
  </w:footnote>
  <w:footnote w:id="4">
    <w:p w14:paraId="2AC1AFA2" w14:textId="77777777" w:rsidR="00FD3CB6" w:rsidRPr="00CD2ADD" w:rsidRDefault="00FD3CB6" w:rsidP="00C03417">
      <w:pPr>
        <w:pStyle w:val="FootnoteText"/>
        <w:spacing w:after="0" w:line="240" w:lineRule="auto"/>
        <w:rPr>
          <w:rFonts w:ascii="Times New Roman" w:hAnsi="Times New Roman" w:cs="Times New Roman"/>
          <w:sz w:val="18"/>
          <w:szCs w:val="18"/>
          <w:lang w:val="ro-MD"/>
        </w:rPr>
      </w:pPr>
      <w:r w:rsidRPr="00CD2ADD">
        <w:rPr>
          <w:rStyle w:val="FootnoteReference"/>
          <w:rFonts w:ascii="Times New Roman" w:hAnsi="Times New Roman" w:cs="Times New Roman"/>
          <w:sz w:val="18"/>
          <w:szCs w:val="18"/>
          <w:lang w:val="ro-MD"/>
        </w:rPr>
        <w:footnoteRef/>
      </w:r>
      <w:r w:rsidRPr="00CD2ADD">
        <w:rPr>
          <w:rFonts w:ascii="Times New Roman" w:hAnsi="Times New Roman" w:cs="Times New Roman"/>
          <w:sz w:val="18"/>
          <w:szCs w:val="18"/>
          <w:lang w:val="ro-MD"/>
        </w:rPr>
        <w:t xml:space="preserve"> </w:t>
      </w:r>
      <w:hyperlink r:id="rId3" w:history="1">
        <w:r w:rsidRPr="00CD2ADD">
          <w:rPr>
            <w:rStyle w:val="Hyperlink"/>
            <w:rFonts w:ascii="Times New Roman" w:hAnsi="Times New Roman" w:cs="Times New Roman"/>
            <w:sz w:val="18"/>
            <w:szCs w:val="18"/>
            <w:lang w:val="ro-MD"/>
          </w:rPr>
          <w:t>Comunicării Naționala a Republicii Moldova, CN 5 către UNFCCC, 2023</w:t>
        </w:r>
      </w:hyperlink>
    </w:p>
  </w:footnote>
  <w:footnote w:id="5">
    <w:p w14:paraId="4FE8B4EC" w14:textId="32D3BA5C" w:rsidR="0006295E" w:rsidRPr="00CD2ADD" w:rsidRDefault="0006295E" w:rsidP="00D90639">
      <w:pPr>
        <w:pStyle w:val="FootnoteText"/>
        <w:spacing w:after="0" w:line="240" w:lineRule="auto"/>
        <w:rPr>
          <w:lang w:val="ro-MD"/>
        </w:rPr>
      </w:pPr>
      <w:r w:rsidRPr="00CD2ADD">
        <w:rPr>
          <w:rStyle w:val="FootnoteReference"/>
          <w:rFonts w:ascii="Times New Roman" w:hAnsi="Times New Roman" w:cs="Times New Roman"/>
          <w:sz w:val="18"/>
          <w:szCs w:val="18"/>
          <w:lang w:val="ro-MD"/>
        </w:rPr>
        <w:footnoteRef/>
      </w:r>
      <w:r w:rsidRPr="00CD2ADD">
        <w:rPr>
          <w:rFonts w:ascii="Times New Roman" w:hAnsi="Times New Roman" w:cs="Times New Roman"/>
          <w:sz w:val="18"/>
          <w:szCs w:val="18"/>
          <w:lang w:val="ro-MD"/>
        </w:rPr>
        <w:t xml:space="preserve"> </w:t>
      </w:r>
      <w:hyperlink r:id="rId4" w:history="1">
        <w:r w:rsidR="00E73E79" w:rsidRPr="00CD2ADD">
          <w:rPr>
            <w:rStyle w:val="Hyperlink"/>
            <w:rFonts w:ascii="Times New Roman" w:hAnsi="Times New Roman" w:cs="Times New Roman"/>
            <w:sz w:val="18"/>
            <w:szCs w:val="18"/>
            <w:lang w:val="ro-MD"/>
          </w:rPr>
          <w:t>Consolidarea managementului riscului de dezastre și rezilienței la schimbările climatice în Moldova, 2020, Banca Mondiala</w:t>
        </w:r>
      </w:hyperlink>
    </w:p>
  </w:footnote>
  <w:footnote w:id="6">
    <w:p w14:paraId="77FE57A7" w14:textId="48FAC943" w:rsidR="00983DF5" w:rsidRPr="00CD2ADD" w:rsidRDefault="00983DF5">
      <w:pPr>
        <w:pStyle w:val="FootnoteText"/>
        <w:rPr>
          <w:rFonts w:ascii="Times New Roman" w:hAnsi="Times New Roman" w:cs="Times New Roman"/>
          <w:lang w:val="ro-MD"/>
        </w:rPr>
      </w:pPr>
      <w:r w:rsidRPr="00CD2ADD">
        <w:rPr>
          <w:rStyle w:val="FootnoteReference"/>
          <w:rFonts w:ascii="Times New Roman" w:hAnsi="Times New Roman" w:cs="Times New Roman"/>
          <w:sz w:val="18"/>
          <w:szCs w:val="18"/>
          <w:lang w:val="ro-MD"/>
        </w:rPr>
        <w:footnoteRef/>
      </w:r>
      <w:r w:rsidRPr="00CD2ADD">
        <w:rPr>
          <w:rFonts w:ascii="Times New Roman" w:hAnsi="Times New Roman" w:cs="Times New Roman"/>
          <w:sz w:val="18"/>
          <w:szCs w:val="18"/>
          <w:lang w:val="ro-MD"/>
        </w:rPr>
        <w:t xml:space="preserve"> </w:t>
      </w:r>
      <w:r w:rsidR="001A5B46" w:rsidRPr="00CD2ADD">
        <w:rPr>
          <w:rFonts w:ascii="Times New Roman" w:hAnsi="Times New Roman" w:cs="Times New Roman"/>
          <w:sz w:val="18"/>
          <w:szCs w:val="18"/>
          <w:lang w:val="ro-MD"/>
        </w:rPr>
        <w:t>IPCC, Fifth Assessment Report (AR5), Working Group I Summary for Policymakers, 2014</w:t>
      </w:r>
    </w:p>
  </w:footnote>
  <w:footnote w:id="7">
    <w:p w14:paraId="39A9F682" w14:textId="77777777" w:rsidR="000209A5" w:rsidRPr="00CD2ADD" w:rsidRDefault="000209A5" w:rsidP="000209A5">
      <w:pPr>
        <w:pStyle w:val="FootnoteText"/>
        <w:rPr>
          <w:lang w:val="ro-MD"/>
        </w:rPr>
      </w:pPr>
      <w:r w:rsidRPr="00CD2ADD">
        <w:rPr>
          <w:rStyle w:val="FootnoteReference"/>
          <w:lang w:val="ro-MD"/>
        </w:rPr>
        <w:footnoteRef/>
      </w:r>
      <w:r w:rsidRPr="00CD2ADD">
        <w:rPr>
          <w:lang w:val="ro-MD"/>
        </w:rPr>
        <w:t xml:space="preserve"> </w:t>
      </w:r>
      <w:hyperlink r:id="rId5" w:history="1">
        <w:r w:rsidRPr="00CD2ADD">
          <w:rPr>
            <w:rStyle w:val="Hyperlink"/>
            <w:rFonts w:ascii="Times New Roman" w:hAnsi="Times New Roman" w:cs="Times New Roman"/>
            <w:sz w:val="18"/>
            <w:szCs w:val="18"/>
            <w:lang w:val="ro-MD"/>
          </w:rPr>
          <w:t>https://statistica.gov.md/en/preliminary-results-of-the-population-and-housing-census-2024-10079_61630.html</w:t>
        </w:r>
      </w:hyperlink>
      <w:r w:rsidRPr="00CD2ADD">
        <w:rPr>
          <w:sz w:val="18"/>
          <w:szCs w:val="18"/>
          <w:lang w:val="ro-MD"/>
        </w:rPr>
        <w:t xml:space="preserve"> </w:t>
      </w:r>
    </w:p>
  </w:footnote>
  <w:footnote w:id="8">
    <w:p w14:paraId="2D277790" w14:textId="77777777" w:rsidR="00FC34BE" w:rsidRPr="00CD2ADD" w:rsidRDefault="00FC34BE" w:rsidP="004C6E98">
      <w:pPr>
        <w:pStyle w:val="FootnoteText"/>
        <w:spacing w:after="0" w:line="240" w:lineRule="auto"/>
        <w:rPr>
          <w:rFonts w:ascii="Times New Roman" w:hAnsi="Times New Roman" w:cs="Times New Roman"/>
          <w:sz w:val="18"/>
          <w:szCs w:val="18"/>
          <w:lang w:val="ro-MD"/>
        </w:rPr>
      </w:pPr>
      <w:r w:rsidRPr="00CD2ADD">
        <w:rPr>
          <w:rStyle w:val="FootnoteReference"/>
          <w:rFonts w:ascii="Times New Roman" w:hAnsi="Times New Roman" w:cs="Times New Roman"/>
          <w:sz w:val="18"/>
          <w:szCs w:val="18"/>
          <w:lang w:val="ro-MD"/>
        </w:rPr>
        <w:footnoteRef/>
      </w:r>
      <w:r w:rsidRPr="00CD2ADD">
        <w:rPr>
          <w:rFonts w:ascii="Times New Roman" w:hAnsi="Times New Roman" w:cs="Times New Roman"/>
          <w:sz w:val="18"/>
          <w:szCs w:val="18"/>
          <w:lang w:val="ro-MD"/>
        </w:rPr>
        <w:t xml:space="preserve"> </w:t>
      </w:r>
      <w:hyperlink r:id="rId6" w:history="1">
        <w:r w:rsidRPr="00CD2ADD">
          <w:rPr>
            <w:rStyle w:val="Hyperlink"/>
            <w:rFonts w:ascii="Times New Roman" w:hAnsi="Times New Roman" w:cs="Times New Roman"/>
            <w:sz w:val="18"/>
            <w:szCs w:val="18"/>
            <w:lang w:val="ro-MD"/>
          </w:rPr>
          <w:t>Indicele INFORM</w:t>
        </w:r>
      </w:hyperlink>
    </w:p>
  </w:footnote>
  <w:footnote w:id="9">
    <w:p w14:paraId="0B2AF7D3" w14:textId="77777777" w:rsidR="00FA4FF3" w:rsidRPr="00CD2ADD" w:rsidRDefault="00FA4FF3" w:rsidP="005F669D">
      <w:pPr>
        <w:pStyle w:val="FootnoteText"/>
        <w:spacing w:after="0" w:line="240" w:lineRule="auto"/>
        <w:jc w:val="both"/>
        <w:rPr>
          <w:lang w:val="ro-MD"/>
        </w:rPr>
      </w:pPr>
      <w:r w:rsidRPr="00CD2ADD">
        <w:rPr>
          <w:rStyle w:val="FootnoteReference"/>
          <w:sz w:val="18"/>
          <w:szCs w:val="18"/>
          <w:lang w:val="ro-MD"/>
        </w:rPr>
        <w:footnoteRef/>
      </w:r>
      <w:r w:rsidRPr="00CD2ADD">
        <w:rPr>
          <w:sz w:val="18"/>
          <w:szCs w:val="18"/>
          <w:lang w:val="ro-MD"/>
        </w:rPr>
        <w:t xml:space="preserve"> </w:t>
      </w:r>
      <w:hyperlink r:id="rId7" w:history="1">
        <w:r w:rsidRPr="00CD2ADD">
          <w:rPr>
            <w:rStyle w:val="Hyperlink"/>
            <w:rFonts w:ascii="Times New Roman" w:hAnsi="Times New Roman" w:cs="Times New Roman"/>
            <w:sz w:val="18"/>
            <w:szCs w:val="18"/>
            <w:lang w:val="ro-MD"/>
          </w:rPr>
          <w:t>RAPORT AL COMISIEI CĂTRE PARLAMENTUL EUROPEAN ȘI CONSILIU</w:t>
        </w:r>
      </w:hyperlink>
      <w:r w:rsidRPr="00CD2ADD">
        <w:rPr>
          <w:rFonts w:ascii="Times New Roman" w:hAnsi="Times New Roman" w:cs="Times New Roman"/>
          <w:sz w:val="18"/>
          <w:szCs w:val="18"/>
          <w:lang w:val="ro-MD"/>
        </w:rPr>
        <w:t xml:space="preserve"> privind progresele în ceea ce privește punerea în aplicare a articolului 6 din mecanismul de protecție civilă al Uniunii (Decizia nr. 1313/2013/UE). Prevenirea și managementul riscurilor de dezastre în Europa, 2024</w:t>
      </w:r>
    </w:p>
  </w:footnote>
  <w:footnote w:id="10">
    <w:p w14:paraId="16C4A4CF" w14:textId="15356C9D" w:rsidR="0076163B" w:rsidRPr="00CD2ADD" w:rsidRDefault="0076163B" w:rsidP="0020395F">
      <w:pPr>
        <w:pStyle w:val="FootnoteText"/>
        <w:spacing w:after="0" w:line="240" w:lineRule="auto"/>
        <w:rPr>
          <w:rFonts w:ascii="Times New Roman" w:hAnsi="Times New Roman" w:cs="Times New Roman"/>
          <w:lang w:val="ro-MD"/>
        </w:rPr>
      </w:pPr>
      <w:r w:rsidRPr="00CD2ADD">
        <w:rPr>
          <w:rStyle w:val="FootnoteReference"/>
          <w:lang w:val="ro-MD"/>
        </w:rPr>
        <w:footnoteRef/>
      </w:r>
      <w:r w:rsidRPr="00CD2ADD">
        <w:rPr>
          <w:lang w:val="ro-MD"/>
        </w:rPr>
        <w:t xml:space="preserve"> </w:t>
      </w:r>
      <w:hyperlink r:id="rId8" w:history="1">
        <w:r w:rsidR="004D6085" w:rsidRPr="00CD2ADD">
          <w:rPr>
            <w:rStyle w:val="Hyperlink"/>
            <w:rFonts w:ascii="Times New Roman" w:hAnsi="Times New Roman" w:cs="Times New Roman"/>
            <w:lang w:val="ro-MD"/>
          </w:rPr>
          <w:t>https://www.undrr.org/publication/technical-guidance-comprehensive-risk-assessment-and-planning-context-climate-change</w:t>
        </w:r>
      </w:hyperlink>
      <w:r w:rsidR="004D6085" w:rsidRPr="00CD2ADD">
        <w:rPr>
          <w:rFonts w:ascii="Times New Roman" w:hAnsi="Times New Roman" w:cs="Times New Roman"/>
          <w:lang w:val="ro-MD"/>
        </w:rPr>
        <w:t xml:space="preserve"> </w:t>
      </w:r>
    </w:p>
  </w:footnote>
  <w:footnote w:id="11">
    <w:p w14:paraId="1717CCFE" w14:textId="73CE492B" w:rsidR="00753412" w:rsidRPr="00CD2ADD" w:rsidRDefault="00753412" w:rsidP="0020395F">
      <w:pPr>
        <w:pStyle w:val="FootnoteText"/>
        <w:spacing w:after="0" w:line="240" w:lineRule="auto"/>
        <w:rPr>
          <w:lang w:val="ro-MD"/>
        </w:rPr>
      </w:pPr>
      <w:r w:rsidRPr="00CD2ADD">
        <w:rPr>
          <w:rStyle w:val="FootnoteReference"/>
          <w:rFonts w:ascii="Times New Roman" w:hAnsi="Times New Roman" w:cs="Times New Roman"/>
          <w:lang w:val="ro-MD"/>
        </w:rPr>
        <w:footnoteRef/>
      </w:r>
      <w:r w:rsidRPr="00CD2ADD">
        <w:rPr>
          <w:rFonts w:ascii="Times New Roman" w:hAnsi="Times New Roman" w:cs="Times New Roman"/>
          <w:lang w:val="ro-MD"/>
        </w:rPr>
        <w:t xml:space="preserve"> </w:t>
      </w:r>
      <w:hyperlink r:id="rId9" w:history="1">
        <w:r w:rsidRPr="00CD2ADD">
          <w:rPr>
            <w:rStyle w:val="Hyperlink"/>
            <w:rFonts w:ascii="Times New Roman" w:hAnsi="Times New Roman" w:cs="Times New Roman"/>
            <w:lang w:val="ro-MD"/>
          </w:rPr>
          <w:t>https://eur-lex.europa.eu/legal-content/RO/TXT/PDF/?uri=CELEX:52019XC1220(01)</w:t>
        </w:r>
      </w:hyperlink>
      <w:r w:rsidRPr="00CD2ADD">
        <w:rPr>
          <w:lang w:val="ro-MD"/>
        </w:rPr>
        <w:t xml:space="preserve"> </w:t>
      </w:r>
    </w:p>
  </w:footnote>
  <w:footnote w:id="12">
    <w:p w14:paraId="5ACFB1F9" w14:textId="77777777" w:rsidR="00D36A01" w:rsidRPr="00CD2ADD" w:rsidRDefault="00D36A01" w:rsidP="002137CD">
      <w:pPr>
        <w:pStyle w:val="FootnoteText"/>
        <w:spacing w:after="0" w:line="240" w:lineRule="auto"/>
        <w:rPr>
          <w:lang w:val="ro-MD"/>
        </w:rPr>
      </w:pPr>
      <w:r w:rsidRPr="00CD2ADD">
        <w:rPr>
          <w:rStyle w:val="FootnoteReference"/>
          <w:lang w:val="ro-MD"/>
        </w:rPr>
        <w:footnoteRef/>
      </w:r>
      <w:hyperlink r:id="rId10" w:anchor=":~:text=Drought%20is%20a%20prolonged%20dry,and%20population%20displacement%20and%20migration" w:history="1">
        <w:r w:rsidRPr="00CD2ADD">
          <w:rPr>
            <w:rStyle w:val="Hyperlink"/>
            <w:rFonts w:ascii="Times New Roman" w:hAnsi="Times New Roman" w:cs="Times New Roman"/>
            <w:lang w:val="ro-MD"/>
          </w:rPr>
          <w:t>https://wmo.int/topics/drought#:~:text=Drought%20is%20a%20prolonged%20dry,and%20population%20displacement%20and%20migration</w:t>
        </w:r>
      </w:hyperlink>
      <w:r w:rsidRPr="00CD2ADD">
        <w:rPr>
          <w:rFonts w:ascii="Times New Roman" w:hAnsi="Times New Roman" w:cs="Times New Roman"/>
          <w:lang w:val="ro-MD"/>
        </w:rPr>
        <w:t xml:space="preserve"> </w:t>
      </w:r>
    </w:p>
  </w:footnote>
  <w:footnote w:id="13">
    <w:p w14:paraId="28097CD8" w14:textId="77777777" w:rsidR="003C3858" w:rsidRPr="00CD2ADD" w:rsidRDefault="003C3858" w:rsidP="003C3858">
      <w:pPr>
        <w:pStyle w:val="FootnoteText"/>
        <w:spacing w:after="0" w:line="240" w:lineRule="auto"/>
        <w:rPr>
          <w:rFonts w:ascii="Times New Roman" w:hAnsi="Times New Roman" w:cs="Times New Roman"/>
          <w:b/>
          <w:lang w:val="ro-MD"/>
        </w:rPr>
      </w:pPr>
      <w:r w:rsidRPr="00CD2ADD">
        <w:rPr>
          <w:rStyle w:val="FootnoteReference"/>
          <w:rFonts w:ascii="Times New Roman" w:hAnsi="Times New Roman" w:cs="Times New Roman"/>
          <w:lang w:val="ro-MD"/>
        </w:rPr>
        <w:footnoteRef/>
      </w:r>
      <w:r w:rsidRPr="00CD2ADD">
        <w:rPr>
          <w:rFonts w:ascii="Times New Roman" w:hAnsi="Times New Roman" w:cs="Times New Roman"/>
          <w:lang w:val="ro-MD"/>
        </w:rPr>
        <w:t xml:space="preserve"> Analiza Situațiilor Excepționale, 2010-2024, IGSU</w:t>
      </w:r>
    </w:p>
  </w:footnote>
  <w:footnote w:id="14">
    <w:p w14:paraId="19E2683F" w14:textId="7B9E5FB4" w:rsidR="00301435" w:rsidRPr="00CD2ADD" w:rsidRDefault="00301435">
      <w:pPr>
        <w:pStyle w:val="FootnoteText"/>
        <w:rPr>
          <w:lang w:val="ro-MD"/>
        </w:rPr>
      </w:pPr>
      <w:r w:rsidRPr="00CD2ADD">
        <w:rPr>
          <w:rStyle w:val="FootnoteReference"/>
          <w:rFonts w:ascii="Times New Roman" w:hAnsi="Times New Roman" w:cs="Times New Roman"/>
          <w:sz w:val="18"/>
          <w:szCs w:val="18"/>
          <w:lang w:val="ro-MD"/>
        </w:rPr>
        <w:footnoteRef/>
      </w:r>
      <w:r w:rsidRPr="00CD2ADD">
        <w:rPr>
          <w:rFonts w:ascii="Times New Roman" w:hAnsi="Times New Roman" w:cs="Times New Roman"/>
          <w:sz w:val="18"/>
          <w:szCs w:val="18"/>
          <w:lang w:val="ro-MD"/>
        </w:rPr>
        <w:t xml:space="preserve"> </w:t>
      </w:r>
      <w:r w:rsidRPr="00CD2ADD">
        <w:rPr>
          <w:rFonts w:ascii="Times New Roman" w:hAnsi="Times New Roman" w:cs="Times New Roman"/>
          <w:color w:val="222222"/>
          <w:szCs w:val="18"/>
          <w:shd w:val="clear" w:color="auto" w:fill="FFFFFF"/>
          <w:lang w:val="ro-MD"/>
        </w:rPr>
        <w:t> </w:t>
      </w:r>
      <w:hyperlink r:id="rId11" w:history="1">
        <w:r w:rsidRPr="00CD2ADD">
          <w:rPr>
            <w:rStyle w:val="Hyperlink"/>
            <w:rFonts w:ascii="Times New Roman" w:hAnsi="Times New Roman" w:cs="Times New Roman"/>
            <w:color w:val="005F9A"/>
            <w:sz w:val="18"/>
            <w:szCs w:val="18"/>
            <w:bdr w:val="none" w:sz="0" w:space="0" w:color="auto" w:frame="1"/>
            <w:lang w:val="ro-MD"/>
          </w:rPr>
          <w:t>Statistica sociala</w:t>
        </w:r>
      </w:hyperlink>
      <w:r w:rsidRPr="00CD2ADD">
        <w:rPr>
          <w:rFonts w:ascii="Times New Roman" w:hAnsi="Times New Roman" w:cs="Times New Roman"/>
          <w:color w:val="222222"/>
          <w:sz w:val="18"/>
          <w:szCs w:val="18"/>
          <w:shd w:val="clear" w:color="auto" w:fill="FFFFFF"/>
          <w:lang w:val="ro-MD"/>
        </w:rPr>
        <w:t> </w:t>
      </w:r>
      <w:r w:rsidRPr="00CD2ADD">
        <w:rPr>
          <w:rStyle w:val="breadcrumbsep"/>
          <w:rFonts w:ascii="Times New Roman" w:hAnsi="Times New Roman" w:cs="Times New Roman"/>
          <w:color w:val="005F9A"/>
          <w:sz w:val="18"/>
          <w:szCs w:val="18"/>
          <w:bdr w:val="none" w:sz="0" w:space="0" w:color="auto" w:frame="1"/>
          <w:lang w:val="ro-MD"/>
        </w:rPr>
        <w:t>/</w:t>
      </w:r>
      <w:r w:rsidRPr="00CD2ADD">
        <w:rPr>
          <w:rFonts w:ascii="Times New Roman" w:hAnsi="Times New Roman" w:cs="Times New Roman"/>
          <w:color w:val="222222"/>
          <w:sz w:val="18"/>
          <w:szCs w:val="18"/>
          <w:shd w:val="clear" w:color="auto" w:fill="FFFFFF"/>
          <w:lang w:val="ro-MD"/>
        </w:rPr>
        <w:t> </w:t>
      </w:r>
      <w:hyperlink r:id="rId12" w:history="1">
        <w:r w:rsidRPr="00CD2ADD">
          <w:rPr>
            <w:rStyle w:val="Hyperlink"/>
            <w:rFonts w:ascii="Times New Roman" w:hAnsi="Times New Roman" w:cs="Times New Roman"/>
            <w:color w:val="005F9A"/>
            <w:sz w:val="18"/>
            <w:szCs w:val="18"/>
            <w:bdr w:val="none" w:sz="0" w:space="0" w:color="auto" w:frame="1"/>
            <w:lang w:val="ro-MD"/>
          </w:rPr>
          <w:t xml:space="preserve">Forta de munca si </w:t>
        </w:r>
        <w:r w:rsidR="00BB55DB" w:rsidRPr="00CD2ADD">
          <w:rPr>
            <w:rStyle w:val="Hyperlink"/>
            <w:rFonts w:ascii="Times New Roman" w:hAnsi="Times New Roman" w:cs="Times New Roman"/>
            <w:color w:val="005F9A"/>
            <w:sz w:val="18"/>
            <w:szCs w:val="18"/>
            <w:bdr w:val="none" w:sz="0" w:space="0" w:color="auto" w:frame="1"/>
            <w:lang w:val="ro-MD"/>
          </w:rPr>
          <w:t>câștigul</w:t>
        </w:r>
        <w:r w:rsidRPr="00CD2ADD">
          <w:rPr>
            <w:rStyle w:val="Hyperlink"/>
            <w:rFonts w:ascii="Times New Roman" w:hAnsi="Times New Roman" w:cs="Times New Roman"/>
            <w:color w:val="005F9A"/>
            <w:sz w:val="18"/>
            <w:szCs w:val="18"/>
            <w:bdr w:val="none" w:sz="0" w:space="0" w:color="auto" w:frame="1"/>
            <w:lang w:val="ro-MD"/>
          </w:rPr>
          <w:t xml:space="preserve"> salarial</w:t>
        </w:r>
      </w:hyperlink>
      <w:r w:rsidRPr="00CD2ADD">
        <w:rPr>
          <w:rFonts w:ascii="Times New Roman" w:hAnsi="Times New Roman" w:cs="Times New Roman"/>
          <w:color w:val="222222"/>
          <w:sz w:val="18"/>
          <w:szCs w:val="18"/>
          <w:shd w:val="clear" w:color="auto" w:fill="FFFFFF"/>
          <w:lang w:val="ro-MD"/>
        </w:rPr>
        <w:t> </w:t>
      </w:r>
      <w:r w:rsidRPr="00CD2ADD">
        <w:rPr>
          <w:rStyle w:val="breadcrumbsep"/>
          <w:rFonts w:ascii="Times New Roman" w:hAnsi="Times New Roman" w:cs="Times New Roman"/>
          <w:color w:val="005F9A"/>
          <w:sz w:val="18"/>
          <w:szCs w:val="18"/>
          <w:bdr w:val="none" w:sz="0" w:space="0" w:color="auto" w:frame="1"/>
          <w:lang w:val="ro-MD"/>
        </w:rPr>
        <w:t>/</w:t>
      </w:r>
      <w:r w:rsidRPr="00CD2ADD">
        <w:rPr>
          <w:rFonts w:ascii="Times New Roman" w:hAnsi="Times New Roman" w:cs="Times New Roman"/>
          <w:color w:val="222222"/>
          <w:sz w:val="18"/>
          <w:szCs w:val="18"/>
          <w:shd w:val="clear" w:color="auto" w:fill="FFFFFF"/>
          <w:lang w:val="ro-MD"/>
        </w:rPr>
        <w:t> </w:t>
      </w:r>
      <w:hyperlink r:id="rId13" w:history="1">
        <w:r w:rsidR="00BB55DB" w:rsidRPr="00CD2ADD">
          <w:rPr>
            <w:rStyle w:val="Hyperlink"/>
            <w:rFonts w:ascii="Times New Roman" w:hAnsi="Times New Roman" w:cs="Times New Roman"/>
            <w:color w:val="005F9A"/>
            <w:sz w:val="18"/>
            <w:szCs w:val="18"/>
            <w:bdr w:val="none" w:sz="0" w:space="0" w:color="auto" w:frame="1"/>
            <w:lang w:val="ro-MD"/>
          </w:rPr>
          <w:t>Numărul</w:t>
        </w:r>
        <w:r w:rsidRPr="00CD2ADD">
          <w:rPr>
            <w:rStyle w:val="Hyperlink"/>
            <w:rFonts w:ascii="Times New Roman" w:hAnsi="Times New Roman" w:cs="Times New Roman"/>
            <w:color w:val="005F9A"/>
            <w:sz w:val="18"/>
            <w:szCs w:val="18"/>
            <w:bdr w:val="none" w:sz="0" w:space="0" w:color="auto" w:frame="1"/>
            <w:lang w:val="ro-MD"/>
          </w:rPr>
          <w:t xml:space="preserve"> </w:t>
        </w:r>
        <w:r w:rsidR="00BB55DB" w:rsidRPr="00CD2ADD">
          <w:rPr>
            <w:rStyle w:val="Hyperlink"/>
            <w:rFonts w:ascii="Times New Roman" w:hAnsi="Times New Roman" w:cs="Times New Roman"/>
            <w:color w:val="005F9A"/>
            <w:sz w:val="18"/>
            <w:szCs w:val="18"/>
            <w:bdr w:val="none" w:sz="0" w:space="0" w:color="auto" w:frame="1"/>
            <w:lang w:val="ro-MD"/>
          </w:rPr>
          <w:t>salariaților</w:t>
        </w:r>
      </w:hyperlink>
      <w:r w:rsidRPr="00CD2ADD">
        <w:rPr>
          <w:rFonts w:ascii="Times New Roman" w:hAnsi="Times New Roman" w:cs="Times New Roman"/>
          <w:color w:val="222222"/>
          <w:sz w:val="18"/>
          <w:szCs w:val="18"/>
          <w:shd w:val="clear" w:color="auto" w:fill="FFFFFF"/>
          <w:lang w:val="ro-MD"/>
        </w:rPr>
        <w:t> </w:t>
      </w:r>
      <w:r w:rsidRPr="00CD2ADD">
        <w:rPr>
          <w:rStyle w:val="breadcrumbsep"/>
          <w:rFonts w:ascii="Times New Roman" w:hAnsi="Times New Roman" w:cs="Times New Roman"/>
          <w:color w:val="005F9A"/>
          <w:sz w:val="18"/>
          <w:szCs w:val="18"/>
          <w:bdr w:val="none" w:sz="0" w:space="0" w:color="auto" w:frame="1"/>
          <w:lang w:val="ro-MD"/>
        </w:rPr>
        <w:t>/</w:t>
      </w:r>
      <w:r w:rsidRPr="00CD2ADD">
        <w:rPr>
          <w:rFonts w:ascii="Times New Roman" w:hAnsi="Times New Roman" w:cs="Times New Roman"/>
          <w:color w:val="222222"/>
          <w:sz w:val="18"/>
          <w:szCs w:val="18"/>
          <w:shd w:val="clear" w:color="auto" w:fill="FFFFFF"/>
          <w:lang w:val="ro-MD"/>
        </w:rPr>
        <w:t> </w:t>
      </w:r>
      <w:r w:rsidR="00BB55DB" w:rsidRPr="00CD2ADD">
        <w:rPr>
          <w:rFonts w:ascii="Times New Roman" w:hAnsi="Times New Roman" w:cs="Times New Roman"/>
          <w:sz w:val="18"/>
          <w:szCs w:val="18"/>
          <w:lang w:val="ro-MD"/>
        </w:rPr>
        <w:t>Numărul</w:t>
      </w:r>
      <w:r w:rsidRPr="00CD2ADD">
        <w:rPr>
          <w:rFonts w:ascii="Times New Roman" w:hAnsi="Times New Roman" w:cs="Times New Roman"/>
          <w:sz w:val="18"/>
          <w:szCs w:val="18"/>
          <w:lang w:val="ro-MD"/>
        </w:rPr>
        <w:t xml:space="preserve"> </w:t>
      </w:r>
      <w:r w:rsidR="00BB55DB" w:rsidRPr="00CD2ADD">
        <w:rPr>
          <w:rFonts w:ascii="Times New Roman" w:hAnsi="Times New Roman" w:cs="Times New Roman"/>
          <w:sz w:val="18"/>
          <w:szCs w:val="18"/>
          <w:lang w:val="ro-MD"/>
        </w:rPr>
        <w:t>salariaților</w:t>
      </w:r>
      <w:r w:rsidRPr="00CD2ADD">
        <w:rPr>
          <w:rFonts w:ascii="Times New Roman" w:hAnsi="Times New Roman" w:cs="Times New Roman"/>
          <w:sz w:val="18"/>
          <w:szCs w:val="18"/>
          <w:lang w:val="ro-MD"/>
        </w:rPr>
        <w:t xml:space="preserve"> pe </w:t>
      </w:r>
      <w:r w:rsidR="00BB55DB" w:rsidRPr="00CD2ADD">
        <w:rPr>
          <w:rFonts w:ascii="Times New Roman" w:hAnsi="Times New Roman" w:cs="Times New Roman"/>
          <w:sz w:val="18"/>
          <w:szCs w:val="18"/>
          <w:lang w:val="ro-MD"/>
        </w:rPr>
        <w:t>activități</w:t>
      </w:r>
      <w:r w:rsidRPr="00CD2ADD">
        <w:rPr>
          <w:rFonts w:ascii="Times New Roman" w:hAnsi="Times New Roman" w:cs="Times New Roman"/>
          <w:sz w:val="18"/>
          <w:szCs w:val="18"/>
          <w:lang w:val="ro-MD"/>
        </w:rPr>
        <w:t xml:space="preserve"> economice, sectoare si sexe, 2013-2023</w:t>
      </w:r>
    </w:p>
  </w:footnote>
  <w:footnote w:id="15">
    <w:p w14:paraId="4E50C431" w14:textId="682DA15A" w:rsidR="00064BF3" w:rsidRPr="00CD2ADD" w:rsidRDefault="00064BF3" w:rsidP="00064BF3">
      <w:pPr>
        <w:pStyle w:val="FootnoteText"/>
        <w:spacing w:after="0" w:line="240" w:lineRule="auto"/>
        <w:rPr>
          <w:rFonts w:ascii="Times New Roman" w:hAnsi="Times New Roman" w:cs="Times New Roman"/>
          <w:lang w:val="ro-MD"/>
        </w:rPr>
      </w:pPr>
      <w:r w:rsidRPr="00CD2ADD">
        <w:rPr>
          <w:rStyle w:val="FootnoteReference"/>
          <w:lang w:val="ro-MD"/>
        </w:rPr>
        <w:footnoteRef/>
      </w:r>
      <w:r w:rsidRPr="00CD2ADD">
        <w:rPr>
          <w:lang w:val="ro-MD"/>
        </w:rPr>
        <w:t xml:space="preserve"> </w:t>
      </w:r>
      <w:hyperlink r:id="rId14" w:history="1">
        <w:r w:rsidRPr="00CD2ADD">
          <w:rPr>
            <w:rStyle w:val="Hyperlink"/>
            <w:rFonts w:ascii="Times New Roman" w:hAnsi="Times New Roman" w:cs="Times New Roman"/>
            <w:lang w:val="ro-MD"/>
          </w:rPr>
          <w:t>Produsul Intern Brut în trimestrul IV și anul 2024</w:t>
        </w:r>
      </w:hyperlink>
    </w:p>
  </w:footnote>
  <w:footnote w:id="16">
    <w:p w14:paraId="61F278F4" w14:textId="25D427A0" w:rsidR="00064BF3" w:rsidRPr="00CD2ADD" w:rsidRDefault="00064BF3" w:rsidP="00064BF3">
      <w:pPr>
        <w:pStyle w:val="FootnoteText"/>
        <w:spacing w:after="0" w:line="240" w:lineRule="auto"/>
        <w:rPr>
          <w:rFonts w:ascii="Times New Roman" w:hAnsi="Times New Roman" w:cs="Times New Roman"/>
          <w:lang w:val="ro-MD"/>
        </w:rPr>
      </w:pPr>
      <w:r w:rsidRPr="00CD2ADD">
        <w:rPr>
          <w:rStyle w:val="FootnoteReference"/>
          <w:rFonts w:ascii="Times New Roman" w:hAnsi="Times New Roman" w:cs="Times New Roman"/>
          <w:lang w:val="ro-MD"/>
        </w:rPr>
        <w:footnoteRef/>
      </w:r>
      <w:r w:rsidRPr="00CD2ADD">
        <w:rPr>
          <w:rFonts w:ascii="Times New Roman" w:hAnsi="Times New Roman" w:cs="Times New Roman"/>
          <w:lang w:val="ro-MD"/>
        </w:rPr>
        <w:t xml:space="preserve"> </w:t>
      </w:r>
      <w:hyperlink r:id="rId15" w:history="1">
        <w:r w:rsidRPr="00CD2ADD">
          <w:rPr>
            <w:rStyle w:val="Hyperlink"/>
            <w:rFonts w:ascii="Times New Roman" w:hAnsi="Times New Roman" w:cs="Times New Roman"/>
            <w:lang w:val="ro-MD"/>
          </w:rPr>
          <w:t>Numărul salariaților conform BNS in 2023</w:t>
        </w:r>
      </w:hyperlink>
    </w:p>
  </w:footnote>
  <w:footnote w:id="17">
    <w:p w14:paraId="2B0D9F33" w14:textId="77777777" w:rsidR="007417AE" w:rsidRPr="00CD2ADD" w:rsidRDefault="007417AE" w:rsidP="007417AE">
      <w:pPr>
        <w:pStyle w:val="FootnoteText"/>
        <w:rPr>
          <w:lang w:val="ro-MD"/>
        </w:rPr>
      </w:pPr>
      <w:r w:rsidRPr="00CD2ADD">
        <w:rPr>
          <w:rStyle w:val="FootnoteReference"/>
          <w:rFonts w:ascii="Times New Roman" w:hAnsi="Times New Roman" w:cs="Times New Roman"/>
          <w:lang w:val="ro-MD"/>
        </w:rPr>
        <w:footnoteRef/>
      </w:r>
      <w:r w:rsidRPr="00CD2ADD">
        <w:rPr>
          <w:rFonts w:ascii="Times New Roman" w:hAnsi="Times New Roman" w:cs="Times New Roman"/>
          <w:lang w:val="ro-MD"/>
        </w:rPr>
        <w:t xml:space="preserve"> </w:t>
      </w:r>
      <w:hyperlink r:id="rId16" w:history="1">
        <w:r w:rsidRPr="00CD2ADD">
          <w:rPr>
            <w:rStyle w:val="Hyperlink"/>
            <w:rFonts w:ascii="Times New Roman" w:hAnsi="Times New Roman" w:cs="Times New Roman"/>
            <w:lang w:val="ro-MD"/>
          </w:rPr>
          <w:t>https://portals.iucn.org/library/sites/library/files/documents/CGFAS-001-En.pdf</w:t>
        </w:r>
      </w:hyperlink>
      <w:r w:rsidRPr="00CD2ADD">
        <w:rPr>
          <w:lang w:val="ro-MD"/>
        </w:rPr>
        <w:t xml:space="preserve"> </w:t>
      </w:r>
    </w:p>
  </w:footnote>
  <w:footnote w:id="18">
    <w:p w14:paraId="23C1C873" w14:textId="77777777" w:rsidR="00D36A01" w:rsidRPr="00CD2ADD" w:rsidRDefault="00D36A01" w:rsidP="00AC419E">
      <w:pPr>
        <w:pStyle w:val="FootnoteText"/>
        <w:spacing w:after="0"/>
        <w:rPr>
          <w:lang w:val="ro-MD"/>
        </w:rPr>
      </w:pPr>
      <w:r w:rsidRPr="00CD2ADD">
        <w:rPr>
          <w:rStyle w:val="FootnoteReference"/>
          <w:lang w:val="ro-MD"/>
        </w:rPr>
        <w:footnoteRef/>
      </w:r>
      <w:r w:rsidRPr="00CD2ADD">
        <w:rPr>
          <w:lang w:val="ro-MD"/>
        </w:rPr>
        <w:t xml:space="preserve"> </w:t>
      </w:r>
      <w:r w:rsidRPr="00CD2ADD">
        <w:rPr>
          <w:rFonts w:ascii="Times New Roman" w:hAnsi="Times New Roman" w:cs="Times New Roman"/>
          <w:lang w:val="ro-MD"/>
        </w:rPr>
        <w:t>Materialele Simpozionului științifica-practic ,,Asigurarea managementului forestier durabil prin implementarea tratamentelor silvice și promovarea regenerărilor naturale, a împăduririlor”, Agenția „Moldsilva”, 2020, 61 p.</w:t>
      </w:r>
    </w:p>
  </w:footnote>
  <w:footnote w:id="19">
    <w:p w14:paraId="5C33BA05" w14:textId="77777777" w:rsidR="00D36A01" w:rsidRPr="00AB18CF" w:rsidRDefault="00D36A01" w:rsidP="002B7584">
      <w:pPr>
        <w:pStyle w:val="FootnoteText"/>
        <w:spacing w:after="0" w:line="240" w:lineRule="auto"/>
        <w:rPr>
          <w:rFonts w:ascii="Times New Roman" w:hAnsi="Times New Roman" w:cs="Times New Roman"/>
          <w:lang w:val="ro-MD"/>
        </w:rPr>
      </w:pPr>
      <w:r w:rsidRPr="00CD2ADD">
        <w:rPr>
          <w:rStyle w:val="FootnoteReference"/>
          <w:lang w:val="ro-MD"/>
        </w:rPr>
        <w:footnoteRef/>
      </w:r>
      <w:r w:rsidRPr="00CD2ADD">
        <w:rPr>
          <w:lang w:val="ro-MD"/>
        </w:rPr>
        <w:t xml:space="preserve"> </w:t>
      </w:r>
      <w:r w:rsidRPr="00AB18CF">
        <w:rPr>
          <w:rFonts w:ascii="Times New Roman" w:hAnsi="Times New Roman" w:cs="Times New Roman"/>
          <w:lang w:val="ro-MD"/>
        </w:rPr>
        <w:t>Foaia de Parcurs pentru Întărirea Infrastructurii Critice in Republica Moldova</w:t>
      </w:r>
    </w:p>
  </w:footnote>
  <w:footnote w:id="20">
    <w:p w14:paraId="548E85F7" w14:textId="2681B1D6" w:rsidR="00496F77" w:rsidRPr="00CD2ADD" w:rsidRDefault="00496F77">
      <w:pPr>
        <w:pStyle w:val="FootnoteText"/>
        <w:rPr>
          <w:lang w:val="ro-MD"/>
        </w:rPr>
      </w:pPr>
      <w:r w:rsidRPr="00AB18CF">
        <w:rPr>
          <w:rStyle w:val="FootnoteReference"/>
          <w:rFonts w:ascii="Times New Roman" w:hAnsi="Times New Roman" w:cs="Times New Roman"/>
          <w:lang w:val="ro-MD"/>
        </w:rPr>
        <w:footnoteRef/>
      </w:r>
      <w:r w:rsidRPr="00AB18CF">
        <w:rPr>
          <w:rFonts w:ascii="Times New Roman" w:hAnsi="Times New Roman" w:cs="Times New Roman"/>
          <w:lang w:val="ro-MD"/>
        </w:rPr>
        <w:t xml:space="preserve"> </w:t>
      </w:r>
      <w:hyperlink r:id="rId17" w:history="1">
        <w:r w:rsidRPr="00AB18CF">
          <w:rPr>
            <w:rStyle w:val="Hyperlink"/>
            <w:rFonts w:ascii="Times New Roman" w:hAnsi="Times New Roman" w:cs="Times New Roman"/>
            <w:lang w:val="ro-MD"/>
          </w:rPr>
          <w:t>https://statistica.gov.md/ro/statistic_indicator_details/51</w:t>
        </w:r>
      </w:hyperlink>
      <w:r w:rsidRPr="00CD2ADD">
        <w:rPr>
          <w:lang w:val="ro-MD"/>
        </w:rPr>
        <w:t xml:space="preserve"> </w:t>
      </w:r>
    </w:p>
  </w:footnote>
  <w:footnote w:id="21">
    <w:p w14:paraId="42D765B7" w14:textId="2A901C56" w:rsidR="00A97E6D" w:rsidRPr="00CD2ADD" w:rsidRDefault="00A97E6D" w:rsidP="00895BF2">
      <w:pPr>
        <w:pStyle w:val="FootnoteText"/>
        <w:spacing w:after="0" w:line="240" w:lineRule="auto"/>
        <w:rPr>
          <w:rFonts w:ascii="Times New Roman" w:hAnsi="Times New Roman" w:cs="Times New Roman"/>
          <w:lang w:val="ro-MD"/>
        </w:rPr>
      </w:pPr>
      <w:r w:rsidRPr="00CD2ADD">
        <w:rPr>
          <w:rStyle w:val="FootnoteReference"/>
          <w:rFonts w:ascii="Times New Roman" w:hAnsi="Times New Roman" w:cs="Times New Roman"/>
          <w:lang w:val="ro-MD"/>
        </w:rPr>
        <w:footnoteRef/>
      </w:r>
      <w:r w:rsidRPr="00CD2ADD">
        <w:rPr>
          <w:rFonts w:ascii="Times New Roman" w:hAnsi="Times New Roman" w:cs="Times New Roman"/>
          <w:lang w:val="ro-MD"/>
        </w:rPr>
        <w:t xml:space="preserve"> Legea apelor a Republicii Moldova</w:t>
      </w:r>
    </w:p>
  </w:footnote>
  <w:footnote w:id="22">
    <w:p w14:paraId="1FF3C55B" w14:textId="079E2A90" w:rsidR="00A97E6D" w:rsidRPr="00CD2ADD" w:rsidRDefault="00A97E6D" w:rsidP="00895BF2">
      <w:pPr>
        <w:pStyle w:val="FootnoteText"/>
        <w:spacing w:after="0" w:line="240" w:lineRule="auto"/>
        <w:rPr>
          <w:lang w:val="ro-MD"/>
        </w:rPr>
      </w:pPr>
      <w:r w:rsidRPr="00CD2ADD">
        <w:rPr>
          <w:rStyle w:val="FootnoteReference"/>
          <w:rFonts w:ascii="Times New Roman" w:hAnsi="Times New Roman" w:cs="Times New Roman"/>
          <w:lang w:val="ro-MD"/>
        </w:rPr>
        <w:footnoteRef/>
      </w:r>
      <w:r w:rsidRPr="00CD2ADD">
        <w:rPr>
          <w:rFonts w:ascii="Times New Roman" w:hAnsi="Times New Roman" w:cs="Times New Roman"/>
          <w:lang w:val="ro-MD"/>
        </w:rPr>
        <w:t xml:space="preserve"> SHS – </w:t>
      </w:r>
      <w:hyperlink r:id="rId18" w:history="1">
        <w:r w:rsidRPr="00CD2ADD">
          <w:rPr>
            <w:rStyle w:val="Hyperlink"/>
            <w:rFonts w:ascii="Times New Roman" w:hAnsi="Times New Roman" w:cs="Times New Roman"/>
            <w:lang w:val="ro-MD"/>
          </w:rPr>
          <w:t>https://www.meteo.md/index.php/ro/description_codes/hazards/7</w:t>
        </w:r>
      </w:hyperlink>
      <w:r w:rsidRPr="00CD2ADD">
        <w:rPr>
          <w:lang w:val="ro-MD"/>
        </w:rPr>
        <w:t xml:space="preserve"> </w:t>
      </w:r>
    </w:p>
  </w:footnote>
  <w:footnote w:id="23">
    <w:p w14:paraId="110FF638" w14:textId="5DFCE235" w:rsidR="007F5A5F" w:rsidRPr="00CD2ADD" w:rsidRDefault="007F5A5F">
      <w:pPr>
        <w:pStyle w:val="FootnoteText"/>
        <w:rPr>
          <w:lang w:val="ro-MD"/>
        </w:rPr>
      </w:pPr>
      <w:r w:rsidRPr="00CD2ADD">
        <w:rPr>
          <w:rStyle w:val="FootnoteReference"/>
          <w:lang w:val="ro-MD"/>
        </w:rPr>
        <w:footnoteRef/>
      </w:r>
      <w:r w:rsidRPr="00CD2ADD">
        <w:rPr>
          <w:lang w:val="ro-MD"/>
        </w:rPr>
        <w:t xml:space="preserve"> </w:t>
      </w:r>
      <w:hyperlink r:id="rId19" w:history="1">
        <w:r w:rsidRPr="00CD2ADD">
          <w:rPr>
            <w:rStyle w:val="Hyperlink"/>
            <w:rFonts w:ascii="Times New Roman" w:hAnsi="Times New Roman" w:cs="Times New Roman"/>
            <w:lang w:val="ro-MD"/>
          </w:rPr>
          <w:t>https://voceabasarabiei.md/cnn-cotul-morii-din-hancesti-in-topul-zonelor-fantome-abandonate-din-cauza-cataclismelor-si-schimbarilor-climatice</w:t>
        </w:r>
      </w:hyperlink>
      <w:r w:rsidRPr="00CD2ADD">
        <w:rPr>
          <w:lang w:val="ro-MD"/>
        </w:rPr>
        <w:t xml:space="preserve"> </w:t>
      </w:r>
    </w:p>
  </w:footnote>
  <w:footnote w:id="24">
    <w:p w14:paraId="0F9F1239" w14:textId="1F7BACB2" w:rsidR="006209AB" w:rsidRPr="00CD2ADD" w:rsidRDefault="006209AB" w:rsidP="00E90474">
      <w:pPr>
        <w:pStyle w:val="FootnoteText"/>
        <w:spacing w:after="0" w:line="240" w:lineRule="auto"/>
        <w:rPr>
          <w:lang w:val="ro-MD"/>
        </w:rPr>
      </w:pPr>
      <w:r w:rsidRPr="00CD2ADD">
        <w:rPr>
          <w:rStyle w:val="FootnoteReference"/>
          <w:lang w:val="ro-MD"/>
        </w:rPr>
        <w:footnoteRef/>
      </w:r>
      <w:r w:rsidRPr="00CD2ADD">
        <w:rPr>
          <w:lang w:val="ro-MD"/>
        </w:rPr>
        <w:t xml:space="preserve"> </w:t>
      </w:r>
      <w:r w:rsidRPr="00CD2ADD">
        <w:rPr>
          <w:rFonts w:ascii="Times New Roman" w:hAnsi="Times New Roman" w:cs="Times New Roman"/>
          <w:lang w:val="ro-MD"/>
        </w:rPr>
        <w:t xml:space="preserve">SHS – </w:t>
      </w:r>
      <w:hyperlink r:id="rId20" w:history="1">
        <w:r w:rsidRPr="00CD2ADD">
          <w:rPr>
            <w:rStyle w:val="Hyperlink"/>
            <w:rFonts w:ascii="Times New Roman" w:hAnsi="Times New Roman" w:cs="Times New Roman"/>
            <w:lang w:val="ro-MD"/>
          </w:rPr>
          <w:t>https://www.meteo.md/index.php/ro/description_codes/hazards/9</w:t>
        </w:r>
      </w:hyperlink>
      <w:r w:rsidRPr="00CD2ADD">
        <w:rPr>
          <w:rFonts w:ascii="Times New Roman" w:hAnsi="Times New Roman" w:cs="Times New Roman"/>
          <w:lang w:val="ro-MD"/>
        </w:rPr>
        <w:t xml:space="preserve"> </w:t>
      </w:r>
    </w:p>
  </w:footnote>
  <w:footnote w:id="25">
    <w:p w14:paraId="648AC5C8" w14:textId="7549B5E4" w:rsidR="006209AB" w:rsidRPr="00CD2ADD" w:rsidRDefault="006209AB" w:rsidP="006209AB">
      <w:pPr>
        <w:pStyle w:val="FootnoteText"/>
        <w:spacing w:after="0" w:line="240" w:lineRule="auto"/>
        <w:rPr>
          <w:lang w:val="ro-MD"/>
        </w:rPr>
      </w:pPr>
      <w:r w:rsidRPr="00CD2ADD">
        <w:rPr>
          <w:rStyle w:val="FootnoteReference"/>
          <w:lang w:val="ro-MD"/>
        </w:rPr>
        <w:footnoteRef/>
      </w:r>
      <w:r w:rsidRPr="00CD2ADD">
        <w:rPr>
          <w:lang w:val="ro-MD"/>
        </w:rPr>
        <w:t xml:space="preserve"> </w:t>
      </w:r>
      <w:hyperlink r:id="rId21" w:history="1">
        <w:r w:rsidRPr="00CD2ADD">
          <w:rPr>
            <w:rStyle w:val="Hyperlink"/>
            <w:rFonts w:ascii="Times New Roman" w:hAnsi="Times New Roman" w:cs="Times New Roman"/>
            <w:lang w:val="ro-MD"/>
          </w:rPr>
          <w:t>IGSU – Analiza Situațiilor Excepționale, 2010–2024</w:t>
        </w:r>
      </w:hyperlink>
      <w:r w:rsidRPr="00CD2ADD">
        <w:rPr>
          <w:lang w:val="ro-MD"/>
        </w:rPr>
        <w:t xml:space="preserve">  </w:t>
      </w:r>
    </w:p>
  </w:footnote>
  <w:footnote w:id="26">
    <w:p w14:paraId="3694921A" w14:textId="3A2901BA" w:rsidR="00D22D1B" w:rsidRPr="00CD2ADD" w:rsidRDefault="00D22D1B" w:rsidP="00CA085D">
      <w:pPr>
        <w:pStyle w:val="FootnoteText"/>
        <w:spacing w:after="0" w:line="240" w:lineRule="auto"/>
        <w:rPr>
          <w:rFonts w:ascii="Times New Roman" w:hAnsi="Times New Roman" w:cs="Times New Roman"/>
          <w:lang w:val="ro-MD"/>
        </w:rPr>
      </w:pPr>
      <w:r w:rsidRPr="00CD2ADD">
        <w:rPr>
          <w:rStyle w:val="FootnoteReference"/>
          <w:rFonts w:ascii="Times New Roman" w:hAnsi="Times New Roman" w:cs="Times New Roman"/>
          <w:lang w:val="ro-MD"/>
        </w:rPr>
        <w:footnoteRef/>
      </w:r>
      <w:r w:rsidRPr="00CD2ADD">
        <w:rPr>
          <w:rFonts w:ascii="Times New Roman" w:hAnsi="Times New Roman" w:cs="Times New Roman"/>
          <w:lang w:val="ro-MD"/>
        </w:rPr>
        <w:t xml:space="preserve"> </w:t>
      </w:r>
      <w:hyperlink r:id="rId22" w:history="1">
        <w:r w:rsidRPr="00CD2ADD">
          <w:rPr>
            <w:rStyle w:val="Hyperlink"/>
            <w:rFonts w:ascii="Times New Roman" w:hAnsi="Times New Roman" w:cs="Times New Roman"/>
            <w:lang w:val="ro-MD"/>
          </w:rPr>
          <w:t>https://esaro.unfpa.org/sites/default/files/pub-pdf/responding_to_climate_change.pdf</w:t>
        </w:r>
      </w:hyperlink>
      <w:r w:rsidRPr="00CD2ADD">
        <w:rPr>
          <w:rFonts w:ascii="Times New Roman" w:hAnsi="Times New Roman" w:cs="Times New Roman"/>
          <w:lang w:val="ro-MD"/>
        </w:rPr>
        <w:t xml:space="preserve"> </w:t>
      </w:r>
    </w:p>
  </w:footnote>
  <w:footnote w:id="27">
    <w:p w14:paraId="3309852F" w14:textId="77777777" w:rsidR="00A854F6" w:rsidRPr="00CD2ADD" w:rsidRDefault="00A854F6" w:rsidP="00CA085D">
      <w:pPr>
        <w:pStyle w:val="FootnoteText"/>
        <w:spacing w:after="0" w:line="240" w:lineRule="auto"/>
        <w:rPr>
          <w:rFonts w:ascii="Times New Roman" w:hAnsi="Times New Roman" w:cs="Times New Roman"/>
          <w:lang w:val="ro-MD"/>
        </w:rPr>
      </w:pPr>
      <w:r w:rsidRPr="00CD2ADD">
        <w:rPr>
          <w:rStyle w:val="FootnoteReference"/>
          <w:rFonts w:ascii="Times New Roman" w:hAnsi="Times New Roman" w:cs="Times New Roman"/>
          <w:lang w:val="ro-MD"/>
        </w:rPr>
        <w:footnoteRef/>
      </w:r>
      <w:r w:rsidRPr="00CD2ADD">
        <w:rPr>
          <w:rFonts w:ascii="Times New Roman" w:hAnsi="Times New Roman" w:cs="Times New Roman"/>
          <w:lang w:val="ro-MD"/>
        </w:rPr>
        <w:t>IPCC Sixth Assessment Report – Regional Climate Projections.</w:t>
      </w:r>
    </w:p>
  </w:footnote>
  <w:footnote w:id="28">
    <w:p w14:paraId="778097AF" w14:textId="79420E8A" w:rsidR="008565D0" w:rsidRPr="00CD2ADD" w:rsidRDefault="008565D0" w:rsidP="008565D0">
      <w:pPr>
        <w:pStyle w:val="FootnoteText"/>
        <w:rPr>
          <w:lang w:val="ro-MD"/>
        </w:rPr>
      </w:pPr>
      <w:r w:rsidRPr="00CD2ADD">
        <w:rPr>
          <w:rStyle w:val="FootnoteReference"/>
          <w:lang w:val="ro-MD"/>
        </w:rPr>
        <w:footnoteRef/>
      </w:r>
      <w:r w:rsidRPr="00CD2ADD">
        <w:rPr>
          <w:lang w:val="ro-MD"/>
        </w:rPr>
        <w:t xml:space="preserve"> </w:t>
      </w:r>
      <w:r w:rsidRPr="00CD2ADD">
        <w:rPr>
          <w:rFonts w:ascii="Times New Roman" w:hAnsi="Times New Roman" w:cs="Times New Roman"/>
          <w:lang w:val="ro-MD"/>
        </w:rPr>
        <w:t xml:space="preserve">SHS – </w:t>
      </w:r>
      <w:hyperlink r:id="rId23" w:history="1">
        <w:r w:rsidR="00674C0C" w:rsidRPr="00CD2ADD">
          <w:rPr>
            <w:rStyle w:val="Hyperlink"/>
            <w:rFonts w:ascii="Times New Roman" w:hAnsi="Times New Roman" w:cs="Times New Roman"/>
            <w:lang w:val="ro-MD"/>
          </w:rPr>
          <w:t>https://www.meteo.md/index.php/ro/description_codes/hazards/11</w:t>
        </w:r>
      </w:hyperlink>
      <w:r w:rsidR="00674C0C" w:rsidRPr="00CD2ADD">
        <w:rPr>
          <w:rFonts w:ascii="Times New Roman" w:hAnsi="Times New Roman" w:cs="Times New Roman"/>
          <w:lang w:val="ro-MD"/>
        </w:rPr>
        <w:t xml:space="preserve"> </w:t>
      </w:r>
    </w:p>
  </w:footnote>
  <w:footnote w:id="29">
    <w:p w14:paraId="3515E1B4" w14:textId="39F4D735" w:rsidR="008565D0" w:rsidRPr="00CD2ADD" w:rsidRDefault="008565D0" w:rsidP="004B140F">
      <w:pPr>
        <w:pStyle w:val="FootnoteText"/>
        <w:spacing w:after="0" w:line="240" w:lineRule="auto"/>
        <w:rPr>
          <w:rFonts w:ascii="Times New Roman" w:hAnsi="Times New Roman" w:cs="Times New Roman"/>
          <w:lang w:val="ro-MD"/>
        </w:rPr>
      </w:pPr>
      <w:r w:rsidRPr="00CD2ADD">
        <w:rPr>
          <w:rStyle w:val="FootnoteReference"/>
          <w:rFonts w:ascii="Times New Roman" w:hAnsi="Times New Roman" w:cs="Times New Roman"/>
          <w:lang w:val="ro-MD"/>
        </w:rPr>
        <w:footnoteRef/>
      </w:r>
      <w:r w:rsidRPr="00CD2ADD">
        <w:rPr>
          <w:rFonts w:ascii="Times New Roman" w:hAnsi="Times New Roman" w:cs="Times New Roman"/>
          <w:lang w:val="ro-MD"/>
        </w:rPr>
        <w:t xml:space="preserve"> SHS – </w:t>
      </w:r>
      <w:hyperlink r:id="rId24" w:history="1">
        <w:r w:rsidR="001B1E6D" w:rsidRPr="00CD2ADD">
          <w:rPr>
            <w:rStyle w:val="Hyperlink"/>
            <w:rFonts w:ascii="Times New Roman" w:hAnsi="Times New Roman" w:cs="Times New Roman"/>
            <w:lang w:val="ro-MD"/>
          </w:rPr>
          <w:t>https://www.meteo.md/index.php/ro/description_codes/hazards/5</w:t>
        </w:r>
      </w:hyperlink>
      <w:r w:rsidR="001B1E6D" w:rsidRPr="00CD2ADD">
        <w:rPr>
          <w:rFonts w:ascii="Times New Roman" w:hAnsi="Times New Roman" w:cs="Times New Roman"/>
          <w:lang w:val="ro-MD"/>
        </w:rPr>
        <w:t xml:space="preserve"> </w:t>
      </w:r>
    </w:p>
  </w:footnote>
  <w:footnote w:id="30">
    <w:p w14:paraId="728819ED" w14:textId="77777777" w:rsidR="00674C0C" w:rsidRPr="00CD2ADD" w:rsidRDefault="00674C0C" w:rsidP="00674C0C">
      <w:pPr>
        <w:pStyle w:val="FootnoteText"/>
        <w:spacing w:after="0" w:line="240" w:lineRule="auto"/>
        <w:rPr>
          <w:lang w:val="ro-MD"/>
        </w:rPr>
      </w:pPr>
      <w:r w:rsidRPr="00CD2ADD">
        <w:rPr>
          <w:rStyle w:val="FootnoteReference"/>
          <w:lang w:val="ro-MD"/>
        </w:rPr>
        <w:footnoteRef/>
      </w:r>
      <w:r w:rsidRPr="00CD2ADD">
        <w:rPr>
          <w:lang w:val="ro-MD"/>
        </w:rPr>
        <w:t xml:space="preserve"> </w:t>
      </w:r>
      <w:hyperlink r:id="rId25" w:history="1">
        <w:r w:rsidRPr="00AB18CF">
          <w:rPr>
            <w:rStyle w:val="Hyperlink"/>
            <w:rFonts w:ascii="Times New Roman" w:hAnsi="Times New Roman" w:cs="Times New Roman"/>
            <w:lang w:val="ro-MD"/>
          </w:rPr>
          <w:t>https://clima.gov.md/climate-next/page/grindina</w:t>
        </w:r>
      </w:hyperlink>
      <w:r w:rsidRPr="00CD2ADD">
        <w:rPr>
          <w:lang w:val="ro-MD"/>
        </w:rPr>
        <w:t xml:space="preserve"> </w:t>
      </w:r>
    </w:p>
  </w:footnote>
  <w:footnote w:id="31">
    <w:p w14:paraId="7C427D51" w14:textId="47A613E2" w:rsidR="00B07100" w:rsidRPr="00AB18CF" w:rsidRDefault="00B07100" w:rsidP="0041611B">
      <w:pPr>
        <w:pStyle w:val="FootnoteText"/>
        <w:spacing w:after="0" w:line="240" w:lineRule="auto"/>
        <w:rPr>
          <w:rFonts w:ascii="Times New Roman" w:hAnsi="Times New Roman" w:cs="Times New Roman"/>
          <w:lang w:val="ro-MD"/>
        </w:rPr>
      </w:pPr>
      <w:r w:rsidRPr="00AB18CF">
        <w:rPr>
          <w:rStyle w:val="FootnoteReference"/>
          <w:rFonts w:ascii="Times New Roman" w:hAnsi="Times New Roman" w:cs="Times New Roman"/>
          <w:lang w:val="ro-MD"/>
        </w:rPr>
        <w:footnoteRef/>
      </w:r>
      <w:r w:rsidRPr="00AB18CF">
        <w:rPr>
          <w:rFonts w:ascii="Times New Roman" w:hAnsi="Times New Roman" w:cs="Times New Roman"/>
          <w:lang w:val="ro-MD"/>
        </w:rPr>
        <w:t xml:space="preserve"> </w:t>
      </w:r>
      <w:hyperlink r:id="rId26" w:history="1">
        <w:r w:rsidRPr="00AB18CF">
          <w:rPr>
            <w:rStyle w:val="Hyperlink"/>
            <w:rFonts w:ascii="Times New Roman" w:hAnsi="Times New Roman" w:cs="Times New Roman"/>
            <w:lang w:val="ro-MD"/>
          </w:rPr>
          <w:t>https://antigrindina.md/despre-serviciul-special/domeniul-de-activitate.html</w:t>
        </w:r>
      </w:hyperlink>
      <w:r w:rsidRPr="00AB18CF">
        <w:rPr>
          <w:rFonts w:ascii="Times New Roman" w:hAnsi="Times New Roman" w:cs="Times New Roman"/>
          <w:lang w:val="ro-MD"/>
        </w:rPr>
        <w:t xml:space="preserve"> </w:t>
      </w:r>
    </w:p>
  </w:footnote>
  <w:footnote w:id="32">
    <w:p w14:paraId="0F90ED20" w14:textId="5C142CEA" w:rsidR="008565D0" w:rsidRPr="00CD2ADD" w:rsidRDefault="008565D0" w:rsidP="0041611B">
      <w:pPr>
        <w:pStyle w:val="FootnoteText"/>
        <w:spacing w:after="0" w:line="240" w:lineRule="auto"/>
        <w:rPr>
          <w:lang w:val="ro-MD"/>
        </w:rPr>
      </w:pPr>
      <w:r w:rsidRPr="00AB18CF">
        <w:rPr>
          <w:rStyle w:val="FootnoteReference"/>
          <w:rFonts w:ascii="Times New Roman" w:hAnsi="Times New Roman" w:cs="Times New Roman"/>
          <w:lang w:val="ro-MD"/>
        </w:rPr>
        <w:footnoteRef/>
      </w:r>
      <w:r w:rsidRPr="00AB18CF">
        <w:rPr>
          <w:rFonts w:ascii="Times New Roman" w:hAnsi="Times New Roman" w:cs="Times New Roman"/>
          <w:lang w:val="ro-MD"/>
        </w:rPr>
        <w:t xml:space="preserve"> SHS – </w:t>
      </w:r>
      <w:hyperlink r:id="rId27" w:history="1">
        <w:r w:rsidR="00C357DE" w:rsidRPr="00AB18CF">
          <w:rPr>
            <w:rStyle w:val="Hyperlink"/>
            <w:rFonts w:ascii="Times New Roman" w:hAnsi="Times New Roman" w:cs="Times New Roman"/>
            <w:lang w:val="ro-MD"/>
          </w:rPr>
          <w:t>https://www.meteo.md/index.php/ro/description_codes/hazards/12</w:t>
        </w:r>
      </w:hyperlink>
      <w:r w:rsidR="00C357DE" w:rsidRPr="00CD2ADD">
        <w:rPr>
          <w:lang w:val="ro-MD"/>
        </w:rPr>
        <w:t xml:space="preserve"> </w:t>
      </w:r>
    </w:p>
  </w:footnote>
  <w:footnote w:id="33">
    <w:p w14:paraId="4BCDC361" w14:textId="47596A91" w:rsidR="00FB4FDD" w:rsidRPr="00CC469C" w:rsidRDefault="00FB4FDD" w:rsidP="00187B26">
      <w:pPr>
        <w:jc w:val="both"/>
        <w:rPr>
          <w:sz w:val="20"/>
          <w:szCs w:val="20"/>
          <w:lang w:eastAsia="en-US"/>
        </w:rPr>
      </w:pPr>
      <w:r w:rsidRPr="00CC469C">
        <w:rPr>
          <w:rStyle w:val="FootnoteReference"/>
          <w:sz w:val="20"/>
          <w:szCs w:val="20"/>
        </w:rPr>
        <w:footnoteRef/>
      </w:r>
      <w:r w:rsidRPr="00CC469C">
        <w:rPr>
          <w:sz w:val="20"/>
          <w:szCs w:val="20"/>
        </w:rPr>
        <w:t xml:space="preserve"> </w:t>
      </w:r>
      <w:r w:rsidRPr="00CC469C">
        <w:rPr>
          <w:sz w:val="20"/>
          <w:szCs w:val="20"/>
          <w:lang w:eastAsia="en-US"/>
        </w:rPr>
        <w:t xml:space="preserve">SHS – </w:t>
      </w:r>
      <w:hyperlink r:id="rId28" w:history="1">
        <w:r w:rsidRPr="00CC469C">
          <w:rPr>
            <w:rStyle w:val="Hyperlink"/>
            <w:sz w:val="20"/>
            <w:szCs w:val="20"/>
            <w:lang w:eastAsia="en-US"/>
          </w:rPr>
          <w:t>https://www.meteo.md/index.php/ro/description_codes/hazards/1</w:t>
        </w:r>
      </w:hyperlink>
      <w:r w:rsidRPr="00CC469C">
        <w:rPr>
          <w:sz w:val="20"/>
          <w:szCs w:val="20"/>
          <w:lang w:eastAsia="en-US"/>
        </w:rPr>
        <w:t xml:space="preserve"> </w:t>
      </w:r>
    </w:p>
  </w:footnote>
  <w:footnote w:id="34">
    <w:p w14:paraId="76797996" w14:textId="5B3E359C" w:rsidR="00187B26" w:rsidRPr="00CD2ADD" w:rsidRDefault="00187B26" w:rsidP="00187B26">
      <w:pPr>
        <w:pStyle w:val="FootnoteText"/>
        <w:spacing w:after="0" w:line="240" w:lineRule="auto"/>
        <w:rPr>
          <w:lang w:val="ro-MD"/>
        </w:rPr>
      </w:pPr>
      <w:r w:rsidRPr="00CC469C">
        <w:rPr>
          <w:rStyle w:val="FootnoteReference"/>
          <w:rFonts w:ascii="Times New Roman" w:hAnsi="Times New Roman" w:cs="Times New Roman"/>
          <w:lang w:val="ro-MD"/>
        </w:rPr>
        <w:footnoteRef/>
      </w:r>
      <w:r w:rsidRPr="00CC469C">
        <w:rPr>
          <w:rFonts w:ascii="Times New Roman" w:hAnsi="Times New Roman" w:cs="Times New Roman"/>
          <w:lang w:val="ro-MD"/>
        </w:rPr>
        <w:t xml:space="preserve"> </w:t>
      </w:r>
      <w:hyperlink r:id="rId29" w:history="1">
        <w:r w:rsidRPr="00CC469C">
          <w:rPr>
            <w:rStyle w:val="Hyperlink"/>
            <w:rFonts w:ascii="Times New Roman" w:hAnsi="Times New Roman" w:cs="Times New Roman"/>
            <w:lang w:val="ro-MD"/>
          </w:rPr>
          <w:t>https://www.legis.md/cautare/getResults?doc_id=66776&amp;lang=ro</w:t>
        </w:r>
      </w:hyperlink>
      <w:r w:rsidRPr="00CD2ADD">
        <w:rPr>
          <w:lang w:val="ro-MD"/>
        </w:rPr>
        <w:t xml:space="preserve"> </w:t>
      </w:r>
    </w:p>
  </w:footnote>
  <w:footnote w:id="35">
    <w:p w14:paraId="6271E860" w14:textId="6170B998" w:rsidR="00D72E66" w:rsidRPr="00CD2ADD" w:rsidRDefault="00D72E66" w:rsidP="00606F18">
      <w:pPr>
        <w:pStyle w:val="FootnoteText"/>
        <w:spacing w:after="0" w:line="240" w:lineRule="auto"/>
        <w:rPr>
          <w:lang w:val="ro-MD"/>
        </w:rPr>
      </w:pPr>
      <w:r w:rsidRPr="008E65A5">
        <w:rPr>
          <w:rStyle w:val="FootnoteReference"/>
          <w:rFonts w:ascii="Times New Roman" w:hAnsi="Times New Roman" w:cs="Times New Roman"/>
          <w:lang w:val="ro-MD"/>
        </w:rPr>
        <w:footnoteRef/>
      </w:r>
      <w:r w:rsidRPr="008E65A5">
        <w:rPr>
          <w:rFonts w:ascii="Times New Roman" w:hAnsi="Times New Roman" w:cs="Times New Roman"/>
          <w:lang w:val="ro-MD"/>
        </w:rPr>
        <w:t xml:space="preserve"> </w:t>
      </w:r>
      <w:bookmarkStart w:id="74" w:name="OLE_LINK10"/>
      <w:r w:rsidRPr="008E65A5">
        <w:rPr>
          <w:rFonts w:ascii="Times New Roman" w:hAnsi="Times New Roman" w:cs="Times New Roman"/>
          <w:lang w:val="ro-MD"/>
        </w:rPr>
        <w:t>Alcaz, A., Nicoară, I., Isicico, M., Troian, A. (2020). Estimarea pierderilor posibile în caz de cutremur pentru localitatea Ungheni, Republica Moldova</w:t>
      </w:r>
      <w:r w:rsidRPr="00CD2ADD">
        <w:rPr>
          <w:lang w:val="ro-MD"/>
        </w:rPr>
        <w:t xml:space="preserve">. </w:t>
      </w:r>
      <w:bookmarkEnd w:id="74"/>
    </w:p>
  </w:footnote>
  <w:footnote w:id="36">
    <w:p w14:paraId="2E55C01D" w14:textId="77777777" w:rsidR="00D61B3A" w:rsidRPr="00CD2ADD" w:rsidRDefault="00D61B3A" w:rsidP="00B34788">
      <w:pPr>
        <w:pStyle w:val="FootnoteText"/>
        <w:spacing w:after="0" w:line="240" w:lineRule="auto"/>
        <w:rPr>
          <w:rFonts w:ascii="Times New Roman" w:hAnsi="Times New Roman" w:cs="Times New Roman"/>
          <w:lang w:val="ro-MD"/>
        </w:rPr>
      </w:pPr>
      <w:r w:rsidRPr="00CD2ADD">
        <w:rPr>
          <w:rStyle w:val="FootnoteReference"/>
          <w:rFonts w:ascii="Times New Roman" w:hAnsi="Times New Roman" w:cs="Times New Roman"/>
          <w:lang w:val="ro-MD"/>
        </w:rPr>
        <w:footnoteRef/>
      </w:r>
      <w:r w:rsidRPr="00CD2ADD">
        <w:rPr>
          <w:rFonts w:ascii="Times New Roman" w:hAnsi="Times New Roman" w:cs="Times New Roman"/>
          <w:lang w:val="ro-MD"/>
        </w:rPr>
        <w:t xml:space="preserve"> Institutul de Geologie și Seismologie (IGS), prezentare „Cutremurele din Moldova și riscurile asociate”, 2023.</w:t>
      </w:r>
    </w:p>
  </w:footnote>
  <w:footnote w:id="37">
    <w:p w14:paraId="68AAF812" w14:textId="19DDE9F2" w:rsidR="00D72E66" w:rsidRPr="00CD2ADD" w:rsidRDefault="00D72E66" w:rsidP="00B34788">
      <w:pPr>
        <w:pStyle w:val="FootnoteText"/>
        <w:spacing w:after="0" w:line="240" w:lineRule="auto"/>
        <w:rPr>
          <w:lang w:val="ro-MD"/>
        </w:rPr>
      </w:pPr>
      <w:r w:rsidRPr="00CD2ADD">
        <w:rPr>
          <w:rStyle w:val="FootnoteReference"/>
          <w:rFonts w:ascii="Times New Roman" w:hAnsi="Times New Roman" w:cs="Times New Roman"/>
          <w:lang w:val="ro-MD"/>
        </w:rPr>
        <w:footnoteRef/>
      </w:r>
      <w:r w:rsidRPr="00CD2ADD">
        <w:rPr>
          <w:rFonts w:ascii="Times New Roman" w:hAnsi="Times New Roman" w:cs="Times New Roman"/>
          <w:lang w:val="ro-MD"/>
        </w:rPr>
        <w:t xml:space="preserve"> INFORM Moldova v0.9 (2023). Profil de risc subnațional</w:t>
      </w:r>
      <w:r w:rsidRPr="00CD2ADD">
        <w:rPr>
          <w:lang w:val="ro-MD"/>
        </w:rPr>
        <w:t>.</w:t>
      </w:r>
    </w:p>
  </w:footnote>
  <w:footnote w:id="38">
    <w:p w14:paraId="40263ED9" w14:textId="77777777" w:rsidR="003F7138" w:rsidRPr="00CD2ADD" w:rsidRDefault="003F7138" w:rsidP="003F7138">
      <w:pPr>
        <w:pStyle w:val="FootnoteText"/>
        <w:rPr>
          <w:lang w:val="ro-MD"/>
        </w:rPr>
      </w:pPr>
      <w:r w:rsidRPr="00CD2ADD">
        <w:rPr>
          <w:rStyle w:val="FootnoteReference"/>
          <w:lang w:val="ro-MD"/>
        </w:rPr>
        <w:footnoteRef/>
      </w:r>
      <w:r w:rsidRPr="00CD2ADD">
        <w:rPr>
          <w:lang w:val="ro-MD"/>
        </w:rPr>
        <w:t xml:space="preserve"> AGRM</w:t>
      </w:r>
    </w:p>
  </w:footnote>
  <w:footnote w:id="39">
    <w:p w14:paraId="1645EC2B" w14:textId="77777777" w:rsidR="003F7138" w:rsidRPr="00B30DDA" w:rsidRDefault="003F7138" w:rsidP="003F7138">
      <w:pPr>
        <w:pStyle w:val="FootnoteText"/>
        <w:spacing w:after="0" w:line="240" w:lineRule="auto"/>
        <w:rPr>
          <w:rFonts w:ascii="Times New Roman" w:hAnsi="Times New Roman" w:cs="Times New Roman"/>
          <w:lang w:val="ro-MD"/>
        </w:rPr>
      </w:pPr>
      <w:r w:rsidRPr="00B30DDA">
        <w:rPr>
          <w:rStyle w:val="FootnoteReference"/>
          <w:rFonts w:ascii="Times New Roman" w:hAnsi="Times New Roman" w:cs="Times New Roman"/>
          <w:lang w:val="ro-MD"/>
        </w:rPr>
        <w:footnoteRef/>
      </w:r>
      <w:r w:rsidRPr="00B30DDA">
        <w:rPr>
          <w:rFonts w:ascii="Times New Roman" w:hAnsi="Times New Roman" w:cs="Times New Roman"/>
          <w:lang w:val="ro-MD"/>
        </w:rPr>
        <w:t xml:space="preserve"> Normativ în Construcții Moldovean NCM E.01.03-2005</w:t>
      </w:r>
    </w:p>
  </w:footnote>
  <w:footnote w:id="40">
    <w:p w14:paraId="2AADBBD0" w14:textId="344B6A3B" w:rsidR="002B0D71" w:rsidRPr="00B30DDA" w:rsidRDefault="002B0D71" w:rsidP="002B0D71">
      <w:pPr>
        <w:pStyle w:val="FootnoteText"/>
        <w:spacing w:after="0"/>
        <w:rPr>
          <w:rFonts w:ascii="Times New Roman" w:hAnsi="Times New Roman" w:cs="Times New Roman"/>
          <w:lang w:val="ro-MD"/>
        </w:rPr>
      </w:pPr>
      <w:r w:rsidRPr="00B30DDA">
        <w:rPr>
          <w:rStyle w:val="FootnoteReference"/>
          <w:rFonts w:ascii="Times New Roman" w:hAnsi="Times New Roman" w:cs="Times New Roman"/>
          <w:lang w:val="ro-MD"/>
        </w:rPr>
        <w:footnoteRef/>
      </w:r>
      <w:r w:rsidRPr="00B30DDA">
        <w:rPr>
          <w:rFonts w:ascii="Times New Roman" w:hAnsi="Times New Roman" w:cs="Times New Roman"/>
          <w:lang w:val="ro-MD"/>
        </w:rPr>
        <w:t xml:space="preserve"> </w:t>
      </w:r>
      <w:hyperlink r:id="rId30" w:history="1">
        <w:r w:rsidRPr="00B30DDA">
          <w:rPr>
            <w:rStyle w:val="Hyperlink"/>
            <w:rFonts w:ascii="Times New Roman" w:hAnsi="Times New Roman" w:cs="Times New Roman"/>
            <w:lang w:val="ro-MD"/>
          </w:rPr>
          <w:t>https://iucn.org/news/202402/one-health-nature-conservation-project-central-asia-launched-iucn-and-partners</w:t>
        </w:r>
      </w:hyperlink>
    </w:p>
  </w:footnote>
  <w:footnote w:id="41">
    <w:p w14:paraId="6E233F62" w14:textId="5AC4AD77" w:rsidR="002B0D71" w:rsidRPr="00B30DDA" w:rsidRDefault="002B0D71" w:rsidP="002B0D71">
      <w:pPr>
        <w:pStyle w:val="FootnoteText"/>
        <w:spacing w:after="0"/>
        <w:rPr>
          <w:rFonts w:ascii="Times New Roman" w:hAnsi="Times New Roman" w:cs="Times New Roman"/>
          <w:lang w:val="ro-MD"/>
        </w:rPr>
      </w:pPr>
      <w:r w:rsidRPr="00B30DDA">
        <w:rPr>
          <w:rStyle w:val="FootnoteReference"/>
          <w:rFonts w:ascii="Times New Roman" w:hAnsi="Times New Roman" w:cs="Times New Roman"/>
          <w:lang w:val="ro-MD"/>
        </w:rPr>
        <w:footnoteRef/>
      </w:r>
      <w:r w:rsidRPr="00B30DDA">
        <w:rPr>
          <w:rFonts w:ascii="Times New Roman" w:hAnsi="Times New Roman" w:cs="Times New Roman"/>
          <w:lang w:val="ro-MD"/>
        </w:rPr>
        <w:t xml:space="preserve"> </w:t>
      </w:r>
      <w:hyperlink r:id="rId31" w:history="1">
        <w:r w:rsidRPr="00B30DDA">
          <w:rPr>
            <w:rStyle w:val="Hyperlink"/>
            <w:rFonts w:ascii="Times New Roman" w:hAnsi="Times New Roman" w:cs="Times New Roman"/>
            <w:lang w:val="ro-MD"/>
          </w:rPr>
          <w:t>https://cdn.who.int/media/docs/default-source/climate-change/highlights-brief_final.pdf?sfvrsn=537bdfea_3</w:t>
        </w:r>
      </w:hyperlink>
    </w:p>
  </w:footnote>
  <w:footnote w:id="42">
    <w:p w14:paraId="297D7F3D" w14:textId="07484BA9" w:rsidR="002B0D71" w:rsidRPr="00CD2ADD" w:rsidRDefault="002B0D71" w:rsidP="002B0D71">
      <w:pPr>
        <w:pStyle w:val="FootnoteText"/>
        <w:spacing w:after="0"/>
        <w:rPr>
          <w:lang w:val="ro-MD"/>
        </w:rPr>
      </w:pPr>
      <w:r w:rsidRPr="00B30DDA">
        <w:rPr>
          <w:rStyle w:val="FootnoteReference"/>
          <w:rFonts w:ascii="Times New Roman" w:hAnsi="Times New Roman" w:cs="Times New Roman"/>
          <w:lang w:val="ro-MD"/>
        </w:rPr>
        <w:footnoteRef/>
      </w:r>
      <w:r w:rsidRPr="00B30DDA">
        <w:rPr>
          <w:rFonts w:ascii="Times New Roman" w:hAnsi="Times New Roman" w:cs="Times New Roman"/>
          <w:lang w:val="ro-MD"/>
        </w:rPr>
        <w:t xml:space="preserve"> </w:t>
      </w:r>
      <w:hyperlink r:id="rId32" w:history="1">
        <w:r w:rsidRPr="00B30DDA">
          <w:rPr>
            <w:rStyle w:val="Hyperlink"/>
            <w:rFonts w:ascii="Times New Roman" w:hAnsi="Times New Roman" w:cs="Times New Roman"/>
            <w:lang w:val="ro-MD"/>
          </w:rPr>
          <w:t>https://portals.iucn.org/library/sites/library/files/documents/2022-055-En.pdf</w:t>
        </w:r>
      </w:hyperlink>
    </w:p>
  </w:footnote>
  <w:footnote w:id="43">
    <w:p w14:paraId="0A0E8FA2" w14:textId="7725FA49" w:rsidR="002B0D71" w:rsidRPr="00CD2ADD" w:rsidRDefault="002B0D71" w:rsidP="002B0D71">
      <w:pPr>
        <w:pStyle w:val="FootnoteText"/>
        <w:spacing w:after="0"/>
        <w:rPr>
          <w:lang w:val="ro-MD"/>
        </w:rPr>
      </w:pPr>
      <w:r w:rsidRPr="00CD2ADD">
        <w:rPr>
          <w:rStyle w:val="FootnoteReference"/>
          <w:lang w:val="ro-MD"/>
        </w:rPr>
        <w:footnoteRef/>
      </w:r>
      <w:r w:rsidRPr="00CD2ADD">
        <w:rPr>
          <w:lang w:val="ro-MD"/>
        </w:rPr>
        <w:t xml:space="preserve"> </w:t>
      </w:r>
      <w:r w:rsidRPr="00CD2ADD">
        <w:rPr>
          <w:sz w:val="18"/>
          <w:szCs w:val="18"/>
          <w:lang w:val="ro-MD"/>
        </w:rPr>
        <w:t>One Health High-Level Expert Panel, 2021</w:t>
      </w:r>
    </w:p>
  </w:footnote>
  <w:footnote w:id="44">
    <w:p w14:paraId="457D49C3" w14:textId="5A9D3CD3" w:rsidR="00961D38" w:rsidRPr="008B157F" w:rsidRDefault="00961D38">
      <w:pPr>
        <w:pStyle w:val="FootnoteText"/>
        <w:rPr>
          <w:rFonts w:ascii="Times New Roman" w:hAnsi="Times New Roman" w:cs="Times New Roman"/>
        </w:rPr>
      </w:pPr>
      <w:r w:rsidRPr="008B157F">
        <w:rPr>
          <w:rStyle w:val="FootnoteReference"/>
          <w:rFonts w:ascii="Times New Roman" w:hAnsi="Times New Roman" w:cs="Times New Roman"/>
          <w:lang w:val="ro-MD"/>
        </w:rPr>
        <w:footnoteRef/>
      </w:r>
      <w:r w:rsidRPr="008B157F">
        <w:rPr>
          <w:rFonts w:ascii="Times New Roman" w:hAnsi="Times New Roman" w:cs="Times New Roman"/>
          <w:lang w:val="ro-MD"/>
        </w:rPr>
        <w:t xml:space="preserve"> </w:t>
      </w:r>
      <w:hyperlink r:id="rId33" w:history="1">
        <w:r w:rsidRPr="008B157F">
          <w:rPr>
            <w:rStyle w:val="Hyperlink"/>
            <w:rFonts w:ascii="Times New Roman" w:hAnsi="Times New Roman" w:cs="Times New Roman"/>
            <w:lang w:val="ro-MD"/>
          </w:rPr>
          <w:t>https://www.legis.md/cautare/getResults?doc_id=150247&amp;lang=ro</w:t>
        </w:r>
      </w:hyperlink>
      <w:r w:rsidRPr="008B157F">
        <w:rPr>
          <w:rFonts w:ascii="Times New Roman" w:hAnsi="Times New Roman" w:cs="Times New Roman"/>
          <w:lang w:val="ro-MD"/>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2AA58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82104"/>
    <w:multiLevelType w:val="hybridMultilevel"/>
    <w:tmpl w:val="28D2751A"/>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02500"/>
    <w:multiLevelType w:val="hybridMultilevel"/>
    <w:tmpl w:val="7ACEC572"/>
    <w:lvl w:ilvl="0" w:tplc="17242D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E65013"/>
    <w:multiLevelType w:val="hybridMultilevel"/>
    <w:tmpl w:val="99607ED4"/>
    <w:lvl w:ilvl="0" w:tplc="17242D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F31FD2"/>
    <w:multiLevelType w:val="multilevel"/>
    <w:tmpl w:val="0C0EEE2A"/>
    <w:styleLink w:val="CurrentList1"/>
    <w:lvl w:ilvl="0">
      <w:start w:val="1"/>
      <w:numFmt w:val="decimal"/>
      <w:lvlText w:val="%1."/>
      <w:lvlJc w:val="left"/>
      <w:pPr>
        <w:ind w:left="720" w:hanging="360"/>
      </w:pPr>
    </w:lvl>
    <w:lvl w:ilvl="1">
      <w:start w:val="1"/>
      <w:numFmt w:val="decimal"/>
      <w:lvlText w:val="%1.%2."/>
      <w:lvlJc w:val="left"/>
      <w:pPr>
        <w:ind w:left="1152" w:hanging="432"/>
      </w:pPr>
      <w:rPr>
        <w:b/>
        <w:bCs/>
        <w:sz w:val="28"/>
        <w:szCs w:val="28"/>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15:restartNumberingAfterBreak="0">
    <w:nsid w:val="046971FF"/>
    <w:multiLevelType w:val="hybridMultilevel"/>
    <w:tmpl w:val="F45AE360"/>
    <w:lvl w:ilvl="0" w:tplc="A748F25A">
      <w:start w:val="259"/>
      <w:numFmt w:val="decimal"/>
      <w:lvlText w:val="%1."/>
      <w:lvlJc w:val="left"/>
      <w:pPr>
        <w:ind w:left="720" w:hanging="360"/>
      </w:pPr>
      <w:rPr>
        <w:rFonts w:hint="default"/>
        <w:b/>
        <w:bCs/>
        <w:i w:val="0"/>
        <w:iCs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8E28AC"/>
    <w:multiLevelType w:val="hybridMultilevel"/>
    <w:tmpl w:val="C65425F4"/>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6D83878"/>
    <w:multiLevelType w:val="multilevel"/>
    <w:tmpl w:val="BD6679A2"/>
    <w:styleLink w:val="CurrentList2"/>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b/>
        <w:bCs/>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D286F37"/>
    <w:multiLevelType w:val="multilevel"/>
    <w:tmpl w:val="2D044056"/>
    <w:styleLink w:val="CurrentList3"/>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1B5BD3"/>
    <w:multiLevelType w:val="hybridMultilevel"/>
    <w:tmpl w:val="B8C27D8C"/>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0E6520"/>
    <w:multiLevelType w:val="hybridMultilevel"/>
    <w:tmpl w:val="A1724204"/>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B91F14"/>
    <w:multiLevelType w:val="multilevel"/>
    <w:tmpl w:val="5E623722"/>
    <w:styleLink w:val="CurrentList6"/>
    <w:lvl w:ilvl="0">
      <w:start w:val="1"/>
      <w:numFmt w:val="decimal"/>
      <w:lvlText w:val="%1."/>
      <w:lvlJc w:val="left"/>
      <w:pPr>
        <w:ind w:left="360" w:hanging="360"/>
      </w:pPr>
      <w:rPr>
        <w:rFonts w:hint="default"/>
        <w:b/>
        <w:bCs/>
      </w:rPr>
    </w:lvl>
    <w:lvl w:ilvl="1">
      <w:start w:val="2"/>
      <w:numFmt w:val="decimal"/>
      <w:lvlText w:val="%1.%2."/>
      <w:lvlJc w:val="left"/>
      <w:pPr>
        <w:ind w:left="792" w:hanging="432"/>
      </w:pPr>
      <w:rPr>
        <w:rFonts w:hint="default"/>
        <w:b/>
        <w:bCs/>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5DD77AF"/>
    <w:multiLevelType w:val="hybridMultilevel"/>
    <w:tmpl w:val="90B88E82"/>
    <w:lvl w:ilvl="0" w:tplc="17242D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4919BF"/>
    <w:multiLevelType w:val="hybridMultilevel"/>
    <w:tmpl w:val="D8BAE490"/>
    <w:lvl w:ilvl="0" w:tplc="27A2EB8A">
      <w:start w:val="46"/>
      <w:numFmt w:val="decimal"/>
      <w:lvlText w:val="%1."/>
      <w:lvlJc w:val="left"/>
      <w:pPr>
        <w:ind w:left="1146" w:hanging="360"/>
      </w:pPr>
      <w:rPr>
        <w:rFonts w:ascii="Times New Roman" w:hAnsi="Times New Roman" w:cs="Times New Roman" w:hint="default"/>
        <w:i w:val="0"/>
        <w:iCs w:val="0"/>
        <w:sz w:val="24"/>
        <w:szCs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15:restartNumberingAfterBreak="0">
    <w:nsid w:val="16643FEB"/>
    <w:multiLevelType w:val="hybridMultilevel"/>
    <w:tmpl w:val="BA8E6482"/>
    <w:lvl w:ilvl="0" w:tplc="4F747C3C">
      <w:start w:val="1"/>
      <w:numFmt w:val="decimal"/>
      <w:lvlText w:val="%1."/>
      <w:lvlJc w:val="left"/>
      <w:pPr>
        <w:ind w:left="720" w:hanging="360"/>
      </w:pPr>
      <w:rPr>
        <w:rFonts w:hint="default"/>
        <w:b/>
        <w:bCs/>
        <w:i w:val="0"/>
        <w:iCs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4439FA"/>
    <w:multiLevelType w:val="hybridMultilevel"/>
    <w:tmpl w:val="B3C665D2"/>
    <w:lvl w:ilvl="0" w:tplc="4668968A">
      <w:start w:val="1"/>
      <w:numFmt w:val="decimal"/>
      <w:lvlText w:val="%1."/>
      <w:lvlJc w:val="left"/>
      <w:pPr>
        <w:ind w:left="720" w:hanging="360"/>
      </w:pPr>
      <w:rPr>
        <w:rFonts w:ascii="Times New Roman" w:hAnsi="Times New Roman" w:cs="Times New Roman" w:hint="default"/>
        <w:b/>
        <w:bCs/>
        <w:i w:val="0"/>
        <w:iCs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EA05B3"/>
    <w:multiLevelType w:val="hybridMultilevel"/>
    <w:tmpl w:val="8F7C1D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D84761"/>
    <w:multiLevelType w:val="hybridMultilevel"/>
    <w:tmpl w:val="4E0C82E0"/>
    <w:lvl w:ilvl="0" w:tplc="4668968A">
      <w:start w:val="1"/>
      <w:numFmt w:val="decimal"/>
      <w:lvlText w:val="%1."/>
      <w:lvlJc w:val="left"/>
      <w:pPr>
        <w:ind w:left="720" w:hanging="360"/>
      </w:pPr>
      <w:rPr>
        <w:rFonts w:ascii="Times New Roman" w:hAnsi="Times New Roman" w:cs="Times New Roman" w:hint="default"/>
        <w:b/>
        <w:bCs/>
        <w:i w:val="0"/>
        <w:iCs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35288F"/>
    <w:multiLevelType w:val="hybridMultilevel"/>
    <w:tmpl w:val="0A407C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090011">
      <w:start w:val="1"/>
      <w:numFmt w:val="decimal"/>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FC16F88"/>
    <w:multiLevelType w:val="hybridMultilevel"/>
    <w:tmpl w:val="F8CEAC68"/>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3418D7"/>
    <w:multiLevelType w:val="hybridMultilevel"/>
    <w:tmpl w:val="A26C7614"/>
    <w:lvl w:ilvl="0" w:tplc="3DDA38F0">
      <w:start w:val="1"/>
      <w:numFmt w:val="decimal"/>
      <w:lvlText w:val="%1)"/>
      <w:lvlJc w:val="left"/>
      <w:pPr>
        <w:ind w:left="720" w:hanging="360"/>
      </w:pPr>
      <w:rPr>
        <w:rFonts w:ascii="Times New Roman" w:hAnsi="Times New Roman" w:cs="Times New Roman" w:hint="default"/>
        <w:b/>
        <w:bCs/>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CF65CF"/>
    <w:multiLevelType w:val="hybridMultilevel"/>
    <w:tmpl w:val="D39242F6"/>
    <w:lvl w:ilvl="0" w:tplc="1DA6EADC">
      <w:start w:val="245"/>
      <w:numFmt w:val="decimal"/>
      <w:lvlText w:val="%1."/>
      <w:lvlJc w:val="left"/>
      <w:pPr>
        <w:ind w:left="1495" w:hanging="360"/>
      </w:pPr>
      <w:rPr>
        <w:rFonts w:ascii="Times New Roman" w:hAnsi="Times New Roman" w:cs="Times New Roman" w:hint="default"/>
        <w:b/>
        <w:bCs/>
        <w:i w:val="0"/>
        <w:iCs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336A40"/>
    <w:multiLevelType w:val="hybridMultilevel"/>
    <w:tmpl w:val="ECC27BB0"/>
    <w:lvl w:ilvl="0" w:tplc="A748F25A">
      <w:start w:val="259"/>
      <w:numFmt w:val="decimal"/>
      <w:lvlText w:val="%1."/>
      <w:lvlJc w:val="left"/>
      <w:pPr>
        <w:ind w:left="720" w:hanging="360"/>
      </w:pPr>
      <w:rPr>
        <w:rFonts w:hint="default"/>
        <w:b/>
        <w:bCs/>
        <w:i w:val="0"/>
        <w:iCs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8E5ED6"/>
    <w:multiLevelType w:val="hybridMultilevel"/>
    <w:tmpl w:val="1EA4C6BE"/>
    <w:lvl w:ilvl="0" w:tplc="FAECC9F2">
      <w:start w:val="139"/>
      <w:numFmt w:val="decimal"/>
      <w:lvlText w:val="%1."/>
      <w:lvlJc w:val="left"/>
      <w:pPr>
        <w:ind w:left="1495" w:hanging="360"/>
      </w:pPr>
      <w:rPr>
        <w:rFonts w:hint="default"/>
        <w:b/>
        <w:bCs/>
        <w:i w:val="0"/>
        <w:iCs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5170E9"/>
    <w:multiLevelType w:val="hybridMultilevel"/>
    <w:tmpl w:val="C762B244"/>
    <w:lvl w:ilvl="0" w:tplc="17242D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252F4D"/>
    <w:multiLevelType w:val="hybridMultilevel"/>
    <w:tmpl w:val="A8B0EC74"/>
    <w:lvl w:ilvl="0" w:tplc="17242D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5D4006C"/>
    <w:multiLevelType w:val="hybridMultilevel"/>
    <w:tmpl w:val="9AEE304E"/>
    <w:lvl w:ilvl="0" w:tplc="F76C7C5A">
      <w:start w:val="242"/>
      <w:numFmt w:val="decimal"/>
      <w:lvlText w:val="%1."/>
      <w:lvlJc w:val="left"/>
      <w:pPr>
        <w:ind w:left="1495" w:hanging="360"/>
      </w:pPr>
      <w:rPr>
        <w:rFonts w:ascii="Times New Roman" w:hAnsi="Times New Roman" w:cs="Times New Roman" w:hint="default"/>
        <w:b/>
        <w:bCs/>
        <w:i w:val="0"/>
        <w:iCs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C32E2E"/>
    <w:multiLevelType w:val="hybridMultilevel"/>
    <w:tmpl w:val="8272DC8A"/>
    <w:lvl w:ilvl="0" w:tplc="95F425DE">
      <w:start w:val="20"/>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33607F"/>
    <w:multiLevelType w:val="hybridMultilevel"/>
    <w:tmpl w:val="AAE81A26"/>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377392"/>
    <w:multiLevelType w:val="hybridMultilevel"/>
    <w:tmpl w:val="D29C611E"/>
    <w:lvl w:ilvl="0" w:tplc="52284F14">
      <w:start w:val="1"/>
      <w:numFmt w:val="decimal"/>
      <w:lvlText w:val="%1)"/>
      <w:lvlJc w:val="left"/>
      <w:pPr>
        <w:ind w:left="644" w:hanging="360"/>
      </w:pPr>
      <w:rPr>
        <w:rFonts w:hint="default"/>
        <w:b w:val="0"/>
        <w:bCs w:val="0"/>
        <w:i w:val="0"/>
        <w:iCs w:val="0"/>
        <w:color w:val="000000" w:themeColor="text1"/>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0F14ACE"/>
    <w:multiLevelType w:val="hybridMultilevel"/>
    <w:tmpl w:val="1BAE4C20"/>
    <w:lvl w:ilvl="0" w:tplc="17242D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6B2321"/>
    <w:multiLevelType w:val="hybridMultilevel"/>
    <w:tmpl w:val="3D36B63A"/>
    <w:lvl w:ilvl="0" w:tplc="17242D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2FA6D9D"/>
    <w:multiLevelType w:val="multilevel"/>
    <w:tmpl w:val="040C001F"/>
    <w:styleLink w:val="CurrentList5"/>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5955A05"/>
    <w:multiLevelType w:val="hybridMultilevel"/>
    <w:tmpl w:val="D54E9044"/>
    <w:lvl w:ilvl="0" w:tplc="95F425DE">
      <w:start w:val="2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8240079"/>
    <w:multiLevelType w:val="hybridMultilevel"/>
    <w:tmpl w:val="946C8490"/>
    <w:lvl w:ilvl="0" w:tplc="17242D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A71166"/>
    <w:multiLevelType w:val="hybridMultilevel"/>
    <w:tmpl w:val="FC3E9BCE"/>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A3B36E2"/>
    <w:multiLevelType w:val="hybridMultilevel"/>
    <w:tmpl w:val="66485FBA"/>
    <w:lvl w:ilvl="0" w:tplc="4F747C3C">
      <w:start w:val="1"/>
      <w:numFmt w:val="decimal"/>
      <w:lvlText w:val="%1."/>
      <w:lvlJc w:val="left"/>
      <w:pPr>
        <w:ind w:left="720" w:hanging="360"/>
      </w:pPr>
      <w:rPr>
        <w:rFonts w:hint="default"/>
        <w:b/>
        <w:bCs/>
        <w:i w:val="0"/>
        <w:iCs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A730DF8"/>
    <w:multiLevelType w:val="hybridMultilevel"/>
    <w:tmpl w:val="078616BA"/>
    <w:lvl w:ilvl="0" w:tplc="17242D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1F137E"/>
    <w:multiLevelType w:val="hybridMultilevel"/>
    <w:tmpl w:val="0776B2E2"/>
    <w:lvl w:ilvl="0" w:tplc="4F747C3C">
      <w:start w:val="1"/>
      <w:numFmt w:val="decimal"/>
      <w:lvlText w:val="%1."/>
      <w:lvlJc w:val="left"/>
      <w:pPr>
        <w:ind w:left="720" w:hanging="360"/>
      </w:pPr>
      <w:rPr>
        <w:rFonts w:hint="default"/>
        <w:b/>
        <w:bCs/>
        <w:i w:val="0"/>
        <w:iCs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12D1CF9"/>
    <w:multiLevelType w:val="hybridMultilevel"/>
    <w:tmpl w:val="7A56A7F6"/>
    <w:lvl w:ilvl="0" w:tplc="95F425DE">
      <w:start w:val="2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AA25C41"/>
    <w:multiLevelType w:val="hybridMultilevel"/>
    <w:tmpl w:val="D19607A8"/>
    <w:lvl w:ilvl="0" w:tplc="17242D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B647FB4"/>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EC762E9"/>
    <w:multiLevelType w:val="hybridMultilevel"/>
    <w:tmpl w:val="2D10438A"/>
    <w:lvl w:ilvl="0" w:tplc="76C2552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F566AC3"/>
    <w:multiLevelType w:val="hybridMultilevel"/>
    <w:tmpl w:val="F1B66504"/>
    <w:lvl w:ilvl="0" w:tplc="17242D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E67B50"/>
    <w:multiLevelType w:val="hybridMultilevel"/>
    <w:tmpl w:val="04603F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47A17CA"/>
    <w:multiLevelType w:val="hybridMultilevel"/>
    <w:tmpl w:val="97D082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9AA2630"/>
    <w:multiLevelType w:val="hybridMultilevel"/>
    <w:tmpl w:val="B712CBA0"/>
    <w:lvl w:ilvl="0" w:tplc="75E088FA">
      <w:start w:val="1"/>
      <w:numFmt w:val="decimal"/>
      <w:lvlText w:val="%1)"/>
      <w:lvlJc w:val="left"/>
      <w:pPr>
        <w:ind w:left="720" w:hanging="360"/>
      </w:pPr>
      <w:rPr>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C6422F6"/>
    <w:multiLevelType w:val="hybridMultilevel"/>
    <w:tmpl w:val="F8F6B9E8"/>
    <w:lvl w:ilvl="0" w:tplc="4668968A">
      <w:start w:val="1"/>
      <w:numFmt w:val="decimal"/>
      <w:lvlText w:val="%1."/>
      <w:lvlJc w:val="left"/>
      <w:pPr>
        <w:ind w:left="1495" w:hanging="360"/>
      </w:pPr>
      <w:rPr>
        <w:rFonts w:ascii="Times New Roman" w:hAnsi="Times New Roman" w:cs="Times New Roman" w:hint="default"/>
        <w:b/>
        <w:bCs/>
        <w:i w:val="0"/>
        <w:iCs w:val="0"/>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A22127"/>
    <w:multiLevelType w:val="hybridMultilevel"/>
    <w:tmpl w:val="E570A918"/>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E458FF"/>
    <w:multiLevelType w:val="hybridMultilevel"/>
    <w:tmpl w:val="FCFE31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2A1191E"/>
    <w:multiLevelType w:val="hybridMultilevel"/>
    <w:tmpl w:val="3E52227C"/>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3950660"/>
    <w:multiLevelType w:val="multilevel"/>
    <w:tmpl w:val="040C0025"/>
    <w:styleLink w:val="CurrentList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63DC3E5E"/>
    <w:multiLevelType w:val="hybridMultilevel"/>
    <w:tmpl w:val="3E3850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7282F9B"/>
    <w:multiLevelType w:val="hybridMultilevel"/>
    <w:tmpl w:val="B8400436"/>
    <w:lvl w:ilvl="0" w:tplc="17242DD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74F1E14"/>
    <w:multiLevelType w:val="hybridMultilevel"/>
    <w:tmpl w:val="B1629D2C"/>
    <w:lvl w:ilvl="0" w:tplc="4F747C3C">
      <w:start w:val="1"/>
      <w:numFmt w:val="decimal"/>
      <w:lvlText w:val="%1."/>
      <w:lvlJc w:val="left"/>
      <w:pPr>
        <w:ind w:left="720" w:hanging="360"/>
      </w:pPr>
      <w:rPr>
        <w:rFonts w:hint="default"/>
        <w:b/>
        <w:bCs/>
        <w:i w:val="0"/>
        <w:iCs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BF02398"/>
    <w:multiLevelType w:val="hybridMultilevel"/>
    <w:tmpl w:val="A4189836"/>
    <w:lvl w:ilvl="0" w:tplc="04090011">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E96302A"/>
    <w:multiLevelType w:val="hybridMultilevel"/>
    <w:tmpl w:val="B712CBA0"/>
    <w:lvl w:ilvl="0" w:tplc="FFFFFFFF">
      <w:start w:val="1"/>
      <w:numFmt w:val="decimal"/>
      <w:lvlText w:val="%1)"/>
      <w:lvlJc w:val="left"/>
      <w:pPr>
        <w:ind w:left="720" w:hanging="360"/>
      </w:pPr>
      <w:rPr>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FB66D3D"/>
    <w:multiLevelType w:val="hybridMultilevel"/>
    <w:tmpl w:val="AD8A086A"/>
    <w:lvl w:ilvl="0" w:tplc="FFFFFFFF">
      <w:start w:val="1"/>
      <w:numFmt w:val="decimal"/>
      <w:lvlText w:val="%1)"/>
      <w:lvlJc w:val="left"/>
      <w:pPr>
        <w:ind w:left="720" w:hanging="360"/>
      </w:pPr>
      <w:rPr>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0F83A24"/>
    <w:multiLevelType w:val="hybridMultilevel"/>
    <w:tmpl w:val="B27CB4F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1D55B01"/>
    <w:multiLevelType w:val="hybridMultilevel"/>
    <w:tmpl w:val="06507C9E"/>
    <w:lvl w:ilvl="0" w:tplc="A3D473C6">
      <w:start w:val="251"/>
      <w:numFmt w:val="decimal"/>
      <w:lvlText w:val="%1."/>
      <w:lvlJc w:val="left"/>
      <w:pPr>
        <w:ind w:left="1495" w:hanging="360"/>
      </w:pPr>
      <w:rPr>
        <w:rFonts w:ascii="Times New Roman" w:hAnsi="Times New Roman" w:cs="Times New Roman" w:hint="default"/>
        <w:b/>
        <w:bCs/>
        <w:i w:val="0"/>
        <w:iCs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2445FA5"/>
    <w:multiLevelType w:val="hybridMultilevel"/>
    <w:tmpl w:val="4A3C4510"/>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2FC7E0A"/>
    <w:multiLevelType w:val="hybridMultilevel"/>
    <w:tmpl w:val="1A64C2A4"/>
    <w:lvl w:ilvl="0" w:tplc="F2682266">
      <w:start w:val="99"/>
      <w:numFmt w:val="decimal"/>
      <w:lvlText w:val="%1."/>
      <w:lvlJc w:val="left"/>
      <w:pPr>
        <w:ind w:left="720" w:hanging="360"/>
      </w:pPr>
      <w:rPr>
        <w:rFonts w:ascii="Times New Roman" w:hAnsi="Times New Roman" w:cs="Times New Roman" w:hint="default"/>
        <w:b/>
        <w:bCs/>
        <w:i w:val="0"/>
        <w:iCs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42B696C"/>
    <w:multiLevelType w:val="hybridMultilevel"/>
    <w:tmpl w:val="5DF601DE"/>
    <w:lvl w:ilvl="0" w:tplc="77F6B50C">
      <w:start w:val="138"/>
      <w:numFmt w:val="decimal"/>
      <w:lvlText w:val="%1."/>
      <w:lvlJc w:val="left"/>
      <w:pPr>
        <w:ind w:left="720" w:hanging="360"/>
      </w:pPr>
      <w:rPr>
        <w:rFonts w:ascii="Times New Roman" w:hAnsi="Times New Roman" w:cs="Times New Roman" w:hint="default"/>
        <w:b/>
        <w:bCs/>
        <w:i w:val="0"/>
        <w:iCs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104D44"/>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4" w15:restartNumberingAfterBreak="0">
    <w:nsid w:val="78EF4C17"/>
    <w:multiLevelType w:val="hybridMultilevel"/>
    <w:tmpl w:val="90D85AA6"/>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BD73597"/>
    <w:multiLevelType w:val="hybridMultilevel"/>
    <w:tmpl w:val="5DC83F68"/>
    <w:lvl w:ilvl="0" w:tplc="17242D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BDC6BAD"/>
    <w:multiLevelType w:val="hybridMultilevel"/>
    <w:tmpl w:val="1616CDA4"/>
    <w:lvl w:ilvl="0" w:tplc="17242D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C453477"/>
    <w:multiLevelType w:val="hybridMultilevel"/>
    <w:tmpl w:val="ED50D5C2"/>
    <w:lvl w:ilvl="0" w:tplc="4668968A">
      <w:start w:val="1"/>
      <w:numFmt w:val="decimal"/>
      <w:lvlText w:val="%1."/>
      <w:lvlJc w:val="left"/>
      <w:pPr>
        <w:ind w:left="720" w:hanging="360"/>
      </w:pPr>
      <w:rPr>
        <w:rFonts w:ascii="Times New Roman" w:hAnsi="Times New Roman" w:cs="Times New Roman" w:hint="default"/>
        <w:b/>
        <w:bCs/>
        <w:i w:val="0"/>
        <w:iCs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C952AB6"/>
    <w:multiLevelType w:val="hybridMultilevel"/>
    <w:tmpl w:val="AC9C7F98"/>
    <w:lvl w:ilvl="0" w:tplc="BFDC0490">
      <w:start w:val="160"/>
      <w:numFmt w:val="decimal"/>
      <w:lvlText w:val="%1."/>
      <w:lvlJc w:val="left"/>
      <w:pPr>
        <w:ind w:left="720" w:hanging="360"/>
      </w:pPr>
      <w:rPr>
        <w:rFonts w:ascii="Times New Roman" w:hAnsi="Times New Roman" w:cs="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8389931">
    <w:abstractNumId w:val="4"/>
  </w:num>
  <w:num w:numId="2" w16cid:durableId="174074455">
    <w:abstractNumId w:val="7"/>
  </w:num>
  <w:num w:numId="3" w16cid:durableId="805705680">
    <w:abstractNumId w:val="41"/>
  </w:num>
  <w:num w:numId="4" w16cid:durableId="1562255528">
    <w:abstractNumId w:val="8"/>
  </w:num>
  <w:num w:numId="5" w16cid:durableId="1956789171">
    <w:abstractNumId w:val="63"/>
  </w:num>
  <w:num w:numId="6" w16cid:durableId="1199506681">
    <w:abstractNumId w:val="51"/>
  </w:num>
  <w:num w:numId="7" w16cid:durableId="10451390">
    <w:abstractNumId w:val="32"/>
  </w:num>
  <w:num w:numId="8" w16cid:durableId="2112628515">
    <w:abstractNumId w:val="11"/>
  </w:num>
  <w:num w:numId="9" w16cid:durableId="1495296902">
    <w:abstractNumId w:val="27"/>
  </w:num>
  <w:num w:numId="10" w16cid:durableId="268203827">
    <w:abstractNumId w:val="39"/>
  </w:num>
  <w:num w:numId="11" w16cid:durableId="364840240">
    <w:abstractNumId w:val="33"/>
  </w:num>
  <w:num w:numId="12" w16cid:durableId="255209575">
    <w:abstractNumId w:val="10"/>
  </w:num>
  <w:num w:numId="13" w16cid:durableId="1983926363">
    <w:abstractNumId w:val="58"/>
  </w:num>
  <w:num w:numId="14" w16cid:durableId="640234725">
    <w:abstractNumId w:val="64"/>
  </w:num>
  <w:num w:numId="15" w16cid:durableId="1975792643">
    <w:abstractNumId w:val="19"/>
  </w:num>
  <w:num w:numId="16" w16cid:durableId="309139776">
    <w:abstractNumId w:val="48"/>
  </w:num>
  <w:num w:numId="17" w16cid:durableId="700322165">
    <w:abstractNumId w:val="50"/>
  </w:num>
  <w:num w:numId="18" w16cid:durableId="418676286">
    <w:abstractNumId w:val="60"/>
  </w:num>
  <w:num w:numId="19" w16cid:durableId="1430545166">
    <w:abstractNumId w:val="40"/>
  </w:num>
  <w:num w:numId="20" w16cid:durableId="1351107681">
    <w:abstractNumId w:val="9"/>
  </w:num>
  <w:num w:numId="21" w16cid:durableId="561788882">
    <w:abstractNumId w:val="52"/>
  </w:num>
  <w:num w:numId="22" w16cid:durableId="1773891788">
    <w:abstractNumId w:val="44"/>
  </w:num>
  <w:num w:numId="23" w16cid:durableId="376513435">
    <w:abstractNumId w:val="0"/>
  </w:num>
  <w:num w:numId="24" w16cid:durableId="274751878">
    <w:abstractNumId w:val="24"/>
  </w:num>
  <w:num w:numId="25" w16cid:durableId="1846439804">
    <w:abstractNumId w:val="31"/>
  </w:num>
  <w:num w:numId="26" w16cid:durableId="387580557">
    <w:abstractNumId w:val="2"/>
  </w:num>
  <w:num w:numId="27" w16cid:durableId="1512597531">
    <w:abstractNumId w:val="12"/>
  </w:num>
  <w:num w:numId="28" w16cid:durableId="924148038">
    <w:abstractNumId w:val="3"/>
  </w:num>
  <w:num w:numId="29" w16cid:durableId="742529111">
    <w:abstractNumId w:val="65"/>
  </w:num>
  <w:num w:numId="30" w16cid:durableId="1140344087">
    <w:abstractNumId w:val="37"/>
  </w:num>
  <w:num w:numId="31" w16cid:durableId="2127651109">
    <w:abstractNumId w:val="25"/>
  </w:num>
  <w:num w:numId="32" w16cid:durableId="717819552">
    <w:abstractNumId w:val="34"/>
  </w:num>
  <w:num w:numId="33" w16cid:durableId="364838963">
    <w:abstractNumId w:val="53"/>
  </w:num>
  <w:num w:numId="34" w16cid:durableId="1484811006">
    <w:abstractNumId w:val="43"/>
  </w:num>
  <w:num w:numId="35" w16cid:durableId="627126688">
    <w:abstractNumId w:val="66"/>
  </w:num>
  <w:num w:numId="36" w16cid:durableId="1694650153">
    <w:abstractNumId w:val="30"/>
  </w:num>
  <w:num w:numId="37" w16cid:durableId="1027174815">
    <w:abstractNumId w:val="35"/>
  </w:num>
  <w:num w:numId="38" w16cid:durableId="284046300">
    <w:abstractNumId w:val="6"/>
  </w:num>
  <w:num w:numId="39" w16cid:durableId="1189177894">
    <w:abstractNumId w:val="1"/>
  </w:num>
  <w:num w:numId="40" w16cid:durableId="2072732232">
    <w:abstractNumId w:val="28"/>
  </w:num>
  <w:num w:numId="41" w16cid:durableId="662127439">
    <w:abstractNumId w:val="55"/>
  </w:num>
  <w:num w:numId="42" w16cid:durableId="1884250614">
    <w:abstractNumId w:val="47"/>
  </w:num>
  <w:num w:numId="43" w16cid:durableId="1960916644">
    <w:abstractNumId w:val="61"/>
  </w:num>
  <w:num w:numId="44" w16cid:durableId="749353585">
    <w:abstractNumId w:val="46"/>
  </w:num>
  <w:num w:numId="45" w16cid:durableId="2013876246">
    <w:abstractNumId w:val="29"/>
  </w:num>
  <w:num w:numId="46" w16cid:durableId="282663554">
    <w:abstractNumId w:val="13"/>
  </w:num>
  <w:num w:numId="47" w16cid:durableId="1609577206">
    <w:abstractNumId w:val="45"/>
  </w:num>
  <w:num w:numId="48" w16cid:durableId="1041855585">
    <w:abstractNumId w:val="18"/>
  </w:num>
  <w:num w:numId="49" w16cid:durableId="2145611792">
    <w:abstractNumId w:val="62"/>
  </w:num>
  <w:num w:numId="50" w16cid:durableId="2064479758">
    <w:abstractNumId w:val="36"/>
  </w:num>
  <w:num w:numId="51" w16cid:durableId="1901820356">
    <w:abstractNumId w:val="23"/>
  </w:num>
  <w:num w:numId="52" w16cid:durableId="1086918540">
    <w:abstractNumId w:val="14"/>
  </w:num>
  <w:num w:numId="53" w16cid:durableId="1132671135">
    <w:abstractNumId w:val="68"/>
  </w:num>
  <w:num w:numId="54" w16cid:durableId="831409462">
    <w:abstractNumId w:val="49"/>
  </w:num>
  <w:num w:numId="55" w16cid:durableId="401293262">
    <w:abstractNumId w:val="67"/>
  </w:num>
  <w:num w:numId="56" w16cid:durableId="355664859">
    <w:abstractNumId w:val="26"/>
  </w:num>
  <w:num w:numId="57" w16cid:durableId="1208832115">
    <w:abstractNumId w:val="16"/>
  </w:num>
  <w:num w:numId="58" w16cid:durableId="960189065">
    <w:abstractNumId w:val="17"/>
  </w:num>
  <w:num w:numId="59" w16cid:durableId="1585214462">
    <w:abstractNumId w:val="21"/>
  </w:num>
  <w:num w:numId="60" w16cid:durableId="1463615606">
    <w:abstractNumId w:val="42"/>
  </w:num>
  <w:num w:numId="61" w16cid:durableId="199754648">
    <w:abstractNumId w:val="15"/>
  </w:num>
  <w:num w:numId="62" w16cid:durableId="113329899">
    <w:abstractNumId w:val="59"/>
  </w:num>
  <w:num w:numId="63" w16cid:durableId="1239560983">
    <w:abstractNumId w:val="38"/>
  </w:num>
  <w:num w:numId="64" w16cid:durableId="663438546">
    <w:abstractNumId w:val="54"/>
  </w:num>
  <w:num w:numId="65" w16cid:durableId="378822915">
    <w:abstractNumId w:val="5"/>
  </w:num>
  <w:num w:numId="66" w16cid:durableId="885023797">
    <w:abstractNumId w:val="22"/>
  </w:num>
  <w:num w:numId="67" w16cid:durableId="1458841182">
    <w:abstractNumId w:val="20"/>
  </w:num>
  <w:num w:numId="68" w16cid:durableId="446657130">
    <w:abstractNumId w:val="57"/>
  </w:num>
  <w:num w:numId="69" w16cid:durableId="1744528074">
    <w:abstractNumId w:val="5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4D3"/>
    <w:rsid w:val="00000355"/>
    <w:rsid w:val="00001638"/>
    <w:rsid w:val="00001E24"/>
    <w:rsid w:val="00001F0E"/>
    <w:rsid w:val="000028C5"/>
    <w:rsid w:val="00002A4C"/>
    <w:rsid w:val="000030A6"/>
    <w:rsid w:val="00005071"/>
    <w:rsid w:val="00006199"/>
    <w:rsid w:val="0000654D"/>
    <w:rsid w:val="00006BBF"/>
    <w:rsid w:val="00007475"/>
    <w:rsid w:val="00010723"/>
    <w:rsid w:val="000108F2"/>
    <w:rsid w:val="00010F5A"/>
    <w:rsid w:val="00011008"/>
    <w:rsid w:val="00011A1A"/>
    <w:rsid w:val="00011ADD"/>
    <w:rsid w:val="00011F7F"/>
    <w:rsid w:val="00012017"/>
    <w:rsid w:val="00012199"/>
    <w:rsid w:val="00012204"/>
    <w:rsid w:val="00012BED"/>
    <w:rsid w:val="000133C9"/>
    <w:rsid w:val="00015B7F"/>
    <w:rsid w:val="000178BA"/>
    <w:rsid w:val="00017DED"/>
    <w:rsid w:val="0002026D"/>
    <w:rsid w:val="000202B9"/>
    <w:rsid w:val="000209A5"/>
    <w:rsid w:val="00020AB9"/>
    <w:rsid w:val="00021727"/>
    <w:rsid w:val="0002190E"/>
    <w:rsid w:val="00022C14"/>
    <w:rsid w:val="000240A6"/>
    <w:rsid w:val="000242BA"/>
    <w:rsid w:val="00024B28"/>
    <w:rsid w:val="00024EF5"/>
    <w:rsid w:val="000277D2"/>
    <w:rsid w:val="0003101E"/>
    <w:rsid w:val="0003220D"/>
    <w:rsid w:val="00032824"/>
    <w:rsid w:val="00032F04"/>
    <w:rsid w:val="0003333B"/>
    <w:rsid w:val="0003458B"/>
    <w:rsid w:val="00035222"/>
    <w:rsid w:val="0003529E"/>
    <w:rsid w:val="00036A2C"/>
    <w:rsid w:val="000408C2"/>
    <w:rsid w:val="000413E7"/>
    <w:rsid w:val="00041818"/>
    <w:rsid w:val="0004284C"/>
    <w:rsid w:val="00042BFD"/>
    <w:rsid w:val="00042EF2"/>
    <w:rsid w:val="00044957"/>
    <w:rsid w:val="0004605B"/>
    <w:rsid w:val="00046667"/>
    <w:rsid w:val="00046888"/>
    <w:rsid w:val="00046F48"/>
    <w:rsid w:val="000473DE"/>
    <w:rsid w:val="000474E5"/>
    <w:rsid w:val="00050C46"/>
    <w:rsid w:val="00051D12"/>
    <w:rsid w:val="0005270D"/>
    <w:rsid w:val="00053584"/>
    <w:rsid w:val="00053C4B"/>
    <w:rsid w:val="00053DCD"/>
    <w:rsid w:val="00054A53"/>
    <w:rsid w:val="0005619D"/>
    <w:rsid w:val="00061B8C"/>
    <w:rsid w:val="00061F00"/>
    <w:rsid w:val="000626D4"/>
    <w:rsid w:val="00062777"/>
    <w:rsid w:val="0006295E"/>
    <w:rsid w:val="000636FB"/>
    <w:rsid w:val="00064BF3"/>
    <w:rsid w:val="0006515F"/>
    <w:rsid w:val="00065831"/>
    <w:rsid w:val="00066B4D"/>
    <w:rsid w:val="00066EA2"/>
    <w:rsid w:val="00067904"/>
    <w:rsid w:val="00067ACE"/>
    <w:rsid w:val="00067DB1"/>
    <w:rsid w:val="00071492"/>
    <w:rsid w:val="00071DD3"/>
    <w:rsid w:val="000729E1"/>
    <w:rsid w:val="00073F90"/>
    <w:rsid w:val="00074047"/>
    <w:rsid w:val="000749E1"/>
    <w:rsid w:val="00074C77"/>
    <w:rsid w:val="00074E4D"/>
    <w:rsid w:val="0007507A"/>
    <w:rsid w:val="000753C5"/>
    <w:rsid w:val="000762DD"/>
    <w:rsid w:val="000769C2"/>
    <w:rsid w:val="00076C49"/>
    <w:rsid w:val="00076F13"/>
    <w:rsid w:val="00077008"/>
    <w:rsid w:val="00077686"/>
    <w:rsid w:val="00080784"/>
    <w:rsid w:val="0008144D"/>
    <w:rsid w:val="00081BEF"/>
    <w:rsid w:val="00082014"/>
    <w:rsid w:val="00082310"/>
    <w:rsid w:val="00082AFE"/>
    <w:rsid w:val="00084789"/>
    <w:rsid w:val="000852E9"/>
    <w:rsid w:val="000855A2"/>
    <w:rsid w:val="000864D9"/>
    <w:rsid w:val="00087A5B"/>
    <w:rsid w:val="00090AD5"/>
    <w:rsid w:val="00090DDE"/>
    <w:rsid w:val="0009115E"/>
    <w:rsid w:val="0009121C"/>
    <w:rsid w:val="00092DBC"/>
    <w:rsid w:val="000931FC"/>
    <w:rsid w:val="00093D77"/>
    <w:rsid w:val="00093EAB"/>
    <w:rsid w:val="00093F47"/>
    <w:rsid w:val="00094DAD"/>
    <w:rsid w:val="00094ED8"/>
    <w:rsid w:val="00095B10"/>
    <w:rsid w:val="00095B66"/>
    <w:rsid w:val="00096DB8"/>
    <w:rsid w:val="0009746D"/>
    <w:rsid w:val="000976FF"/>
    <w:rsid w:val="00097B3C"/>
    <w:rsid w:val="00097EAB"/>
    <w:rsid w:val="00097EB6"/>
    <w:rsid w:val="000A16BB"/>
    <w:rsid w:val="000A1963"/>
    <w:rsid w:val="000A2F1F"/>
    <w:rsid w:val="000A3C04"/>
    <w:rsid w:val="000A3D50"/>
    <w:rsid w:val="000A3F04"/>
    <w:rsid w:val="000A4028"/>
    <w:rsid w:val="000A4214"/>
    <w:rsid w:val="000A4357"/>
    <w:rsid w:val="000A5591"/>
    <w:rsid w:val="000A5B8D"/>
    <w:rsid w:val="000A5CAF"/>
    <w:rsid w:val="000A69EC"/>
    <w:rsid w:val="000B181C"/>
    <w:rsid w:val="000B1953"/>
    <w:rsid w:val="000B1D3D"/>
    <w:rsid w:val="000B4642"/>
    <w:rsid w:val="000B5465"/>
    <w:rsid w:val="000B5515"/>
    <w:rsid w:val="000B582F"/>
    <w:rsid w:val="000B5B18"/>
    <w:rsid w:val="000B5C8D"/>
    <w:rsid w:val="000B5E54"/>
    <w:rsid w:val="000B6009"/>
    <w:rsid w:val="000B6F0E"/>
    <w:rsid w:val="000B72A1"/>
    <w:rsid w:val="000C0245"/>
    <w:rsid w:val="000C0721"/>
    <w:rsid w:val="000C14D3"/>
    <w:rsid w:val="000C17E0"/>
    <w:rsid w:val="000C18DE"/>
    <w:rsid w:val="000C194C"/>
    <w:rsid w:val="000C1FF2"/>
    <w:rsid w:val="000C2016"/>
    <w:rsid w:val="000C44CC"/>
    <w:rsid w:val="000C4A4E"/>
    <w:rsid w:val="000C5B88"/>
    <w:rsid w:val="000C646B"/>
    <w:rsid w:val="000C6717"/>
    <w:rsid w:val="000C7397"/>
    <w:rsid w:val="000C7E93"/>
    <w:rsid w:val="000D0589"/>
    <w:rsid w:val="000D0A99"/>
    <w:rsid w:val="000D16E3"/>
    <w:rsid w:val="000D1CD4"/>
    <w:rsid w:val="000D236B"/>
    <w:rsid w:val="000D2DE9"/>
    <w:rsid w:val="000D3561"/>
    <w:rsid w:val="000D356F"/>
    <w:rsid w:val="000D35A1"/>
    <w:rsid w:val="000D37F4"/>
    <w:rsid w:val="000D3D07"/>
    <w:rsid w:val="000D3D38"/>
    <w:rsid w:val="000D4BD2"/>
    <w:rsid w:val="000D5556"/>
    <w:rsid w:val="000D5ABD"/>
    <w:rsid w:val="000D7399"/>
    <w:rsid w:val="000D79D6"/>
    <w:rsid w:val="000D7B5C"/>
    <w:rsid w:val="000E0352"/>
    <w:rsid w:val="000E0F20"/>
    <w:rsid w:val="000E1078"/>
    <w:rsid w:val="000E14C2"/>
    <w:rsid w:val="000E22C0"/>
    <w:rsid w:val="000E233E"/>
    <w:rsid w:val="000E285E"/>
    <w:rsid w:val="000E2CD5"/>
    <w:rsid w:val="000E3111"/>
    <w:rsid w:val="000E39C2"/>
    <w:rsid w:val="000E3D1E"/>
    <w:rsid w:val="000E4086"/>
    <w:rsid w:val="000E43FF"/>
    <w:rsid w:val="000E4AEA"/>
    <w:rsid w:val="000E51FE"/>
    <w:rsid w:val="000E5D71"/>
    <w:rsid w:val="000E61F1"/>
    <w:rsid w:val="000E6A35"/>
    <w:rsid w:val="000E6FF8"/>
    <w:rsid w:val="000F00A8"/>
    <w:rsid w:val="000F0266"/>
    <w:rsid w:val="000F06A0"/>
    <w:rsid w:val="000F06DC"/>
    <w:rsid w:val="000F0944"/>
    <w:rsid w:val="000F0CD5"/>
    <w:rsid w:val="000F139B"/>
    <w:rsid w:val="000F1E7E"/>
    <w:rsid w:val="000F234B"/>
    <w:rsid w:val="000F26B8"/>
    <w:rsid w:val="000F32FB"/>
    <w:rsid w:val="000F3CA8"/>
    <w:rsid w:val="000F4A4F"/>
    <w:rsid w:val="000F5A70"/>
    <w:rsid w:val="000F5B32"/>
    <w:rsid w:val="000F5DA7"/>
    <w:rsid w:val="000F65BD"/>
    <w:rsid w:val="000F6990"/>
    <w:rsid w:val="000F6D31"/>
    <w:rsid w:val="000F73AB"/>
    <w:rsid w:val="000F7801"/>
    <w:rsid w:val="00100F1C"/>
    <w:rsid w:val="00101C15"/>
    <w:rsid w:val="00102A51"/>
    <w:rsid w:val="00102AD1"/>
    <w:rsid w:val="00102E4E"/>
    <w:rsid w:val="0010449A"/>
    <w:rsid w:val="00105C79"/>
    <w:rsid w:val="00105CFE"/>
    <w:rsid w:val="00105F16"/>
    <w:rsid w:val="0010629E"/>
    <w:rsid w:val="001103FD"/>
    <w:rsid w:val="00110569"/>
    <w:rsid w:val="00111374"/>
    <w:rsid w:val="00111639"/>
    <w:rsid w:val="00111762"/>
    <w:rsid w:val="00111F2A"/>
    <w:rsid w:val="00112092"/>
    <w:rsid w:val="001123E6"/>
    <w:rsid w:val="00112939"/>
    <w:rsid w:val="00113117"/>
    <w:rsid w:val="001132B9"/>
    <w:rsid w:val="00113AA5"/>
    <w:rsid w:val="00114885"/>
    <w:rsid w:val="0011496F"/>
    <w:rsid w:val="00120D37"/>
    <w:rsid w:val="00122648"/>
    <w:rsid w:val="00122D6E"/>
    <w:rsid w:val="001236F4"/>
    <w:rsid w:val="00123990"/>
    <w:rsid w:val="00123A4A"/>
    <w:rsid w:val="00124160"/>
    <w:rsid w:val="00124256"/>
    <w:rsid w:val="00124AAE"/>
    <w:rsid w:val="00124F64"/>
    <w:rsid w:val="0012600D"/>
    <w:rsid w:val="00127D67"/>
    <w:rsid w:val="001301E0"/>
    <w:rsid w:val="001303EA"/>
    <w:rsid w:val="001315C2"/>
    <w:rsid w:val="00131C52"/>
    <w:rsid w:val="00132C2D"/>
    <w:rsid w:val="001347BC"/>
    <w:rsid w:val="00134804"/>
    <w:rsid w:val="00134A19"/>
    <w:rsid w:val="00134A5E"/>
    <w:rsid w:val="00134E41"/>
    <w:rsid w:val="00135395"/>
    <w:rsid w:val="00136E23"/>
    <w:rsid w:val="00137276"/>
    <w:rsid w:val="00137808"/>
    <w:rsid w:val="00140505"/>
    <w:rsid w:val="00140A29"/>
    <w:rsid w:val="00140BA1"/>
    <w:rsid w:val="00140FDF"/>
    <w:rsid w:val="00141A1B"/>
    <w:rsid w:val="0014232A"/>
    <w:rsid w:val="0014275E"/>
    <w:rsid w:val="00142A1B"/>
    <w:rsid w:val="001438EE"/>
    <w:rsid w:val="00143CE9"/>
    <w:rsid w:val="00144470"/>
    <w:rsid w:val="0014452E"/>
    <w:rsid w:val="00144AE1"/>
    <w:rsid w:val="001457A7"/>
    <w:rsid w:val="00150473"/>
    <w:rsid w:val="0015081B"/>
    <w:rsid w:val="00152546"/>
    <w:rsid w:val="00152FFB"/>
    <w:rsid w:val="00154972"/>
    <w:rsid w:val="00156892"/>
    <w:rsid w:val="001571FC"/>
    <w:rsid w:val="001577A2"/>
    <w:rsid w:val="00160BF2"/>
    <w:rsid w:val="0016185F"/>
    <w:rsid w:val="001624BA"/>
    <w:rsid w:val="00162A6F"/>
    <w:rsid w:val="0016452F"/>
    <w:rsid w:val="00164D72"/>
    <w:rsid w:val="00165BB5"/>
    <w:rsid w:val="001668E1"/>
    <w:rsid w:val="00166A77"/>
    <w:rsid w:val="00166FBA"/>
    <w:rsid w:val="00170376"/>
    <w:rsid w:val="001706A9"/>
    <w:rsid w:val="0017192C"/>
    <w:rsid w:val="00171C2C"/>
    <w:rsid w:val="001720F5"/>
    <w:rsid w:val="0017242E"/>
    <w:rsid w:val="0017268C"/>
    <w:rsid w:val="001727B6"/>
    <w:rsid w:val="00173659"/>
    <w:rsid w:val="00174A3C"/>
    <w:rsid w:val="00174D26"/>
    <w:rsid w:val="0017529E"/>
    <w:rsid w:val="00175634"/>
    <w:rsid w:val="00175C38"/>
    <w:rsid w:val="00176363"/>
    <w:rsid w:val="00180101"/>
    <w:rsid w:val="001801F1"/>
    <w:rsid w:val="001810B0"/>
    <w:rsid w:val="00181B18"/>
    <w:rsid w:val="00181C2F"/>
    <w:rsid w:val="00183B53"/>
    <w:rsid w:val="0018567D"/>
    <w:rsid w:val="00187B26"/>
    <w:rsid w:val="001908FC"/>
    <w:rsid w:val="00190EC8"/>
    <w:rsid w:val="00191221"/>
    <w:rsid w:val="001912CA"/>
    <w:rsid w:val="001913F9"/>
    <w:rsid w:val="001919F9"/>
    <w:rsid w:val="0019283B"/>
    <w:rsid w:val="00193606"/>
    <w:rsid w:val="001939D2"/>
    <w:rsid w:val="0019459E"/>
    <w:rsid w:val="0019568F"/>
    <w:rsid w:val="00195FA0"/>
    <w:rsid w:val="00195FBC"/>
    <w:rsid w:val="001966B4"/>
    <w:rsid w:val="00196F70"/>
    <w:rsid w:val="001A011C"/>
    <w:rsid w:val="001A064C"/>
    <w:rsid w:val="001A145A"/>
    <w:rsid w:val="001A20E0"/>
    <w:rsid w:val="001A2B07"/>
    <w:rsid w:val="001A3425"/>
    <w:rsid w:val="001A4732"/>
    <w:rsid w:val="001A4BA9"/>
    <w:rsid w:val="001A4BAD"/>
    <w:rsid w:val="001A4FBA"/>
    <w:rsid w:val="001A56A4"/>
    <w:rsid w:val="001A5B46"/>
    <w:rsid w:val="001A6B5F"/>
    <w:rsid w:val="001B099F"/>
    <w:rsid w:val="001B108D"/>
    <w:rsid w:val="001B10B1"/>
    <w:rsid w:val="001B113A"/>
    <w:rsid w:val="001B159B"/>
    <w:rsid w:val="001B1E6D"/>
    <w:rsid w:val="001B2485"/>
    <w:rsid w:val="001B25DA"/>
    <w:rsid w:val="001B2D16"/>
    <w:rsid w:val="001B304E"/>
    <w:rsid w:val="001B384F"/>
    <w:rsid w:val="001B5BAF"/>
    <w:rsid w:val="001B6249"/>
    <w:rsid w:val="001B68C7"/>
    <w:rsid w:val="001C02C8"/>
    <w:rsid w:val="001C0907"/>
    <w:rsid w:val="001C0D59"/>
    <w:rsid w:val="001C2D2A"/>
    <w:rsid w:val="001C3955"/>
    <w:rsid w:val="001C480F"/>
    <w:rsid w:val="001C4910"/>
    <w:rsid w:val="001C5D59"/>
    <w:rsid w:val="001C6877"/>
    <w:rsid w:val="001C6E37"/>
    <w:rsid w:val="001C743E"/>
    <w:rsid w:val="001C776A"/>
    <w:rsid w:val="001C7EE3"/>
    <w:rsid w:val="001D01CE"/>
    <w:rsid w:val="001D0AC1"/>
    <w:rsid w:val="001D1A51"/>
    <w:rsid w:val="001D2CC7"/>
    <w:rsid w:val="001D3042"/>
    <w:rsid w:val="001D31FE"/>
    <w:rsid w:val="001D3A7E"/>
    <w:rsid w:val="001D45F6"/>
    <w:rsid w:val="001D4866"/>
    <w:rsid w:val="001D51A9"/>
    <w:rsid w:val="001D6A49"/>
    <w:rsid w:val="001E007B"/>
    <w:rsid w:val="001E0D34"/>
    <w:rsid w:val="001E1116"/>
    <w:rsid w:val="001E218F"/>
    <w:rsid w:val="001E24D6"/>
    <w:rsid w:val="001E2EA9"/>
    <w:rsid w:val="001E39E3"/>
    <w:rsid w:val="001E44D6"/>
    <w:rsid w:val="001E66B7"/>
    <w:rsid w:val="001E70BE"/>
    <w:rsid w:val="001E76E6"/>
    <w:rsid w:val="001E7989"/>
    <w:rsid w:val="001F028E"/>
    <w:rsid w:val="001F04AF"/>
    <w:rsid w:val="001F0936"/>
    <w:rsid w:val="001F0E86"/>
    <w:rsid w:val="001F10F9"/>
    <w:rsid w:val="001F10FC"/>
    <w:rsid w:val="001F1E88"/>
    <w:rsid w:val="001F3251"/>
    <w:rsid w:val="001F3689"/>
    <w:rsid w:val="001F3767"/>
    <w:rsid w:val="001F3E2B"/>
    <w:rsid w:val="001F4097"/>
    <w:rsid w:val="001F50EA"/>
    <w:rsid w:val="001F541F"/>
    <w:rsid w:val="001F5A97"/>
    <w:rsid w:val="001F5FE9"/>
    <w:rsid w:val="001F67D7"/>
    <w:rsid w:val="001F7211"/>
    <w:rsid w:val="002003C2"/>
    <w:rsid w:val="00200720"/>
    <w:rsid w:val="00200FD3"/>
    <w:rsid w:val="00201B17"/>
    <w:rsid w:val="00201FDD"/>
    <w:rsid w:val="00202110"/>
    <w:rsid w:val="00202C61"/>
    <w:rsid w:val="00202F9C"/>
    <w:rsid w:val="0020395F"/>
    <w:rsid w:val="002048F1"/>
    <w:rsid w:val="00204DE7"/>
    <w:rsid w:val="00205BFB"/>
    <w:rsid w:val="00206E17"/>
    <w:rsid w:val="00210824"/>
    <w:rsid w:val="0021228C"/>
    <w:rsid w:val="0021315A"/>
    <w:rsid w:val="002133A2"/>
    <w:rsid w:val="002137CD"/>
    <w:rsid w:val="00214E54"/>
    <w:rsid w:val="002175D6"/>
    <w:rsid w:val="0021781F"/>
    <w:rsid w:val="00217AD7"/>
    <w:rsid w:val="00217E68"/>
    <w:rsid w:val="00220299"/>
    <w:rsid w:val="00220C45"/>
    <w:rsid w:val="0022138A"/>
    <w:rsid w:val="0022308B"/>
    <w:rsid w:val="0022310E"/>
    <w:rsid w:val="0022328B"/>
    <w:rsid w:val="00223985"/>
    <w:rsid w:val="0022560D"/>
    <w:rsid w:val="00225D8B"/>
    <w:rsid w:val="002266CE"/>
    <w:rsid w:val="0022683C"/>
    <w:rsid w:val="00226F73"/>
    <w:rsid w:val="0022706B"/>
    <w:rsid w:val="0022721C"/>
    <w:rsid w:val="002274C2"/>
    <w:rsid w:val="00227C6C"/>
    <w:rsid w:val="00227D6A"/>
    <w:rsid w:val="00231D4F"/>
    <w:rsid w:val="00231E48"/>
    <w:rsid w:val="00232DB5"/>
    <w:rsid w:val="00233CDA"/>
    <w:rsid w:val="002346E4"/>
    <w:rsid w:val="00235516"/>
    <w:rsid w:val="00235ED8"/>
    <w:rsid w:val="002368CF"/>
    <w:rsid w:val="002370FB"/>
    <w:rsid w:val="00237E44"/>
    <w:rsid w:val="002403FC"/>
    <w:rsid w:val="00240ACD"/>
    <w:rsid w:val="002413F3"/>
    <w:rsid w:val="00242B7F"/>
    <w:rsid w:val="00242F03"/>
    <w:rsid w:val="002433EC"/>
    <w:rsid w:val="00243A93"/>
    <w:rsid w:val="00243D16"/>
    <w:rsid w:val="00245173"/>
    <w:rsid w:val="00245334"/>
    <w:rsid w:val="002455EF"/>
    <w:rsid w:val="0024581E"/>
    <w:rsid w:val="00246F48"/>
    <w:rsid w:val="002474DE"/>
    <w:rsid w:val="002507BE"/>
    <w:rsid w:val="00250EBB"/>
    <w:rsid w:val="0025157A"/>
    <w:rsid w:val="0025178D"/>
    <w:rsid w:val="002529C1"/>
    <w:rsid w:val="00252DA3"/>
    <w:rsid w:val="00253441"/>
    <w:rsid w:val="00253B92"/>
    <w:rsid w:val="00253BCE"/>
    <w:rsid w:val="0025454E"/>
    <w:rsid w:val="00254705"/>
    <w:rsid w:val="002551EB"/>
    <w:rsid w:val="00255F60"/>
    <w:rsid w:val="002569D7"/>
    <w:rsid w:val="002572FE"/>
    <w:rsid w:val="00260269"/>
    <w:rsid w:val="00260E5F"/>
    <w:rsid w:val="00261260"/>
    <w:rsid w:val="002613B0"/>
    <w:rsid w:val="002621E2"/>
    <w:rsid w:val="0026228D"/>
    <w:rsid w:val="002625D9"/>
    <w:rsid w:val="002626C8"/>
    <w:rsid w:val="00262E4B"/>
    <w:rsid w:val="00263124"/>
    <w:rsid w:val="002640F7"/>
    <w:rsid w:val="002643A5"/>
    <w:rsid w:val="0026457F"/>
    <w:rsid w:val="00265582"/>
    <w:rsid w:val="00265D67"/>
    <w:rsid w:val="00265DE9"/>
    <w:rsid w:val="00267731"/>
    <w:rsid w:val="00270667"/>
    <w:rsid w:val="00270847"/>
    <w:rsid w:val="0027086F"/>
    <w:rsid w:val="00270D0F"/>
    <w:rsid w:val="00271218"/>
    <w:rsid w:val="00271D4F"/>
    <w:rsid w:val="0027268D"/>
    <w:rsid w:val="002732B7"/>
    <w:rsid w:val="0027354C"/>
    <w:rsid w:val="00273D15"/>
    <w:rsid w:val="00273D38"/>
    <w:rsid w:val="00274E4F"/>
    <w:rsid w:val="00275C23"/>
    <w:rsid w:val="00280304"/>
    <w:rsid w:val="00281572"/>
    <w:rsid w:val="00281705"/>
    <w:rsid w:val="002825DE"/>
    <w:rsid w:val="002827E5"/>
    <w:rsid w:val="00282F5D"/>
    <w:rsid w:val="00283AD1"/>
    <w:rsid w:val="00284140"/>
    <w:rsid w:val="00284DCD"/>
    <w:rsid w:val="00285089"/>
    <w:rsid w:val="0028594C"/>
    <w:rsid w:val="00285D3B"/>
    <w:rsid w:val="00286B6E"/>
    <w:rsid w:val="00287B32"/>
    <w:rsid w:val="00287E78"/>
    <w:rsid w:val="002900EA"/>
    <w:rsid w:val="0029027B"/>
    <w:rsid w:val="00290D1F"/>
    <w:rsid w:val="00291177"/>
    <w:rsid w:val="002912FD"/>
    <w:rsid w:val="002931AE"/>
    <w:rsid w:val="00293566"/>
    <w:rsid w:val="00293ED2"/>
    <w:rsid w:val="002941F7"/>
    <w:rsid w:val="002953F2"/>
    <w:rsid w:val="00295402"/>
    <w:rsid w:val="002958ED"/>
    <w:rsid w:val="00295CA6"/>
    <w:rsid w:val="00295CEB"/>
    <w:rsid w:val="002963E3"/>
    <w:rsid w:val="002963FC"/>
    <w:rsid w:val="002964BB"/>
    <w:rsid w:val="00296885"/>
    <w:rsid w:val="00296CA7"/>
    <w:rsid w:val="00297198"/>
    <w:rsid w:val="00297B47"/>
    <w:rsid w:val="00297C86"/>
    <w:rsid w:val="00297E45"/>
    <w:rsid w:val="00297F65"/>
    <w:rsid w:val="002A0A8B"/>
    <w:rsid w:val="002A255A"/>
    <w:rsid w:val="002A27C5"/>
    <w:rsid w:val="002A3718"/>
    <w:rsid w:val="002A37A5"/>
    <w:rsid w:val="002A429E"/>
    <w:rsid w:val="002A476E"/>
    <w:rsid w:val="002A52FE"/>
    <w:rsid w:val="002A640F"/>
    <w:rsid w:val="002A6F3C"/>
    <w:rsid w:val="002A7E19"/>
    <w:rsid w:val="002B0B0C"/>
    <w:rsid w:val="002B0D71"/>
    <w:rsid w:val="002B1031"/>
    <w:rsid w:val="002B14B0"/>
    <w:rsid w:val="002B17A5"/>
    <w:rsid w:val="002B1958"/>
    <w:rsid w:val="002B19B1"/>
    <w:rsid w:val="002B21E7"/>
    <w:rsid w:val="002B286E"/>
    <w:rsid w:val="002B33EA"/>
    <w:rsid w:val="002B3C11"/>
    <w:rsid w:val="002B4B0A"/>
    <w:rsid w:val="002B70CC"/>
    <w:rsid w:val="002B7350"/>
    <w:rsid w:val="002B7584"/>
    <w:rsid w:val="002B78D7"/>
    <w:rsid w:val="002B7B47"/>
    <w:rsid w:val="002B7F7B"/>
    <w:rsid w:val="002C03B0"/>
    <w:rsid w:val="002C0B9F"/>
    <w:rsid w:val="002C11E5"/>
    <w:rsid w:val="002C1402"/>
    <w:rsid w:val="002C1982"/>
    <w:rsid w:val="002C1EF9"/>
    <w:rsid w:val="002C2D38"/>
    <w:rsid w:val="002C3534"/>
    <w:rsid w:val="002C355A"/>
    <w:rsid w:val="002C3C21"/>
    <w:rsid w:val="002C44BD"/>
    <w:rsid w:val="002C4956"/>
    <w:rsid w:val="002C4DA7"/>
    <w:rsid w:val="002C4EC8"/>
    <w:rsid w:val="002C5484"/>
    <w:rsid w:val="002C613E"/>
    <w:rsid w:val="002C6D10"/>
    <w:rsid w:val="002D01B9"/>
    <w:rsid w:val="002D065B"/>
    <w:rsid w:val="002D07BC"/>
    <w:rsid w:val="002D0961"/>
    <w:rsid w:val="002D09AF"/>
    <w:rsid w:val="002D0E2E"/>
    <w:rsid w:val="002D1401"/>
    <w:rsid w:val="002D197B"/>
    <w:rsid w:val="002D3183"/>
    <w:rsid w:val="002D358B"/>
    <w:rsid w:val="002D37D5"/>
    <w:rsid w:val="002D41FA"/>
    <w:rsid w:val="002D4E82"/>
    <w:rsid w:val="002D5581"/>
    <w:rsid w:val="002D62C6"/>
    <w:rsid w:val="002D6B5A"/>
    <w:rsid w:val="002D72C7"/>
    <w:rsid w:val="002D7EB4"/>
    <w:rsid w:val="002E0581"/>
    <w:rsid w:val="002E0ABC"/>
    <w:rsid w:val="002E0DFB"/>
    <w:rsid w:val="002E2A54"/>
    <w:rsid w:val="002E331C"/>
    <w:rsid w:val="002E36AF"/>
    <w:rsid w:val="002E5580"/>
    <w:rsid w:val="002E5C00"/>
    <w:rsid w:val="002E614B"/>
    <w:rsid w:val="002E6C6C"/>
    <w:rsid w:val="002E6E59"/>
    <w:rsid w:val="002E7035"/>
    <w:rsid w:val="002E7304"/>
    <w:rsid w:val="002E77EC"/>
    <w:rsid w:val="002F07A8"/>
    <w:rsid w:val="002F1BD1"/>
    <w:rsid w:val="002F2B27"/>
    <w:rsid w:val="002F2D78"/>
    <w:rsid w:val="002F3588"/>
    <w:rsid w:val="002F3C88"/>
    <w:rsid w:val="002F42F7"/>
    <w:rsid w:val="002F5083"/>
    <w:rsid w:val="002F5DFA"/>
    <w:rsid w:val="002F6F1E"/>
    <w:rsid w:val="002F799E"/>
    <w:rsid w:val="002F7C32"/>
    <w:rsid w:val="0030027D"/>
    <w:rsid w:val="00300561"/>
    <w:rsid w:val="00300BFB"/>
    <w:rsid w:val="00300DC6"/>
    <w:rsid w:val="00301435"/>
    <w:rsid w:val="00301809"/>
    <w:rsid w:val="00301A5B"/>
    <w:rsid w:val="00301C3C"/>
    <w:rsid w:val="00302480"/>
    <w:rsid w:val="00302525"/>
    <w:rsid w:val="0030277E"/>
    <w:rsid w:val="00303730"/>
    <w:rsid w:val="00304C31"/>
    <w:rsid w:val="003051FE"/>
    <w:rsid w:val="00305D97"/>
    <w:rsid w:val="0030712B"/>
    <w:rsid w:val="00307B54"/>
    <w:rsid w:val="003109FC"/>
    <w:rsid w:val="00310A54"/>
    <w:rsid w:val="00311372"/>
    <w:rsid w:val="0031160D"/>
    <w:rsid w:val="003119A7"/>
    <w:rsid w:val="00313563"/>
    <w:rsid w:val="003148D8"/>
    <w:rsid w:val="003155C2"/>
    <w:rsid w:val="0031728C"/>
    <w:rsid w:val="00317A3C"/>
    <w:rsid w:val="003212AC"/>
    <w:rsid w:val="003216AE"/>
    <w:rsid w:val="00321A0D"/>
    <w:rsid w:val="00321BD8"/>
    <w:rsid w:val="00322164"/>
    <w:rsid w:val="0032242E"/>
    <w:rsid w:val="00322479"/>
    <w:rsid w:val="0032251D"/>
    <w:rsid w:val="00323076"/>
    <w:rsid w:val="00323ADE"/>
    <w:rsid w:val="00323F28"/>
    <w:rsid w:val="00326068"/>
    <w:rsid w:val="0032642F"/>
    <w:rsid w:val="00326C38"/>
    <w:rsid w:val="00326E01"/>
    <w:rsid w:val="003272FA"/>
    <w:rsid w:val="00327F6A"/>
    <w:rsid w:val="003309D9"/>
    <w:rsid w:val="00330E83"/>
    <w:rsid w:val="00331517"/>
    <w:rsid w:val="00332017"/>
    <w:rsid w:val="00332DBB"/>
    <w:rsid w:val="003336BD"/>
    <w:rsid w:val="00334BBB"/>
    <w:rsid w:val="00335835"/>
    <w:rsid w:val="00335A83"/>
    <w:rsid w:val="00335BB7"/>
    <w:rsid w:val="00336926"/>
    <w:rsid w:val="00336F49"/>
    <w:rsid w:val="00337914"/>
    <w:rsid w:val="00337AD0"/>
    <w:rsid w:val="00337EFC"/>
    <w:rsid w:val="00341C9A"/>
    <w:rsid w:val="00342430"/>
    <w:rsid w:val="0034388A"/>
    <w:rsid w:val="00344520"/>
    <w:rsid w:val="003448BA"/>
    <w:rsid w:val="0034523E"/>
    <w:rsid w:val="00345785"/>
    <w:rsid w:val="0035050E"/>
    <w:rsid w:val="00350546"/>
    <w:rsid w:val="003506FB"/>
    <w:rsid w:val="00351757"/>
    <w:rsid w:val="003525AC"/>
    <w:rsid w:val="003529BC"/>
    <w:rsid w:val="00352BBE"/>
    <w:rsid w:val="00353BEB"/>
    <w:rsid w:val="003546D1"/>
    <w:rsid w:val="00354BD8"/>
    <w:rsid w:val="003566D1"/>
    <w:rsid w:val="00357A43"/>
    <w:rsid w:val="00361687"/>
    <w:rsid w:val="003618F5"/>
    <w:rsid w:val="00361CEA"/>
    <w:rsid w:val="00362002"/>
    <w:rsid w:val="00364C04"/>
    <w:rsid w:val="003658CD"/>
    <w:rsid w:val="00365DA0"/>
    <w:rsid w:val="00366234"/>
    <w:rsid w:val="003663B4"/>
    <w:rsid w:val="00366ACA"/>
    <w:rsid w:val="00366D66"/>
    <w:rsid w:val="00367757"/>
    <w:rsid w:val="00367A8E"/>
    <w:rsid w:val="00371A90"/>
    <w:rsid w:val="00372BCD"/>
    <w:rsid w:val="00372D76"/>
    <w:rsid w:val="003730D4"/>
    <w:rsid w:val="003755E6"/>
    <w:rsid w:val="00375719"/>
    <w:rsid w:val="00376C41"/>
    <w:rsid w:val="00377660"/>
    <w:rsid w:val="00377C0A"/>
    <w:rsid w:val="0038098B"/>
    <w:rsid w:val="00381A9B"/>
    <w:rsid w:val="00383329"/>
    <w:rsid w:val="003833FC"/>
    <w:rsid w:val="0038478C"/>
    <w:rsid w:val="00384B1E"/>
    <w:rsid w:val="00385A7C"/>
    <w:rsid w:val="00385DB3"/>
    <w:rsid w:val="00386EB8"/>
    <w:rsid w:val="00387A20"/>
    <w:rsid w:val="0039065A"/>
    <w:rsid w:val="003909E3"/>
    <w:rsid w:val="00390A73"/>
    <w:rsid w:val="00390DD3"/>
    <w:rsid w:val="00390E45"/>
    <w:rsid w:val="0039140F"/>
    <w:rsid w:val="0039167D"/>
    <w:rsid w:val="003916CA"/>
    <w:rsid w:val="00391886"/>
    <w:rsid w:val="00392902"/>
    <w:rsid w:val="00392C6D"/>
    <w:rsid w:val="0039316A"/>
    <w:rsid w:val="003938D9"/>
    <w:rsid w:val="003941DA"/>
    <w:rsid w:val="00396BDE"/>
    <w:rsid w:val="0039749B"/>
    <w:rsid w:val="00397D6A"/>
    <w:rsid w:val="00397FE8"/>
    <w:rsid w:val="003A00C2"/>
    <w:rsid w:val="003A0B36"/>
    <w:rsid w:val="003A0F4A"/>
    <w:rsid w:val="003A10EA"/>
    <w:rsid w:val="003A10FA"/>
    <w:rsid w:val="003A1429"/>
    <w:rsid w:val="003A251F"/>
    <w:rsid w:val="003A2EC0"/>
    <w:rsid w:val="003A2F0D"/>
    <w:rsid w:val="003A3501"/>
    <w:rsid w:val="003A37B9"/>
    <w:rsid w:val="003A4644"/>
    <w:rsid w:val="003A4CCB"/>
    <w:rsid w:val="003A5000"/>
    <w:rsid w:val="003A54AC"/>
    <w:rsid w:val="003A5E02"/>
    <w:rsid w:val="003A60FC"/>
    <w:rsid w:val="003A63B2"/>
    <w:rsid w:val="003A65F6"/>
    <w:rsid w:val="003A7405"/>
    <w:rsid w:val="003A7841"/>
    <w:rsid w:val="003A789F"/>
    <w:rsid w:val="003A7C04"/>
    <w:rsid w:val="003A7DB8"/>
    <w:rsid w:val="003B0266"/>
    <w:rsid w:val="003B04F3"/>
    <w:rsid w:val="003B10F3"/>
    <w:rsid w:val="003B13E7"/>
    <w:rsid w:val="003B1DC0"/>
    <w:rsid w:val="003B1FCB"/>
    <w:rsid w:val="003B25DA"/>
    <w:rsid w:val="003B292E"/>
    <w:rsid w:val="003B3EBF"/>
    <w:rsid w:val="003B3F4D"/>
    <w:rsid w:val="003B4711"/>
    <w:rsid w:val="003B49BA"/>
    <w:rsid w:val="003B58EA"/>
    <w:rsid w:val="003B5DA7"/>
    <w:rsid w:val="003B6A46"/>
    <w:rsid w:val="003C064F"/>
    <w:rsid w:val="003C0C4F"/>
    <w:rsid w:val="003C12EC"/>
    <w:rsid w:val="003C1DF0"/>
    <w:rsid w:val="003C2012"/>
    <w:rsid w:val="003C3858"/>
    <w:rsid w:val="003C3F37"/>
    <w:rsid w:val="003C418C"/>
    <w:rsid w:val="003C4B06"/>
    <w:rsid w:val="003C58E9"/>
    <w:rsid w:val="003C5B6D"/>
    <w:rsid w:val="003C6C4D"/>
    <w:rsid w:val="003C6C63"/>
    <w:rsid w:val="003C6F78"/>
    <w:rsid w:val="003C7191"/>
    <w:rsid w:val="003C74B0"/>
    <w:rsid w:val="003C7CE5"/>
    <w:rsid w:val="003C7F59"/>
    <w:rsid w:val="003D0540"/>
    <w:rsid w:val="003D0650"/>
    <w:rsid w:val="003D1A11"/>
    <w:rsid w:val="003D1ACD"/>
    <w:rsid w:val="003D2395"/>
    <w:rsid w:val="003D56F9"/>
    <w:rsid w:val="003D62E3"/>
    <w:rsid w:val="003D6734"/>
    <w:rsid w:val="003D70E2"/>
    <w:rsid w:val="003D7585"/>
    <w:rsid w:val="003E0634"/>
    <w:rsid w:val="003E0D17"/>
    <w:rsid w:val="003E1B4D"/>
    <w:rsid w:val="003E1DD8"/>
    <w:rsid w:val="003E2426"/>
    <w:rsid w:val="003E3769"/>
    <w:rsid w:val="003E3A20"/>
    <w:rsid w:val="003E446E"/>
    <w:rsid w:val="003E55CB"/>
    <w:rsid w:val="003E564B"/>
    <w:rsid w:val="003E612C"/>
    <w:rsid w:val="003E6339"/>
    <w:rsid w:val="003E63B1"/>
    <w:rsid w:val="003E64D2"/>
    <w:rsid w:val="003E69AE"/>
    <w:rsid w:val="003E6B5D"/>
    <w:rsid w:val="003E7259"/>
    <w:rsid w:val="003E7269"/>
    <w:rsid w:val="003E7CF6"/>
    <w:rsid w:val="003F06FE"/>
    <w:rsid w:val="003F081D"/>
    <w:rsid w:val="003F13EC"/>
    <w:rsid w:val="003F3D64"/>
    <w:rsid w:val="003F411A"/>
    <w:rsid w:val="003F4130"/>
    <w:rsid w:val="003F4A52"/>
    <w:rsid w:val="003F5575"/>
    <w:rsid w:val="003F7138"/>
    <w:rsid w:val="003F7856"/>
    <w:rsid w:val="003F78B6"/>
    <w:rsid w:val="0040038A"/>
    <w:rsid w:val="00400B5B"/>
    <w:rsid w:val="00400C22"/>
    <w:rsid w:val="00401209"/>
    <w:rsid w:val="00402BD5"/>
    <w:rsid w:val="00402CCB"/>
    <w:rsid w:val="00403716"/>
    <w:rsid w:val="004055AC"/>
    <w:rsid w:val="00406222"/>
    <w:rsid w:val="0040641C"/>
    <w:rsid w:val="004064B7"/>
    <w:rsid w:val="0040683B"/>
    <w:rsid w:val="00406AFA"/>
    <w:rsid w:val="004077CF"/>
    <w:rsid w:val="00407C2C"/>
    <w:rsid w:val="00407E6C"/>
    <w:rsid w:val="00410B49"/>
    <w:rsid w:val="00410C9E"/>
    <w:rsid w:val="00410EBE"/>
    <w:rsid w:val="004134BA"/>
    <w:rsid w:val="00414452"/>
    <w:rsid w:val="0041448D"/>
    <w:rsid w:val="004149E7"/>
    <w:rsid w:val="00414F06"/>
    <w:rsid w:val="0041611B"/>
    <w:rsid w:val="00416328"/>
    <w:rsid w:val="00416751"/>
    <w:rsid w:val="00416D7F"/>
    <w:rsid w:val="0041737D"/>
    <w:rsid w:val="00417449"/>
    <w:rsid w:val="0041787E"/>
    <w:rsid w:val="004207E3"/>
    <w:rsid w:val="00420E0F"/>
    <w:rsid w:val="00421076"/>
    <w:rsid w:val="00421E50"/>
    <w:rsid w:val="00421F60"/>
    <w:rsid w:val="00422202"/>
    <w:rsid w:val="00422972"/>
    <w:rsid w:val="004229B8"/>
    <w:rsid w:val="00422A30"/>
    <w:rsid w:val="00423446"/>
    <w:rsid w:val="004239DB"/>
    <w:rsid w:val="0042406A"/>
    <w:rsid w:val="00424090"/>
    <w:rsid w:val="0042415B"/>
    <w:rsid w:val="00424279"/>
    <w:rsid w:val="00424D3C"/>
    <w:rsid w:val="00424E8C"/>
    <w:rsid w:val="00426285"/>
    <w:rsid w:val="004263BD"/>
    <w:rsid w:val="0042668E"/>
    <w:rsid w:val="004267F5"/>
    <w:rsid w:val="00426EB0"/>
    <w:rsid w:val="004270FE"/>
    <w:rsid w:val="0042756E"/>
    <w:rsid w:val="00430E42"/>
    <w:rsid w:val="0043185C"/>
    <w:rsid w:val="0043194A"/>
    <w:rsid w:val="00432146"/>
    <w:rsid w:val="004325A0"/>
    <w:rsid w:val="00432A66"/>
    <w:rsid w:val="00433497"/>
    <w:rsid w:val="004339C3"/>
    <w:rsid w:val="00433F83"/>
    <w:rsid w:val="0043533F"/>
    <w:rsid w:val="004359CB"/>
    <w:rsid w:val="00435B90"/>
    <w:rsid w:val="00436603"/>
    <w:rsid w:val="00436B79"/>
    <w:rsid w:val="00436C8F"/>
    <w:rsid w:val="00437450"/>
    <w:rsid w:val="00437B51"/>
    <w:rsid w:val="00440613"/>
    <w:rsid w:val="00440B36"/>
    <w:rsid w:val="00441107"/>
    <w:rsid w:val="00441767"/>
    <w:rsid w:val="00441F7C"/>
    <w:rsid w:val="004424C2"/>
    <w:rsid w:val="00442E43"/>
    <w:rsid w:val="00443FAC"/>
    <w:rsid w:val="004442C1"/>
    <w:rsid w:val="004447F9"/>
    <w:rsid w:val="0044508D"/>
    <w:rsid w:val="004461DA"/>
    <w:rsid w:val="00447B6B"/>
    <w:rsid w:val="00447CD4"/>
    <w:rsid w:val="00447E52"/>
    <w:rsid w:val="00450112"/>
    <w:rsid w:val="004504A6"/>
    <w:rsid w:val="00451096"/>
    <w:rsid w:val="0045147F"/>
    <w:rsid w:val="0045288D"/>
    <w:rsid w:val="00453176"/>
    <w:rsid w:val="004547F4"/>
    <w:rsid w:val="00454943"/>
    <w:rsid w:val="00454C2E"/>
    <w:rsid w:val="0045521F"/>
    <w:rsid w:val="0045541D"/>
    <w:rsid w:val="00455572"/>
    <w:rsid w:val="00455C8E"/>
    <w:rsid w:val="0046031B"/>
    <w:rsid w:val="00460415"/>
    <w:rsid w:val="004604CE"/>
    <w:rsid w:val="0046096A"/>
    <w:rsid w:val="00462C50"/>
    <w:rsid w:val="00464156"/>
    <w:rsid w:val="00464E4C"/>
    <w:rsid w:val="00465524"/>
    <w:rsid w:val="00465A02"/>
    <w:rsid w:val="004668F9"/>
    <w:rsid w:val="00466F43"/>
    <w:rsid w:val="00467A95"/>
    <w:rsid w:val="00467B8F"/>
    <w:rsid w:val="00471D15"/>
    <w:rsid w:val="0047239A"/>
    <w:rsid w:val="00473026"/>
    <w:rsid w:val="0047413C"/>
    <w:rsid w:val="00474A1A"/>
    <w:rsid w:val="0047533B"/>
    <w:rsid w:val="00475FE1"/>
    <w:rsid w:val="00476CD0"/>
    <w:rsid w:val="00476DD6"/>
    <w:rsid w:val="004776A4"/>
    <w:rsid w:val="00480232"/>
    <w:rsid w:val="0048224F"/>
    <w:rsid w:val="00482F36"/>
    <w:rsid w:val="0048435E"/>
    <w:rsid w:val="004843C3"/>
    <w:rsid w:val="00484F6E"/>
    <w:rsid w:val="00486071"/>
    <w:rsid w:val="0048702D"/>
    <w:rsid w:val="00487BB1"/>
    <w:rsid w:val="0049078E"/>
    <w:rsid w:val="00490E27"/>
    <w:rsid w:val="0049135E"/>
    <w:rsid w:val="0049159F"/>
    <w:rsid w:val="00491D04"/>
    <w:rsid w:val="00492702"/>
    <w:rsid w:val="00492B24"/>
    <w:rsid w:val="00492F63"/>
    <w:rsid w:val="004943B3"/>
    <w:rsid w:val="0049577E"/>
    <w:rsid w:val="00495A2C"/>
    <w:rsid w:val="00496A5D"/>
    <w:rsid w:val="00496B11"/>
    <w:rsid w:val="00496F77"/>
    <w:rsid w:val="00497202"/>
    <w:rsid w:val="00497874"/>
    <w:rsid w:val="00497C81"/>
    <w:rsid w:val="00497C96"/>
    <w:rsid w:val="004A062B"/>
    <w:rsid w:val="004A176B"/>
    <w:rsid w:val="004A219C"/>
    <w:rsid w:val="004A2269"/>
    <w:rsid w:val="004A244F"/>
    <w:rsid w:val="004A493B"/>
    <w:rsid w:val="004A5EC6"/>
    <w:rsid w:val="004A61C2"/>
    <w:rsid w:val="004A7BFB"/>
    <w:rsid w:val="004A7E2D"/>
    <w:rsid w:val="004B0F45"/>
    <w:rsid w:val="004B140F"/>
    <w:rsid w:val="004B1A4C"/>
    <w:rsid w:val="004B297E"/>
    <w:rsid w:val="004B29C7"/>
    <w:rsid w:val="004B2CC5"/>
    <w:rsid w:val="004B3292"/>
    <w:rsid w:val="004B4112"/>
    <w:rsid w:val="004B5ABA"/>
    <w:rsid w:val="004B5D03"/>
    <w:rsid w:val="004B7861"/>
    <w:rsid w:val="004C0B67"/>
    <w:rsid w:val="004C2DD9"/>
    <w:rsid w:val="004C2FFB"/>
    <w:rsid w:val="004C6E98"/>
    <w:rsid w:val="004C704F"/>
    <w:rsid w:val="004C7719"/>
    <w:rsid w:val="004C7795"/>
    <w:rsid w:val="004D0251"/>
    <w:rsid w:val="004D0289"/>
    <w:rsid w:val="004D08C9"/>
    <w:rsid w:val="004D0D0F"/>
    <w:rsid w:val="004D0EAD"/>
    <w:rsid w:val="004D0F13"/>
    <w:rsid w:val="004D1AA2"/>
    <w:rsid w:val="004D250C"/>
    <w:rsid w:val="004D2D44"/>
    <w:rsid w:val="004D4A6C"/>
    <w:rsid w:val="004D6085"/>
    <w:rsid w:val="004D6884"/>
    <w:rsid w:val="004D7EDA"/>
    <w:rsid w:val="004D7FFB"/>
    <w:rsid w:val="004E009C"/>
    <w:rsid w:val="004E0BDC"/>
    <w:rsid w:val="004E1BBB"/>
    <w:rsid w:val="004E1DFB"/>
    <w:rsid w:val="004E2EDB"/>
    <w:rsid w:val="004E3305"/>
    <w:rsid w:val="004E3D09"/>
    <w:rsid w:val="004E429E"/>
    <w:rsid w:val="004E4AAC"/>
    <w:rsid w:val="004E4B03"/>
    <w:rsid w:val="004E4EA3"/>
    <w:rsid w:val="004E5F02"/>
    <w:rsid w:val="004E61F5"/>
    <w:rsid w:val="004E6605"/>
    <w:rsid w:val="004E7114"/>
    <w:rsid w:val="004E79ED"/>
    <w:rsid w:val="004E7BE2"/>
    <w:rsid w:val="004E7FD2"/>
    <w:rsid w:val="004F095D"/>
    <w:rsid w:val="004F0B5E"/>
    <w:rsid w:val="004F1797"/>
    <w:rsid w:val="004F1C16"/>
    <w:rsid w:val="004F1D03"/>
    <w:rsid w:val="004F276E"/>
    <w:rsid w:val="004F2AE4"/>
    <w:rsid w:val="004F300E"/>
    <w:rsid w:val="004F313F"/>
    <w:rsid w:val="004F32C0"/>
    <w:rsid w:val="004F4027"/>
    <w:rsid w:val="004F4669"/>
    <w:rsid w:val="004F50D9"/>
    <w:rsid w:val="004F563C"/>
    <w:rsid w:val="004F5A53"/>
    <w:rsid w:val="004F5F7D"/>
    <w:rsid w:val="004F6953"/>
    <w:rsid w:val="004F6BB0"/>
    <w:rsid w:val="004F6BED"/>
    <w:rsid w:val="004F6F22"/>
    <w:rsid w:val="004F7314"/>
    <w:rsid w:val="005011EE"/>
    <w:rsid w:val="00501328"/>
    <w:rsid w:val="005013CC"/>
    <w:rsid w:val="00501576"/>
    <w:rsid w:val="00501A16"/>
    <w:rsid w:val="00501BC0"/>
    <w:rsid w:val="00502474"/>
    <w:rsid w:val="005028A0"/>
    <w:rsid w:val="005029A8"/>
    <w:rsid w:val="00504770"/>
    <w:rsid w:val="00504DC9"/>
    <w:rsid w:val="00505C30"/>
    <w:rsid w:val="00505FF1"/>
    <w:rsid w:val="00510048"/>
    <w:rsid w:val="005110A0"/>
    <w:rsid w:val="005119B5"/>
    <w:rsid w:val="005122EA"/>
    <w:rsid w:val="0051296C"/>
    <w:rsid w:val="00512B59"/>
    <w:rsid w:val="00513421"/>
    <w:rsid w:val="00514C7F"/>
    <w:rsid w:val="00515692"/>
    <w:rsid w:val="005156BC"/>
    <w:rsid w:val="00516DF3"/>
    <w:rsid w:val="00517C41"/>
    <w:rsid w:val="00520874"/>
    <w:rsid w:val="00520CF2"/>
    <w:rsid w:val="00520D1A"/>
    <w:rsid w:val="0052175C"/>
    <w:rsid w:val="005220D9"/>
    <w:rsid w:val="00522258"/>
    <w:rsid w:val="0052253E"/>
    <w:rsid w:val="00523520"/>
    <w:rsid w:val="00523963"/>
    <w:rsid w:val="0052399A"/>
    <w:rsid w:val="00523D89"/>
    <w:rsid w:val="005240EB"/>
    <w:rsid w:val="00524229"/>
    <w:rsid w:val="00524513"/>
    <w:rsid w:val="00526ADD"/>
    <w:rsid w:val="00530443"/>
    <w:rsid w:val="005305AB"/>
    <w:rsid w:val="00530DA6"/>
    <w:rsid w:val="0053152C"/>
    <w:rsid w:val="00531945"/>
    <w:rsid w:val="00531AD2"/>
    <w:rsid w:val="00531FD5"/>
    <w:rsid w:val="00532DD5"/>
    <w:rsid w:val="00533E9B"/>
    <w:rsid w:val="00535007"/>
    <w:rsid w:val="00535839"/>
    <w:rsid w:val="00535D2D"/>
    <w:rsid w:val="005371F9"/>
    <w:rsid w:val="00537B03"/>
    <w:rsid w:val="00537E3E"/>
    <w:rsid w:val="00537E85"/>
    <w:rsid w:val="00541DA2"/>
    <w:rsid w:val="00542305"/>
    <w:rsid w:val="00543512"/>
    <w:rsid w:val="00543FC1"/>
    <w:rsid w:val="005442EF"/>
    <w:rsid w:val="00544BC6"/>
    <w:rsid w:val="00544D39"/>
    <w:rsid w:val="005452E5"/>
    <w:rsid w:val="00545A7D"/>
    <w:rsid w:val="00545E7A"/>
    <w:rsid w:val="005468F5"/>
    <w:rsid w:val="00546B64"/>
    <w:rsid w:val="0054704C"/>
    <w:rsid w:val="00547294"/>
    <w:rsid w:val="005478B2"/>
    <w:rsid w:val="005503AD"/>
    <w:rsid w:val="00550502"/>
    <w:rsid w:val="00550A43"/>
    <w:rsid w:val="00552DE2"/>
    <w:rsid w:val="00552ED0"/>
    <w:rsid w:val="00554CE4"/>
    <w:rsid w:val="00555409"/>
    <w:rsid w:val="00555F40"/>
    <w:rsid w:val="0055679C"/>
    <w:rsid w:val="005605FB"/>
    <w:rsid w:val="00560D20"/>
    <w:rsid w:val="00560E9F"/>
    <w:rsid w:val="00561017"/>
    <w:rsid w:val="0056102C"/>
    <w:rsid w:val="00561D3E"/>
    <w:rsid w:val="005629DB"/>
    <w:rsid w:val="0056335C"/>
    <w:rsid w:val="00563945"/>
    <w:rsid w:val="00564478"/>
    <w:rsid w:val="005648D4"/>
    <w:rsid w:val="0056592E"/>
    <w:rsid w:val="005664E2"/>
    <w:rsid w:val="00567130"/>
    <w:rsid w:val="00570212"/>
    <w:rsid w:val="00571669"/>
    <w:rsid w:val="0057199A"/>
    <w:rsid w:val="00572045"/>
    <w:rsid w:val="0057302E"/>
    <w:rsid w:val="00573641"/>
    <w:rsid w:val="00574844"/>
    <w:rsid w:val="0057531A"/>
    <w:rsid w:val="00577417"/>
    <w:rsid w:val="0058086E"/>
    <w:rsid w:val="005816DE"/>
    <w:rsid w:val="00581E81"/>
    <w:rsid w:val="00581EED"/>
    <w:rsid w:val="00582C72"/>
    <w:rsid w:val="00583D4B"/>
    <w:rsid w:val="005850FE"/>
    <w:rsid w:val="0058516C"/>
    <w:rsid w:val="0058519F"/>
    <w:rsid w:val="00585F24"/>
    <w:rsid w:val="005863FA"/>
    <w:rsid w:val="005867B9"/>
    <w:rsid w:val="00590580"/>
    <w:rsid w:val="00590E37"/>
    <w:rsid w:val="00590F8B"/>
    <w:rsid w:val="00591CBF"/>
    <w:rsid w:val="00593621"/>
    <w:rsid w:val="005947E9"/>
    <w:rsid w:val="00594CEB"/>
    <w:rsid w:val="00594F08"/>
    <w:rsid w:val="00595010"/>
    <w:rsid w:val="005954F6"/>
    <w:rsid w:val="005958C8"/>
    <w:rsid w:val="005959B7"/>
    <w:rsid w:val="005966AD"/>
    <w:rsid w:val="00597BA8"/>
    <w:rsid w:val="005A11E2"/>
    <w:rsid w:val="005A12B2"/>
    <w:rsid w:val="005A3159"/>
    <w:rsid w:val="005A3398"/>
    <w:rsid w:val="005A4540"/>
    <w:rsid w:val="005A4C07"/>
    <w:rsid w:val="005A4F4B"/>
    <w:rsid w:val="005A576C"/>
    <w:rsid w:val="005A64C7"/>
    <w:rsid w:val="005A68F0"/>
    <w:rsid w:val="005A7247"/>
    <w:rsid w:val="005A7857"/>
    <w:rsid w:val="005A78CF"/>
    <w:rsid w:val="005A7D93"/>
    <w:rsid w:val="005B0C0B"/>
    <w:rsid w:val="005B0DDC"/>
    <w:rsid w:val="005B12F9"/>
    <w:rsid w:val="005B1AB5"/>
    <w:rsid w:val="005B1C3C"/>
    <w:rsid w:val="005B32BA"/>
    <w:rsid w:val="005B3DF6"/>
    <w:rsid w:val="005B58F5"/>
    <w:rsid w:val="005B58F9"/>
    <w:rsid w:val="005B5A6C"/>
    <w:rsid w:val="005B6105"/>
    <w:rsid w:val="005B6DC9"/>
    <w:rsid w:val="005B7280"/>
    <w:rsid w:val="005B7C12"/>
    <w:rsid w:val="005B7D04"/>
    <w:rsid w:val="005C02A3"/>
    <w:rsid w:val="005C13F0"/>
    <w:rsid w:val="005C147A"/>
    <w:rsid w:val="005C14E1"/>
    <w:rsid w:val="005C20C8"/>
    <w:rsid w:val="005C234D"/>
    <w:rsid w:val="005C274B"/>
    <w:rsid w:val="005C33D6"/>
    <w:rsid w:val="005C3AAE"/>
    <w:rsid w:val="005C3EFF"/>
    <w:rsid w:val="005C4C8D"/>
    <w:rsid w:val="005C51D8"/>
    <w:rsid w:val="005C65E0"/>
    <w:rsid w:val="005C6BAD"/>
    <w:rsid w:val="005C7A18"/>
    <w:rsid w:val="005D0564"/>
    <w:rsid w:val="005D0BC3"/>
    <w:rsid w:val="005D0C6C"/>
    <w:rsid w:val="005D1673"/>
    <w:rsid w:val="005D195B"/>
    <w:rsid w:val="005D1A07"/>
    <w:rsid w:val="005D2569"/>
    <w:rsid w:val="005D3D06"/>
    <w:rsid w:val="005D471E"/>
    <w:rsid w:val="005D4905"/>
    <w:rsid w:val="005D4CE5"/>
    <w:rsid w:val="005D538C"/>
    <w:rsid w:val="005D5585"/>
    <w:rsid w:val="005D7F51"/>
    <w:rsid w:val="005E1305"/>
    <w:rsid w:val="005E1D00"/>
    <w:rsid w:val="005E25B9"/>
    <w:rsid w:val="005E3AF9"/>
    <w:rsid w:val="005E40FD"/>
    <w:rsid w:val="005E4157"/>
    <w:rsid w:val="005E4E63"/>
    <w:rsid w:val="005E5C6C"/>
    <w:rsid w:val="005E65AD"/>
    <w:rsid w:val="005E6DCB"/>
    <w:rsid w:val="005E6F1E"/>
    <w:rsid w:val="005E7189"/>
    <w:rsid w:val="005E7931"/>
    <w:rsid w:val="005F0376"/>
    <w:rsid w:val="005F0B59"/>
    <w:rsid w:val="005F0D14"/>
    <w:rsid w:val="005F183C"/>
    <w:rsid w:val="005F1B0D"/>
    <w:rsid w:val="005F1F5C"/>
    <w:rsid w:val="005F2737"/>
    <w:rsid w:val="005F27CF"/>
    <w:rsid w:val="005F3FA0"/>
    <w:rsid w:val="005F669D"/>
    <w:rsid w:val="005F6886"/>
    <w:rsid w:val="005F76D7"/>
    <w:rsid w:val="00600181"/>
    <w:rsid w:val="0060025B"/>
    <w:rsid w:val="00600706"/>
    <w:rsid w:val="00600A55"/>
    <w:rsid w:val="006015BB"/>
    <w:rsid w:val="00601713"/>
    <w:rsid w:val="0060210F"/>
    <w:rsid w:val="0060212E"/>
    <w:rsid w:val="00602D8A"/>
    <w:rsid w:val="00603111"/>
    <w:rsid w:val="0060356C"/>
    <w:rsid w:val="00603F79"/>
    <w:rsid w:val="0060491B"/>
    <w:rsid w:val="00604F65"/>
    <w:rsid w:val="00604FAC"/>
    <w:rsid w:val="0060581C"/>
    <w:rsid w:val="00605B7B"/>
    <w:rsid w:val="00605DD6"/>
    <w:rsid w:val="006060DA"/>
    <w:rsid w:val="00606103"/>
    <w:rsid w:val="0060615F"/>
    <w:rsid w:val="00606578"/>
    <w:rsid w:val="00606680"/>
    <w:rsid w:val="00606755"/>
    <w:rsid w:val="00606E66"/>
    <w:rsid w:val="00606F18"/>
    <w:rsid w:val="0060760D"/>
    <w:rsid w:val="006102DD"/>
    <w:rsid w:val="0061200B"/>
    <w:rsid w:val="006127CC"/>
    <w:rsid w:val="0061428A"/>
    <w:rsid w:val="006142B0"/>
    <w:rsid w:val="0061477A"/>
    <w:rsid w:val="006159CD"/>
    <w:rsid w:val="00616482"/>
    <w:rsid w:val="00616938"/>
    <w:rsid w:val="00616D1B"/>
    <w:rsid w:val="0062011F"/>
    <w:rsid w:val="0062039F"/>
    <w:rsid w:val="006209AB"/>
    <w:rsid w:val="00621040"/>
    <w:rsid w:val="00621D2F"/>
    <w:rsid w:val="00621EB6"/>
    <w:rsid w:val="00622F5E"/>
    <w:rsid w:val="00623783"/>
    <w:rsid w:val="00625923"/>
    <w:rsid w:val="00626282"/>
    <w:rsid w:val="006263FA"/>
    <w:rsid w:val="00626548"/>
    <w:rsid w:val="00626ED0"/>
    <w:rsid w:val="00626F5F"/>
    <w:rsid w:val="006271F4"/>
    <w:rsid w:val="00627B02"/>
    <w:rsid w:val="0063087C"/>
    <w:rsid w:val="00631155"/>
    <w:rsid w:val="0063146A"/>
    <w:rsid w:val="006319A3"/>
    <w:rsid w:val="00632924"/>
    <w:rsid w:val="00632D21"/>
    <w:rsid w:val="00634D4A"/>
    <w:rsid w:val="00635A5F"/>
    <w:rsid w:val="00635ABB"/>
    <w:rsid w:val="00635B89"/>
    <w:rsid w:val="00636744"/>
    <w:rsid w:val="00636811"/>
    <w:rsid w:val="00636A8F"/>
    <w:rsid w:val="00636F1B"/>
    <w:rsid w:val="00637160"/>
    <w:rsid w:val="006406FB"/>
    <w:rsid w:val="00640E41"/>
    <w:rsid w:val="006416D2"/>
    <w:rsid w:val="00641943"/>
    <w:rsid w:val="00641A42"/>
    <w:rsid w:val="00641FEB"/>
    <w:rsid w:val="00643026"/>
    <w:rsid w:val="0064330E"/>
    <w:rsid w:val="00644C33"/>
    <w:rsid w:val="00645618"/>
    <w:rsid w:val="006458B4"/>
    <w:rsid w:val="00646BE9"/>
    <w:rsid w:val="00647687"/>
    <w:rsid w:val="006506D7"/>
    <w:rsid w:val="006506E1"/>
    <w:rsid w:val="00651E8F"/>
    <w:rsid w:val="00651EE4"/>
    <w:rsid w:val="006527C0"/>
    <w:rsid w:val="00654363"/>
    <w:rsid w:val="006544C8"/>
    <w:rsid w:val="00654DF2"/>
    <w:rsid w:val="00654DFE"/>
    <w:rsid w:val="00655EFA"/>
    <w:rsid w:val="00656724"/>
    <w:rsid w:val="00656B45"/>
    <w:rsid w:val="00657200"/>
    <w:rsid w:val="0065786F"/>
    <w:rsid w:val="00662C9D"/>
    <w:rsid w:val="00664D99"/>
    <w:rsid w:val="006658AE"/>
    <w:rsid w:val="00666066"/>
    <w:rsid w:val="006665B9"/>
    <w:rsid w:val="00666ABC"/>
    <w:rsid w:val="006672C7"/>
    <w:rsid w:val="00670DAE"/>
    <w:rsid w:val="00671425"/>
    <w:rsid w:val="00671E20"/>
    <w:rsid w:val="00672A8F"/>
    <w:rsid w:val="006739CD"/>
    <w:rsid w:val="00673DC2"/>
    <w:rsid w:val="0067458D"/>
    <w:rsid w:val="00674863"/>
    <w:rsid w:val="00674C0C"/>
    <w:rsid w:val="00674C59"/>
    <w:rsid w:val="00675402"/>
    <w:rsid w:val="00675B0C"/>
    <w:rsid w:val="006761E4"/>
    <w:rsid w:val="00676A62"/>
    <w:rsid w:val="00676D11"/>
    <w:rsid w:val="00676D38"/>
    <w:rsid w:val="00677070"/>
    <w:rsid w:val="006773F0"/>
    <w:rsid w:val="006779CE"/>
    <w:rsid w:val="00677DA8"/>
    <w:rsid w:val="00680F1E"/>
    <w:rsid w:val="00681053"/>
    <w:rsid w:val="0068147F"/>
    <w:rsid w:val="0068148F"/>
    <w:rsid w:val="00681D86"/>
    <w:rsid w:val="006835D3"/>
    <w:rsid w:val="00683648"/>
    <w:rsid w:val="00683797"/>
    <w:rsid w:val="00683D2A"/>
    <w:rsid w:val="0068454A"/>
    <w:rsid w:val="006849B3"/>
    <w:rsid w:val="00686469"/>
    <w:rsid w:val="006865E2"/>
    <w:rsid w:val="00686960"/>
    <w:rsid w:val="00686BA2"/>
    <w:rsid w:val="00687D8D"/>
    <w:rsid w:val="00690B4F"/>
    <w:rsid w:val="00690BA6"/>
    <w:rsid w:val="006926CE"/>
    <w:rsid w:val="00693DEA"/>
    <w:rsid w:val="00694043"/>
    <w:rsid w:val="006942EB"/>
    <w:rsid w:val="00695091"/>
    <w:rsid w:val="0069528A"/>
    <w:rsid w:val="0069564C"/>
    <w:rsid w:val="00696B32"/>
    <w:rsid w:val="006974F2"/>
    <w:rsid w:val="006975E3"/>
    <w:rsid w:val="006977A9"/>
    <w:rsid w:val="006A0BE5"/>
    <w:rsid w:val="006A1FB5"/>
    <w:rsid w:val="006A235B"/>
    <w:rsid w:val="006A415A"/>
    <w:rsid w:val="006A4C1A"/>
    <w:rsid w:val="006A5323"/>
    <w:rsid w:val="006A6304"/>
    <w:rsid w:val="006A6410"/>
    <w:rsid w:val="006A776B"/>
    <w:rsid w:val="006A7FF4"/>
    <w:rsid w:val="006B2139"/>
    <w:rsid w:val="006B238E"/>
    <w:rsid w:val="006B27DD"/>
    <w:rsid w:val="006B3818"/>
    <w:rsid w:val="006B3B8A"/>
    <w:rsid w:val="006B4F07"/>
    <w:rsid w:val="006B4FE2"/>
    <w:rsid w:val="006B56C5"/>
    <w:rsid w:val="006B5B63"/>
    <w:rsid w:val="006B6D46"/>
    <w:rsid w:val="006B6F57"/>
    <w:rsid w:val="006C00F4"/>
    <w:rsid w:val="006C0507"/>
    <w:rsid w:val="006C106D"/>
    <w:rsid w:val="006C2FD3"/>
    <w:rsid w:val="006C35E6"/>
    <w:rsid w:val="006C3A84"/>
    <w:rsid w:val="006C6C31"/>
    <w:rsid w:val="006D0491"/>
    <w:rsid w:val="006D15AD"/>
    <w:rsid w:val="006D1DF1"/>
    <w:rsid w:val="006D2462"/>
    <w:rsid w:val="006D26CA"/>
    <w:rsid w:val="006D3BF4"/>
    <w:rsid w:val="006D4224"/>
    <w:rsid w:val="006D4288"/>
    <w:rsid w:val="006D4558"/>
    <w:rsid w:val="006D548A"/>
    <w:rsid w:val="006D600B"/>
    <w:rsid w:val="006D64D7"/>
    <w:rsid w:val="006E0911"/>
    <w:rsid w:val="006E0D99"/>
    <w:rsid w:val="006E0F69"/>
    <w:rsid w:val="006E1361"/>
    <w:rsid w:val="006E1F69"/>
    <w:rsid w:val="006E210E"/>
    <w:rsid w:val="006E2288"/>
    <w:rsid w:val="006E3A98"/>
    <w:rsid w:val="006E4D43"/>
    <w:rsid w:val="006E4DDF"/>
    <w:rsid w:val="006E5044"/>
    <w:rsid w:val="006E5651"/>
    <w:rsid w:val="006E5D75"/>
    <w:rsid w:val="006E6179"/>
    <w:rsid w:val="006E66F6"/>
    <w:rsid w:val="006E6B24"/>
    <w:rsid w:val="006E7A83"/>
    <w:rsid w:val="006F10ED"/>
    <w:rsid w:val="006F1C52"/>
    <w:rsid w:val="006F2361"/>
    <w:rsid w:val="006F2926"/>
    <w:rsid w:val="006F330C"/>
    <w:rsid w:val="006F3610"/>
    <w:rsid w:val="006F3B9C"/>
    <w:rsid w:val="006F3BD5"/>
    <w:rsid w:val="006F497D"/>
    <w:rsid w:val="006F619A"/>
    <w:rsid w:val="006F7EE0"/>
    <w:rsid w:val="00700700"/>
    <w:rsid w:val="0070080A"/>
    <w:rsid w:val="00701737"/>
    <w:rsid w:val="00702B8E"/>
    <w:rsid w:val="00702C8E"/>
    <w:rsid w:val="007036B6"/>
    <w:rsid w:val="00703878"/>
    <w:rsid w:val="00703E31"/>
    <w:rsid w:val="007044D9"/>
    <w:rsid w:val="0070508E"/>
    <w:rsid w:val="0070524D"/>
    <w:rsid w:val="007061F5"/>
    <w:rsid w:val="0070653A"/>
    <w:rsid w:val="00706615"/>
    <w:rsid w:val="00706C56"/>
    <w:rsid w:val="00707596"/>
    <w:rsid w:val="0070767F"/>
    <w:rsid w:val="00707971"/>
    <w:rsid w:val="00707A24"/>
    <w:rsid w:val="00710541"/>
    <w:rsid w:val="00710749"/>
    <w:rsid w:val="007118D3"/>
    <w:rsid w:val="007123CD"/>
    <w:rsid w:val="007128DE"/>
    <w:rsid w:val="00713A6F"/>
    <w:rsid w:val="00713FB4"/>
    <w:rsid w:val="00715099"/>
    <w:rsid w:val="0071518F"/>
    <w:rsid w:val="00716D7A"/>
    <w:rsid w:val="00717873"/>
    <w:rsid w:val="00720068"/>
    <w:rsid w:val="007200E4"/>
    <w:rsid w:val="0072048D"/>
    <w:rsid w:val="00721AAB"/>
    <w:rsid w:val="00721BD5"/>
    <w:rsid w:val="00722242"/>
    <w:rsid w:val="007231EF"/>
    <w:rsid w:val="007244BA"/>
    <w:rsid w:val="00724A51"/>
    <w:rsid w:val="00724F68"/>
    <w:rsid w:val="0072638E"/>
    <w:rsid w:val="007263A5"/>
    <w:rsid w:val="007270A6"/>
    <w:rsid w:val="00727995"/>
    <w:rsid w:val="00730332"/>
    <w:rsid w:val="00730AC7"/>
    <w:rsid w:val="00730B49"/>
    <w:rsid w:val="00730E7A"/>
    <w:rsid w:val="00731184"/>
    <w:rsid w:val="00731470"/>
    <w:rsid w:val="007316F3"/>
    <w:rsid w:val="007317E4"/>
    <w:rsid w:val="00731ADC"/>
    <w:rsid w:val="00731C36"/>
    <w:rsid w:val="00734A11"/>
    <w:rsid w:val="00735069"/>
    <w:rsid w:val="00735167"/>
    <w:rsid w:val="007351B1"/>
    <w:rsid w:val="00736797"/>
    <w:rsid w:val="0073694B"/>
    <w:rsid w:val="00736DD6"/>
    <w:rsid w:val="00736E9E"/>
    <w:rsid w:val="007373B3"/>
    <w:rsid w:val="00737639"/>
    <w:rsid w:val="007379F0"/>
    <w:rsid w:val="00740BBB"/>
    <w:rsid w:val="00740CD7"/>
    <w:rsid w:val="007417AE"/>
    <w:rsid w:val="00741830"/>
    <w:rsid w:val="00741C15"/>
    <w:rsid w:val="00741F9B"/>
    <w:rsid w:val="0074281D"/>
    <w:rsid w:val="007435FC"/>
    <w:rsid w:val="00745486"/>
    <w:rsid w:val="00750521"/>
    <w:rsid w:val="0075067D"/>
    <w:rsid w:val="00750937"/>
    <w:rsid w:val="00751AC2"/>
    <w:rsid w:val="00752268"/>
    <w:rsid w:val="007527AF"/>
    <w:rsid w:val="00752BE0"/>
    <w:rsid w:val="00752DB7"/>
    <w:rsid w:val="00753412"/>
    <w:rsid w:val="0075345A"/>
    <w:rsid w:val="00753594"/>
    <w:rsid w:val="0075361A"/>
    <w:rsid w:val="00753A1E"/>
    <w:rsid w:val="00755BD8"/>
    <w:rsid w:val="00755EC3"/>
    <w:rsid w:val="007561B9"/>
    <w:rsid w:val="007575E9"/>
    <w:rsid w:val="00757636"/>
    <w:rsid w:val="0076163B"/>
    <w:rsid w:val="00761EDA"/>
    <w:rsid w:val="0076206E"/>
    <w:rsid w:val="00762190"/>
    <w:rsid w:val="00762283"/>
    <w:rsid w:val="007628DC"/>
    <w:rsid w:val="00762BCC"/>
    <w:rsid w:val="00763389"/>
    <w:rsid w:val="00764794"/>
    <w:rsid w:val="00764B23"/>
    <w:rsid w:val="0076507D"/>
    <w:rsid w:val="00765389"/>
    <w:rsid w:val="007654D1"/>
    <w:rsid w:val="00765D8E"/>
    <w:rsid w:val="00765EEB"/>
    <w:rsid w:val="00767EBC"/>
    <w:rsid w:val="007710B2"/>
    <w:rsid w:val="007711EA"/>
    <w:rsid w:val="00771236"/>
    <w:rsid w:val="00771C6F"/>
    <w:rsid w:val="00771D0C"/>
    <w:rsid w:val="0077250C"/>
    <w:rsid w:val="00772702"/>
    <w:rsid w:val="00772A66"/>
    <w:rsid w:val="00772C13"/>
    <w:rsid w:val="00772CA7"/>
    <w:rsid w:val="00772DFE"/>
    <w:rsid w:val="00773400"/>
    <w:rsid w:val="007734A0"/>
    <w:rsid w:val="00773A0F"/>
    <w:rsid w:val="007746EC"/>
    <w:rsid w:val="00774FEA"/>
    <w:rsid w:val="007752E4"/>
    <w:rsid w:val="007754A3"/>
    <w:rsid w:val="00775D7F"/>
    <w:rsid w:val="007760CE"/>
    <w:rsid w:val="00776394"/>
    <w:rsid w:val="00776579"/>
    <w:rsid w:val="00777203"/>
    <w:rsid w:val="00777B6E"/>
    <w:rsid w:val="0078027E"/>
    <w:rsid w:val="00781A0D"/>
    <w:rsid w:val="0078203C"/>
    <w:rsid w:val="007825C3"/>
    <w:rsid w:val="00782F4F"/>
    <w:rsid w:val="007833DA"/>
    <w:rsid w:val="0078373A"/>
    <w:rsid w:val="00783EF0"/>
    <w:rsid w:val="00784D14"/>
    <w:rsid w:val="0078549F"/>
    <w:rsid w:val="00786D95"/>
    <w:rsid w:val="007873EA"/>
    <w:rsid w:val="00787459"/>
    <w:rsid w:val="00787A2D"/>
    <w:rsid w:val="00790504"/>
    <w:rsid w:val="007907AD"/>
    <w:rsid w:val="007907C3"/>
    <w:rsid w:val="00790D06"/>
    <w:rsid w:val="00791D71"/>
    <w:rsid w:val="00792618"/>
    <w:rsid w:val="00793B7A"/>
    <w:rsid w:val="007941FD"/>
    <w:rsid w:val="00794513"/>
    <w:rsid w:val="00794B66"/>
    <w:rsid w:val="00794C3C"/>
    <w:rsid w:val="00796390"/>
    <w:rsid w:val="00797163"/>
    <w:rsid w:val="0079759F"/>
    <w:rsid w:val="007979B5"/>
    <w:rsid w:val="007A0200"/>
    <w:rsid w:val="007A0353"/>
    <w:rsid w:val="007A0FC0"/>
    <w:rsid w:val="007A16CC"/>
    <w:rsid w:val="007A186A"/>
    <w:rsid w:val="007A1C63"/>
    <w:rsid w:val="007A1DFC"/>
    <w:rsid w:val="007A2C14"/>
    <w:rsid w:val="007A632F"/>
    <w:rsid w:val="007A65D2"/>
    <w:rsid w:val="007A6644"/>
    <w:rsid w:val="007A733F"/>
    <w:rsid w:val="007A7774"/>
    <w:rsid w:val="007A79AA"/>
    <w:rsid w:val="007B03CE"/>
    <w:rsid w:val="007B0C5C"/>
    <w:rsid w:val="007B0EA5"/>
    <w:rsid w:val="007B0F22"/>
    <w:rsid w:val="007B25B5"/>
    <w:rsid w:val="007B2C78"/>
    <w:rsid w:val="007B4940"/>
    <w:rsid w:val="007B6538"/>
    <w:rsid w:val="007B6CC9"/>
    <w:rsid w:val="007C06A4"/>
    <w:rsid w:val="007C1877"/>
    <w:rsid w:val="007C2EB2"/>
    <w:rsid w:val="007C3E9B"/>
    <w:rsid w:val="007C42F3"/>
    <w:rsid w:val="007C481E"/>
    <w:rsid w:val="007C4ED5"/>
    <w:rsid w:val="007C5416"/>
    <w:rsid w:val="007C58AB"/>
    <w:rsid w:val="007C5925"/>
    <w:rsid w:val="007C67F8"/>
    <w:rsid w:val="007C6E1D"/>
    <w:rsid w:val="007C7253"/>
    <w:rsid w:val="007C7254"/>
    <w:rsid w:val="007D02B4"/>
    <w:rsid w:val="007D07FD"/>
    <w:rsid w:val="007D160C"/>
    <w:rsid w:val="007D16F2"/>
    <w:rsid w:val="007D19FC"/>
    <w:rsid w:val="007D2168"/>
    <w:rsid w:val="007D220C"/>
    <w:rsid w:val="007D2B2F"/>
    <w:rsid w:val="007D37C4"/>
    <w:rsid w:val="007D5169"/>
    <w:rsid w:val="007D6D58"/>
    <w:rsid w:val="007E03EA"/>
    <w:rsid w:val="007E073E"/>
    <w:rsid w:val="007E0D52"/>
    <w:rsid w:val="007E2239"/>
    <w:rsid w:val="007E2627"/>
    <w:rsid w:val="007E540E"/>
    <w:rsid w:val="007E5432"/>
    <w:rsid w:val="007E61A7"/>
    <w:rsid w:val="007E6338"/>
    <w:rsid w:val="007E6A72"/>
    <w:rsid w:val="007E71E4"/>
    <w:rsid w:val="007E785C"/>
    <w:rsid w:val="007E79FD"/>
    <w:rsid w:val="007F051B"/>
    <w:rsid w:val="007F177D"/>
    <w:rsid w:val="007F1AB2"/>
    <w:rsid w:val="007F1B06"/>
    <w:rsid w:val="007F208D"/>
    <w:rsid w:val="007F2656"/>
    <w:rsid w:val="007F26A2"/>
    <w:rsid w:val="007F3137"/>
    <w:rsid w:val="007F3FB8"/>
    <w:rsid w:val="007F46A9"/>
    <w:rsid w:val="007F4731"/>
    <w:rsid w:val="007F59A1"/>
    <w:rsid w:val="007F5A5F"/>
    <w:rsid w:val="007F6260"/>
    <w:rsid w:val="007F644F"/>
    <w:rsid w:val="007F7485"/>
    <w:rsid w:val="007F7E4D"/>
    <w:rsid w:val="0080014D"/>
    <w:rsid w:val="00800DBB"/>
    <w:rsid w:val="0080121B"/>
    <w:rsid w:val="0080169C"/>
    <w:rsid w:val="0080215B"/>
    <w:rsid w:val="008026BF"/>
    <w:rsid w:val="00803723"/>
    <w:rsid w:val="008052C5"/>
    <w:rsid w:val="00805544"/>
    <w:rsid w:val="00805D94"/>
    <w:rsid w:val="00806466"/>
    <w:rsid w:val="00806EE0"/>
    <w:rsid w:val="00807EAB"/>
    <w:rsid w:val="008103A1"/>
    <w:rsid w:val="00811104"/>
    <w:rsid w:val="00811A89"/>
    <w:rsid w:val="00812542"/>
    <w:rsid w:val="00812DFF"/>
    <w:rsid w:val="00813171"/>
    <w:rsid w:val="00814AB8"/>
    <w:rsid w:val="00815042"/>
    <w:rsid w:val="008168D2"/>
    <w:rsid w:val="00817B08"/>
    <w:rsid w:val="00821377"/>
    <w:rsid w:val="00822041"/>
    <w:rsid w:val="00822C2F"/>
    <w:rsid w:val="00822EF6"/>
    <w:rsid w:val="00823797"/>
    <w:rsid w:val="00823AE9"/>
    <w:rsid w:val="00823B0A"/>
    <w:rsid w:val="0082591B"/>
    <w:rsid w:val="00825942"/>
    <w:rsid w:val="008267ED"/>
    <w:rsid w:val="008268C8"/>
    <w:rsid w:val="00827A0E"/>
    <w:rsid w:val="00830430"/>
    <w:rsid w:val="00830D95"/>
    <w:rsid w:val="008311CC"/>
    <w:rsid w:val="00832555"/>
    <w:rsid w:val="00832D3F"/>
    <w:rsid w:val="00834080"/>
    <w:rsid w:val="008344B6"/>
    <w:rsid w:val="008348C3"/>
    <w:rsid w:val="0083507F"/>
    <w:rsid w:val="00836361"/>
    <w:rsid w:val="00836A74"/>
    <w:rsid w:val="00836AB1"/>
    <w:rsid w:val="0083722E"/>
    <w:rsid w:val="00837303"/>
    <w:rsid w:val="00840963"/>
    <w:rsid w:val="008416C9"/>
    <w:rsid w:val="00841B24"/>
    <w:rsid w:val="0084246C"/>
    <w:rsid w:val="00842E13"/>
    <w:rsid w:val="00843C0D"/>
    <w:rsid w:val="00845FEB"/>
    <w:rsid w:val="0084666E"/>
    <w:rsid w:val="008503A5"/>
    <w:rsid w:val="00850696"/>
    <w:rsid w:val="008508A1"/>
    <w:rsid w:val="00851023"/>
    <w:rsid w:val="00853420"/>
    <w:rsid w:val="00853725"/>
    <w:rsid w:val="0085496B"/>
    <w:rsid w:val="00854B67"/>
    <w:rsid w:val="008558C9"/>
    <w:rsid w:val="00855E8A"/>
    <w:rsid w:val="00856125"/>
    <w:rsid w:val="008565D0"/>
    <w:rsid w:val="008578E4"/>
    <w:rsid w:val="00857E7B"/>
    <w:rsid w:val="00861272"/>
    <w:rsid w:val="008616CA"/>
    <w:rsid w:val="008624BC"/>
    <w:rsid w:val="008625F7"/>
    <w:rsid w:val="008628B7"/>
    <w:rsid w:val="00863291"/>
    <w:rsid w:val="00864060"/>
    <w:rsid w:val="0086436B"/>
    <w:rsid w:val="0086475E"/>
    <w:rsid w:val="00864AC4"/>
    <w:rsid w:val="008664A8"/>
    <w:rsid w:val="00866752"/>
    <w:rsid w:val="00866BF9"/>
    <w:rsid w:val="00867110"/>
    <w:rsid w:val="0087141C"/>
    <w:rsid w:val="0087146E"/>
    <w:rsid w:val="00871745"/>
    <w:rsid w:val="008720E6"/>
    <w:rsid w:val="0087331C"/>
    <w:rsid w:val="0087345C"/>
    <w:rsid w:val="00873699"/>
    <w:rsid w:val="00873C93"/>
    <w:rsid w:val="0087484C"/>
    <w:rsid w:val="00874DAA"/>
    <w:rsid w:val="00875052"/>
    <w:rsid w:val="00875964"/>
    <w:rsid w:val="00875FDF"/>
    <w:rsid w:val="008763FB"/>
    <w:rsid w:val="00876604"/>
    <w:rsid w:val="00876687"/>
    <w:rsid w:val="00877315"/>
    <w:rsid w:val="00877A13"/>
    <w:rsid w:val="0088195C"/>
    <w:rsid w:val="008824C0"/>
    <w:rsid w:val="008827D7"/>
    <w:rsid w:val="00885B5D"/>
    <w:rsid w:val="008862E9"/>
    <w:rsid w:val="0088672D"/>
    <w:rsid w:val="008869F7"/>
    <w:rsid w:val="00886B31"/>
    <w:rsid w:val="0088709F"/>
    <w:rsid w:val="00887B25"/>
    <w:rsid w:val="00890249"/>
    <w:rsid w:val="00890D7F"/>
    <w:rsid w:val="00891776"/>
    <w:rsid w:val="008926EB"/>
    <w:rsid w:val="00892FB9"/>
    <w:rsid w:val="00893C63"/>
    <w:rsid w:val="0089435A"/>
    <w:rsid w:val="00894FD0"/>
    <w:rsid w:val="008956FC"/>
    <w:rsid w:val="00895BF2"/>
    <w:rsid w:val="00896349"/>
    <w:rsid w:val="00896417"/>
    <w:rsid w:val="00897654"/>
    <w:rsid w:val="008A0482"/>
    <w:rsid w:val="008A0709"/>
    <w:rsid w:val="008A1225"/>
    <w:rsid w:val="008A15C2"/>
    <w:rsid w:val="008A2681"/>
    <w:rsid w:val="008A37F6"/>
    <w:rsid w:val="008A3896"/>
    <w:rsid w:val="008A3BE7"/>
    <w:rsid w:val="008A42F2"/>
    <w:rsid w:val="008A4488"/>
    <w:rsid w:val="008A48C3"/>
    <w:rsid w:val="008A498F"/>
    <w:rsid w:val="008A4FDC"/>
    <w:rsid w:val="008A509F"/>
    <w:rsid w:val="008A59E0"/>
    <w:rsid w:val="008A6040"/>
    <w:rsid w:val="008A689F"/>
    <w:rsid w:val="008A6B32"/>
    <w:rsid w:val="008A6C29"/>
    <w:rsid w:val="008A6D56"/>
    <w:rsid w:val="008B0A67"/>
    <w:rsid w:val="008B157F"/>
    <w:rsid w:val="008B1DDD"/>
    <w:rsid w:val="008B22A3"/>
    <w:rsid w:val="008B24FB"/>
    <w:rsid w:val="008B2916"/>
    <w:rsid w:val="008B2938"/>
    <w:rsid w:val="008B31AB"/>
    <w:rsid w:val="008B48BC"/>
    <w:rsid w:val="008B54A7"/>
    <w:rsid w:val="008B603D"/>
    <w:rsid w:val="008B61BF"/>
    <w:rsid w:val="008B6EF4"/>
    <w:rsid w:val="008C011C"/>
    <w:rsid w:val="008C080A"/>
    <w:rsid w:val="008C0EA0"/>
    <w:rsid w:val="008C117E"/>
    <w:rsid w:val="008C1557"/>
    <w:rsid w:val="008C22E7"/>
    <w:rsid w:val="008C3271"/>
    <w:rsid w:val="008C3EE1"/>
    <w:rsid w:val="008C438E"/>
    <w:rsid w:val="008C47EC"/>
    <w:rsid w:val="008C5C18"/>
    <w:rsid w:val="008C67E5"/>
    <w:rsid w:val="008C6DBA"/>
    <w:rsid w:val="008C72B3"/>
    <w:rsid w:val="008C778D"/>
    <w:rsid w:val="008D1873"/>
    <w:rsid w:val="008D2146"/>
    <w:rsid w:val="008D24BF"/>
    <w:rsid w:val="008D27CA"/>
    <w:rsid w:val="008D2B76"/>
    <w:rsid w:val="008D322B"/>
    <w:rsid w:val="008D4243"/>
    <w:rsid w:val="008D429B"/>
    <w:rsid w:val="008D4620"/>
    <w:rsid w:val="008D4A73"/>
    <w:rsid w:val="008D514D"/>
    <w:rsid w:val="008D636A"/>
    <w:rsid w:val="008D69CA"/>
    <w:rsid w:val="008D7538"/>
    <w:rsid w:val="008D77AE"/>
    <w:rsid w:val="008D7A8A"/>
    <w:rsid w:val="008D7D35"/>
    <w:rsid w:val="008E1433"/>
    <w:rsid w:val="008E1C75"/>
    <w:rsid w:val="008E243A"/>
    <w:rsid w:val="008E4111"/>
    <w:rsid w:val="008E4D0B"/>
    <w:rsid w:val="008E5504"/>
    <w:rsid w:val="008E65A5"/>
    <w:rsid w:val="008E6F84"/>
    <w:rsid w:val="008E7541"/>
    <w:rsid w:val="008E7E04"/>
    <w:rsid w:val="008E7F54"/>
    <w:rsid w:val="008F0B55"/>
    <w:rsid w:val="008F0DF9"/>
    <w:rsid w:val="008F1616"/>
    <w:rsid w:val="008F1AC1"/>
    <w:rsid w:val="008F1CAD"/>
    <w:rsid w:val="008F1F54"/>
    <w:rsid w:val="008F2208"/>
    <w:rsid w:val="008F2463"/>
    <w:rsid w:val="008F2851"/>
    <w:rsid w:val="008F2A5E"/>
    <w:rsid w:val="008F2E09"/>
    <w:rsid w:val="008F3261"/>
    <w:rsid w:val="008F3310"/>
    <w:rsid w:val="008F3DE3"/>
    <w:rsid w:val="008F4DFE"/>
    <w:rsid w:val="008F50A0"/>
    <w:rsid w:val="008F50A1"/>
    <w:rsid w:val="008F6468"/>
    <w:rsid w:val="008F6E2E"/>
    <w:rsid w:val="008F7698"/>
    <w:rsid w:val="008F7CD1"/>
    <w:rsid w:val="00900CAE"/>
    <w:rsid w:val="0090121F"/>
    <w:rsid w:val="009013C1"/>
    <w:rsid w:val="009015A1"/>
    <w:rsid w:val="00901A2A"/>
    <w:rsid w:val="009022FB"/>
    <w:rsid w:val="009023EE"/>
    <w:rsid w:val="00902959"/>
    <w:rsid w:val="00904495"/>
    <w:rsid w:val="009049C7"/>
    <w:rsid w:val="009067DC"/>
    <w:rsid w:val="00907069"/>
    <w:rsid w:val="00907828"/>
    <w:rsid w:val="009118FD"/>
    <w:rsid w:val="00911B01"/>
    <w:rsid w:val="00914B86"/>
    <w:rsid w:val="00914C4C"/>
    <w:rsid w:val="00915396"/>
    <w:rsid w:val="009154C1"/>
    <w:rsid w:val="00915527"/>
    <w:rsid w:val="00915992"/>
    <w:rsid w:val="00916E5D"/>
    <w:rsid w:val="009175BB"/>
    <w:rsid w:val="00920191"/>
    <w:rsid w:val="0092042F"/>
    <w:rsid w:val="00920820"/>
    <w:rsid w:val="009214A3"/>
    <w:rsid w:val="009219C3"/>
    <w:rsid w:val="00921B7C"/>
    <w:rsid w:val="00921C53"/>
    <w:rsid w:val="00921E77"/>
    <w:rsid w:val="00921FCB"/>
    <w:rsid w:val="00921FEF"/>
    <w:rsid w:val="00923E73"/>
    <w:rsid w:val="009254B2"/>
    <w:rsid w:val="00925F3E"/>
    <w:rsid w:val="00926471"/>
    <w:rsid w:val="00926808"/>
    <w:rsid w:val="0092748E"/>
    <w:rsid w:val="00930595"/>
    <w:rsid w:val="00931511"/>
    <w:rsid w:val="0093258B"/>
    <w:rsid w:val="00932857"/>
    <w:rsid w:val="00932B37"/>
    <w:rsid w:val="00932BD7"/>
    <w:rsid w:val="00932FD1"/>
    <w:rsid w:val="0093354B"/>
    <w:rsid w:val="00933A5B"/>
    <w:rsid w:val="0093400C"/>
    <w:rsid w:val="00934924"/>
    <w:rsid w:val="009352E3"/>
    <w:rsid w:val="0093595E"/>
    <w:rsid w:val="00935B27"/>
    <w:rsid w:val="0093701E"/>
    <w:rsid w:val="009373F1"/>
    <w:rsid w:val="009374A4"/>
    <w:rsid w:val="00937940"/>
    <w:rsid w:val="009406F2"/>
    <w:rsid w:val="00941BDD"/>
    <w:rsid w:val="00942A33"/>
    <w:rsid w:val="0094389E"/>
    <w:rsid w:val="00943F44"/>
    <w:rsid w:val="009440A1"/>
    <w:rsid w:val="009442B5"/>
    <w:rsid w:val="0094596C"/>
    <w:rsid w:val="00945AAB"/>
    <w:rsid w:val="0094638B"/>
    <w:rsid w:val="0094675B"/>
    <w:rsid w:val="009474A6"/>
    <w:rsid w:val="009474CF"/>
    <w:rsid w:val="009479A8"/>
    <w:rsid w:val="00947F65"/>
    <w:rsid w:val="00950607"/>
    <w:rsid w:val="00950FCB"/>
    <w:rsid w:val="00951B4D"/>
    <w:rsid w:val="00953BD9"/>
    <w:rsid w:val="009543EB"/>
    <w:rsid w:val="009561B0"/>
    <w:rsid w:val="00956E1A"/>
    <w:rsid w:val="00957937"/>
    <w:rsid w:val="00960CE9"/>
    <w:rsid w:val="00961795"/>
    <w:rsid w:val="00961D38"/>
    <w:rsid w:val="0096225A"/>
    <w:rsid w:val="0096247B"/>
    <w:rsid w:val="00962775"/>
    <w:rsid w:val="00962CFA"/>
    <w:rsid w:val="00962DA0"/>
    <w:rsid w:val="0096319B"/>
    <w:rsid w:val="009638A1"/>
    <w:rsid w:val="009644D3"/>
    <w:rsid w:val="00964B55"/>
    <w:rsid w:val="009657AE"/>
    <w:rsid w:val="009664C3"/>
    <w:rsid w:val="00966CC1"/>
    <w:rsid w:val="0096746E"/>
    <w:rsid w:val="0096755A"/>
    <w:rsid w:val="009704A6"/>
    <w:rsid w:val="00970632"/>
    <w:rsid w:val="00971508"/>
    <w:rsid w:val="00971672"/>
    <w:rsid w:val="00973E37"/>
    <w:rsid w:val="00974385"/>
    <w:rsid w:val="00980546"/>
    <w:rsid w:val="00980796"/>
    <w:rsid w:val="00980D88"/>
    <w:rsid w:val="00980E54"/>
    <w:rsid w:val="0098162F"/>
    <w:rsid w:val="0098211B"/>
    <w:rsid w:val="00982345"/>
    <w:rsid w:val="00983919"/>
    <w:rsid w:val="00983DF5"/>
    <w:rsid w:val="009845FA"/>
    <w:rsid w:val="00984BFA"/>
    <w:rsid w:val="00984E1A"/>
    <w:rsid w:val="00985218"/>
    <w:rsid w:val="00985537"/>
    <w:rsid w:val="00985C3E"/>
    <w:rsid w:val="009863CC"/>
    <w:rsid w:val="009865B8"/>
    <w:rsid w:val="009867FB"/>
    <w:rsid w:val="00986A8D"/>
    <w:rsid w:val="009903D4"/>
    <w:rsid w:val="009904FA"/>
    <w:rsid w:val="00990762"/>
    <w:rsid w:val="009907FE"/>
    <w:rsid w:val="00990982"/>
    <w:rsid w:val="00991145"/>
    <w:rsid w:val="009917E3"/>
    <w:rsid w:val="00991C9F"/>
    <w:rsid w:val="00992082"/>
    <w:rsid w:val="0099225C"/>
    <w:rsid w:val="00992EF9"/>
    <w:rsid w:val="00993EFD"/>
    <w:rsid w:val="0099429D"/>
    <w:rsid w:val="00994C70"/>
    <w:rsid w:val="00994FA2"/>
    <w:rsid w:val="009955A3"/>
    <w:rsid w:val="0099570B"/>
    <w:rsid w:val="0099571E"/>
    <w:rsid w:val="00995B26"/>
    <w:rsid w:val="009961DA"/>
    <w:rsid w:val="009962F7"/>
    <w:rsid w:val="009967F8"/>
    <w:rsid w:val="00997BD3"/>
    <w:rsid w:val="009A10A3"/>
    <w:rsid w:val="009A1785"/>
    <w:rsid w:val="009A2AE2"/>
    <w:rsid w:val="009A2B3B"/>
    <w:rsid w:val="009A2C9F"/>
    <w:rsid w:val="009A307D"/>
    <w:rsid w:val="009A396B"/>
    <w:rsid w:val="009A3970"/>
    <w:rsid w:val="009A5DC8"/>
    <w:rsid w:val="009A6A4F"/>
    <w:rsid w:val="009A77E2"/>
    <w:rsid w:val="009A78DA"/>
    <w:rsid w:val="009B02C2"/>
    <w:rsid w:val="009B09AA"/>
    <w:rsid w:val="009B0F30"/>
    <w:rsid w:val="009B15ED"/>
    <w:rsid w:val="009B26D5"/>
    <w:rsid w:val="009B4EAE"/>
    <w:rsid w:val="009B4EC0"/>
    <w:rsid w:val="009B4ED5"/>
    <w:rsid w:val="009B4FA9"/>
    <w:rsid w:val="009B57B5"/>
    <w:rsid w:val="009B5995"/>
    <w:rsid w:val="009B71A8"/>
    <w:rsid w:val="009B7752"/>
    <w:rsid w:val="009B7B4B"/>
    <w:rsid w:val="009C02F7"/>
    <w:rsid w:val="009C14EC"/>
    <w:rsid w:val="009C2F96"/>
    <w:rsid w:val="009C3275"/>
    <w:rsid w:val="009C4A6F"/>
    <w:rsid w:val="009C5257"/>
    <w:rsid w:val="009C53B5"/>
    <w:rsid w:val="009C5E3A"/>
    <w:rsid w:val="009C6201"/>
    <w:rsid w:val="009C681F"/>
    <w:rsid w:val="009C68CD"/>
    <w:rsid w:val="009C6D6A"/>
    <w:rsid w:val="009C727F"/>
    <w:rsid w:val="009D0C0F"/>
    <w:rsid w:val="009D0C74"/>
    <w:rsid w:val="009D0DC4"/>
    <w:rsid w:val="009D1456"/>
    <w:rsid w:val="009D1F69"/>
    <w:rsid w:val="009D2049"/>
    <w:rsid w:val="009D2973"/>
    <w:rsid w:val="009D4ADB"/>
    <w:rsid w:val="009D59E8"/>
    <w:rsid w:val="009D67F5"/>
    <w:rsid w:val="009D69CF"/>
    <w:rsid w:val="009D733B"/>
    <w:rsid w:val="009D7722"/>
    <w:rsid w:val="009E07D5"/>
    <w:rsid w:val="009E0C9F"/>
    <w:rsid w:val="009E1285"/>
    <w:rsid w:val="009E16C9"/>
    <w:rsid w:val="009E17CD"/>
    <w:rsid w:val="009E193D"/>
    <w:rsid w:val="009E2393"/>
    <w:rsid w:val="009E244A"/>
    <w:rsid w:val="009E259B"/>
    <w:rsid w:val="009E36A3"/>
    <w:rsid w:val="009E3785"/>
    <w:rsid w:val="009E4BC3"/>
    <w:rsid w:val="009E4C84"/>
    <w:rsid w:val="009E5D67"/>
    <w:rsid w:val="009E6FDA"/>
    <w:rsid w:val="009E708C"/>
    <w:rsid w:val="009E723C"/>
    <w:rsid w:val="009E7967"/>
    <w:rsid w:val="009E7D23"/>
    <w:rsid w:val="009E7D68"/>
    <w:rsid w:val="009F018D"/>
    <w:rsid w:val="009F1030"/>
    <w:rsid w:val="009F23B4"/>
    <w:rsid w:val="009F2405"/>
    <w:rsid w:val="009F2803"/>
    <w:rsid w:val="009F4F27"/>
    <w:rsid w:val="009F4F64"/>
    <w:rsid w:val="009F52A5"/>
    <w:rsid w:val="009F6A65"/>
    <w:rsid w:val="009F6CEE"/>
    <w:rsid w:val="009F6E03"/>
    <w:rsid w:val="00A01074"/>
    <w:rsid w:val="00A0170B"/>
    <w:rsid w:val="00A0267B"/>
    <w:rsid w:val="00A03711"/>
    <w:rsid w:val="00A03713"/>
    <w:rsid w:val="00A048DC"/>
    <w:rsid w:val="00A058FA"/>
    <w:rsid w:val="00A05E96"/>
    <w:rsid w:val="00A06EFC"/>
    <w:rsid w:val="00A0788C"/>
    <w:rsid w:val="00A07BB1"/>
    <w:rsid w:val="00A10E4C"/>
    <w:rsid w:val="00A11246"/>
    <w:rsid w:val="00A113BB"/>
    <w:rsid w:val="00A11781"/>
    <w:rsid w:val="00A11D61"/>
    <w:rsid w:val="00A11D8F"/>
    <w:rsid w:val="00A11E7B"/>
    <w:rsid w:val="00A1264E"/>
    <w:rsid w:val="00A12A71"/>
    <w:rsid w:val="00A135C1"/>
    <w:rsid w:val="00A13CD0"/>
    <w:rsid w:val="00A14333"/>
    <w:rsid w:val="00A14A39"/>
    <w:rsid w:val="00A150C3"/>
    <w:rsid w:val="00A154F0"/>
    <w:rsid w:val="00A15B23"/>
    <w:rsid w:val="00A16276"/>
    <w:rsid w:val="00A16E96"/>
    <w:rsid w:val="00A172A6"/>
    <w:rsid w:val="00A17DE1"/>
    <w:rsid w:val="00A21088"/>
    <w:rsid w:val="00A210BB"/>
    <w:rsid w:val="00A2161B"/>
    <w:rsid w:val="00A21E4D"/>
    <w:rsid w:val="00A21EDE"/>
    <w:rsid w:val="00A22168"/>
    <w:rsid w:val="00A23356"/>
    <w:rsid w:val="00A233AD"/>
    <w:rsid w:val="00A23BEA"/>
    <w:rsid w:val="00A23F2F"/>
    <w:rsid w:val="00A24341"/>
    <w:rsid w:val="00A251DD"/>
    <w:rsid w:val="00A25D6F"/>
    <w:rsid w:val="00A270CE"/>
    <w:rsid w:val="00A271FC"/>
    <w:rsid w:val="00A27E0A"/>
    <w:rsid w:val="00A27FF6"/>
    <w:rsid w:val="00A3144A"/>
    <w:rsid w:val="00A3167F"/>
    <w:rsid w:val="00A33270"/>
    <w:rsid w:val="00A34385"/>
    <w:rsid w:val="00A353F7"/>
    <w:rsid w:val="00A356F4"/>
    <w:rsid w:val="00A35A61"/>
    <w:rsid w:val="00A35E49"/>
    <w:rsid w:val="00A404B1"/>
    <w:rsid w:val="00A40803"/>
    <w:rsid w:val="00A408E5"/>
    <w:rsid w:val="00A40C4D"/>
    <w:rsid w:val="00A411CF"/>
    <w:rsid w:val="00A41264"/>
    <w:rsid w:val="00A41275"/>
    <w:rsid w:val="00A41B24"/>
    <w:rsid w:val="00A421C1"/>
    <w:rsid w:val="00A432BD"/>
    <w:rsid w:val="00A45024"/>
    <w:rsid w:val="00A4522E"/>
    <w:rsid w:val="00A452C2"/>
    <w:rsid w:val="00A453DD"/>
    <w:rsid w:val="00A455E3"/>
    <w:rsid w:val="00A4589B"/>
    <w:rsid w:val="00A46FDA"/>
    <w:rsid w:val="00A47CB3"/>
    <w:rsid w:val="00A47E34"/>
    <w:rsid w:val="00A50FA4"/>
    <w:rsid w:val="00A5129F"/>
    <w:rsid w:val="00A51BA0"/>
    <w:rsid w:val="00A52512"/>
    <w:rsid w:val="00A5251A"/>
    <w:rsid w:val="00A5277E"/>
    <w:rsid w:val="00A52A76"/>
    <w:rsid w:val="00A53380"/>
    <w:rsid w:val="00A5436E"/>
    <w:rsid w:val="00A54FA1"/>
    <w:rsid w:val="00A55D2E"/>
    <w:rsid w:val="00A55FDB"/>
    <w:rsid w:val="00A57418"/>
    <w:rsid w:val="00A57F09"/>
    <w:rsid w:val="00A601BD"/>
    <w:rsid w:val="00A60A9F"/>
    <w:rsid w:val="00A60C53"/>
    <w:rsid w:val="00A610A7"/>
    <w:rsid w:val="00A621BE"/>
    <w:rsid w:val="00A64240"/>
    <w:rsid w:val="00A64CCF"/>
    <w:rsid w:val="00A6538F"/>
    <w:rsid w:val="00A65D8F"/>
    <w:rsid w:val="00A66A10"/>
    <w:rsid w:val="00A66C1C"/>
    <w:rsid w:val="00A6769D"/>
    <w:rsid w:val="00A70683"/>
    <w:rsid w:val="00A70DB6"/>
    <w:rsid w:val="00A712BA"/>
    <w:rsid w:val="00A71455"/>
    <w:rsid w:val="00A71CE3"/>
    <w:rsid w:val="00A728E5"/>
    <w:rsid w:val="00A72DB3"/>
    <w:rsid w:val="00A730A1"/>
    <w:rsid w:val="00A732C2"/>
    <w:rsid w:val="00A73834"/>
    <w:rsid w:val="00A7425F"/>
    <w:rsid w:val="00A74413"/>
    <w:rsid w:val="00A74FE2"/>
    <w:rsid w:val="00A755D5"/>
    <w:rsid w:val="00A7695B"/>
    <w:rsid w:val="00A76CB8"/>
    <w:rsid w:val="00A813E8"/>
    <w:rsid w:val="00A8196D"/>
    <w:rsid w:val="00A81C41"/>
    <w:rsid w:val="00A82BEF"/>
    <w:rsid w:val="00A837CD"/>
    <w:rsid w:val="00A83F72"/>
    <w:rsid w:val="00A83F92"/>
    <w:rsid w:val="00A84C1A"/>
    <w:rsid w:val="00A854F6"/>
    <w:rsid w:val="00A85996"/>
    <w:rsid w:val="00A85B28"/>
    <w:rsid w:val="00A863FA"/>
    <w:rsid w:val="00A8655F"/>
    <w:rsid w:val="00A871CE"/>
    <w:rsid w:val="00A87C2B"/>
    <w:rsid w:val="00A87D27"/>
    <w:rsid w:val="00A9021C"/>
    <w:rsid w:val="00A90BE5"/>
    <w:rsid w:val="00A92730"/>
    <w:rsid w:val="00A934CF"/>
    <w:rsid w:val="00A93620"/>
    <w:rsid w:val="00A9385E"/>
    <w:rsid w:val="00A93928"/>
    <w:rsid w:val="00A94959"/>
    <w:rsid w:val="00A94FA5"/>
    <w:rsid w:val="00A95BDE"/>
    <w:rsid w:val="00A95F9A"/>
    <w:rsid w:val="00A96789"/>
    <w:rsid w:val="00A96805"/>
    <w:rsid w:val="00A975E8"/>
    <w:rsid w:val="00A97799"/>
    <w:rsid w:val="00A97E6D"/>
    <w:rsid w:val="00AA002C"/>
    <w:rsid w:val="00AA0BDA"/>
    <w:rsid w:val="00AA0D6D"/>
    <w:rsid w:val="00AA0D96"/>
    <w:rsid w:val="00AA1C20"/>
    <w:rsid w:val="00AA2440"/>
    <w:rsid w:val="00AA2986"/>
    <w:rsid w:val="00AA29F6"/>
    <w:rsid w:val="00AA2F15"/>
    <w:rsid w:val="00AA32BB"/>
    <w:rsid w:val="00AA3FFF"/>
    <w:rsid w:val="00AA50F5"/>
    <w:rsid w:val="00AA57A9"/>
    <w:rsid w:val="00AA5A86"/>
    <w:rsid w:val="00AA5D2D"/>
    <w:rsid w:val="00AA6000"/>
    <w:rsid w:val="00AA675B"/>
    <w:rsid w:val="00AB0E37"/>
    <w:rsid w:val="00AB18CF"/>
    <w:rsid w:val="00AB1B44"/>
    <w:rsid w:val="00AB4BED"/>
    <w:rsid w:val="00AB542D"/>
    <w:rsid w:val="00AB5789"/>
    <w:rsid w:val="00AB57AD"/>
    <w:rsid w:val="00AB59D8"/>
    <w:rsid w:val="00AB6DC0"/>
    <w:rsid w:val="00AB73CB"/>
    <w:rsid w:val="00AB75C7"/>
    <w:rsid w:val="00AB7690"/>
    <w:rsid w:val="00AB7E1C"/>
    <w:rsid w:val="00AC02E9"/>
    <w:rsid w:val="00AC17BF"/>
    <w:rsid w:val="00AC1CBB"/>
    <w:rsid w:val="00AC419E"/>
    <w:rsid w:val="00AC47D9"/>
    <w:rsid w:val="00AC6481"/>
    <w:rsid w:val="00AD0FD9"/>
    <w:rsid w:val="00AD2254"/>
    <w:rsid w:val="00AD25AC"/>
    <w:rsid w:val="00AD2748"/>
    <w:rsid w:val="00AD320A"/>
    <w:rsid w:val="00AD3841"/>
    <w:rsid w:val="00AD40CA"/>
    <w:rsid w:val="00AD419F"/>
    <w:rsid w:val="00AD4A80"/>
    <w:rsid w:val="00AD4F71"/>
    <w:rsid w:val="00AD56FC"/>
    <w:rsid w:val="00AD5C2F"/>
    <w:rsid w:val="00AD699A"/>
    <w:rsid w:val="00AD6C20"/>
    <w:rsid w:val="00AE0061"/>
    <w:rsid w:val="00AE0365"/>
    <w:rsid w:val="00AE0864"/>
    <w:rsid w:val="00AE1319"/>
    <w:rsid w:val="00AE1DB7"/>
    <w:rsid w:val="00AE1E8F"/>
    <w:rsid w:val="00AE24E8"/>
    <w:rsid w:val="00AE2AC5"/>
    <w:rsid w:val="00AE2EE4"/>
    <w:rsid w:val="00AE38BD"/>
    <w:rsid w:val="00AE3EB4"/>
    <w:rsid w:val="00AE4764"/>
    <w:rsid w:val="00AE4BE2"/>
    <w:rsid w:val="00AE5A5A"/>
    <w:rsid w:val="00AE5FB8"/>
    <w:rsid w:val="00AE704B"/>
    <w:rsid w:val="00AE7394"/>
    <w:rsid w:val="00AE7A3A"/>
    <w:rsid w:val="00AF03EF"/>
    <w:rsid w:val="00AF0C6D"/>
    <w:rsid w:val="00AF0F4A"/>
    <w:rsid w:val="00AF1C94"/>
    <w:rsid w:val="00AF2D2F"/>
    <w:rsid w:val="00AF2DC4"/>
    <w:rsid w:val="00AF30C1"/>
    <w:rsid w:val="00AF3408"/>
    <w:rsid w:val="00AF36DA"/>
    <w:rsid w:val="00AF3C42"/>
    <w:rsid w:val="00AF4AA5"/>
    <w:rsid w:val="00AF539E"/>
    <w:rsid w:val="00AF53FE"/>
    <w:rsid w:val="00AF6560"/>
    <w:rsid w:val="00AF7EED"/>
    <w:rsid w:val="00B007D1"/>
    <w:rsid w:val="00B00B4F"/>
    <w:rsid w:val="00B016B8"/>
    <w:rsid w:val="00B03798"/>
    <w:rsid w:val="00B0460F"/>
    <w:rsid w:val="00B0464E"/>
    <w:rsid w:val="00B04E82"/>
    <w:rsid w:val="00B05839"/>
    <w:rsid w:val="00B07100"/>
    <w:rsid w:val="00B076CF"/>
    <w:rsid w:val="00B07A87"/>
    <w:rsid w:val="00B1095C"/>
    <w:rsid w:val="00B10E3E"/>
    <w:rsid w:val="00B11E67"/>
    <w:rsid w:val="00B12663"/>
    <w:rsid w:val="00B126FB"/>
    <w:rsid w:val="00B1296A"/>
    <w:rsid w:val="00B12D45"/>
    <w:rsid w:val="00B12DCD"/>
    <w:rsid w:val="00B12E94"/>
    <w:rsid w:val="00B132A4"/>
    <w:rsid w:val="00B13EE8"/>
    <w:rsid w:val="00B14999"/>
    <w:rsid w:val="00B14B11"/>
    <w:rsid w:val="00B14F7A"/>
    <w:rsid w:val="00B1574B"/>
    <w:rsid w:val="00B157C2"/>
    <w:rsid w:val="00B159A6"/>
    <w:rsid w:val="00B16D15"/>
    <w:rsid w:val="00B17315"/>
    <w:rsid w:val="00B2041A"/>
    <w:rsid w:val="00B20C2C"/>
    <w:rsid w:val="00B2246F"/>
    <w:rsid w:val="00B22EA1"/>
    <w:rsid w:val="00B2474A"/>
    <w:rsid w:val="00B25289"/>
    <w:rsid w:val="00B258DA"/>
    <w:rsid w:val="00B2599A"/>
    <w:rsid w:val="00B30DDA"/>
    <w:rsid w:val="00B3109A"/>
    <w:rsid w:val="00B31CE4"/>
    <w:rsid w:val="00B32E63"/>
    <w:rsid w:val="00B339C7"/>
    <w:rsid w:val="00B33AB7"/>
    <w:rsid w:val="00B33D43"/>
    <w:rsid w:val="00B34324"/>
    <w:rsid w:val="00B34788"/>
    <w:rsid w:val="00B34A3D"/>
    <w:rsid w:val="00B34D12"/>
    <w:rsid w:val="00B354FE"/>
    <w:rsid w:val="00B366E3"/>
    <w:rsid w:val="00B3674B"/>
    <w:rsid w:val="00B375EA"/>
    <w:rsid w:val="00B37714"/>
    <w:rsid w:val="00B37F02"/>
    <w:rsid w:val="00B40B04"/>
    <w:rsid w:val="00B41BA4"/>
    <w:rsid w:val="00B4285C"/>
    <w:rsid w:val="00B42D48"/>
    <w:rsid w:val="00B42DE6"/>
    <w:rsid w:val="00B435DE"/>
    <w:rsid w:val="00B44C51"/>
    <w:rsid w:val="00B45966"/>
    <w:rsid w:val="00B460F1"/>
    <w:rsid w:val="00B47219"/>
    <w:rsid w:val="00B475EF"/>
    <w:rsid w:val="00B503F2"/>
    <w:rsid w:val="00B50412"/>
    <w:rsid w:val="00B504EC"/>
    <w:rsid w:val="00B519C0"/>
    <w:rsid w:val="00B51E99"/>
    <w:rsid w:val="00B55721"/>
    <w:rsid w:val="00B562B0"/>
    <w:rsid w:val="00B56952"/>
    <w:rsid w:val="00B56A85"/>
    <w:rsid w:val="00B56D2A"/>
    <w:rsid w:val="00B56F07"/>
    <w:rsid w:val="00B56FAB"/>
    <w:rsid w:val="00B573F4"/>
    <w:rsid w:val="00B574A3"/>
    <w:rsid w:val="00B60269"/>
    <w:rsid w:val="00B60FBC"/>
    <w:rsid w:val="00B61936"/>
    <w:rsid w:val="00B62CA2"/>
    <w:rsid w:val="00B63F57"/>
    <w:rsid w:val="00B648F6"/>
    <w:rsid w:val="00B6535B"/>
    <w:rsid w:val="00B655DE"/>
    <w:rsid w:val="00B65E66"/>
    <w:rsid w:val="00B66B8C"/>
    <w:rsid w:val="00B67B38"/>
    <w:rsid w:val="00B67FD5"/>
    <w:rsid w:val="00B70D77"/>
    <w:rsid w:val="00B70E7D"/>
    <w:rsid w:val="00B71059"/>
    <w:rsid w:val="00B7150A"/>
    <w:rsid w:val="00B71CA9"/>
    <w:rsid w:val="00B73070"/>
    <w:rsid w:val="00B73157"/>
    <w:rsid w:val="00B732CB"/>
    <w:rsid w:val="00B737D1"/>
    <w:rsid w:val="00B74156"/>
    <w:rsid w:val="00B74217"/>
    <w:rsid w:val="00B74738"/>
    <w:rsid w:val="00B747C7"/>
    <w:rsid w:val="00B749F4"/>
    <w:rsid w:val="00B74D56"/>
    <w:rsid w:val="00B75D3D"/>
    <w:rsid w:val="00B76C0D"/>
    <w:rsid w:val="00B76F96"/>
    <w:rsid w:val="00B77B6B"/>
    <w:rsid w:val="00B802AE"/>
    <w:rsid w:val="00B806DE"/>
    <w:rsid w:val="00B807BD"/>
    <w:rsid w:val="00B80971"/>
    <w:rsid w:val="00B80E71"/>
    <w:rsid w:val="00B813E5"/>
    <w:rsid w:val="00B816E1"/>
    <w:rsid w:val="00B81C79"/>
    <w:rsid w:val="00B82037"/>
    <w:rsid w:val="00B82783"/>
    <w:rsid w:val="00B82E79"/>
    <w:rsid w:val="00B83478"/>
    <w:rsid w:val="00B8386D"/>
    <w:rsid w:val="00B8497F"/>
    <w:rsid w:val="00B84A1F"/>
    <w:rsid w:val="00B84DAE"/>
    <w:rsid w:val="00B84F45"/>
    <w:rsid w:val="00B85993"/>
    <w:rsid w:val="00B85AAB"/>
    <w:rsid w:val="00B872A2"/>
    <w:rsid w:val="00B87375"/>
    <w:rsid w:val="00B87FBF"/>
    <w:rsid w:val="00B90559"/>
    <w:rsid w:val="00B90A2B"/>
    <w:rsid w:val="00B90C31"/>
    <w:rsid w:val="00B9134E"/>
    <w:rsid w:val="00B922F8"/>
    <w:rsid w:val="00B9295B"/>
    <w:rsid w:val="00B92981"/>
    <w:rsid w:val="00B92F9C"/>
    <w:rsid w:val="00B93205"/>
    <w:rsid w:val="00B932CF"/>
    <w:rsid w:val="00B93554"/>
    <w:rsid w:val="00B93683"/>
    <w:rsid w:val="00B95639"/>
    <w:rsid w:val="00B95746"/>
    <w:rsid w:val="00B95932"/>
    <w:rsid w:val="00B95CB0"/>
    <w:rsid w:val="00B95E16"/>
    <w:rsid w:val="00B96EA6"/>
    <w:rsid w:val="00BA1499"/>
    <w:rsid w:val="00BA1552"/>
    <w:rsid w:val="00BA1EBA"/>
    <w:rsid w:val="00BA2687"/>
    <w:rsid w:val="00BA3048"/>
    <w:rsid w:val="00BA4B38"/>
    <w:rsid w:val="00BA5AC1"/>
    <w:rsid w:val="00BA5BE9"/>
    <w:rsid w:val="00BA61EA"/>
    <w:rsid w:val="00BA66AF"/>
    <w:rsid w:val="00BA6B8C"/>
    <w:rsid w:val="00BA6CE3"/>
    <w:rsid w:val="00BA6F9B"/>
    <w:rsid w:val="00BA7C89"/>
    <w:rsid w:val="00BB0C11"/>
    <w:rsid w:val="00BB105D"/>
    <w:rsid w:val="00BB221B"/>
    <w:rsid w:val="00BB33B3"/>
    <w:rsid w:val="00BB3966"/>
    <w:rsid w:val="00BB3B25"/>
    <w:rsid w:val="00BB3BF4"/>
    <w:rsid w:val="00BB3D6C"/>
    <w:rsid w:val="00BB55DB"/>
    <w:rsid w:val="00BB59A6"/>
    <w:rsid w:val="00BB65FD"/>
    <w:rsid w:val="00BB69D1"/>
    <w:rsid w:val="00BC2550"/>
    <w:rsid w:val="00BC2B32"/>
    <w:rsid w:val="00BC2FE5"/>
    <w:rsid w:val="00BC3940"/>
    <w:rsid w:val="00BC46B3"/>
    <w:rsid w:val="00BC46F0"/>
    <w:rsid w:val="00BC5590"/>
    <w:rsid w:val="00BC591D"/>
    <w:rsid w:val="00BC62B0"/>
    <w:rsid w:val="00BC6323"/>
    <w:rsid w:val="00BD06BD"/>
    <w:rsid w:val="00BD06D6"/>
    <w:rsid w:val="00BD108B"/>
    <w:rsid w:val="00BD2281"/>
    <w:rsid w:val="00BD2791"/>
    <w:rsid w:val="00BD3555"/>
    <w:rsid w:val="00BD3680"/>
    <w:rsid w:val="00BD46D9"/>
    <w:rsid w:val="00BD4D90"/>
    <w:rsid w:val="00BD513B"/>
    <w:rsid w:val="00BD54FC"/>
    <w:rsid w:val="00BD5811"/>
    <w:rsid w:val="00BD592B"/>
    <w:rsid w:val="00BD5B08"/>
    <w:rsid w:val="00BD6EF8"/>
    <w:rsid w:val="00BD7208"/>
    <w:rsid w:val="00BD7E9A"/>
    <w:rsid w:val="00BE0747"/>
    <w:rsid w:val="00BE12B4"/>
    <w:rsid w:val="00BE1A50"/>
    <w:rsid w:val="00BE1B46"/>
    <w:rsid w:val="00BE1DC7"/>
    <w:rsid w:val="00BE3619"/>
    <w:rsid w:val="00BE3A32"/>
    <w:rsid w:val="00BE3B82"/>
    <w:rsid w:val="00BE3BDE"/>
    <w:rsid w:val="00BE4337"/>
    <w:rsid w:val="00BE4386"/>
    <w:rsid w:val="00BE59EF"/>
    <w:rsid w:val="00BE7385"/>
    <w:rsid w:val="00BE7E70"/>
    <w:rsid w:val="00BF01BC"/>
    <w:rsid w:val="00BF1279"/>
    <w:rsid w:val="00BF1A4C"/>
    <w:rsid w:val="00BF206E"/>
    <w:rsid w:val="00BF2748"/>
    <w:rsid w:val="00BF290F"/>
    <w:rsid w:val="00BF2C58"/>
    <w:rsid w:val="00BF4A8F"/>
    <w:rsid w:val="00BF5396"/>
    <w:rsid w:val="00BF682A"/>
    <w:rsid w:val="00BF6976"/>
    <w:rsid w:val="00BF71A5"/>
    <w:rsid w:val="00BF7413"/>
    <w:rsid w:val="00BF7453"/>
    <w:rsid w:val="00BF7CCC"/>
    <w:rsid w:val="00BF7F1C"/>
    <w:rsid w:val="00C00C1C"/>
    <w:rsid w:val="00C00D65"/>
    <w:rsid w:val="00C02DED"/>
    <w:rsid w:val="00C0315F"/>
    <w:rsid w:val="00C03417"/>
    <w:rsid w:val="00C036C8"/>
    <w:rsid w:val="00C04673"/>
    <w:rsid w:val="00C05339"/>
    <w:rsid w:val="00C0705F"/>
    <w:rsid w:val="00C07F4B"/>
    <w:rsid w:val="00C07FA9"/>
    <w:rsid w:val="00C11558"/>
    <w:rsid w:val="00C11915"/>
    <w:rsid w:val="00C12566"/>
    <w:rsid w:val="00C13393"/>
    <w:rsid w:val="00C1386C"/>
    <w:rsid w:val="00C15C22"/>
    <w:rsid w:val="00C1671B"/>
    <w:rsid w:val="00C16ABF"/>
    <w:rsid w:val="00C212BE"/>
    <w:rsid w:val="00C21957"/>
    <w:rsid w:val="00C220E7"/>
    <w:rsid w:val="00C24A93"/>
    <w:rsid w:val="00C250E4"/>
    <w:rsid w:val="00C25509"/>
    <w:rsid w:val="00C25B8E"/>
    <w:rsid w:val="00C25F0C"/>
    <w:rsid w:val="00C26AA0"/>
    <w:rsid w:val="00C2747A"/>
    <w:rsid w:val="00C2765B"/>
    <w:rsid w:val="00C301A0"/>
    <w:rsid w:val="00C30BBA"/>
    <w:rsid w:val="00C30D80"/>
    <w:rsid w:val="00C3293E"/>
    <w:rsid w:val="00C346C0"/>
    <w:rsid w:val="00C34793"/>
    <w:rsid w:val="00C357DE"/>
    <w:rsid w:val="00C35B0D"/>
    <w:rsid w:val="00C3712C"/>
    <w:rsid w:val="00C3778A"/>
    <w:rsid w:val="00C378C0"/>
    <w:rsid w:val="00C37E75"/>
    <w:rsid w:val="00C444E5"/>
    <w:rsid w:val="00C445FC"/>
    <w:rsid w:val="00C4515B"/>
    <w:rsid w:val="00C4615D"/>
    <w:rsid w:val="00C4693E"/>
    <w:rsid w:val="00C5365A"/>
    <w:rsid w:val="00C53FC5"/>
    <w:rsid w:val="00C5535D"/>
    <w:rsid w:val="00C5569C"/>
    <w:rsid w:val="00C564D5"/>
    <w:rsid w:val="00C56C1F"/>
    <w:rsid w:val="00C6044E"/>
    <w:rsid w:val="00C6162F"/>
    <w:rsid w:val="00C61B43"/>
    <w:rsid w:val="00C621C0"/>
    <w:rsid w:val="00C62511"/>
    <w:rsid w:val="00C635A3"/>
    <w:rsid w:val="00C63BBF"/>
    <w:rsid w:val="00C63F27"/>
    <w:rsid w:val="00C647BA"/>
    <w:rsid w:val="00C653FD"/>
    <w:rsid w:val="00C700DF"/>
    <w:rsid w:val="00C70426"/>
    <w:rsid w:val="00C70B62"/>
    <w:rsid w:val="00C714F2"/>
    <w:rsid w:val="00C717B0"/>
    <w:rsid w:val="00C721A0"/>
    <w:rsid w:val="00C728BF"/>
    <w:rsid w:val="00C72C0D"/>
    <w:rsid w:val="00C72D27"/>
    <w:rsid w:val="00C72FA8"/>
    <w:rsid w:val="00C73353"/>
    <w:rsid w:val="00C74204"/>
    <w:rsid w:val="00C74D94"/>
    <w:rsid w:val="00C74E1A"/>
    <w:rsid w:val="00C75116"/>
    <w:rsid w:val="00C75217"/>
    <w:rsid w:val="00C8012D"/>
    <w:rsid w:val="00C8030A"/>
    <w:rsid w:val="00C80AB2"/>
    <w:rsid w:val="00C811FF"/>
    <w:rsid w:val="00C81BA5"/>
    <w:rsid w:val="00C81E3E"/>
    <w:rsid w:val="00C81FDB"/>
    <w:rsid w:val="00C8227D"/>
    <w:rsid w:val="00C822DD"/>
    <w:rsid w:val="00C82DC3"/>
    <w:rsid w:val="00C83259"/>
    <w:rsid w:val="00C83E75"/>
    <w:rsid w:val="00C83F4F"/>
    <w:rsid w:val="00C849E9"/>
    <w:rsid w:val="00C85310"/>
    <w:rsid w:val="00C8580B"/>
    <w:rsid w:val="00C85A48"/>
    <w:rsid w:val="00C85BB7"/>
    <w:rsid w:val="00C85F65"/>
    <w:rsid w:val="00C86535"/>
    <w:rsid w:val="00C865E7"/>
    <w:rsid w:val="00C869B2"/>
    <w:rsid w:val="00C86E76"/>
    <w:rsid w:val="00C8735A"/>
    <w:rsid w:val="00C873C9"/>
    <w:rsid w:val="00C876BB"/>
    <w:rsid w:val="00C87C1F"/>
    <w:rsid w:val="00C90B1F"/>
    <w:rsid w:val="00C91228"/>
    <w:rsid w:val="00C9137F"/>
    <w:rsid w:val="00C91D22"/>
    <w:rsid w:val="00C93938"/>
    <w:rsid w:val="00C939AE"/>
    <w:rsid w:val="00C93A36"/>
    <w:rsid w:val="00C941AD"/>
    <w:rsid w:val="00C94FC5"/>
    <w:rsid w:val="00C9525D"/>
    <w:rsid w:val="00C9544E"/>
    <w:rsid w:val="00C95A18"/>
    <w:rsid w:val="00C95CF7"/>
    <w:rsid w:val="00C9617F"/>
    <w:rsid w:val="00C969B8"/>
    <w:rsid w:val="00C96C01"/>
    <w:rsid w:val="00C973B2"/>
    <w:rsid w:val="00C9743C"/>
    <w:rsid w:val="00C975CB"/>
    <w:rsid w:val="00C977AB"/>
    <w:rsid w:val="00CA085D"/>
    <w:rsid w:val="00CA1EF0"/>
    <w:rsid w:val="00CA343F"/>
    <w:rsid w:val="00CA3F76"/>
    <w:rsid w:val="00CA4232"/>
    <w:rsid w:val="00CA4660"/>
    <w:rsid w:val="00CA558C"/>
    <w:rsid w:val="00CA5ED3"/>
    <w:rsid w:val="00CA622F"/>
    <w:rsid w:val="00CA63C8"/>
    <w:rsid w:val="00CA6A79"/>
    <w:rsid w:val="00CB0A00"/>
    <w:rsid w:val="00CB0B15"/>
    <w:rsid w:val="00CB132A"/>
    <w:rsid w:val="00CB186A"/>
    <w:rsid w:val="00CB1E6F"/>
    <w:rsid w:val="00CB2FED"/>
    <w:rsid w:val="00CB3183"/>
    <w:rsid w:val="00CB33F2"/>
    <w:rsid w:val="00CB3ADF"/>
    <w:rsid w:val="00CB5C77"/>
    <w:rsid w:val="00CB62E6"/>
    <w:rsid w:val="00CB6367"/>
    <w:rsid w:val="00CB6712"/>
    <w:rsid w:val="00CB6769"/>
    <w:rsid w:val="00CB716A"/>
    <w:rsid w:val="00CB7D79"/>
    <w:rsid w:val="00CB7E84"/>
    <w:rsid w:val="00CC0C1F"/>
    <w:rsid w:val="00CC2A74"/>
    <w:rsid w:val="00CC38EA"/>
    <w:rsid w:val="00CC468F"/>
    <w:rsid w:val="00CC469C"/>
    <w:rsid w:val="00CC4D91"/>
    <w:rsid w:val="00CC538D"/>
    <w:rsid w:val="00CC5AF3"/>
    <w:rsid w:val="00CC5C93"/>
    <w:rsid w:val="00CC6DC7"/>
    <w:rsid w:val="00CC6F2B"/>
    <w:rsid w:val="00CC71F8"/>
    <w:rsid w:val="00CD0EC5"/>
    <w:rsid w:val="00CD2ADD"/>
    <w:rsid w:val="00CD41D0"/>
    <w:rsid w:val="00CD5ADD"/>
    <w:rsid w:val="00CD76ED"/>
    <w:rsid w:val="00CD79B4"/>
    <w:rsid w:val="00CE0794"/>
    <w:rsid w:val="00CE123F"/>
    <w:rsid w:val="00CE14BE"/>
    <w:rsid w:val="00CE254D"/>
    <w:rsid w:val="00CE2851"/>
    <w:rsid w:val="00CE28ED"/>
    <w:rsid w:val="00CE414C"/>
    <w:rsid w:val="00CE433D"/>
    <w:rsid w:val="00CE75F2"/>
    <w:rsid w:val="00CF02D8"/>
    <w:rsid w:val="00CF1A0F"/>
    <w:rsid w:val="00CF1A5B"/>
    <w:rsid w:val="00CF21BA"/>
    <w:rsid w:val="00CF22E9"/>
    <w:rsid w:val="00CF2438"/>
    <w:rsid w:val="00CF2674"/>
    <w:rsid w:val="00CF3287"/>
    <w:rsid w:val="00CF3F71"/>
    <w:rsid w:val="00CF470C"/>
    <w:rsid w:val="00CF568F"/>
    <w:rsid w:val="00CF75A6"/>
    <w:rsid w:val="00CF7871"/>
    <w:rsid w:val="00CF7F27"/>
    <w:rsid w:val="00D00005"/>
    <w:rsid w:val="00D011BA"/>
    <w:rsid w:val="00D017CC"/>
    <w:rsid w:val="00D02EE7"/>
    <w:rsid w:val="00D042BA"/>
    <w:rsid w:val="00D04E26"/>
    <w:rsid w:val="00D05A3A"/>
    <w:rsid w:val="00D05D33"/>
    <w:rsid w:val="00D06E40"/>
    <w:rsid w:val="00D1024F"/>
    <w:rsid w:val="00D11BC3"/>
    <w:rsid w:val="00D11D48"/>
    <w:rsid w:val="00D1242C"/>
    <w:rsid w:val="00D12B65"/>
    <w:rsid w:val="00D1308F"/>
    <w:rsid w:val="00D1375B"/>
    <w:rsid w:val="00D142D9"/>
    <w:rsid w:val="00D14EF3"/>
    <w:rsid w:val="00D153C5"/>
    <w:rsid w:val="00D168CB"/>
    <w:rsid w:val="00D1697C"/>
    <w:rsid w:val="00D16E6D"/>
    <w:rsid w:val="00D16FF9"/>
    <w:rsid w:val="00D173CD"/>
    <w:rsid w:val="00D17E9B"/>
    <w:rsid w:val="00D2286E"/>
    <w:rsid w:val="00D22D1B"/>
    <w:rsid w:val="00D233A4"/>
    <w:rsid w:val="00D24F0A"/>
    <w:rsid w:val="00D2543D"/>
    <w:rsid w:val="00D2603A"/>
    <w:rsid w:val="00D274A8"/>
    <w:rsid w:val="00D2758C"/>
    <w:rsid w:val="00D27A35"/>
    <w:rsid w:val="00D27BFD"/>
    <w:rsid w:val="00D30B53"/>
    <w:rsid w:val="00D31046"/>
    <w:rsid w:val="00D31518"/>
    <w:rsid w:val="00D3152F"/>
    <w:rsid w:val="00D31786"/>
    <w:rsid w:val="00D33EF3"/>
    <w:rsid w:val="00D34CAA"/>
    <w:rsid w:val="00D3502B"/>
    <w:rsid w:val="00D3618B"/>
    <w:rsid w:val="00D36547"/>
    <w:rsid w:val="00D36A01"/>
    <w:rsid w:val="00D36B42"/>
    <w:rsid w:val="00D402C4"/>
    <w:rsid w:val="00D406AE"/>
    <w:rsid w:val="00D40975"/>
    <w:rsid w:val="00D410E9"/>
    <w:rsid w:val="00D41ADD"/>
    <w:rsid w:val="00D4320B"/>
    <w:rsid w:val="00D44106"/>
    <w:rsid w:val="00D441F0"/>
    <w:rsid w:val="00D44C80"/>
    <w:rsid w:val="00D4562F"/>
    <w:rsid w:val="00D46206"/>
    <w:rsid w:val="00D4659D"/>
    <w:rsid w:val="00D47EF8"/>
    <w:rsid w:val="00D50310"/>
    <w:rsid w:val="00D51AAB"/>
    <w:rsid w:val="00D52A4B"/>
    <w:rsid w:val="00D54832"/>
    <w:rsid w:val="00D55313"/>
    <w:rsid w:val="00D55D2A"/>
    <w:rsid w:val="00D55E09"/>
    <w:rsid w:val="00D56310"/>
    <w:rsid w:val="00D60F15"/>
    <w:rsid w:val="00D61594"/>
    <w:rsid w:val="00D618A1"/>
    <w:rsid w:val="00D61A9C"/>
    <w:rsid w:val="00D61B3A"/>
    <w:rsid w:val="00D6251F"/>
    <w:rsid w:val="00D64555"/>
    <w:rsid w:val="00D6484A"/>
    <w:rsid w:val="00D66254"/>
    <w:rsid w:val="00D66AD1"/>
    <w:rsid w:val="00D67EE1"/>
    <w:rsid w:val="00D70E52"/>
    <w:rsid w:val="00D7134A"/>
    <w:rsid w:val="00D71768"/>
    <w:rsid w:val="00D71B58"/>
    <w:rsid w:val="00D72E66"/>
    <w:rsid w:val="00D72F0E"/>
    <w:rsid w:val="00D72FA5"/>
    <w:rsid w:val="00D731A5"/>
    <w:rsid w:val="00D74B81"/>
    <w:rsid w:val="00D75598"/>
    <w:rsid w:val="00D75CB8"/>
    <w:rsid w:val="00D76F0C"/>
    <w:rsid w:val="00D81E40"/>
    <w:rsid w:val="00D82091"/>
    <w:rsid w:val="00D826DF"/>
    <w:rsid w:val="00D840E4"/>
    <w:rsid w:val="00D8446F"/>
    <w:rsid w:val="00D84BD4"/>
    <w:rsid w:val="00D85A4A"/>
    <w:rsid w:val="00D863C4"/>
    <w:rsid w:val="00D86C77"/>
    <w:rsid w:val="00D87D0D"/>
    <w:rsid w:val="00D9032D"/>
    <w:rsid w:val="00D90639"/>
    <w:rsid w:val="00D93D27"/>
    <w:rsid w:val="00D93F12"/>
    <w:rsid w:val="00D94425"/>
    <w:rsid w:val="00D94CA8"/>
    <w:rsid w:val="00D94E00"/>
    <w:rsid w:val="00D95B5D"/>
    <w:rsid w:val="00D95BD0"/>
    <w:rsid w:val="00D961B7"/>
    <w:rsid w:val="00D963B6"/>
    <w:rsid w:val="00D9653D"/>
    <w:rsid w:val="00D97C9D"/>
    <w:rsid w:val="00D97E30"/>
    <w:rsid w:val="00DA021C"/>
    <w:rsid w:val="00DA141A"/>
    <w:rsid w:val="00DA1961"/>
    <w:rsid w:val="00DA1EE4"/>
    <w:rsid w:val="00DA328C"/>
    <w:rsid w:val="00DA4D28"/>
    <w:rsid w:val="00DA536F"/>
    <w:rsid w:val="00DA559A"/>
    <w:rsid w:val="00DA5EE4"/>
    <w:rsid w:val="00DA692A"/>
    <w:rsid w:val="00DA7AA7"/>
    <w:rsid w:val="00DB1281"/>
    <w:rsid w:val="00DB26B6"/>
    <w:rsid w:val="00DB2845"/>
    <w:rsid w:val="00DB2C33"/>
    <w:rsid w:val="00DB2DCA"/>
    <w:rsid w:val="00DB34AE"/>
    <w:rsid w:val="00DB365B"/>
    <w:rsid w:val="00DB45B0"/>
    <w:rsid w:val="00DB5336"/>
    <w:rsid w:val="00DB53EA"/>
    <w:rsid w:val="00DB5CA8"/>
    <w:rsid w:val="00DB7165"/>
    <w:rsid w:val="00DB7A32"/>
    <w:rsid w:val="00DB7C8F"/>
    <w:rsid w:val="00DC0675"/>
    <w:rsid w:val="00DC0B36"/>
    <w:rsid w:val="00DC16E9"/>
    <w:rsid w:val="00DC1B37"/>
    <w:rsid w:val="00DC1BA8"/>
    <w:rsid w:val="00DC220B"/>
    <w:rsid w:val="00DC3228"/>
    <w:rsid w:val="00DC3578"/>
    <w:rsid w:val="00DC47A9"/>
    <w:rsid w:val="00DC4BD4"/>
    <w:rsid w:val="00DC5325"/>
    <w:rsid w:val="00DC54B3"/>
    <w:rsid w:val="00DC5DCD"/>
    <w:rsid w:val="00DC6F4A"/>
    <w:rsid w:val="00DC7A81"/>
    <w:rsid w:val="00DD0393"/>
    <w:rsid w:val="00DD0666"/>
    <w:rsid w:val="00DD0B03"/>
    <w:rsid w:val="00DD1D0D"/>
    <w:rsid w:val="00DD1DD9"/>
    <w:rsid w:val="00DD3142"/>
    <w:rsid w:val="00DD321A"/>
    <w:rsid w:val="00DD3330"/>
    <w:rsid w:val="00DD3AA2"/>
    <w:rsid w:val="00DD3E56"/>
    <w:rsid w:val="00DD416A"/>
    <w:rsid w:val="00DD4E2A"/>
    <w:rsid w:val="00DD5568"/>
    <w:rsid w:val="00DD5CB8"/>
    <w:rsid w:val="00DD5E2F"/>
    <w:rsid w:val="00DD6450"/>
    <w:rsid w:val="00DD734B"/>
    <w:rsid w:val="00DD749B"/>
    <w:rsid w:val="00DE0454"/>
    <w:rsid w:val="00DE04D3"/>
    <w:rsid w:val="00DE0BE2"/>
    <w:rsid w:val="00DE13E9"/>
    <w:rsid w:val="00DE2015"/>
    <w:rsid w:val="00DE241F"/>
    <w:rsid w:val="00DE286A"/>
    <w:rsid w:val="00DE2BB6"/>
    <w:rsid w:val="00DE3EAA"/>
    <w:rsid w:val="00DE4647"/>
    <w:rsid w:val="00DE59FD"/>
    <w:rsid w:val="00DE6103"/>
    <w:rsid w:val="00DE634C"/>
    <w:rsid w:val="00DE6515"/>
    <w:rsid w:val="00DE7255"/>
    <w:rsid w:val="00DE7A2E"/>
    <w:rsid w:val="00DE7D99"/>
    <w:rsid w:val="00DF1B2D"/>
    <w:rsid w:val="00DF1BA5"/>
    <w:rsid w:val="00DF1DA7"/>
    <w:rsid w:val="00DF25BF"/>
    <w:rsid w:val="00DF461C"/>
    <w:rsid w:val="00DF4A75"/>
    <w:rsid w:val="00E004F2"/>
    <w:rsid w:val="00E0076E"/>
    <w:rsid w:val="00E008C4"/>
    <w:rsid w:val="00E00C70"/>
    <w:rsid w:val="00E00D77"/>
    <w:rsid w:val="00E00E82"/>
    <w:rsid w:val="00E0293D"/>
    <w:rsid w:val="00E03B6E"/>
    <w:rsid w:val="00E03C2C"/>
    <w:rsid w:val="00E03E7D"/>
    <w:rsid w:val="00E043AA"/>
    <w:rsid w:val="00E04858"/>
    <w:rsid w:val="00E051A9"/>
    <w:rsid w:val="00E05E0D"/>
    <w:rsid w:val="00E064DB"/>
    <w:rsid w:val="00E06DCA"/>
    <w:rsid w:val="00E10234"/>
    <w:rsid w:val="00E1092F"/>
    <w:rsid w:val="00E10A14"/>
    <w:rsid w:val="00E10ABF"/>
    <w:rsid w:val="00E10F00"/>
    <w:rsid w:val="00E11224"/>
    <w:rsid w:val="00E11399"/>
    <w:rsid w:val="00E1202F"/>
    <w:rsid w:val="00E12827"/>
    <w:rsid w:val="00E133D8"/>
    <w:rsid w:val="00E14899"/>
    <w:rsid w:val="00E1490B"/>
    <w:rsid w:val="00E14D2D"/>
    <w:rsid w:val="00E1519F"/>
    <w:rsid w:val="00E165ED"/>
    <w:rsid w:val="00E16DAE"/>
    <w:rsid w:val="00E16EAD"/>
    <w:rsid w:val="00E17A02"/>
    <w:rsid w:val="00E215EC"/>
    <w:rsid w:val="00E21D1A"/>
    <w:rsid w:val="00E21D7B"/>
    <w:rsid w:val="00E221D4"/>
    <w:rsid w:val="00E2268B"/>
    <w:rsid w:val="00E22E2C"/>
    <w:rsid w:val="00E23A8C"/>
    <w:rsid w:val="00E23B6F"/>
    <w:rsid w:val="00E23F48"/>
    <w:rsid w:val="00E23FA7"/>
    <w:rsid w:val="00E2408D"/>
    <w:rsid w:val="00E24FB7"/>
    <w:rsid w:val="00E25489"/>
    <w:rsid w:val="00E25884"/>
    <w:rsid w:val="00E25CA4"/>
    <w:rsid w:val="00E25CAD"/>
    <w:rsid w:val="00E25E42"/>
    <w:rsid w:val="00E261BB"/>
    <w:rsid w:val="00E26B47"/>
    <w:rsid w:val="00E30C57"/>
    <w:rsid w:val="00E31DC5"/>
    <w:rsid w:val="00E32893"/>
    <w:rsid w:val="00E33BE9"/>
    <w:rsid w:val="00E34456"/>
    <w:rsid w:val="00E346D0"/>
    <w:rsid w:val="00E355A2"/>
    <w:rsid w:val="00E35C53"/>
    <w:rsid w:val="00E37024"/>
    <w:rsid w:val="00E37493"/>
    <w:rsid w:val="00E375FC"/>
    <w:rsid w:val="00E377DD"/>
    <w:rsid w:val="00E40A99"/>
    <w:rsid w:val="00E40AB3"/>
    <w:rsid w:val="00E40FAD"/>
    <w:rsid w:val="00E41E07"/>
    <w:rsid w:val="00E42A3C"/>
    <w:rsid w:val="00E42A4B"/>
    <w:rsid w:val="00E4399B"/>
    <w:rsid w:val="00E43CE7"/>
    <w:rsid w:val="00E45C41"/>
    <w:rsid w:val="00E45F09"/>
    <w:rsid w:val="00E4635D"/>
    <w:rsid w:val="00E46657"/>
    <w:rsid w:val="00E47B6E"/>
    <w:rsid w:val="00E508BC"/>
    <w:rsid w:val="00E51220"/>
    <w:rsid w:val="00E51C1B"/>
    <w:rsid w:val="00E52DDA"/>
    <w:rsid w:val="00E5345D"/>
    <w:rsid w:val="00E53BB0"/>
    <w:rsid w:val="00E54600"/>
    <w:rsid w:val="00E547B1"/>
    <w:rsid w:val="00E55392"/>
    <w:rsid w:val="00E55D42"/>
    <w:rsid w:val="00E55DE9"/>
    <w:rsid w:val="00E56961"/>
    <w:rsid w:val="00E56B5C"/>
    <w:rsid w:val="00E60CCC"/>
    <w:rsid w:val="00E60ECF"/>
    <w:rsid w:val="00E61897"/>
    <w:rsid w:val="00E61B05"/>
    <w:rsid w:val="00E62611"/>
    <w:rsid w:val="00E63E05"/>
    <w:rsid w:val="00E63ED7"/>
    <w:rsid w:val="00E661E6"/>
    <w:rsid w:val="00E66358"/>
    <w:rsid w:val="00E6642B"/>
    <w:rsid w:val="00E66A06"/>
    <w:rsid w:val="00E66CBF"/>
    <w:rsid w:val="00E67363"/>
    <w:rsid w:val="00E675A6"/>
    <w:rsid w:val="00E70200"/>
    <w:rsid w:val="00E706D3"/>
    <w:rsid w:val="00E70FEF"/>
    <w:rsid w:val="00E714E5"/>
    <w:rsid w:val="00E7157D"/>
    <w:rsid w:val="00E717A3"/>
    <w:rsid w:val="00E71C89"/>
    <w:rsid w:val="00E71F3C"/>
    <w:rsid w:val="00E73751"/>
    <w:rsid w:val="00E73E6E"/>
    <w:rsid w:val="00E73E79"/>
    <w:rsid w:val="00E74A53"/>
    <w:rsid w:val="00E74C5C"/>
    <w:rsid w:val="00E75D78"/>
    <w:rsid w:val="00E76320"/>
    <w:rsid w:val="00E764B1"/>
    <w:rsid w:val="00E76F16"/>
    <w:rsid w:val="00E77122"/>
    <w:rsid w:val="00E77736"/>
    <w:rsid w:val="00E81225"/>
    <w:rsid w:val="00E812DE"/>
    <w:rsid w:val="00E81FAA"/>
    <w:rsid w:val="00E825DC"/>
    <w:rsid w:val="00E825FD"/>
    <w:rsid w:val="00E834FF"/>
    <w:rsid w:val="00E83A5A"/>
    <w:rsid w:val="00E84947"/>
    <w:rsid w:val="00E860EA"/>
    <w:rsid w:val="00E86494"/>
    <w:rsid w:val="00E86C02"/>
    <w:rsid w:val="00E874F9"/>
    <w:rsid w:val="00E90474"/>
    <w:rsid w:val="00E9080A"/>
    <w:rsid w:val="00E90A9D"/>
    <w:rsid w:val="00E91442"/>
    <w:rsid w:val="00E917F1"/>
    <w:rsid w:val="00E9199E"/>
    <w:rsid w:val="00E9236E"/>
    <w:rsid w:val="00E94AFD"/>
    <w:rsid w:val="00E958CF"/>
    <w:rsid w:val="00E95D62"/>
    <w:rsid w:val="00E96E8D"/>
    <w:rsid w:val="00E97182"/>
    <w:rsid w:val="00E972BE"/>
    <w:rsid w:val="00E973BA"/>
    <w:rsid w:val="00E975AB"/>
    <w:rsid w:val="00E97EA4"/>
    <w:rsid w:val="00EA0BE8"/>
    <w:rsid w:val="00EA0EF7"/>
    <w:rsid w:val="00EA1490"/>
    <w:rsid w:val="00EA274B"/>
    <w:rsid w:val="00EA2BD5"/>
    <w:rsid w:val="00EA4902"/>
    <w:rsid w:val="00EA542B"/>
    <w:rsid w:val="00EA5C6F"/>
    <w:rsid w:val="00EA7993"/>
    <w:rsid w:val="00EA7A16"/>
    <w:rsid w:val="00EA7F3A"/>
    <w:rsid w:val="00EB0037"/>
    <w:rsid w:val="00EB0C23"/>
    <w:rsid w:val="00EB1342"/>
    <w:rsid w:val="00EB198C"/>
    <w:rsid w:val="00EB1C99"/>
    <w:rsid w:val="00EB2187"/>
    <w:rsid w:val="00EB2B15"/>
    <w:rsid w:val="00EB3E1E"/>
    <w:rsid w:val="00EB4334"/>
    <w:rsid w:val="00EB48D4"/>
    <w:rsid w:val="00EB51E1"/>
    <w:rsid w:val="00EB5AAC"/>
    <w:rsid w:val="00EB6B08"/>
    <w:rsid w:val="00EB718E"/>
    <w:rsid w:val="00EB7C55"/>
    <w:rsid w:val="00EC017C"/>
    <w:rsid w:val="00EC01C2"/>
    <w:rsid w:val="00EC0205"/>
    <w:rsid w:val="00EC03F7"/>
    <w:rsid w:val="00EC1564"/>
    <w:rsid w:val="00EC168F"/>
    <w:rsid w:val="00EC1832"/>
    <w:rsid w:val="00EC232B"/>
    <w:rsid w:val="00EC261B"/>
    <w:rsid w:val="00EC3A43"/>
    <w:rsid w:val="00EC4A93"/>
    <w:rsid w:val="00EC4E7D"/>
    <w:rsid w:val="00EC5984"/>
    <w:rsid w:val="00EC6EC3"/>
    <w:rsid w:val="00EC7918"/>
    <w:rsid w:val="00EC7D41"/>
    <w:rsid w:val="00EC7DEB"/>
    <w:rsid w:val="00ED0131"/>
    <w:rsid w:val="00ED014C"/>
    <w:rsid w:val="00ED09CF"/>
    <w:rsid w:val="00ED0B63"/>
    <w:rsid w:val="00ED0BBB"/>
    <w:rsid w:val="00ED0E8A"/>
    <w:rsid w:val="00ED1799"/>
    <w:rsid w:val="00ED2E38"/>
    <w:rsid w:val="00ED339F"/>
    <w:rsid w:val="00ED35E6"/>
    <w:rsid w:val="00ED3CD5"/>
    <w:rsid w:val="00ED4C4C"/>
    <w:rsid w:val="00ED554C"/>
    <w:rsid w:val="00ED57FA"/>
    <w:rsid w:val="00ED5C0F"/>
    <w:rsid w:val="00ED6C76"/>
    <w:rsid w:val="00ED7B91"/>
    <w:rsid w:val="00EE01A8"/>
    <w:rsid w:val="00EE067B"/>
    <w:rsid w:val="00EE1214"/>
    <w:rsid w:val="00EE12A2"/>
    <w:rsid w:val="00EE1328"/>
    <w:rsid w:val="00EE1A28"/>
    <w:rsid w:val="00EE2488"/>
    <w:rsid w:val="00EE3F0E"/>
    <w:rsid w:val="00EE4267"/>
    <w:rsid w:val="00EE653F"/>
    <w:rsid w:val="00EE6733"/>
    <w:rsid w:val="00EE78BE"/>
    <w:rsid w:val="00EE7A99"/>
    <w:rsid w:val="00EF1470"/>
    <w:rsid w:val="00EF3DE4"/>
    <w:rsid w:val="00EF414A"/>
    <w:rsid w:val="00EF46DD"/>
    <w:rsid w:val="00EF4EE5"/>
    <w:rsid w:val="00EF518A"/>
    <w:rsid w:val="00EF55C8"/>
    <w:rsid w:val="00EF68B4"/>
    <w:rsid w:val="00EF6C22"/>
    <w:rsid w:val="00EF7336"/>
    <w:rsid w:val="00EF7BA4"/>
    <w:rsid w:val="00F001AE"/>
    <w:rsid w:val="00F003B8"/>
    <w:rsid w:val="00F005E8"/>
    <w:rsid w:val="00F0096D"/>
    <w:rsid w:val="00F00D0D"/>
    <w:rsid w:val="00F017C4"/>
    <w:rsid w:val="00F01E4C"/>
    <w:rsid w:val="00F03237"/>
    <w:rsid w:val="00F034E4"/>
    <w:rsid w:val="00F03BDA"/>
    <w:rsid w:val="00F03CB2"/>
    <w:rsid w:val="00F04836"/>
    <w:rsid w:val="00F05308"/>
    <w:rsid w:val="00F058F8"/>
    <w:rsid w:val="00F05D36"/>
    <w:rsid w:val="00F061C6"/>
    <w:rsid w:val="00F06DA8"/>
    <w:rsid w:val="00F072BD"/>
    <w:rsid w:val="00F11A58"/>
    <w:rsid w:val="00F11E3A"/>
    <w:rsid w:val="00F12FC4"/>
    <w:rsid w:val="00F13131"/>
    <w:rsid w:val="00F13820"/>
    <w:rsid w:val="00F143A8"/>
    <w:rsid w:val="00F1545A"/>
    <w:rsid w:val="00F15868"/>
    <w:rsid w:val="00F15936"/>
    <w:rsid w:val="00F1657C"/>
    <w:rsid w:val="00F1694C"/>
    <w:rsid w:val="00F1733E"/>
    <w:rsid w:val="00F173D9"/>
    <w:rsid w:val="00F17D06"/>
    <w:rsid w:val="00F17E53"/>
    <w:rsid w:val="00F206D4"/>
    <w:rsid w:val="00F209DF"/>
    <w:rsid w:val="00F2181E"/>
    <w:rsid w:val="00F21825"/>
    <w:rsid w:val="00F2198E"/>
    <w:rsid w:val="00F21F7D"/>
    <w:rsid w:val="00F224C5"/>
    <w:rsid w:val="00F22D1C"/>
    <w:rsid w:val="00F2353D"/>
    <w:rsid w:val="00F23E3E"/>
    <w:rsid w:val="00F25633"/>
    <w:rsid w:val="00F256CA"/>
    <w:rsid w:val="00F25A1D"/>
    <w:rsid w:val="00F25B71"/>
    <w:rsid w:val="00F2658F"/>
    <w:rsid w:val="00F2662C"/>
    <w:rsid w:val="00F2682C"/>
    <w:rsid w:val="00F2771D"/>
    <w:rsid w:val="00F2772E"/>
    <w:rsid w:val="00F303DF"/>
    <w:rsid w:val="00F305C6"/>
    <w:rsid w:val="00F30D40"/>
    <w:rsid w:val="00F31006"/>
    <w:rsid w:val="00F322E5"/>
    <w:rsid w:val="00F325EB"/>
    <w:rsid w:val="00F32AB2"/>
    <w:rsid w:val="00F33783"/>
    <w:rsid w:val="00F338CE"/>
    <w:rsid w:val="00F3390F"/>
    <w:rsid w:val="00F33B66"/>
    <w:rsid w:val="00F3410E"/>
    <w:rsid w:val="00F34544"/>
    <w:rsid w:val="00F348D7"/>
    <w:rsid w:val="00F34B28"/>
    <w:rsid w:val="00F34E01"/>
    <w:rsid w:val="00F3554E"/>
    <w:rsid w:val="00F358C7"/>
    <w:rsid w:val="00F3668A"/>
    <w:rsid w:val="00F36723"/>
    <w:rsid w:val="00F36726"/>
    <w:rsid w:val="00F37802"/>
    <w:rsid w:val="00F37DFE"/>
    <w:rsid w:val="00F37EE2"/>
    <w:rsid w:val="00F40070"/>
    <w:rsid w:val="00F40079"/>
    <w:rsid w:val="00F402D4"/>
    <w:rsid w:val="00F4070D"/>
    <w:rsid w:val="00F40904"/>
    <w:rsid w:val="00F41230"/>
    <w:rsid w:val="00F42332"/>
    <w:rsid w:val="00F432DD"/>
    <w:rsid w:val="00F433AE"/>
    <w:rsid w:val="00F44C89"/>
    <w:rsid w:val="00F44CAA"/>
    <w:rsid w:val="00F44CD7"/>
    <w:rsid w:val="00F458DE"/>
    <w:rsid w:val="00F45D95"/>
    <w:rsid w:val="00F467E1"/>
    <w:rsid w:val="00F46E53"/>
    <w:rsid w:val="00F47167"/>
    <w:rsid w:val="00F47679"/>
    <w:rsid w:val="00F50F0B"/>
    <w:rsid w:val="00F51B99"/>
    <w:rsid w:val="00F525BF"/>
    <w:rsid w:val="00F53013"/>
    <w:rsid w:val="00F53759"/>
    <w:rsid w:val="00F54A28"/>
    <w:rsid w:val="00F55429"/>
    <w:rsid w:val="00F55B23"/>
    <w:rsid w:val="00F55F42"/>
    <w:rsid w:val="00F56346"/>
    <w:rsid w:val="00F568D0"/>
    <w:rsid w:val="00F56BCA"/>
    <w:rsid w:val="00F573AD"/>
    <w:rsid w:val="00F602C1"/>
    <w:rsid w:val="00F61085"/>
    <w:rsid w:val="00F610B0"/>
    <w:rsid w:val="00F614AF"/>
    <w:rsid w:val="00F62243"/>
    <w:rsid w:val="00F628AC"/>
    <w:rsid w:val="00F63492"/>
    <w:rsid w:val="00F6359A"/>
    <w:rsid w:val="00F63818"/>
    <w:rsid w:val="00F63FB0"/>
    <w:rsid w:val="00F645A1"/>
    <w:rsid w:val="00F649A7"/>
    <w:rsid w:val="00F64B4C"/>
    <w:rsid w:val="00F6543E"/>
    <w:rsid w:val="00F65BBE"/>
    <w:rsid w:val="00F65F08"/>
    <w:rsid w:val="00F663AC"/>
    <w:rsid w:val="00F6655E"/>
    <w:rsid w:val="00F670E2"/>
    <w:rsid w:val="00F6755D"/>
    <w:rsid w:val="00F701E0"/>
    <w:rsid w:val="00F71AAE"/>
    <w:rsid w:val="00F72244"/>
    <w:rsid w:val="00F7276A"/>
    <w:rsid w:val="00F73B17"/>
    <w:rsid w:val="00F744AB"/>
    <w:rsid w:val="00F74774"/>
    <w:rsid w:val="00F74872"/>
    <w:rsid w:val="00F75FBE"/>
    <w:rsid w:val="00F760B4"/>
    <w:rsid w:val="00F76375"/>
    <w:rsid w:val="00F76C8A"/>
    <w:rsid w:val="00F80878"/>
    <w:rsid w:val="00F80ED7"/>
    <w:rsid w:val="00F815AE"/>
    <w:rsid w:val="00F81D69"/>
    <w:rsid w:val="00F82EE0"/>
    <w:rsid w:val="00F82F33"/>
    <w:rsid w:val="00F83F1C"/>
    <w:rsid w:val="00F844D7"/>
    <w:rsid w:val="00F858F0"/>
    <w:rsid w:val="00F864B5"/>
    <w:rsid w:val="00F870A1"/>
    <w:rsid w:val="00F90772"/>
    <w:rsid w:val="00F9138F"/>
    <w:rsid w:val="00F92DA8"/>
    <w:rsid w:val="00F92F9B"/>
    <w:rsid w:val="00F93D01"/>
    <w:rsid w:val="00F93F19"/>
    <w:rsid w:val="00F95BE1"/>
    <w:rsid w:val="00F96AF0"/>
    <w:rsid w:val="00F9754C"/>
    <w:rsid w:val="00FA0989"/>
    <w:rsid w:val="00FA0A8E"/>
    <w:rsid w:val="00FA1781"/>
    <w:rsid w:val="00FA1837"/>
    <w:rsid w:val="00FA218A"/>
    <w:rsid w:val="00FA2CCC"/>
    <w:rsid w:val="00FA4FF3"/>
    <w:rsid w:val="00FA52E5"/>
    <w:rsid w:val="00FA7A0C"/>
    <w:rsid w:val="00FB020D"/>
    <w:rsid w:val="00FB04C4"/>
    <w:rsid w:val="00FB08C6"/>
    <w:rsid w:val="00FB2C38"/>
    <w:rsid w:val="00FB2CA1"/>
    <w:rsid w:val="00FB3000"/>
    <w:rsid w:val="00FB35A4"/>
    <w:rsid w:val="00FB4FDD"/>
    <w:rsid w:val="00FB5C08"/>
    <w:rsid w:val="00FB5DD2"/>
    <w:rsid w:val="00FB60F1"/>
    <w:rsid w:val="00FB7CCD"/>
    <w:rsid w:val="00FC0B0F"/>
    <w:rsid w:val="00FC11C9"/>
    <w:rsid w:val="00FC1835"/>
    <w:rsid w:val="00FC1B5E"/>
    <w:rsid w:val="00FC304E"/>
    <w:rsid w:val="00FC315D"/>
    <w:rsid w:val="00FC318B"/>
    <w:rsid w:val="00FC34BE"/>
    <w:rsid w:val="00FC3C59"/>
    <w:rsid w:val="00FC4D81"/>
    <w:rsid w:val="00FC4FC1"/>
    <w:rsid w:val="00FC539F"/>
    <w:rsid w:val="00FC6145"/>
    <w:rsid w:val="00FC6E1B"/>
    <w:rsid w:val="00FC7949"/>
    <w:rsid w:val="00FC7D11"/>
    <w:rsid w:val="00FD04FB"/>
    <w:rsid w:val="00FD0DCC"/>
    <w:rsid w:val="00FD18FF"/>
    <w:rsid w:val="00FD1D3B"/>
    <w:rsid w:val="00FD2DEC"/>
    <w:rsid w:val="00FD3CB6"/>
    <w:rsid w:val="00FD48EC"/>
    <w:rsid w:val="00FD4F6B"/>
    <w:rsid w:val="00FD5ED1"/>
    <w:rsid w:val="00FD761A"/>
    <w:rsid w:val="00FD7A83"/>
    <w:rsid w:val="00FE07FD"/>
    <w:rsid w:val="00FE0860"/>
    <w:rsid w:val="00FE0DA9"/>
    <w:rsid w:val="00FE105A"/>
    <w:rsid w:val="00FE13E7"/>
    <w:rsid w:val="00FE195B"/>
    <w:rsid w:val="00FE1A2F"/>
    <w:rsid w:val="00FE1D71"/>
    <w:rsid w:val="00FE2182"/>
    <w:rsid w:val="00FE26DF"/>
    <w:rsid w:val="00FE3B19"/>
    <w:rsid w:val="00FE3D07"/>
    <w:rsid w:val="00FE412D"/>
    <w:rsid w:val="00FE4263"/>
    <w:rsid w:val="00FE4452"/>
    <w:rsid w:val="00FE471F"/>
    <w:rsid w:val="00FE5348"/>
    <w:rsid w:val="00FE707C"/>
    <w:rsid w:val="00FE7DCD"/>
    <w:rsid w:val="00FF1C52"/>
    <w:rsid w:val="00FF5156"/>
    <w:rsid w:val="00FF5BE8"/>
    <w:rsid w:val="00FF5F7A"/>
    <w:rsid w:val="00FF6A49"/>
    <w:rsid w:val="00FF72C9"/>
    <w:rsid w:val="00FF7538"/>
    <w:rsid w:val="00FF792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97A17"/>
  <w15:chartTrackingRefBased/>
  <w15:docId w15:val="{8C95ADD1-6D66-4BF8-8DF5-13CF8195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14C"/>
    <w:pPr>
      <w:spacing w:after="0" w:line="240" w:lineRule="auto"/>
    </w:pPr>
    <w:rPr>
      <w:rFonts w:ascii="Times New Roman" w:eastAsia="Times New Roman" w:hAnsi="Times New Roman" w:cs="Times New Roman"/>
      <w:sz w:val="24"/>
      <w:szCs w:val="24"/>
      <w:lang w:val="ro-MD" w:eastAsia="en-GB"/>
    </w:rPr>
  </w:style>
  <w:style w:type="paragraph" w:styleId="Heading1">
    <w:name w:val="heading 1"/>
    <w:basedOn w:val="Normal"/>
    <w:next w:val="Normal"/>
    <w:link w:val="Heading1Char"/>
    <w:uiPriority w:val="9"/>
    <w:qFormat/>
    <w:rsid w:val="00755EC3"/>
    <w:pPr>
      <w:keepNext/>
      <w:keepLines/>
      <w:spacing w:before="360"/>
      <w:outlineLvl w:val="0"/>
    </w:pPr>
    <w:rPr>
      <w:rFonts w:asciiTheme="majorHAnsi" w:eastAsiaTheme="majorEastAsia" w:hAnsiTheme="majorHAnsi" w:cstheme="majorBidi"/>
      <w:bCs/>
      <w:color w:val="156082" w:themeColor="accent1"/>
      <w:spacing w:val="20"/>
      <w:sz w:val="32"/>
      <w:szCs w:val="28"/>
      <w:lang w:eastAsia="en-US"/>
    </w:rPr>
  </w:style>
  <w:style w:type="paragraph" w:styleId="Heading2">
    <w:name w:val="heading 2"/>
    <w:basedOn w:val="Normal"/>
    <w:next w:val="Normal"/>
    <w:link w:val="Heading2Char"/>
    <w:uiPriority w:val="9"/>
    <w:unhideWhenUsed/>
    <w:qFormat/>
    <w:rsid w:val="00755EC3"/>
    <w:pPr>
      <w:keepNext/>
      <w:keepLines/>
      <w:spacing w:before="120"/>
      <w:outlineLvl w:val="1"/>
    </w:pPr>
    <w:rPr>
      <w:rFonts w:asciiTheme="minorHAnsi" w:eastAsiaTheme="majorEastAsia" w:hAnsiTheme="minorHAnsi" w:cstheme="majorBidi"/>
      <w:b/>
      <w:bCs/>
      <w:color w:val="156082" w:themeColor="accent1"/>
      <w:sz w:val="28"/>
      <w:szCs w:val="26"/>
      <w:lang w:eastAsia="en-US"/>
    </w:rPr>
  </w:style>
  <w:style w:type="paragraph" w:styleId="Heading3">
    <w:name w:val="heading 3"/>
    <w:basedOn w:val="Normal"/>
    <w:next w:val="Normal"/>
    <w:link w:val="Heading3Char"/>
    <w:uiPriority w:val="9"/>
    <w:unhideWhenUsed/>
    <w:qFormat/>
    <w:rsid w:val="00755EC3"/>
    <w:pPr>
      <w:keepNext/>
      <w:keepLines/>
      <w:spacing w:before="20"/>
      <w:outlineLvl w:val="2"/>
    </w:pPr>
    <w:rPr>
      <w:rFonts w:asciiTheme="majorHAnsi" w:eastAsiaTheme="majorEastAsia" w:hAnsiTheme="majorHAnsi" w:cstheme="majorBidi"/>
      <w:bCs/>
      <w:color w:val="0E2841" w:themeColor="text2"/>
      <w:spacing w:val="14"/>
      <w:szCs w:val="22"/>
      <w:lang w:eastAsia="en-US"/>
    </w:rPr>
  </w:style>
  <w:style w:type="paragraph" w:styleId="Heading4">
    <w:name w:val="heading 4"/>
    <w:basedOn w:val="Normal"/>
    <w:next w:val="Normal"/>
    <w:link w:val="Heading4Char"/>
    <w:uiPriority w:val="9"/>
    <w:unhideWhenUsed/>
    <w:qFormat/>
    <w:rsid w:val="00755EC3"/>
    <w:pPr>
      <w:keepNext/>
      <w:keepLines/>
      <w:spacing w:before="200" w:line="274" w:lineRule="auto"/>
      <w:outlineLvl w:val="3"/>
    </w:pPr>
    <w:rPr>
      <w:rFonts w:asciiTheme="minorHAnsi" w:eastAsiaTheme="majorEastAsia" w:hAnsiTheme="minorHAnsi" w:cstheme="majorBidi"/>
      <w:b/>
      <w:bCs/>
      <w:i/>
      <w:iCs/>
      <w:color w:val="000000"/>
      <w:szCs w:val="22"/>
      <w:lang w:eastAsia="en-US"/>
    </w:rPr>
  </w:style>
  <w:style w:type="paragraph" w:styleId="Heading5">
    <w:name w:val="heading 5"/>
    <w:basedOn w:val="Normal"/>
    <w:next w:val="Normal"/>
    <w:link w:val="Heading5Char"/>
    <w:uiPriority w:val="9"/>
    <w:semiHidden/>
    <w:unhideWhenUsed/>
    <w:qFormat/>
    <w:rsid w:val="00755EC3"/>
    <w:pPr>
      <w:keepNext/>
      <w:keepLines/>
      <w:spacing w:before="200" w:line="274" w:lineRule="auto"/>
      <w:outlineLvl w:val="4"/>
    </w:pPr>
    <w:rPr>
      <w:rFonts w:asciiTheme="majorHAnsi" w:eastAsiaTheme="majorEastAsia" w:hAnsiTheme="majorHAnsi" w:cstheme="majorBidi"/>
      <w:color w:val="000000"/>
      <w:sz w:val="22"/>
      <w:szCs w:val="22"/>
      <w:lang w:eastAsia="en-US"/>
    </w:rPr>
  </w:style>
  <w:style w:type="paragraph" w:styleId="Heading6">
    <w:name w:val="heading 6"/>
    <w:basedOn w:val="Normal"/>
    <w:next w:val="Normal"/>
    <w:link w:val="Heading6Char"/>
    <w:uiPriority w:val="9"/>
    <w:semiHidden/>
    <w:unhideWhenUsed/>
    <w:qFormat/>
    <w:rsid w:val="00755EC3"/>
    <w:pPr>
      <w:keepNext/>
      <w:keepLines/>
      <w:spacing w:before="200" w:line="274" w:lineRule="auto"/>
      <w:outlineLvl w:val="5"/>
    </w:pPr>
    <w:rPr>
      <w:rFonts w:asciiTheme="majorHAnsi" w:eastAsiaTheme="majorEastAsia" w:hAnsiTheme="majorHAnsi" w:cstheme="majorBidi"/>
      <w:iCs/>
      <w:color w:val="156082" w:themeColor="accent1"/>
      <w:sz w:val="22"/>
      <w:szCs w:val="22"/>
      <w:lang w:eastAsia="en-US"/>
    </w:rPr>
  </w:style>
  <w:style w:type="paragraph" w:styleId="Heading7">
    <w:name w:val="heading 7"/>
    <w:basedOn w:val="Normal"/>
    <w:next w:val="Normal"/>
    <w:link w:val="Heading7Char"/>
    <w:uiPriority w:val="9"/>
    <w:semiHidden/>
    <w:unhideWhenUsed/>
    <w:qFormat/>
    <w:rsid w:val="00755EC3"/>
    <w:pPr>
      <w:keepNext/>
      <w:keepLines/>
      <w:spacing w:before="200" w:line="274" w:lineRule="auto"/>
      <w:outlineLvl w:val="6"/>
    </w:pPr>
    <w:rPr>
      <w:rFonts w:asciiTheme="majorHAnsi" w:eastAsiaTheme="majorEastAsia" w:hAnsiTheme="majorHAnsi" w:cstheme="majorBidi"/>
      <w:i/>
      <w:iCs/>
      <w:color w:val="000000"/>
      <w:sz w:val="22"/>
      <w:szCs w:val="22"/>
      <w:lang w:eastAsia="en-US"/>
    </w:rPr>
  </w:style>
  <w:style w:type="paragraph" w:styleId="Heading8">
    <w:name w:val="heading 8"/>
    <w:basedOn w:val="Normal"/>
    <w:next w:val="Normal"/>
    <w:link w:val="Heading8Char"/>
    <w:uiPriority w:val="9"/>
    <w:semiHidden/>
    <w:unhideWhenUsed/>
    <w:qFormat/>
    <w:rsid w:val="00755EC3"/>
    <w:pPr>
      <w:keepNext/>
      <w:keepLines/>
      <w:spacing w:before="200" w:line="274" w:lineRule="auto"/>
      <w:outlineLvl w:val="7"/>
    </w:pPr>
    <w:rPr>
      <w:rFonts w:asciiTheme="majorHAnsi" w:eastAsiaTheme="majorEastAsia" w:hAnsiTheme="majorHAnsi" w:cstheme="majorBidi"/>
      <w:color w:val="000000"/>
      <w:sz w:val="20"/>
      <w:szCs w:val="20"/>
      <w:lang w:eastAsia="en-US"/>
    </w:rPr>
  </w:style>
  <w:style w:type="paragraph" w:styleId="Heading9">
    <w:name w:val="heading 9"/>
    <w:basedOn w:val="Normal"/>
    <w:next w:val="Normal"/>
    <w:link w:val="Heading9Char"/>
    <w:uiPriority w:val="9"/>
    <w:semiHidden/>
    <w:unhideWhenUsed/>
    <w:qFormat/>
    <w:rsid w:val="00755EC3"/>
    <w:pPr>
      <w:keepNext/>
      <w:keepLines/>
      <w:spacing w:before="200" w:line="274" w:lineRule="auto"/>
      <w:outlineLvl w:val="8"/>
    </w:pPr>
    <w:rPr>
      <w:rFonts w:asciiTheme="majorHAnsi" w:eastAsiaTheme="majorEastAsia" w:hAnsiTheme="majorHAnsi" w:cstheme="majorBidi"/>
      <w:i/>
      <w:iCs/>
      <w:color w:val="00000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EC3"/>
    <w:rPr>
      <w:rFonts w:asciiTheme="majorHAnsi" w:eastAsiaTheme="majorEastAsia" w:hAnsiTheme="majorHAnsi" w:cstheme="majorBidi"/>
      <w:bCs/>
      <w:color w:val="156082" w:themeColor="accent1"/>
      <w:spacing w:val="20"/>
      <w:sz w:val="32"/>
      <w:szCs w:val="28"/>
    </w:rPr>
  </w:style>
  <w:style w:type="character" w:customStyle="1" w:styleId="Heading2Char">
    <w:name w:val="Heading 2 Char"/>
    <w:basedOn w:val="DefaultParagraphFont"/>
    <w:link w:val="Heading2"/>
    <w:uiPriority w:val="9"/>
    <w:rsid w:val="00755EC3"/>
    <w:rPr>
      <w:rFonts w:eastAsiaTheme="majorEastAsia" w:cstheme="majorBidi"/>
      <w:b/>
      <w:bCs/>
      <w:color w:val="156082" w:themeColor="accent1"/>
      <w:sz w:val="28"/>
      <w:szCs w:val="26"/>
    </w:rPr>
  </w:style>
  <w:style w:type="character" w:customStyle="1" w:styleId="Heading3Char">
    <w:name w:val="Heading 3 Char"/>
    <w:basedOn w:val="DefaultParagraphFont"/>
    <w:link w:val="Heading3"/>
    <w:uiPriority w:val="9"/>
    <w:rsid w:val="00755EC3"/>
    <w:rPr>
      <w:rFonts w:asciiTheme="majorHAnsi" w:eastAsiaTheme="majorEastAsia" w:hAnsiTheme="majorHAnsi" w:cstheme="majorBidi"/>
      <w:bCs/>
      <w:color w:val="0E2841" w:themeColor="text2"/>
      <w:spacing w:val="14"/>
      <w:sz w:val="24"/>
    </w:rPr>
  </w:style>
  <w:style w:type="character" w:customStyle="1" w:styleId="Heading4Char">
    <w:name w:val="Heading 4 Char"/>
    <w:basedOn w:val="DefaultParagraphFont"/>
    <w:link w:val="Heading4"/>
    <w:uiPriority w:val="9"/>
    <w:rsid w:val="00755EC3"/>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755EC3"/>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755EC3"/>
    <w:rPr>
      <w:rFonts w:asciiTheme="majorHAnsi" w:eastAsiaTheme="majorEastAsia" w:hAnsiTheme="majorHAnsi" w:cstheme="majorBidi"/>
      <w:iCs/>
      <w:color w:val="156082" w:themeColor="accent1"/>
    </w:rPr>
  </w:style>
  <w:style w:type="character" w:customStyle="1" w:styleId="Heading7Char">
    <w:name w:val="Heading 7 Char"/>
    <w:basedOn w:val="DefaultParagraphFont"/>
    <w:link w:val="Heading7"/>
    <w:uiPriority w:val="9"/>
    <w:semiHidden/>
    <w:rsid w:val="00755EC3"/>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755EC3"/>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755EC3"/>
    <w:rPr>
      <w:rFonts w:asciiTheme="majorHAnsi" w:eastAsiaTheme="majorEastAsia" w:hAnsiTheme="majorHAnsi" w:cstheme="majorBidi"/>
      <w:i/>
      <w:iCs/>
      <w:color w:val="000000"/>
      <w:sz w:val="20"/>
      <w:szCs w:val="20"/>
    </w:rPr>
  </w:style>
  <w:style w:type="paragraph" w:styleId="Title">
    <w:name w:val="Title"/>
    <w:basedOn w:val="Normal"/>
    <w:next w:val="Normal"/>
    <w:link w:val="TitleChar"/>
    <w:uiPriority w:val="10"/>
    <w:qFormat/>
    <w:rsid w:val="00755EC3"/>
    <w:pPr>
      <w:spacing w:after="120"/>
      <w:contextualSpacing/>
    </w:pPr>
    <w:rPr>
      <w:rFonts w:asciiTheme="majorHAnsi" w:eastAsiaTheme="majorEastAsia" w:hAnsiTheme="majorHAnsi" w:cstheme="majorBidi"/>
      <w:color w:val="0E2841" w:themeColor="text2"/>
      <w:spacing w:val="30"/>
      <w:kern w:val="28"/>
      <w:sz w:val="96"/>
      <w:szCs w:val="52"/>
      <w:lang w:eastAsia="en-US"/>
    </w:rPr>
  </w:style>
  <w:style w:type="character" w:customStyle="1" w:styleId="TitleChar">
    <w:name w:val="Title Char"/>
    <w:basedOn w:val="DefaultParagraphFont"/>
    <w:link w:val="Title"/>
    <w:uiPriority w:val="10"/>
    <w:rsid w:val="00755EC3"/>
    <w:rPr>
      <w:rFonts w:asciiTheme="majorHAnsi" w:eastAsiaTheme="majorEastAsia" w:hAnsiTheme="majorHAnsi" w:cstheme="majorBidi"/>
      <w:color w:val="0E2841" w:themeColor="text2"/>
      <w:spacing w:val="30"/>
      <w:kern w:val="28"/>
      <w:sz w:val="96"/>
      <w:szCs w:val="52"/>
    </w:rPr>
  </w:style>
  <w:style w:type="paragraph" w:styleId="Subtitle">
    <w:name w:val="Subtitle"/>
    <w:basedOn w:val="Normal"/>
    <w:next w:val="Normal"/>
    <w:link w:val="SubtitleChar"/>
    <w:uiPriority w:val="11"/>
    <w:qFormat/>
    <w:rsid w:val="00755EC3"/>
    <w:pPr>
      <w:numPr>
        <w:ilvl w:val="1"/>
      </w:numPr>
      <w:spacing w:after="180" w:line="274" w:lineRule="auto"/>
    </w:pPr>
    <w:rPr>
      <w:rFonts w:asciiTheme="minorHAnsi" w:eastAsiaTheme="majorEastAsia" w:hAnsiTheme="minorHAnsi" w:cstheme="majorBidi"/>
      <w:iCs/>
      <w:color w:val="0E2841" w:themeColor="text2"/>
      <w:sz w:val="40"/>
      <w:lang w:eastAsia="en-US"/>
    </w:rPr>
  </w:style>
  <w:style w:type="character" w:customStyle="1" w:styleId="SubtitleChar">
    <w:name w:val="Subtitle Char"/>
    <w:basedOn w:val="DefaultParagraphFont"/>
    <w:link w:val="Subtitle"/>
    <w:uiPriority w:val="11"/>
    <w:rsid w:val="00755EC3"/>
    <w:rPr>
      <w:rFonts w:eastAsiaTheme="majorEastAsia" w:cstheme="majorBidi"/>
      <w:iCs/>
      <w:color w:val="0E2841" w:themeColor="text2"/>
      <w:sz w:val="40"/>
      <w:szCs w:val="24"/>
    </w:rPr>
  </w:style>
  <w:style w:type="paragraph" w:styleId="Quote">
    <w:name w:val="Quote"/>
    <w:basedOn w:val="Normal"/>
    <w:next w:val="Normal"/>
    <w:link w:val="QuoteChar"/>
    <w:uiPriority w:val="29"/>
    <w:qFormat/>
    <w:rsid w:val="00755EC3"/>
    <w:pPr>
      <w:spacing w:line="360" w:lineRule="auto"/>
      <w:jc w:val="center"/>
    </w:pPr>
    <w:rPr>
      <w:rFonts w:asciiTheme="minorHAnsi" w:eastAsiaTheme="minorEastAsia" w:hAnsiTheme="minorHAnsi" w:cstheme="minorBidi"/>
      <w:b/>
      <w:i/>
      <w:iCs/>
      <w:color w:val="156082" w:themeColor="accent1"/>
      <w:sz w:val="26"/>
      <w:szCs w:val="22"/>
      <w:lang w:eastAsia="en-US"/>
    </w:rPr>
  </w:style>
  <w:style w:type="character" w:customStyle="1" w:styleId="QuoteChar">
    <w:name w:val="Quote Char"/>
    <w:basedOn w:val="DefaultParagraphFont"/>
    <w:link w:val="Quote"/>
    <w:uiPriority w:val="29"/>
    <w:rsid w:val="00755EC3"/>
    <w:rPr>
      <w:rFonts w:eastAsiaTheme="minorEastAsia"/>
      <w:b/>
      <w:i/>
      <w:iCs/>
      <w:color w:val="156082" w:themeColor="accent1"/>
      <w:sz w:val="26"/>
    </w:rPr>
  </w:style>
  <w:style w:type="paragraph" w:styleId="ListParagraph">
    <w:name w:val="List Paragraph"/>
    <w:basedOn w:val="Normal"/>
    <w:link w:val="ListParagraphChar"/>
    <w:uiPriority w:val="34"/>
    <w:qFormat/>
    <w:rsid w:val="00755EC3"/>
    <w:pPr>
      <w:spacing w:after="180"/>
      <w:ind w:left="720" w:hanging="288"/>
      <w:contextualSpacing/>
    </w:pPr>
    <w:rPr>
      <w:rFonts w:asciiTheme="minorHAnsi" w:eastAsiaTheme="minorHAnsi" w:hAnsiTheme="minorHAnsi" w:cstheme="minorBidi"/>
      <w:color w:val="0E2841" w:themeColor="text2"/>
      <w:sz w:val="21"/>
      <w:szCs w:val="22"/>
      <w:lang w:eastAsia="en-US"/>
    </w:rPr>
  </w:style>
  <w:style w:type="character" w:styleId="IntenseEmphasis">
    <w:name w:val="Intense Emphasis"/>
    <w:basedOn w:val="DefaultParagraphFont"/>
    <w:uiPriority w:val="21"/>
    <w:qFormat/>
    <w:rsid w:val="00755EC3"/>
    <w:rPr>
      <w:b/>
      <w:bCs/>
      <w:i/>
      <w:iCs/>
      <w:color w:val="156082" w:themeColor="accent1"/>
    </w:rPr>
  </w:style>
  <w:style w:type="paragraph" w:styleId="IntenseQuote">
    <w:name w:val="Intense Quote"/>
    <w:basedOn w:val="Normal"/>
    <w:next w:val="Normal"/>
    <w:link w:val="IntenseQuoteChar"/>
    <w:uiPriority w:val="30"/>
    <w:qFormat/>
    <w:rsid w:val="00755EC3"/>
    <w:pPr>
      <w:pBdr>
        <w:top w:val="single" w:sz="36" w:space="8" w:color="156082" w:themeColor="accent1"/>
        <w:left w:val="single" w:sz="36" w:space="8" w:color="156082" w:themeColor="accent1"/>
        <w:bottom w:val="single" w:sz="36" w:space="8" w:color="156082" w:themeColor="accent1"/>
        <w:right w:val="single" w:sz="36" w:space="8" w:color="156082" w:themeColor="accent1"/>
      </w:pBdr>
      <w:shd w:val="clear" w:color="auto" w:fill="156082" w:themeFill="accent1"/>
      <w:spacing w:before="200" w:after="200" w:line="360" w:lineRule="auto"/>
      <w:ind w:left="259" w:right="259"/>
      <w:jc w:val="center"/>
    </w:pPr>
    <w:rPr>
      <w:rFonts w:asciiTheme="majorHAnsi" w:eastAsiaTheme="minorEastAsia" w:hAnsiTheme="majorHAnsi" w:cstheme="minorBidi"/>
      <w:bCs/>
      <w:iCs/>
      <w:color w:val="FFFFFF" w:themeColor="background1"/>
      <w:sz w:val="28"/>
      <w:szCs w:val="22"/>
      <w:lang w:eastAsia="en-US"/>
    </w:rPr>
  </w:style>
  <w:style w:type="character" w:customStyle="1" w:styleId="IntenseQuoteChar">
    <w:name w:val="Intense Quote Char"/>
    <w:basedOn w:val="DefaultParagraphFont"/>
    <w:link w:val="IntenseQuote"/>
    <w:uiPriority w:val="30"/>
    <w:rsid w:val="00755EC3"/>
    <w:rPr>
      <w:rFonts w:asciiTheme="majorHAnsi" w:eastAsiaTheme="minorEastAsia" w:hAnsiTheme="majorHAnsi"/>
      <w:bCs/>
      <w:iCs/>
      <w:color w:val="FFFFFF" w:themeColor="background1"/>
      <w:sz w:val="28"/>
      <w:shd w:val="clear" w:color="auto" w:fill="156082" w:themeFill="accent1"/>
    </w:rPr>
  </w:style>
  <w:style w:type="character" w:styleId="IntenseReference">
    <w:name w:val="Intense Reference"/>
    <w:basedOn w:val="DefaultParagraphFont"/>
    <w:uiPriority w:val="32"/>
    <w:qFormat/>
    <w:rsid w:val="00755EC3"/>
    <w:rPr>
      <w:b w:val="0"/>
      <w:bCs/>
      <w:smallCaps/>
      <w:color w:val="156082" w:themeColor="accent1"/>
      <w:spacing w:val="5"/>
      <w:u w:val="single"/>
    </w:rPr>
  </w:style>
  <w:style w:type="paragraph" w:styleId="NormalWeb">
    <w:name w:val="Normal (Web)"/>
    <w:basedOn w:val="Normal"/>
    <w:uiPriority w:val="99"/>
    <w:unhideWhenUsed/>
    <w:rsid w:val="000C14D3"/>
    <w:pPr>
      <w:spacing w:before="100" w:beforeAutospacing="1" w:after="100" w:afterAutospacing="1" w:line="274" w:lineRule="auto"/>
    </w:pPr>
    <w:rPr>
      <w:rFonts w:asciiTheme="minorHAnsi" w:eastAsiaTheme="minorHAnsi" w:hAnsiTheme="minorHAnsi" w:cstheme="minorBidi"/>
      <w:sz w:val="21"/>
      <w:szCs w:val="22"/>
      <w:lang w:eastAsia="en-US"/>
    </w:rPr>
  </w:style>
  <w:style w:type="numbering" w:customStyle="1" w:styleId="CurrentList1">
    <w:name w:val="Current List1"/>
    <w:uiPriority w:val="99"/>
    <w:rsid w:val="000C14D3"/>
    <w:pPr>
      <w:numPr>
        <w:numId w:val="1"/>
      </w:numPr>
    </w:pPr>
  </w:style>
  <w:style w:type="numbering" w:customStyle="1" w:styleId="CurrentList2">
    <w:name w:val="Current List2"/>
    <w:uiPriority w:val="99"/>
    <w:rsid w:val="000C14D3"/>
    <w:pPr>
      <w:numPr>
        <w:numId w:val="2"/>
      </w:numPr>
    </w:pPr>
  </w:style>
  <w:style w:type="paragraph" w:styleId="TOCHeading">
    <w:name w:val="TOC Heading"/>
    <w:basedOn w:val="Heading1"/>
    <w:next w:val="Normal"/>
    <w:uiPriority w:val="39"/>
    <w:unhideWhenUsed/>
    <w:qFormat/>
    <w:rsid w:val="00755EC3"/>
    <w:pPr>
      <w:spacing w:before="480" w:line="264" w:lineRule="auto"/>
      <w:outlineLvl w:val="9"/>
    </w:pPr>
    <w:rPr>
      <w:b/>
    </w:rPr>
  </w:style>
  <w:style w:type="paragraph" w:styleId="TOC2">
    <w:name w:val="toc 2"/>
    <w:basedOn w:val="Normal"/>
    <w:next w:val="Normal"/>
    <w:autoRedefine/>
    <w:uiPriority w:val="39"/>
    <w:unhideWhenUsed/>
    <w:rsid w:val="00090AD5"/>
    <w:pPr>
      <w:ind w:left="240"/>
    </w:pPr>
    <w:rPr>
      <w:rFonts w:asciiTheme="minorHAnsi" w:hAnsiTheme="minorHAnsi"/>
      <w:smallCaps/>
      <w:sz w:val="20"/>
      <w:szCs w:val="20"/>
    </w:rPr>
  </w:style>
  <w:style w:type="paragraph" w:styleId="TOC3">
    <w:name w:val="toc 3"/>
    <w:basedOn w:val="Normal"/>
    <w:next w:val="Normal"/>
    <w:autoRedefine/>
    <w:uiPriority w:val="39"/>
    <w:unhideWhenUsed/>
    <w:rsid w:val="00090AD5"/>
    <w:pPr>
      <w:ind w:left="480"/>
    </w:pPr>
    <w:rPr>
      <w:rFonts w:asciiTheme="minorHAnsi" w:hAnsiTheme="minorHAnsi"/>
      <w:i/>
      <w:iCs/>
      <w:sz w:val="20"/>
      <w:szCs w:val="20"/>
    </w:rPr>
  </w:style>
  <w:style w:type="character" w:styleId="Hyperlink">
    <w:name w:val="Hyperlink"/>
    <w:basedOn w:val="DefaultParagraphFont"/>
    <w:uiPriority w:val="99"/>
    <w:unhideWhenUsed/>
    <w:rsid w:val="00090AD5"/>
    <w:rPr>
      <w:color w:val="467886" w:themeColor="hyperlink"/>
      <w:u w:val="single"/>
    </w:rPr>
  </w:style>
  <w:style w:type="paragraph" w:styleId="TOC1">
    <w:name w:val="toc 1"/>
    <w:basedOn w:val="Normal"/>
    <w:next w:val="Normal"/>
    <w:autoRedefine/>
    <w:uiPriority w:val="39"/>
    <w:unhideWhenUsed/>
    <w:rsid w:val="00090AD5"/>
    <w:pPr>
      <w:spacing w:before="120" w:after="120"/>
    </w:pPr>
    <w:rPr>
      <w:rFonts w:asciiTheme="minorHAnsi" w:hAnsiTheme="minorHAnsi"/>
      <w:b/>
      <w:bCs/>
      <w:caps/>
      <w:sz w:val="20"/>
      <w:szCs w:val="20"/>
    </w:rPr>
  </w:style>
  <w:style w:type="paragraph" w:styleId="TOC4">
    <w:name w:val="toc 4"/>
    <w:basedOn w:val="Normal"/>
    <w:next w:val="Normal"/>
    <w:autoRedefine/>
    <w:uiPriority w:val="39"/>
    <w:semiHidden/>
    <w:unhideWhenUsed/>
    <w:rsid w:val="00090AD5"/>
    <w:pPr>
      <w:ind w:left="720"/>
    </w:pPr>
    <w:rPr>
      <w:rFonts w:asciiTheme="minorHAnsi" w:hAnsiTheme="minorHAnsi"/>
      <w:sz w:val="18"/>
      <w:szCs w:val="18"/>
    </w:rPr>
  </w:style>
  <w:style w:type="paragraph" w:styleId="TOC5">
    <w:name w:val="toc 5"/>
    <w:basedOn w:val="Normal"/>
    <w:next w:val="Normal"/>
    <w:autoRedefine/>
    <w:uiPriority w:val="39"/>
    <w:semiHidden/>
    <w:unhideWhenUsed/>
    <w:rsid w:val="00090AD5"/>
    <w:pPr>
      <w:ind w:left="960"/>
    </w:pPr>
    <w:rPr>
      <w:rFonts w:asciiTheme="minorHAnsi" w:hAnsiTheme="minorHAnsi"/>
      <w:sz w:val="18"/>
      <w:szCs w:val="18"/>
    </w:rPr>
  </w:style>
  <w:style w:type="paragraph" w:styleId="TOC6">
    <w:name w:val="toc 6"/>
    <w:basedOn w:val="Normal"/>
    <w:next w:val="Normal"/>
    <w:autoRedefine/>
    <w:uiPriority w:val="39"/>
    <w:semiHidden/>
    <w:unhideWhenUsed/>
    <w:rsid w:val="00090AD5"/>
    <w:pPr>
      <w:ind w:left="1200"/>
    </w:pPr>
    <w:rPr>
      <w:rFonts w:asciiTheme="minorHAnsi" w:hAnsiTheme="minorHAnsi"/>
      <w:sz w:val="18"/>
      <w:szCs w:val="18"/>
    </w:rPr>
  </w:style>
  <w:style w:type="paragraph" w:styleId="TOC7">
    <w:name w:val="toc 7"/>
    <w:basedOn w:val="Normal"/>
    <w:next w:val="Normal"/>
    <w:autoRedefine/>
    <w:uiPriority w:val="39"/>
    <w:semiHidden/>
    <w:unhideWhenUsed/>
    <w:rsid w:val="00090AD5"/>
    <w:pPr>
      <w:ind w:left="1440"/>
    </w:pPr>
    <w:rPr>
      <w:rFonts w:asciiTheme="minorHAnsi" w:hAnsiTheme="minorHAnsi"/>
      <w:sz w:val="18"/>
      <w:szCs w:val="18"/>
    </w:rPr>
  </w:style>
  <w:style w:type="paragraph" w:styleId="TOC8">
    <w:name w:val="toc 8"/>
    <w:basedOn w:val="Normal"/>
    <w:next w:val="Normal"/>
    <w:autoRedefine/>
    <w:uiPriority w:val="39"/>
    <w:semiHidden/>
    <w:unhideWhenUsed/>
    <w:rsid w:val="00090AD5"/>
    <w:pPr>
      <w:ind w:left="1680"/>
    </w:pPr>
    <w:rPr>
      <w:rFonts w:asciiTheme="minorHAnsi" w:hAnsiTheme="minorHAnsi"/>
      <w:sz w:val="18"/>
      <w:szCs w:val="18"/>
    </w:rPr>
  </w:style>
  <w:style w:type="paragraph" w:styleId="TOC9">
    <w:name w:val="toc 9"/>
    <w:basedOn w:val="Normal"/>
    <w:next w:val="Normal"/>
    <w:autoRedefine/>
    <w:uiPriority w:val="39"/>
    <w:semiHidden/>
    <w:unhideWhenUsed/>
    <w:rsid w:val="00090AD5"/>
    <w:pPr>
      <w:ind w:left="1920"/>
    </w:pPr>
    <w:rPr>
      <w:rFonts w:asciiTheme="minorHAnsi" w:hAnsiTheme="minorHAnsi"/>
      <w:sz w:val="18"/>
      <w:szCs w:val="18"/>
    </w:rPr>
  </w:style>
  <w:style w:type="numbering" w:styleId="111111">
    <w:name w:val="Outline List 2"/>
    <w:basedOn w:val="NoList"/>
    <w:uiPriority w:val="99"/>
    <w:semiHidden/>
    <w:unhideWhenUsed/>
    <w:rsid w:val="00531945"/>
    <w:pPr>
      <w:numPr>
        <w:numId w:val="3"/>
      </w:numPr>
    </w:pPr>
  </w:style>
  <w:style w:type="numbering" w:customStyle="1" w:styleId="CurrentList3">
    <w:name w:val="Current List3"/>
    <w:uiPriority w:val="99"/>
    <w:rsid w:val="00531945"/>
    <w:pPr>
      <w:numPr>
        <w:numId w:val="4"/>
      </w:numPr>
    </w:pPr>
  </w:style>
  <w:style w:type="paragraph" w:customStyle="1" w:styleId="Titre1">
    <w:name w:val="Titre 1"/>
    <w:basedOn w:val="Normal"/>
    <w:rsid w:val="00531945"/>
    <w:pPr>
      <w:numPr>
        <w:numId w:val="5"/>
      </w:numPr>
      <w:spacing w:after="180" w:line="274" w:lineRule="auto"/>
    </w:pPr>
    <w:rPr>
      <w:rFonts w:asciiTheme="minorHAnsi" w:eastAsiaTheme="minorHAnsi" w:hAnsiTheme="minorHAnsi" w:cstheme="minorBidi"/>
      <w:sz w:val="21"/>
      <w:szCs w:val="22"/>
      <w:lang w:eastAsia="en-US"/>
    </w:rPr>
  </w:style>
  <w:style w:type="paragraph" w:customStyle="1" w:styleId="Titre2">
    <w:name w:val="Titre 2"/>
    <w:basedOn w:val="Normal"/>
    <w:rsid w:val="00531945"/>
    <w:pPr>
      <w:numPr>
        <w:ilvl w:val="1"/>
        <w:numId w:val="5"/>
      </w:numPr>
      <w:spacing w:after="180" w:line="274" w:lineRule="auto"/>
    </w:pPr>
    <w:rPr>
      <w:rFonts w:asciiTheme="minorHAnsi" w:eastAsiaTheme="minorHAnsi" w:hAnsiTheme="minorHAnsi" w:cstheme="minorBidi"/>
      <w:sz w:val="21"/>
      <w:szCs w:val="22"/>
      <w:lang w:eastAsia="en-US"/>
    </w:rPr>
  </w:style>
  <w:style w:type="paragraph" w:customStyle="1" w:styleId="Titre3">
    <w:name w:val="Titre 3"/>
    <w:basedOn w:val="Normal"/>
    <w:rsid w:val="00531945"/>
    <w:pPr>
      <w:numPr>
        <w:ilvl w:val="2"/>
        <w:numId w:val="5"/>
      </w:numPr>
      <w:spacing w:after="180" w:line="274" w:lineRule="auto"/>
    </w:pPr>
    <w:rPr>
      <w:rFonts w:asciiTheme="minorHAnsi" w:eastAsiaTheme="minorHAnsi" w:hAnsiTheme="minorHAnsi" w:cstheme="minorBidi"/>
      <w:sz w:val="21"/>
      <w:szCs w:val="22"/>
      <w:lang w:eastAsia="en-US"/>
    </w:rPr>
  </w:style>
  <w:style w:type="paragraph" w:customStyle="1" w:styleId="Titre4">
    <w:name w:val="Titre 4"/>
    <w:basedOn w:val="Normal"/>
    <w:rsid w:val="00531945"/>
    <w:pPr>
      <w:numPr>
        <w:ilvl w:val="3"/>
        <w:numId w:val="5"/>
      </w:numPr>
      <w:spacing w:after="180" w:line="274" w:lineRule="auto"/>
    </w:pPr>
    <w:rPr>
      <w:rFonts w:asciiTheme="minorHAnsi" w:eastAsiaTheme="minorHAnsi" w:hAnsiTheme="minorHAnsi" w:cstheme="minorBidi"/>
      <w:sz w:val="21"/>
      <w:szCs w:val="22"/>
      <w:lang w:eastAsia="en-US"/>
    </w:rPr>
  </w:style>
  <w:style w:type="paragraph" w:customStyle="1" w:styleId="Titre5">
    <w:name w:val="Titre 5"/>
    <w:basedOn w:val="Normal"/>
    <w:rsid w:val="00531945"/>
    <w:pPr>
      <w:numPr>
        <w:ilvl w:val="4"/>
        <w:numId w:val="5"/>
      </w:numPr>
      <w:spacing w:after="180" w:line="274" w:lineRule="auto"/>
    </w:pPr>
    <w:rPr>
      <w:rFonts w:asciiTheme="minorHAnsi" w:eastAsiaTheme="minorHAnsi" w:hAnsiTheme="minorHAnsi" w:cstheme="minorBidi"/>
      <w:sz w:val="21"/>
      <w:szCs w:val="22"/>
      <w:lang w:eastAsia="en-US"/>
    </w:rPr>
  </w:style>
  <w:style w:type="paragraph" w:customStyle="1" w:styleId="Titre6">
    <w:name w:val="Titre 6"/>
    <w:basedOn w:val="Normal"/>
    <w:rsid w:val="00531945"/>
    <w:pPr>
      <w:numPr>
        <w:ilvl w:val="5"/>
        <w:numId w:val="5"/>
      </w:numPr>
      <w:spacing w:after="180" w:line="274" w:lineRule="auto"/>
    </w:pPr>
    <w:rPr>
      <w:rFonts w:asciiTheme="minorHAnsi" w:eastAsiaTheme="minorHAnsi" w:hAnsiTheme="minorHAnsi" w:cstheme="minorBidi"/>
      <w:sz w:val="21"/>
      <w:szCs w:val="22"/>
      <w:lang w:eastAsia="en-US"/>
    </w:rPr>
  </w:style>
  <w:style w:type="paragraph" w:customStyle="1" w:styleId="Titre7">
    <w:name w:val="Titre 7"/>
    <w:basedOn w:val="Normal"/>
    <w:rsid w:val="00531945"/>
    <w:pPr>
      <w:numPr>
        <w:ilvl w:val="6"/>
        <w:numId w:val="5"/>
      </w:numPr>
      <w:spacing w:after="180" w:line="274" w:lineRule="auto"/>
    </w:pPr>
    <w:rPr>
      <w:rFonts w:asciiTheme="minorHAnsi" w:eastAsiaTheme="minorHAnsi" w:hAnsiTheme="minorHAnsi" w:cstheme="minorBidi"/>
      <w:sz w:val="21"/>
      <w:szCs w:val="22"/>
      <w:lang w:eastAsia="en-US"/>
    </w:rPr>
  </w:style>
  <w:style w:type="paragraph" w:customStyle="1" w:styleId="Titre8">
    <w:name w:val="Titre 8"/>
    <w:basedOn w:val="Normal"/>
    <w:rsid w:val="00531945"/>
    <w:pPr>
      <w:numPr>
        <w:ilvl w:val="7"/>
        <w:numId w:val="5"/>
      </w:numPr>
      <w:spacing w:after="180" w:line="274" w:lineRule="auto"/>
    </w:pPr>
    <w:rPr>
      <w:rFonts w:asciiTheme="minorHAnsi" w:eastAsiaTheme="minorHAnsi" w:hAnsiTheme="minorHAnsi" w:cstheme="minorBidi"/>
      <w:sz w:val="21"/>
      <w:szCs w:val="22"/>
      <w:lang w:eastAsia="en-US"/>
    </w:rPr>
  </w:style>
  <w:style w:type="paragraph" w:customStyle="1" w:styleId="Titre9">
    <w:name w:val="Titre 9"/>
    <w:basedOn w:val="Normal"/>
    <w:rsid w:val="00531945"/>
    <w:pPr>
      <w:numPr>
        <w:ilvl w:val="8"/>
        <w:numId w:val="5"/>
      </w:numPr>
      <w:spacing w:after="180" w:line="274" w:lineRule="auto"/>
    </w:pPr>
    <w:rPr>
      <w:rFonts w:asciiTheme="minorHAnsi" w:eastAsiaTheme="minorHAnsi" w:hAnsiTheme="minorHAnsi" w:cstheme="minorBidi"/>
      <w:sz w:val="21"/>
      <w:szCs w:val="22"/>
      <w:lang w:eastAsia="en-US"/>
    </w:rPr>
  </w:style>
  <w:style w:type="numbering" w:customStyle="1" w:styleId="CurrentList4">
    <w:name w:val="Current List4"/>
    <w:uiPriority w:val="99"/>
    <w:rsid w:val="00531945"/>
    <w:pPr>
      <w:numPr>
        <w:numId w:val="6"/>
      </w:numPr>
    </w:pPr>
  </w:style>
  <w:style w:type="numbering" w:customStyle="1" w:styleId="CurrentList5">
    <w:name w:val="Current List5"/>
    <w:uiPriority w:val="99"/>
    <w:rsid w:val="00531945"/>
    <w:pPr>
      <w:numPr>
        <w:numId w:val="7"/>
      </w:numPr>
    </w:pPr>
  </w:style>
  <w:style w:type="numbering" w:customStyle="1" w:styleId="CurrentList6">
    <w:name w:val="Current List6"/>
    <w:uiPriority w:val="99"/>
    <w:rsid w:val="00531945"/>
    <w:pPr>
      <w:numPr>
        <w:numId w:val="8"/>
      </w:numPr>
    </w:pPr>
  </w:style>
  <w:style w:type="paragraph" w:styleId="FootnoteText">
    <w:name w:val="footnote text"/>
    <w:aliases w:val="Geneva 9,Font: Geneva 9,Boston 10,f"/>
    <w:basedOn w:val="Normal"/>
    <w:link w:val="FootnoteTextChar"/>
    <w:uiPriority w:val="99"/>
    <w:unhideWhenUsed/>
    <w:qFormat/>
    <w:rsid w:val="00E7157D"/>
    <w:pPr>
      <w:spacing w:after="180" w:line="274" w:lineRule="auto"/>
    </w:pPr>
    <w:rPr>
      <w:rFonts w:asciiTheme="minorHAnsi" w:eastAsiaTheme="minorHAnsi" w:hAnsiTheme="minorHAnsi" w:cstheme="minorBidi"/>
      <w:sz w:val="20"/>
      <w:szCs w:val="20"/>
      <w:lang w:val="ro" w:eastAsia="en-US"/>
    </w:rPr>
  </w:style>
  <w:style w:type="character" w:customStyle="1" w:styleId="FootnoteTextChar">
    <w:name w:val="Footnote Text Char"/>
    <w:aliases w:val="Geneva 9 Char,Font: Geneva 9 Char,Boston 10 Char,f Char"/>
    <w:basedOn w:val="DefaultParagraphFont"/>
    <w:link w:val="FootnoteText"/>
    <w:uiPriority w:val="99"/>
    <w:rsid w:val="00E7157D"/>
    <w:rPr>
      <w:sz w:val="20"/>
      <w:szCs w:val="20"/>
      <w:lang w:val="ro"/>
    </w:rPr>
  </w:style>
  <w:style w:type="character" w:styleId="FootnoteReference">
    <w:name w:val="footnote reference"/>
    <w:aliases w:val="ftref,16 Point,Superscript 6 Point,Superscript 6 Point + 11 pt"/>
    <w:basedOn w:val="DefaultParagraphFont"/>
    <w:uiPriority w:val="99"/>
    <w:unhideWhenUsed/>
    <w:rsid w:val="00E7157D"/>
    <w:rPr>
      <w:vertAlign w:val="superscript"/>
    </w:rPr>
  </w:style>
  <w:style w:type="character" w:styleId="Strong">
    <w:name w:val="Strong"/>
    <w:basedOn w:val="DefaultParagraphFont"/>
    <w:uiPriority w:val="22"/>
    <w:qFormat/>
    <w:rsid w:val="00755EC3"/>
    <w:rPr>
      <w:b w:val="0"/>
      <w:bCs/>
      <w:i/>
      <w:color w:val="0E2841" w:themeColor="text2"/>
    </w:rPr>
  </w:style>
  <w:style w:type="table" w:styleId="GridTable6Colorful-Accent1">
    <w:name w:val="Grid Table 6 Colorful Accent 1"/>
    <w:basedOn w:val="TableNormal"/>
    <w:uiPriority w:val="51"/>
    <w:rsid w:val="00C80AB2"/>
    <w:pPr>
      <w:spacing w:after="0" w:line="240" w:lineRule="auto"/>
    </w:pPr>
    <w:rPr>
      <w:color w:val="0F4761" w:themeColor="accent1" w:themeShade="BF"/>
      <w:lang w:val="ro"/>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7Colorful-Accent1">
    <w:name w:val="List Table 7 Colorful Accent 1"/>
    <w:basedOn w:val="TableNormal"/>
    <w:uiPriority w:val="52"/>
    <w:rsid w:val="00C80AB2"/>
    <w:pPr>
      <w:spacing w:after="0" w:line="240" w:lineRule="auto"/>
    </w:pPr>
    <w:rPr>
      <w:color w:val="0F4761" w:themeColor="accent1" w:themeShade="BF"/>
      <w:lang w:val="r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755EC3"/>
    <w:rPr>
      <w:b/>
      <w:i/>
      <w:iCs/>
    </w:rPr>
  </w:style>
  <w:style w:type="table" w:styleId="TableGridLight">
    <w:name w:val="Grid Table Light"/>
    <w:basedOn w:val="TableNormal"/>
    <w:uiPriority w:val="40"/>
    <w:rsid w:val="00C80AB2"/>
    <w:pPr>
      <w:spacing w:after="0" w:line="240" w:lineRule="auto"/>
    </w:pPr>
    <w:rPr>
      <w:lang w:val="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80AB2"/>
    <w:pPr>
      <w:spacing w:after="0" w:line="240" w:lineRule="auto"/>
    </w:pPr>
    <w:rPr>
      <w:lang w:val="r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C80AB2"/>
    <w:pPr>
      <w:tabs>
        <w:tab w:val="center" w:pos="4513"/>
        <w:tab w:val="right" w:pos="9026"/>
      </w:tabs>
      <w:spacing w:after="180" w:line="274" w:lineRule="auto"/>
    </w:pPr>
    <w:rPr>
      <w:rFonts w:asciiTheme="minorHAnsi" w:eastAsiaTheme="minorHAnsi" w:hAnsiTheme="minorHAnsi" w:cstheme="minorBidi"/>
      <w:sz w:val="21"/>
      <w:szCs w:val="22"/>
      <w:lang w:eastAsia="en-US"/>
    </w:rPr>
  </w:style>
  <w:style w:type="character" w:customStyle="1" w:styleId="FooterChar">
    <w:name w:val="Footer Char"/>
    <w:basedOn w:val="DefaultParagraphFont"/>
    <w:link w:val="Footer"/>
    <w:uiPriority w:val="99"/>
    <w:rsid w:val="00C80AB2"/>
    <w:rPr>
      <w:lang w:val="en-US"/>
    </w:rPr>
  </w:style>
  <w:style w:type="character" w:styleId="PageNumber">
    <w:name w:val="page number"/>
    <w:basedOn w:val="DefaultParagraphFont"/>
    <w:uiPriority w:val="99"/>
    <w:semiHidden/>
    <w:unhideWhenUsed/>
    <w:rsid w:val="00C80AB2"/>
  </w:style>
  <w:style w:type="character" w:styleId="UnresolvedMention">
    <w:name w:val="Unresolved Mention"/>
    <w:basedOn w:val="DefaultParagraphFont"/>
    <w:uiPriority w:val="99"/>
    <w:semiHidden/>
    <w:unhideWhenUsed/>
    <w:rsid w:val="00790D06"/>
    <w:rPr>
      <w:color w:val="605E5C"/>
      <w:shd w:val="clear" w:color="auto" w:fill="E1DFDD"/>
    </w:rPr>
  </w:style>
  <w:style w:type="table" w:styleId="TableGrid">
    <w:name w:val="Table Grid"/>
    <w:basedOn w:val="TableNormal"/>
    <w:uiPriority w:val="39"/>
    <w:rsid w:val="005A64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5A64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1">
    <w:name w:val="Grid Table 2 Accent 1"/>
    <w:basedOn w:val="TableNormal"/>
    <w:uiPriority w:val="47"/>
    <w:rsid w:val="005A64C7"/>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3-Accent1">
    <w:name w:val="Grid Table 3 Accent 1"/>
    <w:basedOn w:val="TableNormal"/>
    <w:uiPriority w:val="48"/>
    <w:rsid w:val="00C9617F"/>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character" w:styleId="FollowedHyperlink">
    <w:name w:val="FollowedHyperlink"/>
    <w:basedOn w:val="DefaultParagraphFont"/>
    <w:uiPriority w:val="99"/>
    <w:semiHidden/>
    <w:unhideWhenUsed/>
    <w:rsid w:val="00035222"/>
    <w:rPr>
      <w:color w:val="96607D" w:themeColor="followedHyperlink"/>
      <w:u w:val="single"/>
    </w:rPr>
  </w:style>
  <w:style w:type="character" w:customStyle="1" w:styleId="ListParagraphChar">
    <w:name w:val="List Paragraph Char"/>
    <w:link w:val="ListParagraph"/>
    <w:uiPriority w:val="34"/>
    <w:rsid w:val="00BD46D9"/>
    <w:rPr>
      <w:color w:val="0E2841" w:themeColor="text2"/>
      <w:sz w:val="21"/>
    </w:rPr>
  </w:style>
  <w:style w:type="table" w:styleId="GridTable1Light-Accent1">
    <w:name w:val="Grid Table 1 Light Accent 1"/>
    <w:basedOn w:val="TableNormal"/>
    <w:uiPriority w:val="46"/>
    <w:rsid w:val="009374A4"/>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16DAE"/>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3-Accent4">
    <w:name w:val="Grid Table 3 Accent 4"/>
    <w:basedOn w:val="TableNormal"/>
    <w:uiPriority w:val="48"/>
    <w:rsid w:val="00E16DAE"/>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paragraph" w:styleId="Header">
    <w:name w:val="header"/>
    <w:basedOn w:val="Normal"/>
    <w:link w:val="HeaderChar"/>
    <w:uiPriority w:val="99"/>
    <w:unhideWhenUsed/>
    <w:rsid w:val="00DC3578"/>
    <w:pPr>
      <w:tabs>
        <w:tab w:val="center" w:pos="4513"/>
        <w:tab w:val="right" w:pos="9026"/>
      </w:tabs>
      <w:spacing w:after="180" w:line="274" w:lineRule="auto"/>
    </w:pPr>
    <w:rPr>
      <w:rFonts w:asciiTheme="minorHAnsi" w:eastAsiaTheme="minorHAnsi" w:hAnsiTheme="minorHAnsi" w:cstheme="minorBidi"/>
      <w:sz w:val="21"/>
      <w:szCs w:val="22"/>
      <w:lang w:eastAsia="en-US"/>
    </w:rPr>
  </w:style>
  <w:style w:type="character" w:customStyle="1" w:styleId="HeaderChar">
    <w:name w:val="Header Char"/>
    <w:basedOn w:val="DefaultParagraphFont"/>
    <w:link w:val="Header"/>
    <w:uiPriority w:val="99"/>
    <w:rsid w:val="00DC3578"/>
    <w:rPr>
      <w:rFonts w:ascii="Times New Roman" w:eastAsia="Times New Roman" w:hAnsi="Times New Roman" w:cs="Times New Roman"/>
      <w:kern w:val="0"/>
      <w:lang w:eastAsia="en-GB"/>
      <w14:ligatures w14:val="none"/>
    </w:rPr>
  </w:style>
  <w:style w:type="paragraph" w:styleId="Caption">
    <w:name w:val="caption"/>
    <w:basedOn w:val="Normal"/>
    <w:next w:val="Normal"/>
    <w:uiPriority w:val="35"/>
    <w:unhideWhenUsed/>
    <w:qFormat/>
    <w:rsid w:val="00755EC3"/>
    <w:pPr>
      <w:spacing w:after="180"/>
    </w:pPr>
    <w:rPr>
      <w:rFonts w:asciiTheme="majorHAnsi" w:eastAsiaTheme="minorEastAsia" w:hAnsiTheme="majorHAnsi" w:cstheme="minorBidi"/>
      <w:bCs/>
      <w:smallCaps/>
      <w:color w:val="0E2841" w:themeColor="text2"/>
      <w:spacing w:val="6"/>
      <w:sz w:val="22"/>
      <w:szCs w:val="18"/>
      <w:lang w:eastAsia="en-US"/>
    </w:rPr>
  </w:style>
  <w:style w:type="table" w:styleId="LightGrid-Accent3">
    <w:name w:val="Light Grid Accent 3"/>
    <w:basedOn w:val="TableNormal"/>
    <w:uiPriority w:val="62"/>
    <w:rsid w:val="00F058F8"/>
    <w:pPr>
      <w:spacing w:after="0" w:line="240" w:lineRule="auto"/>
    </w:pPr>
    <w:rPr>
      <w:rFonts w:ascii="Times New Roman" w:eastAsia="MS Mincho" w:hAnsi="Times New Roman" w:cs="Times New Roman"/>
      <w:sz w:val="20"/>
      <w:szCs w:val="20"/>
      <w:lang w:eastAsia="zh-CN"/>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GridTable1Light-Accent3">
    <w:name w:val="Grid Table 1 Light Accent 3"/>
    <w:basedOn w:val="TableNormal"/>
    <w:uiPriority w:val="46"/>
    <w:rsid w:val="00F058F8"/>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LightList-Accent3">
    <w:name w:val="Light List Accent 3"/>
    <w:basedOn w:val="TableNormal"/>
    <w:uiPriority w:val="61"/>
    <w:rsid w:val="00CC5AF3"/>
    <w:pPr>
      <w:spacing w:after="0" w:line="240" w:lineRule="auto"/>
    </w:pPr>
    <w:rPr>
      <w:rFonts w:ascii="Times New Roman" w:eastAsia="MS Mincho" w:hAnsi="Times New Roman" w:cs="Times New Roman"/>
      <w:sz w:val="20"/>
      <w:szCs w:val="20"/>
      <w:lang w:eastAsia="zh-CN"/>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paragraph" w:styleId="NoSpacing">
    <w:name w:val="No Spacing"/>
    <w:link w:val="NoSpacingChar"/>
    <w:uiPriority w:val="1"/>
    <w:qFormat/>
    <w:rsid w:val="00755EC3"/>
    <w:pPr>
      <w:spacing w:after="0" w:line="240" w:lineRule="auto"/>
    </w:pPr>
  </w:style>
  <w:style w:type="paragraph" w:customStyle="1" w:styleId="PersonalName">
    <w:name w:val="Personal Name"/>
    <w:basedOn w:val="Title"/>
    <w:qFormat/>
    <w:rsid w:val="00755EC3"/>
    <w:rPr>
      <w:b/>
      <w:caps/>
      <w:color w:val="000000"/>
      <w:sz w:val="28"/>
      <w:szCs w:val="28"/>
    </w:rPr>
  </w:style>
  <w:style w:type="character" w:customStyle="1" w:styleId="NoSpacingChar">
    <w:name w:val="No Spacing Char"/>
    <w:basedOn w:val="DefaultParagraphFont"/>
    <w:link w:val="NoSpacing"/>
    <w:uiPriority w:val="1"/>
    <w:rsid w:val="00755EC3"/>
  </w:style>
  <w:style w:type="character" w:styleId="SubtleEmphasis">
    <w:name w:val="Subtle Emphasis"/>
    <w:basedOn w:val="DefaultParagraphFont"/>
    <w:uiPriority w:val="19"/>
    <w:qFormat/>
    <w:rsid w:val="00755EC3"/>
    <w:rPr>
      <w:i/>
      <w:iCs/>
      <w:color w:val="000000"/>
    </w:rPr>
  </w:style>
  <w:style w:type="character" w:styleId="SubtleReference">
    <w:name w:val="Subtle Reference"/>
    <w:basedOn w:val="DefaultParagraphFont"/>
    <w:uiPriority w:val="31"/>
    <w:qFormat/>
    <w:rsid w:val="00755EC3"/>
    <w:rPr>
      <w:smallCaps/>
      <w:color w:val="000000"/>
      <w:u w:val="single"/>
    </w:rPr>
  </w:style>
  <w:style w:type="character" w:styleId="BookTitle">
    <w:name w:val="Book Title"/>
    <w:basedOn w:val="DefaultParagraphFont"/>
    <w:uiPriority w:val="33"/>
    <w:qFormat/>
    <w:rsid w:val="00755EC3"/>
    <w:rPr>
      <w:b/>
      <w:bCs/>
      <w:caps/>
      <w:smallCaps w:val="0"/>
      <w:color w:val="0E2841" w:themeColor="text2"/>
      <w:spacing w:val="10"/>
    </w:rPr>
  </w:style>
  <w:style w:type="table" w:styleId="GridTable1Light">
    <w:name w:val="Grid Table 1 Light"/>
    <w:basedOn w:val="TableNormal"/>
    <w:uiPriority w:val="46"/>
    <w:rsid w:val="006E50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7Colorful-Accent4">
    <w:name w:val="List Table 7 Colorful Accent 4"/>
    <w:basedOn w:val="TableNormal"/>
    <w:uiPriority w:val="52"/>
    <w:rsid w:val="00C35B0D"/>
    <w:pPr>
      <w:spacing w:after="0" w:line="240" w:lineRule="auto"/>
    </w:pPr>
    <w:rPr>
      <w:color w:val="0B769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9ED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9ED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9ED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9ED5" w:themeColor="accent4"/>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4">
    <w:name w:val="List Table 3 Accent 4"/>
    <w:basedOn w:val="TableNormal"/>
    <w:uiPriority w:val="48"/>
    <w:rsid w:val="00C35B0D"/>
    <w:pPr>
      <w:spacing w:after="0" w:line="240" w:lineRule="auto"/>
    </w:p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character" w:customStyle="1" w:styleId="breadcrumbsep">
    <w:name w:val="breadcrumb_sep"/>
    <w:basedOn w:val="DefaultParagraphFont"/>
    <w:rsid w:val="005B6105"/>
  </w:style>
  <w:style w:type="paragraph" w:styleId="TableofFigures">
    <w:name w:val="table of figures"/>
    <w:basedOn w:val="Normal"/>
    <w:next w:val="Normal"/>
    <w:uiPriority w:val="99"/>
    <w:unhideWhenUsed/>
    <w:rsid w:val="0076163B"/>
    <w:rPr>
      <w:rFonts w:asciiTheme="minorHAnsi" w:hAnsiTheme="minorHAnsi"/>
      <w:i/>
      <w:iCs/>
      <w:sz w:val="20"/>
      <w:szCs w:val="20"/>
    </w:rPr>
  </w:style>
  <w:style w:type="table" w:styleId="GridTable4-Accent4">
    <w:name w:val="Grid Table 4 Accent 4"/>
    <w:basedOn w:val="TableNormal"/>
    <w:uiPriority w:val="49"/>
    <w:rsid w:val="00597BA8"/>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2-Accent4">
    <w:name w:val="Grid Table 2 Accent 4"/>
    <w:basedOn w:val="TableNormal"/>
    <w:uiPriority w:val="47"/>
    <w:rsid w:val="00597BA8"/>
    <w:pPr>
      <w:spacing w:after="0" w:line="240" w:lineRule="auto"/>
    </w:p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7Colorful-Accent1">
    <w:name w:val="Grid Table 7 Colorful Accent 1"/>
    <w:basedOn w:val="TableNormal"/>
    <w:uiPriority w:val="52"/>
    <w:rsid w:val="00E03E7D"/>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character" w:styleId="CommentReference">
    <w:name w:val="annotation reference"/>
    <w:basedOn w:val="DefaultParagraphFont"/>
    <w:uiPriority w:val="99"/>
    <w:semiHidden/>
    <w:unhideWhenUsed/>
    <w:rsid w:val="00A17DE1"/>
    <w:rPr>
      <w:sz w:val="16"/>
      <w:szCs w:val="16"/>
    </w:rPr>
  </w:style>
  <w:style w:type="paragraph" w:styleId="CommentText">
    <w:name w:val="annotation text"/>
    <w:basedOn w:val="Normal"/>
    <w:link w:val="CommentTextChar"/>
    <w:uiPriority w:val="99"/>
    <w:unhideWhenUsed/>
    <w:rsid w:val="00A17DE1"/>
    <w:rPr>
      <w:sz w:val="20"/>
      <w:szCs w:val="20"/>
    </w:rPr>
  </w:style>
  <w:style w:type="character" w:customStyle="1" w:styleId="CommentTextChar">
    <w:name w:val="Comment Text Char"/>
    <w:basedOn w:val="DefaultParagraphFont"/>
    <w:link w:val="CommentText"/>
    <w:uiPriority w:val="99"/>
    <w:rsid w:val="00A17DE1"/>
    <w:rPr>
      <w:rFonts w:ascii="Times New Roman" w:eastAsia="Times New Roman" w:hAnsi="Times New Roman" w:cs="Times New Roman"/>
      <w:sz w:val="20"/>
      <w:szCs w:val="20"/>
      <w:lang w:eastAsia="en-GB"/>
    </w:rPr>
  </w:style>
  <w:style w:type="paragraph" w:styleId="Revision">
    <w:name w:val="Revision"/>
    <w:hidden/>
    <w:uiPriority w:val="99"/>
    <w:semiHidden/>
    <w:rsid w:val="00A17DE1"/>
    <w:pPr>
      <w:spacing w:after="0"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A83F72"/>
    <w:rPr>
      <w:b/>
      <w:bCs/>
    </w:rPr>
  </w:style>
  <w:style w:type="character" w:customStyle="1" w:styleId="CommentSubjectChar">
    <w:name w:val="Comment Subject Char"/>
    <w:basedOn w:val="CommentTextChar"/>
    <w:link w:val="CommentSubject"/>
    <w:uiPriority w:val="99"/>
    <w:semiHidden/>
    <w:rsid w:val="00A83F72"/>
    <w:rPr>
      <w:rFonts w:ascii="Times New Roman" w:eastAsia="Times New Roman" w:hAnsi="Times New Roman" w:cs="Times New Roman"/>
      <w:b/>
      <w:bCs/>
      <w:sz w:val="20"/>
      <w:szCs w:val="20"/>
      <w:lang w:eastAsia="en-GB"/>
    </w:rPr>
  </w:style>
  <w:style w:type="character" w:customStyle="1" w:styleId="relative">
    <w:name w:val="relative"/>
    <w:basedOn w:val="DefaultParagraphFont"/>
    <w:rsid w:val="00C647BA"/>
  </w:style>
  <w:style w:type="table" w:customStyle="1" w:styleId="GridTable6ColourfulAccent11">
    <w:name w:val="Grid Table 6 Colourful – Accent 11"/>
    <w:basedOn w:val="TableNormal"/>
    <w:uiPriority w:val="51"/>
    <w:rsid w:val="00430E42"/>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ListTable7ColourfulAccent11">
    <w:name w:val="List Table 7 Colourful – Accent 11"/>
    <w:basedOn w:val="TableNormal"/>
    <w:uiPriority w:val="52"/>
    <w:rsid w:val="00430E42"/>
    <w:pPr>
      <w:spacing w:after="0" w:line="240" w:lineRule="auto"/>
    </w:pPr>
    <w:rPr>
      <w:color w:val="0F476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430E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430E4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430E42"/>
    <w:rPr>
      <w:color w:val="605E5C"/>
      <w:shd w:val="clear" w:color="auto" w:fill="E1DFDD"/>
    </w:rPr>
  </w:style>
  <w:style w:type="table" w:customStyle="1" w:styleId="PlainTable21">
    <w:name w:val="Plain Table 21"/>
    <w:basedOn w:val="TableNormal"/>
    <w:uiPriority w:val="42"/>
    <w:rsid w:val="00430E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2-Accent11">
    <w:name w:val="Grid Table 2 - Accent 11"/>
    <w:basedOn w:val="TableNormal"/>
    <w:uiPriority w:val="47"/>
    <w:rsid w:val="00430E42"/>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GridTable3-Accent11">
    <w:name w:val="Grid Table 3 - Accent 11"/>
    <w:basedOn w:val="TableNormal"/>
    <w:uiPriority w:val="48"/>
    <w:rsid w:val="00430E42"/>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customStyle="1" w:styleId="GridTable1Light-Accent11">
    <w:name w:val="Grid Table 1 Light - Accent 11"/>
    <w:basedOn w:val="TableNormal"/>
    <w:uiPriority w:val="46"/>
    <w:rsid w:val="00430E42"/>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430E42"/>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customStyle="1" w:styleId="GridTable3-Accent41">
    <w:name w:val="Grid Table 3 - Accent 41"/>
    <w:basedOn w:val="TableNormal"/>
    <w:uiPriority w:val="48"/>
    <w:rsid w:val="00430E42"/>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customStyle="1" w:styleId="GridTable1Light-Accent31">
    <w:name w:val="Grid Table 1 Light - Accent 31"/>
    <w:basedOn w:val="TableNormal"/>
    <w:uiPriority w:val="46"/>
    <w:rsid w:val="00430E42"/>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430E4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7ColourfulAccent41">
    <w:name w:val="List Table 7 Colourful – Accent 41"/>
    <w:basedOn w:val="TableNormal"/>
    <w:uiPriority w:val="52"/>
    <w:rsid w:val="00430E42"/>
    <w:pPr>
      <w:spacing w:after="0" w:line="240" w:lineRule="auto"/>
    </w:pPr>
    <w:rPr>
      <w:color w:val="0B769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9ED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9ED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9ED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9ED5" w:themeColor="accent4"/>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3-Accent41">
    <w:name w:val="List Table 3 - Accent 41"/>
    <w:basedOn w:val="TableNormal"/>
    <w:uiPriority w:val="48"/>
    <w:rsid w:val="00430E42"/>
    <w:pPr>
      <w:spacing w:after="0" w:line="240" w:lineRule="auto"/>
    </w:p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customStyle="1" w:styleId="GridTable4-Accent41">
    <w:name w:val="Grid Table 4 - Accent 41"/>
    <w:basedOn w:val="TableNormal"/>
    <w:uiPriority w:val="49"/>
    <w:rsid w:val="00430E42"/>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GridTable2-Accent41">
    <w:name w:val="Grid Table 2 - Accent 41"/>
    <w:basedOn w:val="TableNormal"/>
    <w:uiPriority w:val="47"/>
    <w:rsid w:val="00430E42"/>
    <w:pPr>
      <w:spacing w:after="0" w:line="240" w:lineRule="auto"/>
    </w:p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GridTable7ColourfulAccent11">
    <w:name w:val="Grid Table 7 Colourful – Accent 11"/>
    <w:basedOn w:val="TableNormal"/>
    <w:uiPriority w:val="52"/>
    <w:rsid w:val="00430E42"/>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paragraph" w:styleId="BalloonText">
    <w:name w:val="Balloon Text"/>
    <w:basedOn w:val="Normal"/>
    <w:link w:val="BalloonTextChar"/>
    <w:uiPriority w:val="99"/>
    <w:semiHidden/>
    <w:unhideWhenUsed/>
    <w:rsid w:val="00430E42"/>
    <w:rPr>
      <w:rFonts w:ascii="Tahoma" w:hAnsi="Tahoma" w:cs="Tahoma"/>
      <w:sz w:val="16"/>
      <w:szCs w:val="16"/>
    </w:rPr>
  </w:style>
  <w:style w:type="character" w:customStyle="1" w:styleId="BalloonTextChar">
    <w:name w:val="Balloon Text Char"/>
    <w:basedOn w:val="DefaultParagraphFont"/>
    <w:link w:val="BalloonText"/>
    <w:uiPriority w:val="99"/>
    <w:semiHidden/>
    <w:rsid w:val="00430E42"/>
    <w:rPr>
      <w:rFonts w:ascii="Tahoma" w:eastAsia="Times New Roman" w:hAnsi="Tahoma" w:cs="Tahoma"/>
      <w:sz w:val="16"/>
      <w:szCs w:val="16"/>
      <w:lang w:eastAsia="en-GB"/>
    </w:rPr>
  </w:style>
  <w:style w:type="table" w:styleId="GridTable7Colorful-Accent4">
    <w:name w:val="Grid Table 7 Colorful Accent 4"/>
    <w:basedOn w:val="TableNormal"/>
    <w:uiPriority w:val="52"/>
    <w:rsid w:val="00361687"/>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6Colorful-Accent4">
    <w:name w:val="Grid Table 6 Colorful Accent 4"/>
    <w:basedOn w:val="TableNormal"/>
    <w:uiPriority w:val="51"/>
    <w:rsid w:val="00E42A3C"/>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customStyle="1" w:styleId="p1">
    <w:name w:val="p1"/>
    <w:basedOn w:val="Normal"/>
    <w:rsid w:val="00C63F27"/>
    <w:rPr>
      <w:color w:val="000000"/>
      <w:sz w:val="21"/>
      <w:szCs w:val="21"/>
    </w:rPr>
  </w:style>
  <w:style w:type="character" w:customStyle="1" w:styleId="s1">
    <w:name w:val="s1"/>
    <w:basedOn w:val="DefaultParagraphFont"/>
    <w:rsid w:val="00C63F27"/>
    <w:rPr>
      <w:rFonts w:ascii="Arial" w:hAnsi="Arial" w:cs="Arial" w:hint="default"/>
      <w:sz w:val="21"/>
      <w:szCs w:val="21"/>
    </w:rPr>
  </w:style>
  <w:style w:type="paragraph" w:styleId="ListBullet">
    <w:name w:val="List Bullet"/>
    <w:basedOn w:val="Normal"/>
    <w:uiPriority w:val="99"/>
    <w:unhideWhenUsed/>
    <w:rsid w:val="00BF01BC"/>
    <w:pPr>
      <w:numPr>
        <w:numId w:val="23"/>
      </w:numPr>
      <w:tabs>
        <w:tab w:val="clear" w:pos="360"/>
      </w:tabs>
      <w:spacing w:after="200" w:line="276" w:lineRule="auto"/>
      <w:ind w:left="0" w:firstLine="0"/>
      <w:contextualSpacing/>
    </w:pPr>
    <w:rPr>
      <w:rFonts w:asciiTheme="minorHAnsi" w:eastAsiaTheme="minorEastAsia" w:hAnsiTheme="minorHAnsi" w:cstheme="minorBidi"/>
      <w:sz w:val="22"/>
      <w:szCs w:val="22"/>
      <w:lang w:val="en-US" w:eastAsia="en-US"/>
    </w:rPr>
  </w:style>
  <w:style w:type="character" w:customStyle="1" w:styleId="apple-converted-space">
    <w:name w:val="apple-converted-space"/>
    <w:basedOn w:val="DefaultParagraphFont"/>
    <w:rsid w:val="00DD1D0D"/>
  </w:style>
  <w:style w:type="table" w:styleId="GridTable7Colorful">
    <w:name w:val="Grid Table 7 Colorful"/>
    <w:basedOn w:val="TableNormal"/>
    <w:uiPriority w:val="52"/>
    <w:rsid w:val="005B12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6E0F6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6E0F6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0F6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0F6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6E0F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6E0F6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il1">
    <w:name w:val="Stil1"/>
    <w:basedOn w:val="Normal"/>
    <w:link w:val="Stil1Caracter"/>
    <w:qFormat/>
    <w:rsid w:val="004325A0"/>
    <w:pPr>
      <w:jc w:val="center"/>
    </w:pPr>
    <w:rPr>
      <w:b/>
      <w:bCs/>
      <w:lang w:val="ro-RO"/>
    </w:rPr>
  </w:style>
  <w:style w:type="character" w:customStyle="1" w:styleId="Stil1Caracter">
    <w:name w:val="Stil1 Caracter"/>
    <w:basedOn w:val="DefaultParagraphFont"/>
    <w:link w:val="Stil1"/>
    <w:rsid w:val="004325A0"/>
    <w:rPr>
      <w:rFonts w:ascii="Times New Roman" w:eastAsia="Times New Roman" w:hAnsi="Times New Roman" w:cs="Times New Roman"/>
      <w:b/>
      <w:bCs/>
      <w:sz w:val="24"/>
      <w:szCs w:val="24"/>
      <w:lang w:val="ro-RO"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6699">
      <w:bodyDiv w:val="1"/>
      <w:marLeft w:val="0"/>
      <w:marRight w:val="0"/>
      <w:marTop w:val="0"/>
      <w:marBottom w:val="0"/>
      <w:divBdr>
        <w:top w:val="none" w:sz="0" w:space="0" w:color="auto"/>
        <w:left w:val="none" w:sz="0" w:space="0" w:color="auto"/>
        <w:bottom w:val="none" w:sz="0" w:space="0" w:color="auto"/>
        <w:right w:val="none" w:sz="0" w:space="0" w:color="auto"/>
      </w:divBdr>
    </w:div>
    <w:div w:id="6179352">
      <w:bodyDiv w:val="1"/>
      <w:marLeft w:val="0"/>
      <w:marRight w:val="0"/>
      <w:marTop w:val="0"/>
      <w:marBottom w:val="0"/>
      <w:divBdr>
        <w:top w:val="none" w:sz="0" w:space="0" w:color="auto"/>
        <w:left w:val="none" w:sz="0" w:space="0" w:color="auto"/>
        <w:bottom w:val="none" w:sz="0" w:space="0" w:color="auto"/>
        <w:right w:val="none" w:sz="0" w:space="0" w:color="auto"/>
      </w:divBdr>
    </w:div>
    <w:div w:id="17852349">
      <w:bodyDiv w:val="1"/>
      <w:marLeft w:val="0"/>
      <w:marRight w:val="0"/>
      <w:marTop w:val="0"/>
      <w:marBottom w:val="0"/>
      <w:divBdr>
        <w:top w:val="none" w:sz="0" w:space="0" w:color="auto"/>
        <w:left w:val="none" w:sz="0" w:space="0" w:color="auto"/>
        <w:bottom w:val="none" w:sz="0" w:space="0" w:color="auto"/>
        <w:right w:val="none" w:sz="0" w:space="0" w:color="auto"/>
      </w:divBdr>
    </w:div>
    <w:div w:id="31925810">
      <w:bodyDiv w:val="1"/>
      <w:marLeft w:val="0"/>
      <w:marRight w:val="0"/>
      <w:marTop w:val="0"/>
      <w:marBottom w:val="0"/>
      <w:divBdr>
        <w:top w:val="none" w:sz="0" w:space="0" w:color="auto"/>
        <w:left w:val="none" w:sz="0" w:space="0" w:color="auto"/>
        <w:bottom w:val="none" w:sz="0" w:space="0" w:color="auto"/>
        <w:right w:val="none" w:sz="0" w:space="0" w:color="auto"/>
      </w:divBdr>
      <w:divsChild>
        <w:div w:id="1817526703">
          <w:marLeft w:val="0"/>
          <w:marRight w:val="0"/>
          <w:marTop w:val="0"/>
          <w:marBottom w:val="0"/>
          <w:divBdr>
            <w:top w:val="none" w:sz="0" w:space="0" w:color="auto"/>
            <w:left w:val="none" w:sz="0" w:space="0" w:color="auto"/>
            <w:bottom w:val="none" w:sz="0" w:space="0" w:color="auto"/>
            <w:right w:val="none" w:sz="0" w:space="0" w:color="auto"/>
          </w:divBdr>
          <w:divsChild>
            <w:div w:id="175015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079">
      <w:bodyDiv w:val="1"/>
      <w:marLeft w:val="0"/>
      <w:marRight w:val="0"/>
      <w:marTop w:val="0"/>
      <w:marBottom w:val="0"/>
      <w:divBdr>
        <w:top w:val="none" w:sz="0" w:space="0" w:color="auto"/>
        <w:left w:val="none" w:sz="0" w:space="0" w:color="auto"/>
        <w:bottom w:val="none" w:sz="0" w:space="0" w:color="auto"/>
        <w:right w:val="none" w:sz="0" w:space="0" w:color="auto"/>
      </w:divBdr>
    </w:div>
    <w:div w:id="33235007">
      <w:bodyDiv w:val="1"/>
      <w:marLeft w:val="0"/>
      <w:marRight w:val="0"/>
      <w:marTop w:val="0"/>
      <w:marBottom w:val="0"/>
      <w:divBdr>
        <w:top w:val="none" w:sz="0" w:space="0" w:color="auto"/>
        <w:left w:val="none" w:sz="0" w:space="0" w:color="auto"/>
        <w:bottom w:val="none" w:sz="0" w:space="0" w:color="auto"/>
        <w:right w:val="none" w:sz="0" w:space="0" w:color="auto"/>
      </w:divBdr>
    </w:div>
    <w:div w:id="41757448">
      <w:bodyDiv w:val="1"/>
      <w:marLeft w:val="0"/>
      <w:marRight w:val="0"/>
      <w:marTop w:val="0"/>
      <w:marBottom w:val="0"/>
      <w:divBdr>
        <w:top w:val="none" w:sz="0" w:space="0" w:color="auto"/>
        <w:left w:val="none" w:sz="0" w:space="0" w:color="auto"/>
        <w:bottom w:val="none" w:sz="0" w:space="0" w:color="auto"/>
        <w:right w:val="none" w:sz="0" w:space="0" w:color="auto"/>
      </w:divBdr>
      <w:divsChild>
        <w:div w:id="17510780">
          <w:marLeft w:val="0"/>
          <w:marRight w:val="0"/>
          <w:marTop w:val="0"/>
          <w:marBottom w:val="0"/>
          <w:divBdr>
            <w:top w:val="none" w:sz="0" w:space="0" w:color="auto"/>
            <w:left w:val="none" w:sz="0" w:space="0" w:color="auto"/>
            <w:bottom w:val="none" w:sz="0" w:space="0" w:color="auto"/>
            <w:right w:val="none" w:sz="0" w:space="0" w:color="auto"/>
          </w:divBdr>
          <w:divsChild>
            <w:div w:id="894194904">
              <w:marLeft w:val="0"/>
              <w:marRight w:val="0"/>
              <w:marTop w:val="0"/>
              <w:marBottom w:val="0"/>
              <w:divBdr>
                <w:top w:val="none" w:sz="0" w:space="0" w:color="auto"/>
                <w:left w:val="none" w:sz="0" w:space="0" w:color="auto"/>
                <w:bottom w:val="none" w:sz="0" w:space="0" w:color="auto"/>
                <w:right w:val="none" w:sz="0" w:space="0" w:color="auto"/>
              </w:divBdr>
              <w:divsChild>
                <w:div w:id="135280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1301">
      <w:bodyDiv w:val="1"/>
      <w:marLeft w:val="0"/>
      <w:marRight w:val="0"/>
      <w:marTop w:val="0"/>
      <w:marBottom w:val="0"/>
      <w:divBdr>
        <w:top w:val="none" w:sz="0" w:space="0" w:color="auto"/>
        <w:left w:val="none" w:sz="0" w:space="0" w:color="auto"/>
        <w:bottom w:val="none" w:sz="0" w:space="0" w:color="auto"/>
        <w:right w:val="none" w:sz="0" w:space="0" w:color="auto"/>
      </w:divBdr>
    </w:div>
    <w:div w:id="62529827">
      <w:bodyDiv w:val="1"/>
      <w:marLeft w:val="0"/>
      <w:marRight w:val="0"/>
      <w:marTop w:val="0"/>
      <w:marBottom w:val="0"/>
      <w:divBdr>
        <w:top w:val="none" w:sz="0" w:space="0" w:color="auto"/>
        <w:left w:val="none" w:sz="0" w:space="0" w:color="auto"/>
        <w:bottom w:val="none" w:sz="0" w:space="0" w:color="auto"/>
        <w:right w:val="none" w:sz="0" w:space="0" w:color="auto"/>
      </w:divBdr>
    </w:div>
    <w:div w:id="67848934">
      <w:bodyDiv w:val="1"/>
      <w:marLeft w:val="0"/>
      <w:marRight w:val="0"/>
      <w:marTop w:val="0"/>
      <w:marBottom w:val="0"/>
      <w:divBdr>
        <w:top w:val="none" w:sz="0" w:space="0" w:color="auto"/>
        <w:left w:val="none" w:sz="0" w:space="0" w:color="auto"/>
        <w:bottom w:val="none" w:sz="0" w:space="0" w:color="auto"/>
        <w:right w:val="none" w:sz="0" w:space="0" w:color="auto"/>
      </w:divBdr>
    </w:div>
    <w:div w:id="70851898">
      <w:bodyDiv w:val="1"/>
      <w:marLeft w:val="0"/>
      <w:marRight w:val="0"/>
      <w:marTop w:val="0"/>
      <w:marBottom w:val="0"/>
      <w:divBdr>
        <w:top w:val="none" w:sz="0" w:space="0" w:color="auto"/>
        <w:left w:val="none" w:sz="0" w:space="0" w:color="auto"/>
        <w:bottom w:val="none" w:sz="0" w:space="0" w:color="auto"/>
        <w:right w:val="none" w:sz="0" w:space="0" w:color="auto"/>
      </w:divBdr>
    </w:div>
    <w:div w:id="71511298">
      <w:bodyDiv w:val="1"/>
      <w:marLeft w:val="0"/>
      <w:marRight w:val="0"/>
      <w:marTop w:val="0"/>
      <w:marBottom w:val="0"/>
      <w:divBdr>
        <w:top w:val="none" w:sz="0" w:space="0" w:color="auto"/>
        <w:left w:val="none" w:sz="0" w:space="0" w:color="auto"/>
        <w:bottom w:val="none" w:sz="0" w:space="0" w:color="auto"/>
        <w:right w:val="none" w:sz="0" w:space="0" w:color="auto"/>
      </w:divBdr>
    </w:div>
    <w:div w:id="73477078">
      <w:bodyDiv w:val="1"/>
      <w:marLeft w:val="0"/>
      <w:marRight w:val="0"/>
      <w:marTop w:val="0"/>
      <w:marBottom w:val="0"/>
      <w:divBdr>
        <w:top w:val="none" w:sz="0" w:space="0" w:color="auto"/>
        <w:left w:val="none" w:sz="0" w:space="0" w:color="auto"/>
        <w:bottom w:val="none" w:sz="0" w:space="0" w:color="auto"/>
        <w:right w:val="none" w:sz="0" w:space="0" w:color="auto"/>
      </w:divBdr>
    </w:div>
    <w:div w:id="73549168">
      <w:bodyDiv w:val="1"/>
      <w:marLeft w:val="0"/>
      <w:marRight w:val="0"/>
      <w:marTop w:val="0"/>
      <w:marBottom w:val="0"/>
      <w:divBdr>
        <w:top w:val="none" w:sz="0" w:space="0" w:color="auto"/>
        <w:left w:val="none" w:sz="0" w:space="0" w:color="auto"/>
        <w:bottom w:val="none" w:sz="0" w:space="0" w:color="auto"/>
        <w:right w:val="none" w:sz="0" w:space="0" w:color="auto"/>
      </w:divBdr>
    </w:div>
    <w:div w:id="81030694">
      <w:bodyDiv w:val="1"/>
      <w:marLeft w:val="0"/>
      <w:marRight w:val="0"/>
      <w:marTop w:val="0"/>
      <w:marBottom w:val="0"/>
      <w:divBdr>
        <w:top w:val="none" w:sz="0" w:space="0" w:color="auto"/>
        <w:left w:val="none" w:sz="0" w:space="0" w:color="auto"/>
        <w:bottom w:val="none" w:sz="0" w:space="0" w:color="auto"/>
        <w:right w:val="none" w:sz="0" w:space="0" w:color="auto"/>
      </w:divBdr>
    </w:div>
    <w:div w:id="84738462">
      <w:bodyDiv w:val="1"/>
      <w:marLeft w:val="0"/>
      <w:marRight w:val="0"/>
      <w:marTop w:val="0"/>
      <w:marBottom w:val="0"/>
      <w:divBdr>
        <w:top w:val="none" w:sz="0" w:space="0" w:color="auto"/>
        <w:left w:val="none" w:sz="0" w:space="0" w:color="auto"/>
        <w:bottom w:val="none" w:sz="0" w:space="0" w:color="auto"/>
        <w:right w:val="none" w:sz="0" w:space="0" w:color="auto"/>
      </w:divBdr>
    </w:div>
    <w:div w:id="88278487">
      <w:bodyDiv w:val="1"/>
      <w:marLeft w:val="0"/>
      <w:marRight w:val="0"/>
      <w:marTop w:val="0"/>
      <w:marBottom w:val="0"/>
      <w:divBdr>
        <w:top w:val="none" w:sz="0" w:space="0" w:color="auto"/>
        <w:left w:val="none" w:sz="0" w:space="0" w:color="auto"/>
        <w:bottom w:val="none" w:sz="0" w:space="0" w:color="auto"/>
        <w:right w:val="none" w:sz="0" w:space="0" w:color="auto"/>
      </w:divBdr>
    </w:div>
    <w:div w:id="89129441">
      <w:bodyDiv w:val="1"/>
      <w:marLeft w:val="0"/>
      <w:marRight w:val="0"/>
      <w:marTop w:val="0"/>
      <w:marBottom w:val="0"/>
      <w:divBdr>
        <w:top w:val="none" w:sz="0" w:space="0" w:color="auto"/>
        <w:left w:val="none" w:sz="0" w:space="0" w:color="auto"/>
        <w:bottom w:val="none" w:sz="0" w:space="0" w:color="auto"/>
        <w:right w:val="none" w:sz="0" w:space="0" w:color="auto"/>
      </w:divBdr>
    </w:div>
    <w:div w:id="102849478">
      <w:bodyDiv w:val="1"/>
      <w:marLeft w:val="0"/>
      <w:marRight w:val="0"/>
      <w:marTop w:val="0"/>
      <w:marBottom w:val="0"/>
      <w:divBdr>
        <w:top w:val="none" w:sz="0" w:space="0" w:color="auto"/>
        <w:left w:val="none" w:sz="0" w:space="0" w:color="auto"/>
        <w:bottom w:val="none" w:sz="0" w:space="0" w:color="auto"/>
        <w:right w:val="none" w:sz="0" w:space="0" w:color="auto"/>
      </w:divBdr>
    </w:div>
    <w:div w:id="107235465">
      <w:bodyDiv w:val="1"/>
      <w:marLeft w:val="0"/>
      <w:marRight w:val="0"/>
      <w:marTop w:val="0"/>
      <w:marBottom w:val="0"/>
      <w:divBdr>
        <w:top w:val="none" w:sz="0" w:space="0" w:color="auto"/>
        <w:left w:val="none" w:sz="0" w:space="0" w:color="auto"/>
        <w:bottom w:val="none" w:sz="0" w:space="0" w:color="auto"/>
        <w:right w:val="none" w:sz="0" w:space="0" w:color="auto"/>
      </w:divBdr>
    </w:div>
    <w:div w:id="113789249">
      <w:bodyDiv w:val="1"/>
      <w:marLeft w:val="0"/>
      <w:marRight w:val="0"/>
      <w:marTop w:val="0"/>
      <w:marBottom w:val="0"/>
      <w:divBdr>
        <w:top w:val="none" w:sz="0" w:space="0" w:color="auto"/>
        <w:left w:val="none" w:sz="0" w:space="0" w:color="auto"/>
        <w:bottom w:val="none" w:sz="0" w:space="0" w:color="auto"/>
        <w:right w:val="none" w:sz="0" w:space="0" w:color="auto"/>
      </w:divBdr>
    </w:div>
    <w:div w:id="114258960">
      <w:bodyDiv w:val="1"/>
      <w:marLeft w:val="0"/>
      <w:marRight w:val="0"/>
      <w:marTop w:val="0"/>
      <w:marBottom w:val="0"/>
      <w:divBdr>
        <w:top w:val="none" w:sz="0" w:space="0" w:color="auto"/>
        <w:left w:val="none" w:sz="0" w:space="0" w:color="auto"/>
        <w:bottom w:val="none" w:sz="0" w:space="0" w:color="auto"/>
        <w:right w:val="none" w:sz="0" w:space="0" w:color="auto"/>
      </w:divBdr>
      <w:divsChild>
        <w:div w:id="154272988">
          <w:marLeft w:val="0"/>
          <w:marRight w:val="0"/>
          <w:marTop w:val="0"/>
          <w:marBottom w:val="0"/>
          <w:divBdr>
            <w:top w:val="none" w:sz="0" w:space="0" w:color="auto"/>
            <w:left w:val="none" w:sz="0" w:space="0" w:color="auto"/>
            <w:bottom w:val="none" w:sz="0" w:space="0" w:color="auto"/>
            <w:right w:val="none" w:sz="0" w:space="0" w:color="auto"/>
          </w:divBdr>
          <w:divsChild>
            <w:div w:id="264847968">
              <w:marLeft w:val="0"/>
              <w:marRight w:val="0"/>
              <w:marTop w:val="0"/>
              <w:marBottom w:val="0"/>
              <w:divBdr>
                <w:top w:val="none" w:sz="0" w:space="0" w:color="auto"/>
                <w:left w:val="none" w:sz="0" w:space="0" w:color="auto"/>
                <w:bottom w:val="none" w:sz="0" w:space="0" w:color="auto"/>
                <w:right w:val="none" w:sz="0" w:space="0" w:color="auto"/>
              </w:divBdr>
              <w:divsChild>
                <w:div w:id="1503928262">
                  <w:marLeft w:val="0"/>
                  <w:marRight w:val="0"/>
                  <w:marTop w:val="0"/>
                  <w:marBottom w:val="0"/>
                  <w:divBdr>
                    <w:top w:val="none" w:sz="0" w:space="0" w:color="auto"/>
                    <w:left w:val="none" w:sz="0" w:space="0" w:color="auto"/>
                    <w:bottom w:val="none" w:sz="0" w:space="0" w:color="auto"/>
                    <w:right w:val="none" w:sz="0" w:space="0" w:color="auto"/>
                  </w:divBdr>
                  <w:divsChild>
                    <w:div w:id="1453597500">
                      <w:marLeft w:val="0"/>
                      <w:marRight w:val="0"/>
                      <w:marTop w:val="0"/>
                      <w:marBottom w:val="0"/>
                      <w:divBdr>
                        <w:top w:val="none" w:sz="0" w:space="0" w:color="auto"/>
                        <w:left w:val="none" w:sz="0" w:space="0" w:color="auto"/>
                        <w:bottom w:val="none" w:sz="0" w:space="0" w:color="auto"/>
                        <w:right w:val="none" w:sz="0" w:space="0" w:color="auto"/>
                      </w:divBdr>
                      <w:divsChild>
                        <w:div w:id="158615175">
                          <w:marLeft w:val="0"/>
                          <w:marRight w:val="0"/>
                          <w:marTop w:val="0"/>
                          <w:marBottom w:val="0"/>
                          <w:divBdr>
                            <w:top w:val="none" w:sz="0" w:space="0" w:color="auto"/>
                            <w:left w:val="none" w:sz="0" w:space="0" w:color="auto"/>
                            <w:bottom w:val="none" w:sz="0" w:space="0" w:color="auto"/>
                            <w:right w:val="none" w:sz="0" w:space="0" w:color="auto"/>
                          </w:divBdr>
                          <w:divsChild>
                            <w:div w:id="119227337">
                              <w:marLeft w:val="0"/>
                              <w:marRight w:val="0"/>
                              <w:marTop w:val="0"/>
                              <w:marBottom w:val="0"/>
                              <w:divBdr>
                                <w:top w:val="none" w:sz="0" w:space="0" w:color="auto"/>
                                <w:left w:val="none" w:sz="0" w:space="0" w:color="auto"/>
                                <w:bottom w:val="none" w:sz="0" w:space="0" w:color="auto"/>
                                <w:right w:val="none" w:sz="0" w:space="0" w:color="auto"/>
                              </w:divBdr>
                              <w:divsChild>
                                <w:div w:id="22097044">
                                  <w:marLeft w:val="0"/>
                                  <w:marRight w:val="0"/>
                                  <w:marTop w:val="0"/>
                                  <w:marBottom w:val="0"/>
                                  <w:divBdr>
                                    <w:top w:val="none" w:sz="0" w:space="0" w:color="auto"/>
                                    <w:left w:val="none" w:sz="0" w:space="0" w:color="auto"/>
                                    <w:bottom w:val="none" w:sz="0" w:space="0" w:color="auto"/>
                                    <w:right w:val="none" w:sz="0" w:space="0" w:color="auto"/>
                                  </w:divBdr>
                                </w:div>
                                <w:div w:id="13368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978937">
          <w:marLeft w:val="0"/>
          <w:marRight w:val="0"/>
          <w:marTop w:val="0"/>
          <w:marBottom w:val="0"/>
          <w:divBdr>
            <w:top w:val="none" w:sz="0" w:space="0" w:color="auto"/>
            <w:left w:val="none" w:sz="0" w:space="0" w:color="auto"/>
            <w:bottom w:val="none" w:sz="0" w:space="0" w:color="auto"/>
            <w:right w:val="none" w:sz="0" w:space="0" w:color="auto"/>
          </w:divBdr>
          <w:divsChild>
            <w:div w:id="1599018867">
              <w:marLeft w:val="0"/>
              <w:marRight w:val="0"/>
              <w:marTop w:val="0"/>
              <w:marBottom w:val="0"/>
              <w:divBdr>
                <w:top w:val="none" w:sz="0" w:space="0" w:color="auto"/>
                <w:left w:val="none" w:sz="0" w:space="0" w:color="auto"/>
                <w:bottom w:val="none" w:sz="0" w:space="0" w:color="auto"/>
                <w:right w:val="none" w:sz="0" w:space="0" w:color="auto"/>
              </w:divBdr>
              <w:divsChild>
                <w:div w:id="184363627">
                  <w:marLeft w:val="0"/>
                  <w:marRight w:val="0"/>
                  <w:marTop w:val="0"/>
                  <w:marBottom w:val="0"/>
                  <w:divBdr>
                    <w:top w:val="none" w:sz="0" w:space="0" w:color="auto"/>
                    <w:left w:val="none" w:sz="0" w:space="0" w:color="auto"/>
                    <w:bottom w:val="none" w:sz="0" w:space="0" w:color="auto"/>
                    <w:right w:val="none" w:sz="0" w:space="0" w:color="auto"/>
                  </w:divBdr>
                  <w:divsChild>
                    <w:div w:id="1707948516">
                      <w:marLeft w:val="0"/>
                      <w:marRight w:val="0"/>
                      <w:marTop w:val="0"/>
                      <w:marBottom w:val="0"/>
                      <w:divBdr>
                        <w:top w:val="none" w:sz="0" w:space="0" w:color="auto"/>
                        <w:left w:val="none" w:sz="0" w:space="0" w:color="auto"/>
                        <w:bottom w:val="none" w:sz="0" w:space="0" w:color="auto"/>
                        <w:right w:val="none" w:sz="0" w:space="0" w:color="auto"/>
                      </w:divBdr>
                    </w:div>
                  </w:divsChild>
                </w:div>
                <w:div w:id="1076518137">
                  <w:marLeft w:val="0"/>
                  <w:marRight w:val="0"/>
                  <w:marTop w:val="0"/>
                  <w:marBottom w:val="0"/>
                  <w:divBdr>
                    <w:top w:val="none" w:sz="0" w:space="0" w:color="auto"/>
                    <w:left w:val="none" w:sz="0" w:space="0" w:color="auto"/>
                    <w:bottom w:val="none" w:sz="0" w:space="0" w:color="auto"/>
                    <w:right w:val="none" w:sz="0" w:space="0" w:color="auto"/>
                  </w:divBdr>
                  <w:divsChild>
                    <w:div w:id="3908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67181">
          <w:marLeft w:val="0"/>
          <w:marRight w:val="0"/>
          <w:marTop w:val="0"/>
          <w:marBottom w:val="0"/>
          <w:divBdr>
            <w:top w:val="none" w:sz="0" w:space="0" w:color="auto"/>
            <w:left w:val="none" w:sz="0" w:space="0" w:color="auto"/>
            <w:bottom w:val="none" w:sz="0" w:space="0" w:color="auto"/>
            <w:right w:val="none" w:sz="0" w:space="0" w:color="auto"/>
          </w:divBdr>
          <w:divsChild>
            <w:div w:id="202239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4571">
      <w:bodyDiv w:val="1"/>
      <w:marLeft w:val="0"/>
      <w:marRight w:val="0"/>
      <w:marTop w:val="0"/>
      <w:marBottom w:val="0"/>
      <w:divBdr>
        <w:top w:val="none" w:sz="0" w:space="0" w:color="auto"/>
        <w:left w:val="none" w:sz="0" w:space="0" w:color="auto"/>
        <w:bottom w:val="none" w:sz="0" w:space="0" w:color="auto"/>
        <w:right w:val="none" w:sz="0" w:space="0" w:color="auto"/>
      </w:divBdr>
      <w:divsChild>
        <w:div w:id="2006667987">
          <w:marLeft w:val="0"/>
          <w:marRight w:val="0"/>
          <w:marTop w:val="0"/>
          <w:marBottom w:val="0"/>
          <w:divBdr>
            <w:top w:val="none" w:sz="0" w:space="0" w:color="auto"/>
            <w:left w:val="none" w:sz="0" w:space="0" w:color="auto"/>
            <w:bottom w:val="none" w:sz="0" w:space="0" w:color="auto"/>
            <w:right w:val="none" w:sz="0" w:space="0" w:color="auto"/>
          </w:divBdr>
          <w:divsChild>
            <w:div w:id="943683475">
              <w:marLeft w:val="0"/>
              <w:marRight w:val="0"/>
              <w:marTop w:val="0"/>
              <w:marBottom w:val="0"/>
              <w:divBdr>
                <w:top w:val="none" w:sz="0" w:space="0" w:color="auto"/>
                <w:left w:val="none" w:sz="0" w:space="0" w:color="auto"/>
                <w:bottom w:val="none" w:sz="0" w:space="0" w:color="auto"/>
                <w:right w:val="none" w:sz="0" w:space="0" w:color="auto"/>
              </w:divBdr>
              <w:divsChild>
                <w:div w:id="101688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11593">
      <w:bodyDiv w:val="1"/>
      <w:marLeft w:val="0"/>
      <w:marRight w:val="0"/>
      <w:marTop w:val="0"/>
      <w:marBottom w:val="0"/>
      <w:divBdr>
        <w:top w:val="none" w:sz="0" w:space="0" w:color="auto"/>
        <w:left w:val="none" w:sz="0" w:space="0" w:color="auto"/>
        <w:bottom w:val="none" w:sz="0" w:space="0" w:color="auto"/>
        <w:right w:val="none" w:sz="0" w:space="0" w:color="auto"/>
      </w:divBdr>
    </w:div>
    <w:div w:id="122114740">
      <w:bodyDiv w:val="1"/>
      <w:marLeft w:val="0"/>
      <w:marRight w:val="0"/>
      <w:marTop w:val="0"/>
      <w:marBottom w:val="0"/>
      <w:divBdr>
        <w:top w:val="none" w:sz="0" w:space="0" w:color="auto"/>
        <w:left w:val="none" w:sz="0" w:space="0" w:color="auto"/>
        <w:bottom w:val="none" w:sz="0" w:space="0" w:color="auto"/>
        <w:right w:val="none" w:sz="0" w:space="0" w:color="auto"/>
      </w:divBdr>
    </w:div>
    <w:div w:id="143855175">
      <w:bodyDiv w:val="1"/>
      <w:marLeft w:val="0"/>
      <w:marRight w:val="0"/>
      <w:marTop w:val="0"/>
      <w:marBottom w:val="0"/>
      <w:divBdr>
        <w:top w:val="none" w:sz="0" w:space="0" w:color="auto"/>
        <w:left w:val="none" w:sz="0" w:space="0" w:color="auto"/>
        <w:bottom w:val="none" w:sz="0" w:space="0" w:color="auto"/>
        <w:right w:val="none" w:sz="0" w:space="0" w:color="auto"/>
      </w:divBdr>
    </w:div>
    <w:div w:id="148450821">
      <w:bodyDiv w:val="1"/>
      <w:marLeft w:val="0"/>
      <w:marRight w:val="0"/>
      <w:marTop w:val="0"/>
      <w:marBottom w:val="0"/>
      <w:divBdr>
        <w:top w:val="none" w:sz="0" w:space="0" w:color="auto"/>
        <w:left w:val="none" w:sz="0" w:space="0" w:color="auto"/>
        <w:bottom w:val="none" w:sz="0" w:space="0" w:color="auto"/>
        <w:right w:val="none" w:sz="0" w:space="0" w:color="auto"/>
      </w:divBdr>
      <w:divsChild>
        <w:div w:id="234318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944931">
      <w:bodyDiv w:val="1"/>
      <w:marLeft w:val="0"/>
      <w:marRight w:val="0"/>
      <w:marTop w:val="0"/>
      <w:marBottom w:val="0"/>
      <w:divBdr>
        <w:top w:val="none" w:sz="0" w:space="0" w:color="auto"/>
        <w:left w:val="none" w:sz="0" w:space="0" w:color="auto"/>
        <w:bottom w:val="none" w:sz="0" w:space="0" w:color="auto"/>
        <w:right w:val="none" w:sz="0" w:space="0" w:color="auto"/>
      </w:divBdr>
      <w:divsChild>
        <w:div w:id="496117282">
          <w:marLeft w:val="0"/>
          <w:marRight w:val="0"/>
          <w:marTop w:val="0"/>
          <w:marBottom w:val="0"/>
          <w:divBdr>
            <w:top w:val="none" w:sz="0" w:space="0" w:color="auto"/>
            <w:left w:val="none" w:sz="0" w:space="0" w:color="auto"/>
            <w:bottom w:val="none" w:sz="0" w:space="0" w:color="auto"/>
            <w:right w:val="none" w:sz="0" w:space="0" w:color="auto"/>
          </w:divBdr>
          <w:divsChild>
            <w:div w:id="1483504960">
              <w:marLeft w:val="0"/>
              <w:marRight w:val="0"/>
              <w:marTop w:val="0"/>
              <w:marBottom w:val="0"/>
              <w:divBdr>
                <w:top w:val="none" w:sz="0" w:space="0" w:color="auto"/>
                <w:left w:val="none" w:sz="0" w:space="0" w:color="auto"/>
                <w:bottom w:val="none" w:sz="0" w:space="0" w:color="auto"/>
                <w:right w:val="none" w:sz="0" w:space="0" w:color="auto"/>
              </w:divBdr>
              <w:divsChild>
                <w:div w:id="8025182">
                  <w:marLeft w:val="0"/>
                  <w:marRight w:val="0"/>
                  <w:marTop w:val="0"/>
                  <w:marBottom w:val="0"/>
                  <w:divBdr>
                    <w:top w:val="none" w:sz="0" w:space="0" w:color="auto"/>
                    <w:left w:val="none" w:sz="0" w:space="0" w:color="auto"/>
                    <w:bottom w:val="none" w:sz="0" w:space="0" w:color="auto"/>
                    <w:right w:val="none" w:sz="0" w:space="0" w:color="auto"/>
                  </w:divBdr>
                  <w:divsChild>
                    <w:div w:id="987707753">
                      <w:marLeft w:val="0"/>
                      <w:marRight w:val="0"/>
                      <w:marTop w:val="0"/>
                      <w:marBottom w:val="0"/>
                      <w:divBdr>
                        <w:top w:val="none" w:sz="0" w:space="0" w:color="auto"/>
                        <w:left w:val="none" w:sz="0" w:space="0" w:color="auto"/>
                        <w:bottom w:val="none" w:sz="0" w:space="0" w:color="auto"/>
                        <w:right w:val="none" w:sz="0" w:space="0" w:color="auto"/>
                      </w:divBdr>
                      <w:divsChild>
                        <w:div w:id="181283000">
                          <w:marLeft w:val="0"/>
                          <w:marRight w:val="0"/>
                          <w:marTop w:val="0"/>
                          <w:marBottom w:val="0"/>
                          <w:divBdr>
                            <w:top w:val="none" w:sz="0" w:space="0" w:color="auto"/>
                            <w:left w:val="none" w:sz="0" w:space="0" w:color="auto"/>
                            <w:bottom w:val="none" w:sz="0" w:space="0" w:color="auto"/>
                            <w:right w:val="none" w:sz="0" w:space="0" w:color="auto"/>
                          </w:divBdr>
                          <w:divsChild>
                            <w:div w:id="1624532809">
                              <w:marLeft w:val="0"/>
                              <w:marRight w:val="0"/>
                              <w:marTop w:val="0"/>
                              <w:marBottom w:val="0"/>
                              <w:divBdr>
                                <w:top w:val="none" w:sz="0" w:space="0" w:color="auto"/>
                                <w:left w:val="none" w:sz="0" w:space="0" w:color="auto"/>
                                <w:bottom w:val="none" w:sz="0" w:space="0" w:color="auto"/>
                                <w:right w:val="none" w:sz="0" w:space="0" w:color="auto"/>
                              </w:divBdr>
                              <w:divsChild>
                                <w:div w:id="1502350453">
                                  <w:marLeft w:val="0"/>
                                  <w:marRight w:val="0"/>
                                  <w:marTop w:val="0"/>
                                  <w:marBottom w:val="0"/>
                                  <w:divBdr>
                                    <w:top w:val="none" w:sz="0" w:space="0" w:color="auto"/>
                                    <w:left w:val="none" w:sz="0" w:space="0" w:color="auto"/>
                                    <w:bottom w:val="none" w:sz="0" w:space="0" w:color="auto"/>
                                    <w:right w:val="none" w:sz="0" w:space="0" w:color="auto"/>
                                  </w:divBdr>
                                  <w:divsChild>
                                    <w:div w:id="350693698">
                                      <w:marLeft w:val="0"/>
                                      <w:marRight w:val="0"/>
                                      <w:marTop w:val="0"/>
                                      <w:marBottom w:val="0"/>
                                      <w:divBdr>
                                        <w:top w:val="none" w:sz="0" w:space="0" w:color="auto"/>
                                        <w:left w:val="none" w:sz="0" w:space="0" w:color="auto"/>
                                        <w:bottom w:val="none" w:sz="0" w:space="0" w:color="auto"/>
                                        <w:right w:val="none" w:sz="0" w:space="0" w:color="auto"/>
                                      </w:divBdr>
                                      <w:divsChild>
                                        <w:div w:id="257182132">
                                          <w:marLeft w:val="0"/>
                                          <w:marRight w:val="0"/>
                                          <w:marTop w:val="0"/>
                                          <w:marBottom w:val="0"/>
                                          <w:divBdr>
                                            <w:top w:val="none" w:sz="0" w:space="0" w:color="auto"/>
                                            <w:left w:val="none" w:sz="0" w:space="0" w:color="auto"/>
                                            <w:bottom w:val="none" w:sz="0" w:space="0" w:color="auto"/>
                                            <w:right w:val="none" w:sz="0" w:space="0" w:color="auto"/>
                                          </w:divBdr>
                                          <w:divsChild>
                                            <w:div w:id="637220481">
                                              <w:marLeft w:val="0"/>
                                              <w:marRight w:val="0"/>
                                              <w:marTop w:val="0"/>
                                              <w:marBottom w:val="0"/>
                                              <w:divBdr>
                                                <w:top w:val="none" w:sz="0" w:space="0" w:color="auto"/>
                                                <w:left w:val="none" w:sz="0" w:space="0" w:color="auto"/>
                                                <w:bottom w:val="none" w:sz="0" w:space="0" w:color="auto"/>
                                                <w:right w:val="none" w:sz="0" w:space="0" w:color="auto"/>
                                              </w:divBdr>
                                              <w:divsChild>
                                                <w:div w:id="1846363248">
                                                  <w:marLeft w:val="0"/>
                                                  <w:marRight w:val="0"/>
                                                  <w:marTop w:val="0"/>
                                                  <w:marBottom w:val="0"/>
                                                  <w:divBdr>
                                                    <w:top w:val="none" w:sz="0" w:space="0" w:color="auto"/>
                                                    <w:left w:val="none" w:sz="0" w:space="0" w:color="auto"/>
                                                    <w:bottom w:val="none" w:sz="0" w:space="0" w:color="auto"/>
                                                    <w:right w:val="none" w:sz="0" w:space="0" w:color="auto"/>
                                                  </w:divBdr>
                                                  <w:divsChild>
                                                    <w:div w:id="195779463">
                                                      <w:marLeft w:val="0"/>
                                                      <w:marRight w:val="0"/>
                                                      <w:marTop w:val="0"/>
                                                      <w:marBottom w:val="0"/>
                                                      <w:divBdr>
                                                        <w:top w:val="none" w:sz="0" w:space="0" w:color="auto"/>
                                                        <w:left w:val="none" w:sz="0" w:space="0" w:color="auto"/>
                                                        <w:bottom w:val="none" w:sz="0" w:space="0" w:color="auto"/>
                                                        <w:right w:val="none" w:sz="0" w:space="0" w:color="auto"/>
                                                      </w:divBdr>
                                                      <w:divsChild>
                                                        <w:div w:id="1086074420">
                                                          <w:marLeft w:val="0"/>
                                                          <w:marRight w:val="0"/>
                                                          <w:marTop w:val="0"/>
                                                          <w:marBottom w:val="0"/>
                                                          <w:divBdr>
                                                            <w:top w:val="none" w:sz="0" w:space="0" w:color="auto"/>
                                                            <w:left w:val="none" w:sz="0" w:space="0" w:color="auto"/>
                                                            <w:bottom w:val="none" w:sz="0" w:space="0" w:color="auto"/>
                                                            <w:right w:val="none" w:sz="0" w:space="0" w:color="auto"/>
                                                          </w:divBdr>
                                                          <w:divsChild>
                                                            <w:div w:id="713697034">
                                                              <w:marLeft w:val="0"/>
                                                              <w:marRight w:val="0"/>
                                                              <w:marTop w:val="0"/>
                                                              <w:marBottom w:val="0"/>
                                                              <w:divBdr>
                                                                <w:top w:val="none" w:sz="0" w:space="0" w:color="auto"/>
                                                                <w:left w:val="none" w:sz="0" w:space="0" w:color="auto"/>
                                                                <w:bottom w:val="none" w:sz="0" w:space="0" w:color="auto"/>
                                                                <w:right w:val="none" w:sz="0" w:space="0" w:color="auto"/>
                                                              </w:divBdr>
                                                              <w:divsChild>
                                                                <w:div w:id="66678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9947399">
          <w:marLeft w:val="0"/>
          <w:marRight w:val="0"/>
          <w:marTop w:val="0"/>
          <w:marBottom w:val="0"/>
          <w:divBdr>
            <w:top w:val="none" w:sz="0" w:space="0" w:color="auto"/>
            <w:left w:val="none" w:sz="0" w:space="0" w:color="auto"/>
            <w:bottom w:val="none" w:sz="0" w:space="0" w:color="auto"/>
            <w:right w:val="none" w:sz="0" w:space="0" w:color="auto"/>
          </w:divBdr>
          <w:divsChild>
            <w:div w:id="673189915">
              <w:marLeft w:val="0"/>
              <w:marRight w:val="0"/>
              <w:marTop w:val="0"/>
              <w:marBottom w:val="0"/>
              <w:divBdr>
                <w:top w:val="none" w:sz="0" w:space="0" w:color="auto"/>
                <w:left w:val="none" w:sz="0" w:space="0" w:color="auto"/>
                <w:bottom w:val="none" w:sz="0" w:space="0" w:color="auto"/>
                <w:right w:val="none" w:sz="0" w:space="0" w:color="auto"/>
              </w:divBdr>
              <w:divsChild>
                <w:div w:id="793449978">
                  <w:marLeft w:val="0"/>
                  <w:marRight w:val="0"/>
                  <w:marTop w:val="0"/>
                  <w:marBottom w:val="0"/>
                  <w:divBdr>
                    <w:top w:val="none" w:sz="0" w:space="0" w:color="auto"/>
                    <w:left w:val="none" w:sz="0" w:space="0" w:color="auto"/>
                    <w:bottom w:val="none" w:sz="0" w:space="0" w:color="auto"/>
                    <w:right w:val="none" w:sz="0" w:space="0" w:color="auto"/>
                  </w:divBdr>
                  <w:divsChild>
                    <w:div w:id="1745449509">
                      <w:marLeft w:val="0"/>
                      <w:marRight w:val="0"/>
                      <w:marTop w:val="0"/>
                      <w:marBottom w:val="0"/>
                      <w:divBdr>
                        <w:top w:val="none" w:sz="0" w:space="0" w:color="auto"/>
                        <w:left w:val="none" w:sz="0" w:space="0" w:color="auto"/>
                        <w:bottom w:val="none" w:sz="0" w:space="0" w:color="auto"/>
                        <w:right w:val="none" w:sz="0" w:space="0" w:color="auto"/>
                      </w:divBdr>
                      <w:divsChild>
                        <w:div w:id="1579558560">
                          <w:marLeft w:val="0"/>
                          <w:marRight w:val="0"/>
                          <w:marTop w:val="0"/>
                          <w:marBottom w:val="0"/>
                          <w:divBdr>
                            <w:top w:val="none" w:sz="0" w:space="0" w:color="auto"/>
                            <w:left w:val="none" w:sz="0" w:space="0" w:color="auto"/>
                            <w:bottom w:val="none" w:sz="0" w:space="0" w:color="auto"/>
                            <w:right w:val="none" w:sz="0" w:space="0" w:color="auto"/>
                          </w:divBdr>
                          <w:divsChild>
                            <w:div w:id="1270623261">
                              <w:marLeft w:val="0"/>
                              <w:marRight w:val="0"/>
                              <w:marTop w:val="0"/>
                              <w:marBottom w:val="0"/>
                              <w:divBdr>
                                <w:top w:val="none" w:sz="0" w:space="0" w:color="auto"/>
                                <w:left w:val="none" w:sz="0" w:space="0" w:color="auto"/>
                                <w:bottom w:val="none" w:sz="0" w:space="0" w:color="auto"/>
                                <w:right w:val="none" w:sz="0" w:space="0" w:color="auto"/>
                              </w:divBdr>
                              <w:divsChild>
                                <w:div w:id="188108207">
                                  <w:marLeft w:val="0"/>
                                  <w:marRight w:val="0"/>
                                  <w:marTop w:val="0"/>
                                  <w:marBottom w:val="0"/>
                                  <w:divBdr>
                                    <w:top w:val="none" w:sz="0" w:space="0" w:color="auto"/>
                                    <w:left w:val="none" w:sz="0" w:space="0" w:color="auto"/>
                                    <w:bottom w:val="none" w:sz="0" w:space="0" w:color="auto"/>
                                    <w:right w:val="none" w:sz="0" w:space="0" w:color="auto"/>
                                  </w:divBdr>
                                  <w:divsChild>
                                    <w:div w:id="1859001072">
                                      <w:marLeft w:val="0"/>
                                      <w:marRight w:val="0"/>
                                      <w:marTop w:val="0"/>
                                      <w:marBottom w:val="0"/>
                                      <w:divBdr>
                                        <w:top w:val="none" w:sz="0" w:space="0" w:color="auto"/>
                                        <w:left w:val="none" w:sz="0" w:space="0" w:color="auto"/>
                                        <w:bottom w:val="none" w:sz="0" w:space="0" w:color="auto"/>
                                        <w:right w:val="none" w:sz="0" w:space="0" w:color="auto"/>
                                      </w:divBdr>
                                      <w:divsChild>
                                        <w:div w:id="521167175">
                                          <w:marLeft w:val="0"/>
                                          <w:marRight w:val="0"/>
                                          <w:marTop w:val="0"/>
                                          <w:marBottom w:val="0"/>
                                          <w:divBdr>
                                            <w:top w:val="none" w:sz="0" w:space="0" w:color="auto"/>
                                            <w:left w:val="none" w:sz="0" w:space="0" w:color="auto"/>
                                            <w:bottom w:val="none" w:sz="0" w:space="0" w:color="auto"/>
                                            <w:right w:val="none" w:sz="0" w:space="0" w:color="auto"/>
                                          </w:divBdr>
                                          <w:divsChild>
                                            <w:div w:id="444665607">
                                              <w:marLeft w:val="0"/>
                                              <w:marRight w:val="0"/>
                                              <w:marTop w:val="0"/>
                                              <w:marBottom w:val="0"/>
                                              <w:divBdr>
                                                <w:top w:val="none" w:sz="0" w:space="0" w:color="auto"/>
                                                <w:left w:val="none" w:sz="0" w:space="0" w:color="auto"/>
                                                <w:bottom w:val="none" w:sz="0" w:space="0" w:color="auto"/>
                                                <w:right w:val="none" w:sz="0" w:space="0" w:color="auto"/>
                                              </w:divBdr>
                                              <w:divsChild>
                                                <w:div w:id="964967312">
                                                  <w:marLeft w:val="0"/>
                                                  <w:marRight w:val="0"/>
                                                  <w:marTop w:val="0"/>
                                                  <w:marBottom w:val="0"/>
                                                  <w:divBdr>
                                                    <w:top w:val="none" w:sz="0" w:space="0" w:color="auto"/>
                                                    <w:left w:val="none" w:sz="0" w:space="0" w:color="auto"/>
                                                    <w:bottom w:val="none" w:sz="0" w:space="0" w:color="auto"/>
                                                    <w:right w:val="none" w:sz="0" w:space="0" w:color="auto"/>
                                                  </w:divBdr>
                                                  <w:divsChild>
                                                    <w:div w:id="20330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48546">
                                          <w:marLeft w:val="0"/>
                                          <w:marRight w:val="0"/>
                                          <w:marTop w:val="0"/>
                                          <w:marBottom w:val="0"/>
                                          <w:divBdr>
                                            <w:top w:val="none" w:sz="0" w:space="0" w:color="auto"/>
                                            <w:left w:val="none" w:sz="0" w:space="0" w:color="auto"/>
                                            <w:bottom w:val="none" w:sz="0" w:space="0" w:color="auto"/>
                                            <w:right w:val="none" w:sz="0" w:space="0" w:color="auto"/>
                                          </w:divBdr>
                                          <w:divsChild>
                                            <w:div w:id="4134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31557">
      <w:bodyDiv w:val="1"/>
      <w:marLeft w:val="0"/>
      <w:marRight w:val="0"/>
      <w:marTop w:val="0"/>
      <w:marBottom w:val="0"/>
      <w:divBdr>
        <w:top w:val="none" w:sz="0" w:space="0" w:color="auto"/>
        <w:left w:val="none" w:sz="0" w:space="0" w:color="auto"/>
        <w:bottom w:val="none" w:sz="0" w:space="0" w:color="auto"/>
        <w:right w:val="none" w:sz="0" w:space="0" w:color="auto"/>
      </w:divBdr>
    </w:div>
    <w:div w:id="160588389">
      <w:bodyDiv w:val="1"/>
      <w:marLeft w:val="0"/>
      <w:marRight w:val="0"/>
      <w:marTop w:val="0"/>
      <w:marBottom w:val="0"/>
      <w:divBdr>
        <w:top w:val="none" w:sz="0" w:space="0" w:color="auto"/>
        <w:left w:val="none" w:sz="0" w:space="0" w:color="auto"/>
        <w:bottom w:val="none" w:sz="0" w:space="0" w:color="auto"/>
        <w:right w:val="none" w:sz="0" w:space="0" w:color="auto"/>
      </w:divBdr>
    </w:div>
    <w:div w:id="161239770">
      <w:bodyDiv w:val="1"/>
      <w:marLeft w:val="0"/>
      <w:marRight w:val="0"/>
      <w:marTop w:val="0"/>
      <w:marBottom w:val="0"/>
      <w:divBdr>
        <w:top w:val="none" w:sz="0" w:space="0" w:color="auto"/>
        <w:left w:val="none" w:sz="0" w:space="0" w:color="auto"/>
        <w:bottom w:val="none" w:sz="0" w:space="0" w:color="auto"/>
        <w:right w:val="none" w:sz="0" w:space="0" w:color="auto"/>
      </w:divBdr>
    </w:div>
    <w:div w:id="173615152">
      <w:bodyDiv w:val="1"/>
      <w:marLeft w:val="0"/>
      <w:marRight w:val="0"/>
      <w:marTop w:val="0"/>
      <w:marBottom w:val="0"/>
      <w:divBdr>
        <w:top w:val="none" w:sz="0" w:space="0" w:color="auto"/>
        <w:left w:val="none" w:sz="0" w:space="0" w:color="auto"/>
        <w:bottom w:val="none" w:sz="0" w:space="0" w:color="auto"/>
        <w:right w:val="none" w:sz="0" w:space="0" w:color="auto"/>
      </w:divBdr>
    </w:div>
    <w:div w:id="177307016">
      <w:bodyDiv w:val="1"/>
      <w:marLeft w:val="0"/>
      <w:marRight w:val="0"/>
      <w:marTop w:val="0"/>
      <w:marBottom w:val="0"/>
      <w:divBdr>
        <w:top w:val="none" w:sz="0" w:space="0" w:color="auto"/>
        <w:left w:val="none" w:sz="0" w:space="0" w:color="auto"/>
        <w:bottom w:val="none" w:sz="0" w:space="0" w:color="auto"/>
        <w:right w:val="none" w:sz="0" w:space="0" w:color="auto"/>
      </w:divBdr>
    </w:div>
    <w:div w:id="181827152">
      <w:bodyDiv w:val="1"/>
      <w:marLeft w:val="0"/>
      <w:marRight w:val="0"/>
      <w:marTop w:val="0"/>
      <w:marBottom w:val="0"/>
      <w:divBdr>
        <w:top w:val="none" w:sz="0" w:space="0" w:color="auto"/>
        <w:left w:val="none" w:sz="0" w:space="0" w:color="auto"/>
        <w:bottom w:val="none" w:sz="0" w:space="0" w:color="auto"/>
        <w:right w:val="none" w:sz="0" w:space="0" w:color="auto"/>
      </w:divBdr>
    </w:div>
    <w:div w:id="183131940">
      <w:bodyDiv w:val="1"/>
      <w:marLeft w:val="0"/>
      <w:marRight w:val="0"/>
      <w:marTop w:val="0"/>
      <w:marBottom w:val="0"/>
      <w:divBdr>
        <w:top w:val="none" w:sz="0" w:space="0" w:color="auto"/>
        <w:left w:val="none" w:sz="0" w:space="0" w:color="auto"/>
        <w:bottom w:val="none" w:sz="0" w:space="0" w:color="auto"/>
        <w:right w:val="none" w:sz="0" w:space="0" w:color="auto"/>
      </w:divBdr>
      <w:divsChild>
        <w:div w:id="1485662112">
          <w:marLeft w:val="0"/>
          <w:marRight w:val="0"/>
          <w:marTop w:val="0"/>
          <w:marBottom w:val="0"/>
          <w:divBdr>
            <w:top w:val="none" w:sz="0" w:space="0" w:color="auto"/>
            <w:left w:val="none" w:sz="0" w:space="0" w:color="auto"/>
            <w:bottom w:val="none" w:sz="0" w:space="0" w:color="auto"/>
            <w:right w:val="none" w:sz="0" w:space="0" w:color="auto"/>
          </w:divBdr>
          <w:divsChild>
            <w:div w:id="1503200539">
              <w:marLeft w:val="0"/>
              <w:marRight w:val="0"/>
              <w:marTop w:val="0"/>
              <w:marBottom w:val="0"/>
              <w:divBdr>
                <w:top w:val="none" w:sz="0" w:space="0" w:color="auto"/>
                <w:left w:val="none" w:sz="0" w:space="0" w:color="auto"/>
                <w:bottom w:val="none" w:sz="0" w:space="0" w:color="auto"/>
                <w:right w:val="none" w:sz="0" w:space="0" w:color="auto"/>
              </w:divBdr>
              <w:divsChild>
                <w:div w:id="138270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4992">
      <w:bodyDiv w:val="1"/>
      <w:marLeft w:val="0"/>
      <w:marRight w:val="0"/>
      <w:marTop w:val="0"/>
      <w:marBottom w:val="0"/>
      <w:divBdr>
        <w:top w:val="none" w:sz="0" w:space="0" w:color="auto"/>
        <w:left w:val="none" w:sz="0" w:space="0" w:color="auto"/>
        <w:bottom w:val="none" w:sz="0" w:space="0" w:color="auto"/>
        <w:right w:val="none" w:sz="0" w:space="0" w:color="auto"/>
      </w:divBdr>
    </w:div>
    <w:div w:id="189951252">
      <w:bodyDiv w:val="1"/>
      <w:marLeft w:val="0"/>
      <w:marRight w:val="0"/>
      <w:marTop w:val="0"/>
      <w:marBottom w:val="0"/>
      <w:divBdr>
        <w:top w:val="none" w:sz="0" w:space="0" w:color="auto"/>
        <w:left w:val="none" w:sz="0" w:space="0" w:color="auto"/>
        <w:bottom w:val="none" w:sz="0" w:space="0" w:color="auto"/>
        <w:right w:val="none" w:sz="0" w:space="0" w:color="auto"/>
      </w:divBdr>
    </w:div>
    <w:div w:id="190261672">
      <w:bodyDiv w:val="1"/>
      <w:marLeft w:val="0"/>
      <w:marRight w:val="0"/>
      <w:marTop w:val="0"/>
      <w:marBottom w:val="0"/>
      <w:divBdr>
        <w:top w:val="none" w:sz="0" w:space="0" w:color="auto"/>
        <w:left w:val="none" w:sz="0" w:space="0" w:color="auto"/>
        <w:bottom w:val="none" w:sz="0" w:space="0" w:color="auto"/>
        <w:right w:val="none" w:sz="0" w:space="0" w:color="auto"/>
      </w:divBdr>
    </w:div>
    <w:div w:id="204410401">
      <w:bodyDiv w:val="1"/>
      <w:marLeft w:val="0"/>
      <w:marRight w:val="0"/>
      <w:marTop w:val="0"/>
      <w:marBottom w:val="0"/>
      <w:divBdr>
        <w:top w:val="none" w:sz="0" w:space="0" w:color="auto"/>
        <w:left w:val="none" w:sz="0" w:space="0" w:color="auto"/>
        <w:bottom w:val="none" w:sz="0" w:space="0" w:color="auto"/>
        <w:right w:val="none" w:sz="0" w:space="0" w:color="auto"/>
      </w:divBdr>
    </w:div>
    <w:div w:id="207453445">
      <w:bodyDiv w:val="1"/>
      <w:marLeft w:val="0"/>
      <w:marRight w:val="0"/>
      <w:marTop w:val="0"/>
      <w:marBottom w:val="0"/>
      <w:divBdr>
        <w:top w:val="none" w:sz="0" w:space="0" w:color="auto"/>
        <w:left w:val="none" w:sz="0" w:space="0" w:color="auto"/>
        <w:bottom w:val="none" w:sz="0" w:space="0" w:color="auto"/>
        <w:right w:val="none" w:sz="0" w:space="0" w:color="auto"/>
      </w:divBdr>
    </w:div>
    <w:div w:id="208497276">
      <w:bodyDiv w:val="1"/>
      <w:marLeft w:val="0"/>
      <w:marRight w:val="0"/>
      <w:marTop w:val="0"/>
      <w:marBottom w:val="0"/>
      <w:divBdr>
        <w:top w:val="none" w:sz="0" w:space="0" w:color="auto"/>
        <w:left w:val="none" w:sz="0" w:space="0" w:color="auto"/>
        <w:bottom w:val="none" w:sz="0" w:space="0" w:color="auto"/>
        <w:right w:val="none" w:sz="0" w:space="0" w:color="auto"/>
      </w:divBdr>
    </w:div>
    <w:div w:id="208997132">
      <w:bodyDiv w:val="1"/>
      <w:marLeft w:val="0"/>
      <w:marRight w:val="0"/>
      <w:marTop w:val="0"/>
      <w:marBottom w:val="0"/>
      <w:divBdr>
        <w:top w:val="none" w:sz="0" w:space="0" w:color="auto"/>
        <w:left w:val="none" w:sz="0" w:space="0" w:color="auto"/>
        <w:bottom w:val="none" w:sz="0" w:space="0" w:color="auto"/>
        <w:right w:val="none" w:sz="0" w:space="0" w:color="auto"/>
      </w:divBdr>
    </w:div>
    <w:div w:id="210113638">
      <w:bodyDiv w:val="1"/>
      <w:marLeft w:val="0"/>
      <w:marRight w:val="0"/>
      <w:marTop w:val="0"/>
      <w:marBottom w:val="0"/>
      <w:divBdr>
        <w:top w:val="none" w:sz="0" w:space="0" w:color="auto"/>
        <w:left w:val="none" w:sz="0" w:space="0" w:color="auto"/>
        <w:bottom w:val="none" w:sz="0" w:space="0" w:color="auto"/>
        <w:right w:val="none" w:sz="0" w:space="0" w:color="auto"/>
      </w:divBdr>
    </w:div>
    <w:div w:id="212813554">
      <w:bodyDiv w:val="1"/>
      <w:marLeft w:val="0"/>
      <w:marRight w:val="0"/>
      <w:marTop w:val="0"/>
      <w:marBottom w:val="0"/>
      <w:divBdr>
        <w:top w:val="none" w:sz="0" w:space="0" w:color="auto"/>
        <w:left w:val="none" w:sz="0" w:space="0" w:color="auto"/>
        <w:bottom w:val="none" w:sz="0" w:space="0" w:color="auto"/>
        <w:right w:val="none" w:sz="0" w:space="0" w:color="auto"/>
      </w:divBdr>
    </w:div>
    <w:div w:id="219707657">
      <w:bodyDiv w:val="1"/>
      <w:marLeft w:val="0"/>
      <w:marRight w:val="0"/>
      <w:marTop w:val="0"/>
      <w:marBottom w:val="0"/>
      <w:divBdr>
        <w:top w:val="none" w:sz="0" w:space="0" w:color="auto"/>
        <w:left w:val="none" w:sz="0" w:space="0" w:color="auto"/>
        <w:bottom w:val="none" w:sz="0" w:space="0" w:color="auto"/>
        <w:right w:val="none" w:sz="0" w:space="0" w:color="auto"/>
      </w:divBdr>
    </w:div>
    <w:div w:id="220481552">
      <w:bodyDiv w:val="1"/>
      <w:marLeft w:val="0"/>
      <w:marRight w:val="0"/>
      <w:marTop w:val="0"/>
      <w:marBottom w:val="0"/>
      <w:divBdr>
        <w:top w:val="none" w:sz="0" w:space="0" w:color="auto"/>
        <w:left w:val="none" w:sz="0" w:space="0" w:color="auto"/>
        <w:bottom w:val="none" w:sz="0" w:space="0" w:color="auto"/>
        <w:right w:val="none" w:sz="0" w:space="0" w:color="auto"/>
      </w:divBdr>
    </w:div>
    <w:div w:id="231090739">
      <w:bodyDiv w:val="1"/>
      <w:marLeft w:val="0"/>
      <w:marRight w:val="0"/>
      <w:marTop w:val="0"/>
      <w:marBottom w:val="0"/>
      <w:divBdr>
        <w:top w:val="none" w:sz="0" w:space="0" w:color="auto"/>
        <w:left w:val="none" w:sz="0" w:space="0" w:color="auto"/>
        <w:bottom w:val="none" w:sz="0" w:space="0" w:color="auto"/>
        <w:right w:val="none" w:sz="0" w:space="0" w:color="auto"/>
      </w:divBdr>
    </w:div>
    <w:div w:id="236523207">
      <w:bodyDiv w:val="1"/>
      <w:marLeft w:val="0"/>
      <w:marRight w:val="0"/>
      <w:marTop w:val="0"/>
      <w:marBottom w:val="0"/>
      <w:divBdr>
        <w:top w:val="none" w:sz="0" w:space="0" w:color="auto"/>
        <w:left w:val="none" w:sz="0" w:space="0" w:color="auto"/>
        <w:bottom w:val="none" w:sz="0" w:space="0" w:color="auto"/>
        <w:right w:val="none" w:sz="0" w:space="0" w:color="auto"/>
      </w:divBdr>
    </w:div>
    <w:div w:id="236523318">
      <w:bodyDiv w:val="1"/>
      <w:marLeft w:val="0"/>
      <w:marRight w:val="0"/>
      <w:marTop w:val="0"/>
      <w:marBottom w:val="0"/>
      <w:divBdr>
        <w:top w:val="none" w:sz="0" w:space="0" w:color="auto"/>
        <w:left w:val="none" w:sz="0" w:space="0" w:color="auto"/>
        <w:bottom w:val="none" w:sz="0" w:space="0" w:color="auto"/>
        <w:right w:val="none" w:sz="0" w:space="0" w:color="auto"/>
      </w:divBdr>
    </w:div>
    <w:div w:id="244725494">
      <w:bodyDiv w:val="1"/>
      <w:marLeft w:val="0"/>
      <w:marRight w:val="0"/>
      <w:marTop w:val="0"/>
      <w:marBottom w:val="0"/>
      <w:divBdr>
        <w:top w:val="none" w:sz="0" w:space="0" w:color="auto"/>
        <w:left w:val="none" w:sz="0" w:space="0" w:color="auto"/>
        <w:bottom w:val="none" w:sz="0" w:space="0" w:color="auto"/>
        <w:right w:val="none" w:sz="0" w:space="0" w:color="auto"/>
      </w:divBdr>
    </w:div>
    <w:div w:id="244925875">
      <w:bodyDiv w:val="1"/>
      <w:marLeft w:val="0"/>
      <w:marRight w:val="0"/>
      <w:marTop w:val="0"/>
      <w:marBottom w:val="0"/>
      <w:divBdr>
        <w:top w:val="none" w:sz="0" w:space="0" w:color="auto"/>
        <w:left w:val="none" w:sz="0" w:space="0" w:color="auto"/>
        <w:bottom w:val="none" w:sz="0" w:space="0" w:color="auto"/>
        <w:right w:val="none" w:sz="0" w:space="0" w:color="auto"/>
      </w:divBdr>
    </w:div>
    <w:div w:id="245844210">
      <w:bodyDiv w:val="1"/>
      <w:marLeft w:val="0"/>
      <w:marRight w:val="0"/>
      <w:marTop w:val="0"/>
      <w:marBottom w:val="0"/>
      <w:divBdr>
        <w:top w:val="none" w:sz="0" w:space="0" w:color="auto"/>
        <w:left w:val="none" w:sz="0" w:space="0" w:color="auto"/>
        <w:bottom w:val="none" w:sz="0" w:space="0" w:color="auto"/>
        <w:right w:val="none" w:sz="0" w:space="0" w:color="auto"/>
      </w:divBdr>
    </w:div>
    <w:div w:id="250161764">
      <w:bodyDiv w:val="1"/>
      <w:marLeft w:val="0"/>
      <w:marRight w:val="0"/>
      <w:marTop w:val="0"/>
      <w:marBottom w:val="0"/>
      <w:divBdr>
        <w:top w:val="none" w:sz="0" w:space="0" w:color="auto"/>
        <w:left w:val="none" w:sz="0" w:space="0" w:color="auto"/>
        <w:bottom w:val="none" w:sz="0" w:space="0" w:color="auto"/>
        <w:right w:val="none" w:sz="0" w:space="0" w:color="auto"/>
      </w:divBdr>
    </w:div>
    <w:div w:id="252249862">
      <w:bodyDiv w:val="1"/>
      <w:marLeft w:val="0"/>
      <w:marRight w:val="0"/>
      <w:marTop w:val="0"/>
      <w:marBottom w:val="0"/>
      <w:divBdr>
        <w:top w:val="none" w:sz="0" w:space="0" w:color="auto"/>
        <w:left w:val="none" w:sz="0" w:space="0" w:color="auto"/>
        <w:bottom w:val="none" w:sz="0" w:space="0" w:color="auto"/>
        <w:right w:val="none" w:sz="0" w:space="0" w:color="auto"/>
      </w:divBdr>
    </w:div>
    <w:div w:id="252934369">
      <w:bodyDiv w:val="1"/>
      <w:marLeft w:val="0"/>
      <w:marRight w:val="0"/>
      <w:marTop w:val="0"/>
      <w:marBottom w:val="0"/>
      <w:divBdr>
        <w:top w:val="none" w:sz="0" w:space="0" w:color="auto"/>
        <w:left w:val="none" w:sz="0" w:space="0" w:color="auto"/>
        <w:bottom w:val="none" w:sz="0" w:space="0" w:color="auto"/>
        <w:right w:val="none" w:sz="0" w:space="0" w:color="auto"/>
      </w:divBdr>
    </w:div>
    <w:div w:id="255020340">
      <w:bodyDiv w:val="1"/>
      <w:marLeft w:val="0"/>
      <w:marRight w:val="0"/>
      <w:marTop w:val="0"/>
      <w:marBottom w:val="0"/>
      <w:divBdr>
        <w:top w:val="none" w:sz="0" w:space="0" w:color="auto"/>
        <w:left w:val="none" w:sz="0" w:space="0" w:color="auto"/>
        <w:bottom w:val="none" w:sz="0" w:space="0" w:color="auto"/>
        <w:right w:val="none" w:sz="0" w:space="0" w:color="auto"/>
      </w:divBdr>
    </w:div>
    <w:div w:id="262036477">
      <w:bodyDiv w:val="1"/>
      <w:marLeft w:val="0"/>
      <w:marRight w:val="0"/>
      <w:marTop w:val="0"/>
      <w:marBottom w:val="0"/>
      <w:divBdr>
        <w:top w:val="none" w:sz="0" w:space="0" w:color="auto"/>
        <w:left w:val="none" w:sz="0" w:space="0" w:color="auto"/>
        <w:bottom w:val="none" w:sz="0" w:space="0" w:color="auto"/>
        <w:right w:val="none" w:sz="0" w:space="0" w:color="auto"/>
      </w:divBdr>
    </w:div>
    <w:div w:id="270209971">
      <w:bodyDiv w:val="1"/>
      <w:marLeft w:val="0"/>
      <w:marRight w:val="0"/>
      <w:marTop w:val="0"/>
      <w:marBottom w:val="0"/>
      <w:divBdr>
        <w:top w:val="none" w:sz="0" w:space="0" w:color="auto"/>
        <w:left w:val="none" w:sz="0" w:space="0" w:color="auto"/>
        <w:bottom w:val="none" w:sz="0" w:space="0" w:color="auto"/>
        <w:right w:val="none" w:sz="0" w:space="0" w:color="auto"/>
      </w:divBdr>
    </w:div>
    <w:div w:id="281309914">
      <w:bodyDiv w:val="1"/>
      <w:marLeft w:val="0"/>
      <w:marRight w:val="0"/>
      <w:marTop w:val="0"/>
      <w:marBottom w:val="0"/>
      <w:divBdr>
        <w:top w:val="none" w:sz="0" w:space="0" w:color="auto"/>
        <w:left w:val="none" w:sz="0" w:space="0" w:color="auto"/>
        <w:bottom w:val="none" w:sz="0" w:space="0" w:color="auto"/>
        <w:right w:val="none" w:sz="0" w:space="0" w:color="auto"/>
      </w:divBdr>
      <w:divsChild>
        <w:div w:id="1929385015">
          <w:marLeft w:val="0"/>
          <w:marRight w:val="0"/>
          <w:marTop w:val="0"/>
          <w:marBottom w:val="0"/>
          <w:divBdr>
            <w:top w:val="none" w:sz="0" w:space="0" w:color="auto"/>
            <w:left w:val="none" w:sz="0" w:space="0" w:color="auto"/>
            <w:bottom w:val="none" w:sz="0" w:space="0" w:color="auto"/>
            <w:right w:val="none" w:sz="0" w:space="0" w:color="auto"/>
          </w:divBdr>
          <w:divsChild>
            <w:div w:id="1464734564">
              <w:marLeft w:val="0"/>
              <w:marRight w:val="0"/>
              <w:marTop w:val="0"/>
              <w:marBottom w:val="0"/>
              <w:divBdr>
                <w:top w:val="none" w:sz="0" w:space="0" w:color="auto"/>
                <w:left w:val="none" w:sz="0" w:space="0" w:color="auto"/>
                <w:bottom w:val="none" w:sz="0" w:space="0" w:color="auto"/>
                <w:right w:val="none" w:sz="0" w:space="0" w:color="auto"/>
              </w:divBdr>
              <w:divsChild>
                <w:div w:id="202323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51011">
      <w:bodyDiv w:val="1"/>
      <w:marLeft w:val="0"/>
      <w:marRight w:val="0"/>
      <w:marTop w:val="0"/>
      <w:marBottom w:val="0"/>
      <w:divBdr>
        <w:top w:val="none" w:sz="0" w:space="0" w:color="auto"/>
        <w:left w:val="none" w:sz="0" w:space="0" w:color="auto"/>
        <w:bottom w:val="none" w:sz="0" w:space="0" w:color="auto"/>
        <w:right w:val="none" w:sz="0" w:space="0" w:color="auto"/>
      </w:divBdr>
    </w:div>
    <w:div w:id="284388754">
      <w:bodyDiv w:val="1"/>
      <w:marLeft w:val="0"/>
      <w:marRight w:val="0"/>
      <w:marTop w:val="0"/>
      <w:marBottom w:val="0"/>
      <w:divBdr>
        <w:top w:val="none" w:sz="0" w:space="0" w:color="auto"/>
        <w:left w:val="none" w:sz="0" w:space="0" w:color="auto"/>
        <w:bottom w:val="none" w:sz="0" w:space="0" w:color="auto"/>
        <w:right w:val="none" w:sz="0" w:space="0" w:color="auto"/>
      </w:divBdr>
    </w:div>
    <w:div w:id="293292070">
      <w:bodyDiv w:val="1"/>
      <w:marLeft w:val="0"/>
      <w:marRight w:val="0"/>
      <w:marTop w:val="0"/>
      <w:marBottom w:val="0"/>
      <w:divBdr>
        <w:top w:val="none" w:sz="0" w:space="0" w:color="auto"/>
        <w:left w:val="none" w:sz="0" w:space="0" w:color="auto"/>
        <w:bottom w:val="none" w:sz="0" w:space="0" w:color="auto"/>
        <w:right w:val="none" w:sz="0" w:space="0" w:color="auto"/>
      </w:divBdr>
    </w:div>
    <w:div w:id="296881275">
      <w:bodyDiv w:val="1"/>
      <w:marLeft w:val="0"/>
      <w:marRight w:val="0"/>
      <w:marTop w:val="0"/>
      <w:marBottom w:val="0"/>
      <w:divBdr>
        <w:top w:val="none" w:sz="0" w:space="0" w:color="auto"/>
        <w:left w:val="none" w:sz="0" w:space="0" w:color="auto"/>
        <w:bottom w:val="none" w:sz="0" w:space="0" w:color="auto"/>
        <w:right w:val="none" w:sz="0" w:space="0" w:color="auto"/>
      </w:divBdr>
    </w:div>
    <w:div w:id="301228827">
      <w:bodyDiv w:val="1"/>
      <w:marLeft w:val="0"/>
      <w:marRight w:val="0"/>
      <w:marTop w:val="0"/>
      <w:marBottom w:val="0"/>
      <w:divBdr>
        <w:top w:val="none" w:sz="0" w:space="0" w:color="auto"/>
        <w:left w:val="none" w:sz="0" w:space="0" w:color="auto"/>
        <w:bottom w:val="none" w:sz="0" w:space="0" w:color="auto"/>
        <w:right w:val="none" w:sz="0" w:space="0" w:color="auto"/>
      </w:divBdr>
    </w:div>
    <w:div w:id="308246153">
      <w:bodyDiv w:val="1"/>
      <w:marLeft w:val="0"/>
      <w:marRight w:val="0"/>
      <w:marTop w:val="0"/>
      <w:marBottom w:val="0"/>
      <w:divBdr>
        <w:top w:val="none" w:sz="0" w:space="0" w:color="auto"/>
        <w:left w:val="none" w:sz="0" w:space="0" w:color="auto"/>
        <w:bottom w:val="none" w:sz="0" w:space="0" w:color="auto"/>
        <w:right w:val="none" w:sz="0" w:space="0" w:color="auto"/>
      </w:divBdr>
    </w:div>
    <w:div w:id="315498148">
      <w:bodyDiv w:val="1"/>
      <w:marLeft w:val="0"/>
      <w:marRight w:val="0"/>
      <w:marTop w:val="0"/>
      <w:marBottom w:val="0"/>
      <w:divBdr>
        <w:top w:val="none" w:sz="0" w:space="0" w:color="auto"/>
        <w:left w:val="none" w:sz="0" w:space="0" w:color="auto"/>
        <w:bottom w:val="none" w:sz="0" w:space="0" w:color="auto"/>
        <w:right w:val="none" w:sz="0" w:space="0" w:color="auto"/>
      </w:divBdr>
      <w:divsChild>
        <w:div w:id="31199684">
          <w:marLeft w:val="0"/>
          <w:marRight w:val="0"/>
          <w:marTop w:val="0"/>
          <w:marBottom w:val="0"/>
          <w:divBdr>
            <w:top w:val="none" w:sz="0" w:space="0" w:color="auto"/>
            <w:left w:val="none" w:sz="0" w:space="0" w:color="auto"/>
            <w:bottom w:val="none" w:sz="0" w:space="0" w:color="auto"/>
            <w:right w:val="none" w:sz="0" w:space="0" w:color="auto"/>
          </w:divBdr>
          <w:divsChild>
            <w:div w:id="747320">
              <w:marLeft w:val="0"/>
              <w:marRight w:val="0"/>
              <w:marTop w:val="0"/>
              <w:marBottom w:val="0"/>
              <w:divBdr>
                <w:top w:val="none" w:sz="0" w:space="0" w:color="auto"/>
                <w:left w:val="none" w:sz="0" w:space="0" w:color="auto"/>
                <w:bottom w:val="none" w:sz="0" w:space="0" w:color="auto"/>
                <w:right w:val="none" w:sz="0" w:space="0" w:color="auto"/>
              </w:divBdr>
            </w:div>
          </w:divsChild>
        </w:div>
        <w:div w:id="1536848385">
          <w:marLeft w:val="0"/>
          <w:marRight w:val="0"/>
          <w:marTop w:val="0"/>
          <w:marBottom w:val="0"/>
          <w:divBdr>
            <w:top w:val="none" w:sz="0" w:space="0" w:color="auto"/>
            <w:left w:val="none" w:sz="0" w:space="0" w:color="auto"/>
            <w:bottom w:val="none" w:sz="0" w:space="0" w:color="auto"/>
            <w:right w:val="none" w:sz="0" w:space="0" w:color="auto"/>
          </w:divBdr>
          <w:divsChild>
            <w:div w:id="1704940445">
              <w:marLeft w:val="0"/>
              <w:marRight w:val="0"/>
              <w:marTop w:val="0"/>
              <w:marBottom w:val="0"/>
              <w:divBdr>
                <w:top w:val="none" w:sz="0" w:space="0" w:color="auto"/>
                <w:left w:val="none" w:sz="0" w:space="0" w:color="auto"/>
                <w:bottom w:val="none" w:sz="0" w:space="0" w:color="auto"/>
                <w:right w:val="none" w:sz="0" w:space="0" w:color="auto"/>
              </w:divBdr>
              <w:divsChild>
                <w:div w:id="87389655">
                  <w:marLeft w:val="0"/>
                  <w:marRight w:val="0"/>
                  <w:marTop w:val="0"/>
                  <w:marBottom w:val="0"/>
                  <w:divBdr>
                    <w:top w:val="none" w:sz="0" w:space="0" w:color="auto"/>
                    <w:left w:val="none" w:sz="0" w:space="0" w:color="auto"/>
                    <w:bottom w:val="none" w:sz="0" w:space="0" w:color="auto"/>
                    <w:right w:val="none" w:sz="0" w:space="0" w:color="auto"/>
                  </w:divBdr>
                  <w:divsChild>
                    <w:div w:id="1426923185">
                      <w:marLeft w:val="0"/>
                      <w:marRight w:val="0"/>
                      <w:marTop w:val="0"/>
                      <w:marBottom w:val="0"/>
                      <w:divBdr>
                        <w:top w:val="none" w:sz="0" w:space="0" w:color="auto"/>
                        <w:left w:val="none" w:sz="0" w:space="0" w:color="auto"/>
                        <w:bottom w:val="none" w:sz="0" w:space="0" w:color="auto"/>
                        <w:right w:val="none" w:sz="0" w:space="0" w:color="auto"/>
                      </w:divBdr>
                    </w:div>
                  </w:divsChild>
                </w:div>
                <w:div w:id="719716844">
                  <w:marLeft w:val="0"/>
                  <w:marRight w:val="0"/>
                  <w:marTop w:val="0"/>
                  <w:marBottom w:val="0"/>
                  <w:divBdr>
                    <w:top w:val="none" w:sz="0" w:space="0" w:color="auto"/>
                    <w:left w:val="none" w:sz="0" w:space="0" w:color="auto"/>
                    <w:bottom w:val="none" w:sz="0" w:space="0" w:color="auto"/>
                    <w:right w:val="none" w:sz="0" w:space="0" w:color="auto"/>
                  </w:divBdr>
                  <w:divsChild>
                    <w:div w:id="491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2531">
          <w:marLeft w:val="0"/>
          <w:marRight w:val="0"/>
          <w:marTop w:val="0"/>
          <w:marBottom w:val="0"/>
          <w:divBdr>
            <w:top w:val="none" w:sz="0" w:space="0" w:color="auto"/>
            <w:left w:val="none" w:sz="0" w:space="0" w:color="auto"/>
            <w:bottom w:val="none" w:sz="0" w:space="0" w:color="auto"/>
            <w:right w:val="none" w:sz="0" w:space="0" w:color="auto"/>
          </w:divBdr>
          <w:divsChild>
            <w:div w:id="998575615">
              <w:marLeft w:val="0"/>
              <w:marRight w:val="0"/>
              <w:marTop w:val="0"/>
              <w:marBottom w:val="0"/>
              <w:divBdr>
                <w:top w:val="none" w:sz="0" w:space="0" w:color="auto"/>
                <w:left w:val="none" w:sz="0" w:space="0" w:color="auto"/>
                <w:bottom w:val="none" w:sz="0" w:space="0" w:color="auto"/>
                <w:right w:val="none" w:sz="0" w:space="0" w:color="auto"/>
              </w:divBdr>
              <w:divsChild>
                <w:div w:id="1582910064">
                  <w:marLeft w:val="0"/>
                  <w:marRight w:val="0"/>
                  <w:marTop w:val="0"/>
                  <w:marBottom w:val="0"/>
                  <w:divBdr>
                    <w:top w:val="none" w:sz="0" w:space="0" w:color="auto"/>
                    <w:left w:val="none" w:sz="0" w:space="0" w:color="auto"/>
                    <w:bottom w:val="none" w:sz="0" w:space="0" w:color="auto"/>
                    <w:right w:val="none" w:sz="0" w:space="0" w:color="auto"/>
                  </w:divBdr>
                  <w:divsChild>
                    <w:div w:id="548996742">
                      <w:marLeft w:val="0"/>
                      <w:marRight w:val="0"/>
                      <w:marTop w:val="0"/>
                      <w:marBottom w:val="0"/>
                      <w:divBdr>
                        <w:top w:val="none" w:sz="0" w:space="0" w:color="auto"/>
                        <w:left w:val="none" w:sz="0" w:space="0" w:color="auto"/>
                        <w:bottom w:val="none" w:sz="0" w:space="0" w:color="auto"/>
                        <w:right w:val="none" w:sz="0" w:space="0" w:color="auto"/>
                      </w:divBdr>
                      <w:divsChild>
                        <w:div w:id="970132121">
                          <w:marLeft w:val="0"/>
                          <w:marRight w:val="0"/>
                          <w:marTop w:val="0"/>
                          <w:marBottom w:val="0"/>
                          <w:divBdr>
                            <w:top w:val="none" w:sz="0" w:space="0" w:color="auto"/>
                            <w:left w:val="none" w:sz="0" w:space="0" w:color="auto"/>
                            <w:bottom w:val="none" w:sz="0" w:space="0" w:color="auto"/>
                            <w:right w:val="none" w:sz="0" w:space="0" w:color="auto"/>
                          </w:divBdr>
                          <w:divsChild>
                            <w:div w:id="129979363">
                              <w:marLeft w:val="0"/>
                              <w:marRight w:val="0"/>
                              <w:marTop w:val="0"/>
                              <w:marBottom w:val="0"/>
                              <w:divBdr>
                                <w:top w:val="none" w:sz="0" w:space="0" w:color="auto"/>
                                <w:left w:val="none" w:sz="0" w:space="0" w:color="auto"/>
                                <w:bottom w:val="none" w:sz="0" w:space="0" w:color="auto"/>
                                <w:right w:val="none" w:sz="0" w:space="0" w:color="auto"/>
                              </w:divBdr>
                              <w:divsChild>
                                <w:div w:id="655492827">
                                  <w:marLeft w:val="0"/>
                                  <w:marRight w:val="0"/>
                                  <w:marTop w:val="0"/>
                                  <w:marBottom w:val="0"/>
                                  <w:divBdr>
                                    <w:top w:val="none" w:sz="0" w:space="0" w:color="auto"/>
                                    <w:left w:val="none" w:sz="0" w:space="0" w:color="auto"/>
                                    <w:bottom w:val="none" w:sz="0" w:space="0" w:color="auto"/>
                                    <w:right w:val="none" w:sz="0" w:space="0" w:color="auto"/>
                                  </w:divBdr>
                                </w:div>
                                <w:div w:id="116601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8924114">
      <w:bodyDiv w:val="1"/>
      <w:marLeft w:val="0"/>
      <w:marRight w:val="0"/>
      <w:marTop w:val="0"/>
      <w:marBottom w:val="0"/>
      <w:divBdr>
        <w:top w:val="none" w:sz="0" w:space="0" w:color="auto"/>
        <w:left w:val="none" w:sz="0" w:space="0" w:color="auto"/>
        <w:bottom w:val="none" w:sz="0" w:space="0" w:color="auto"/>
        <w:right w:val="none" w:sz="0" w:space="0" w:color="auto"/>
      </w:divBdr>
    </w:div>
    <w:div w:id="321592819">
      <w:bodyDiv w:val="1"/>
      <w:marLeft w:val="0"/>
      <w:marRight w:val="0"/>
      <w:marTop w:val="0"/>
      <w:marBottom w:val="0"/>
      <w:divBdr>
        <w:top w:val="none" w:sz="0" w:space="0" w:color="auto"/>
        <w:left w:val="none" w:sz="0" w:space="0" w:color="auto"/>
        <w:bottom w:val="none" w:sz="0" w:space="0" w:color="auto"/>
        <w:right w:val="none" w:sz="0" w:space="0" w:color="auto"/>
      </w:divBdr>
    </w:div>
    <w:div w:id="328140385">
      <w:bodyDiv w:val="1"/>
      <w:marLeft w:val="0"/>
      <w:marRight w:val="0"/>
      <w:marTop w:val="0"/>
      <w:marBottom w:val="0"/>
      <w:divBdr>
        <w:top w:val="none" w:sz="0" w:space="0" w:color="auto"/>
        <w:left w:val="none" w:sz="0" w:space="0" w:color="auto"/>
        <w:bottom w:val="none" w:sz="0" w:space="0" w:color="auto"/>
        <w:right w:val="none" w:sz="0" w:space="0" w:color="auto"/>
      </w:divBdr>
    </w:div>
    <w:div w:id="341857714">
      <w:bodyDiv w:val="1"/>
      <w:marLeft w:val="0"/>
      <w:marRight w:val="0"/>
      <w:marTop w:val="0"/>
      <w:marBottom w:val="0"/>
      <w:divBdr>
        <w:top w:val="none" w:sz="0" w:space="0" w:color="auto"/>
        <w:left w:val="none" w:sz="0" w:space="0" w:color="auto"/>
        <w:bottom w:val="none" w:sz="0" w:space="0" w:color="auto"/>
        <w:right w:val="none" w:sz="0" w:space="0" w:color="auto"/>
      </w:divBdr>
    </w:div>
    <w:div w:id="350499272">
      <w:bodyDiv w:val="1"/>
      <w:marLeft w:val="0"/>
      <w:marRight w:val="0"/>
      <w:marTop w:val="0"/>
      <w:marBottom w:val="0"/>
      <w:divBdr>
        <w:top w:val="none" w:sz="0" w:space="0" w:color="auto"/>
        <w:left w:val="none" w:sz="0" w:space="0" w:color="auto"/>
        <w:bottom w:val="none" w:sz="0" w:space="0" w:color="auto"/>
        <w:right w:val="none" w:sz="0" w:space="0" w:color="auto"/>
      </w:divBdr>
    </w:div>
    <w:div w:id="351152290">
      <w:bodyDiv w:val="1"/>
      <w:marLeft w:val="0"/>
      <w:marRight w:val="0"/>
      <w:marTop w:val="0"/>
      <w:marBottom w:val="0"/>
      <w:divBdr>
        <w:top w:val="none" w:sz="0" w:space="0" w:color="auto"/>
        <w:left w:val="none" w:sz="0" w:space="0" w:color="auto"/>
        <w:bottom w:val="none" w:sz="0" w:space="0" w:color="auto"/>
        <w:right w:val="none" w:sz="0" w:space="0" w:color="auto"/>
      </w:divBdr>
    </w:div>
    <w:div w:id="362942967">
      <w:bodyDiv w:val="1"/>
      <w:marLeft w:val="0"/>
      <w:marRight w:val="0"/>
      <w:marTop w:val="0"/>
      <w:marBottom w:val="0"/>
      <w:divBdr>
        <w:top w:val="none" w:sz="0" w:space="0" w:color="auto"/>
        <w:left w:val="none" w:sz="0" w:space="0" w:color="auto"/>
        <w:bottom w:val="none" w:sz="0" w:space="0" w:color="auto"/>
        <w:right w:val="none" w:sz="0" w:space="0" w:color="auto"/>
      </w:divBdr>
    </w:div>
    <w:div w:id="392431216">
      <w:bodyDiv w:val="1"/>
      <w:marLeft w:val="0"/>
      <w:marRight w:val="0"/>
      <w:marTop w:val="0"/>
      <w:marBottom w:val="0"/>
      <w:divBdr>
        <w:top w:val="none" w:sz="0" w:space="0" w:color="auto"/>
        <w:left w:val="none" w:sz="0" w:space="0" w:color="auto"/>
        <w:bottom w:val="none" w:sz="0" w:space="0" w:color="auto"/>
        <w:right w:val="none" w:sz="0" w:space="0" w:color="auto"/>
      </w:divBdr>
    </w:div>
    <w:div w:id="408161328">
      <w:bodyDiv w:val="1"/>
      <w:marLeft w:val="0"/>
      <w:marRight w:val="0"/>
      <w:marTop w:val="0"/>
      <w:marBottom w:val="0"/>
      <w:divBdr>
        <w:top w:val="none" w:sz="0" w:space="0" w:color="auto"/>
        <w:left w:val="none" w:sz="0" w:space="0" w:color="auto"/>
        <w:bottom w:val="none" w:sz="0" w:space="0" w:color="auto"/>
        <w:right w:val="none" w:sz="0" w:space="0" w:color="auto"/>
      </w:divBdr>
    </w:div>
    <w:div w:id="413205731">
      <w:bodyDiv w:val="1"/>
      <w:marLeft w:val="0"/>
      <w:marRight w:val="0"/>
      <w:marTop w:val="0"/>
      <w:marBottom w:val="0"/>
      <w:divBdr>
        <w:top w:val="none" w:sz="0" w:space="0" w:color="auto"/>
        <w:left w:val="none" w:sz="0" w:space="0" w:color="auto"/>
        <w:bottom w:val="none" w:sz="0" w:space="0" w:color="auto"/>
        <w:right w:val="none" w:sz="0" w:space="0" w:color="auto"/>
      </w:divBdr>
    </w:div>
    <w:div w:id="414060481">
      <w:bodyDiv w:val="1"/>
      <w:marLeft w:val="0"/>
      <w:marRight w:val="0"/>
      <w:marTop w:val="0"/>
      <w:marBottom w:val="0"/>
      <w:divBdr>
        <w:top w:val="none" w:sz="0" w:space="0" w:color="auto"/>
        <w:left w:val="none" w:sz="0" w:space="0" w:color="auto"/>
        <w:bottom w:val="none" w:sz="0" w:space="0" w:color="auto"/>
        <w:right w:val="none" w:sz="0" w:space="0" w:color="auto"/>
      </w:divBdr>
    </w:div>
    <w:div w:id="415906076">
      <w:bodyDiv w:val="1"/>
      <w:marLeft w:val="0"/>
      <w:marRight w:val="0"/>
      <w:marTop w:val="0"/>
      <w:marBottom w:val="0"/>
      <w:divBdr>
        <w:top w:val="none" w:sz="0" w:space="0" w:color="auto"/>
        <w:left w:val="none" w:sz="0" w:space="0" w:color="auto"/>
        <w:bottom w:val="none" w:sz="0" w:space="0" w:color="auto"/>
        <w:right w:val="none" w:sz="0" w:space="0" w:color="auto"/>
      </w:divBdr>
    </w:div>
    <w:div w:id="421953397">
      <w:bodyDiv w:val="1"/>
      <w:marLeft w:val="0"/>
      <w:marRight w:val="0"/>
      <w:marTop w:val="0"/>
      <w:marBottom w:val="0"/>
      <w:divBdr>
        <w:top w:val="none" w:sz="0" w:space="0" w:color="auto"/>
        <w:left w:val="none" w:sz="0" w:space="0" w:color="auto"/>
        <w:bottom w:val="none" w:sz="0" w:space="0" w:color="auto"/>
        <w:right w:val="none" w:sz="0" w:space="0" w:color="auto"/>
      </w:divBdr>
    </w:div>
    <w:div w:id="427847553">
      <w:bodyDiv w:val="1"/>
      <w:marLeft w:val="0"/>
      <w:marRight w:val="0"/>
      <w:marTop w:val="0"/>
      <w:marBottom w:val="0"/>
      <w:divBdr>
        <w:top w:val="none" w:sz="0" w:space="0" w:color="auto"/>
        <w:left w:val="none" w:sz="0" w:space="0" w:color="auto"/>
        <w:bottom w:val="none" w:sz="0" w:space="0" w:color="auto"/>
        <w:right w:val="none" w:sz="0" w:space="0" w:color="auto"/>
      </w:divBdr>
    </w:div>
    <w:div w:id="429279826">
      <w:bodyDiv w:val="1"/>
      <w:marLeft w:val="0"/>
      <w:marRight w:val="0"/>
      <w:marTop w:val="0"/>
      <w:marBottom w:val="0"/>
      <w:divBdr>
        <w:top w:val="none" w:sz="0" w:space="0" w:color="auto"/>
        <w:left w:val="none" w:sz="0" w:space="0" w:color="auto"/>
        <w:bottom w:val="none" w:sz="0" w:space="0" w:color="auto"/>
        <w:right w:val="none" w:sz="0" w:space="0" w:color="auto"/>
      </w:divBdr>
    </w:div>
    <w:div w:id="433088593">
      <w:bodyDiv w:val="1"/>
      <w:marLeft w:val="0"/>
      <w:marRight w:val="0"/>
      <w:marTop w:val="0"/>
      <w:marBottom w:val="0"/>
      <w:divBdr>
        <w:top w:val="none" w:sz="0" w:space="0" w:color="auto"/>
        <w:left w:val="none" w:sz="0" w:space="0" w:color="auto"/>
        <w:bottom w:val="none" w:sz="0" w:space="0" w:color="auto"/>
        <w:right w:val="none" w:sz="0" w:space="0" w:color="auto"/>
      </w:divBdr>
    </w:div>
    <w:div w:id="448088966">
      <w:bodyDiv w:val="1"/>
      <w:marLeft w:val="0"/>
      <w:marRight w:val="0"/>
      <w:marTop w:val="0"/>
      <w:marBottom w:val="0"/>
      <w:divBdr>
        <w:top w:val="none" w:sz="0" w:space="0" w:color="auto"/>
        <w:left w:val="none" w:sz="0" w:space="0" w:color="auto"/>
        <w:bottom w:val="none" w:sz="0" w:space="0" w:color="auto"/>
        <w:right w:val="none" w:sz="0" w:space="0" w:color="auto"/>
      </w:divBdr>
    </w:div>
    <w:div w:id="456527993">
      <w:bodyDiv w:val="1"/>
      <w:marLeft w:val="0"/>
      <w:marRight w:val="0"/>
      <w:marTop w:val="0"/>
      <w:marBottom w:val="0"/>
      <w:divBdr>
        <w:top w:val="none" w:sz="0" w:space="0" w:color="auto"/>
        <w:left w:val="none" w:sz="0" w:space="0" w:color="auto"/>
        <w:bottom w:val="none" w:sz="0" w:space="0" w:color="auto"/>
        <w:right w:val="none" w:sz="0" w:space="0" w:color="auto"/>
      </w:divBdr>
    </w:div>
    <w:div w:id="458838021">
      <w:bodyDiv w:val="1"/>
      <w:marLeft w:val="0"/>
      <w:marRight w:val="0"/>
      <w:marTop w:val="0"/>
      <w:marBottom w:val="0"/>
      <w:divBdr>
        <w:top w:val="none" w:sz="0" w:space="0" w:color="auto"/>
        <w:left w:val="none" w:sz="0" w:space="0" w:color="auto"/>
        <w:bottom w:val="none" w:sz="0" w:space="0" w:color="auto"/>
        <w:right w:val="none" w:sz="0" w:space="0" w:color="auto"/>
      </w:divBdr>
      <w:divsChild>
        <w:div w:id="443772102">
          <w:marLeft w:val="0"/>
          <w:marRight w:val="0"/>
          <w:marTop w:val="0"/>
          <w:marBottom w:val="0"/>
          <w:divBdr>
            <w:top w:val="none" w:sz="0" w:space="0" w:color="auto"/>
            <w:left w:val="none" w:sz="0" w:space="0" w:color="auto"/>
            <w:bottom w:val="none" w:sz="0" w:space="0" w:color="auto"/>
            <w:right w:val="none" w:sz="0" w:space="0" w:color="auto"/>
          </w:divBdr>
          <w:divsChild>
            <w:div w:id="36859525">
              <w:marLeft w:val="0"/>
              <w:marRight w:val="0"/>
              <w:marTop w:val="0"/>
              <w:marBottom w:val="0"/>
              <w:divBdr>
                <w:top w:val="none" w:sz="0" w:space="0" w:color="auto"/>
                <w:left w:val="none" w:sz="0" w:space="0" w:color="auto"/>
                <w:bottom w:val="none" w:sz="0" w:space="0" w:color="auto"/>
                <w:right w:val="none" w:sz="0" w:space="0" w:color="auto"/>
              </w:divBdr>
              <w:divsChild>
                <w:div w:id="1098604350">
                  <w:marLeft w:val="0"/>
                  <w:marRight w:val="0"/>
                  <w:marTop w:val="0"/>
                  <w:marBottom w:val="0"/>
                  <w:divBdr>
                    <w:top w:val="none" w:sz="0" w:space="0" w:color="auto"/>
                    <w:left w:val="none" w:sz="0" w:space="0" w:color="auto"/>
                    <w:bottom w:val="none" w:sz="0" w:space="0" w:color="auto"/>
                    <w:right w:val="none" w:sz="0" w:space="0" w:color="auto"/>
                  </w:divBdr>
                  <w:divsChild>
                    <w:div w:id="940918974">
                      <w:marLeft w:val="0"/>
                      <w:marRight w:val="0"/>
                      <w:marTop w:val="0"/>
                      <w:marBottom w:val="0"/>
                      <w:divBdr>
                        <w:top w:val="none" w:sz="0" w:space="0" w:color="auto"/>
                        <w:left w:val="none" w:sz="0" w:space="0" w:color="auto"/>
                        <w:bottom w:val="none" w:sz="0" w:space="0" w:color="auto"/>
                        <w:right w:val="none" w:sz="0" w:space="0" w:color="auto"/>
                      </w:divBdr>
                      <w:divsChild>
                        <w:div w:id="1324167827">
                          <w:marLeft w:val="0"/>
                          <w:marRight w:val="0"/>
                          <w:marTop w:val="0"/>
                          <w:marBottom w:val="0"/>
                          <w:divBdr>
                            <w:top w:val="none" w:sz="0" w:space="0" w:color="auto"/>
                            <w:left w:val="none" w:sz="0" w:space="0" w:color="auto"/>
                            <w:bottom w:val="none" w:sz="0" w:space="0" w:color="auto"/>
                            <w:right w:val="none" w:sz="0" w:space="0" w:color="auto"/>
                          </w:divBdr>
                          <w:divsChild>
                            <w:div w:id="1170635707">
                              <w:marLeft w:val="0"/>
                              <w:marRight w:val="0"/>
                              <w:marTop w:val="0"/>
                              <w:marBottom w:val="0"/>
                              <w:divBdr>
                                <w:top w:val="none" w:sz="0" w:space="0" w:color="auto"/>
                                <w:left w:val="none" w:sz="0" w:space="0" w:color="auto"/>
                                <w:bottom w:val="none" w:sz="0" w:space="0" w:color="auto"/>
                                <w:right w:val="none" w:sz="0" w:space="0" w:color="auto"/>
                              </w:divBdr>
                              <w:divsChild>
                                <w:div w:id="1474322937">
                                  <w:marLeft w:val="0"/>
                                  <w:marRight w:val="0"/>
                                  <w:marTop w:val="0"/>
                                  <w:marBottom w:val="0"/>
                                  <w:divBdr>
                                    <w:top w:val="none" w:sz="0" w:space="0" w:color="auto"/>
                                    <w:left w:val="none" w:sz="0" w:space="0" w:color="auto"/>
                                    <w:bottom w:val="none" w:sz="0" w:space="0" w:color="auto"/>
                                    <w:right w:val="none" w:sz="0" w:space="0" w:color="auto"/>
                                  </w:divBdr>
                                  <w:divsChild>
                                    <w:div w:id="1344437212">
                                      <w:marLeft w:val="0"/>
                                      <w:marRight w:val="0"/>
                                      <w:marTop w:val="0"/>
                                      <w:marBottom w:val="0"/>
                                      <w:divBdr>
                                        <w:top w:val="none" w:sz="0" w:space="0" w:color="auto"/>
                                        <w:left w:val="none" w:sz="0" w:space="0" w:color="auto"/>
                                        <w:bottom w:val="none" w:sz="0" w:space="0" w:color="auto"/>
                                        <w:right w:val="none" w:sz="0" w:space="0" w:color="auto"/>
                                      </w:divBdr>
                                      <w:divsChild>
                                        <w:div w:id="401413517">
                                          <w:marLeft w:val="0"/>
                                          <w:marRight w:val="0"/>
                                          <w:marTop w:val="0"/>
                                          <w:marBottom w:val="0"/>
                                          <w:divBdr>
                                            <w:top w:val="none" w:sz="0" w:space="0" w:color="auto"/>
                                            <w:left w:val="none" w:sz="0" w:space="0" w:color="auto"/>
                                            <w:bottom w:val="none" w:sz="0" w:space="0" w:color="auto"/>
                                            <w:right w:val="none" w:sz="0" w:space="0" w:color="auto"/>
                                          </w:divBdr>
                                          <w:divsChild>
                                            <w:div w:id="1857229856">
                                              <w:marLeft w:val="0"/>
                                              <w:marRight w:val="0"/>
                                              <w:marTop w:val="0"/>
                                              <w:marBottom w:val="0"/>
                                              <w:divBdr>
                                                <w:top w:val="none" w:sz="0" w:space="0" w:color="auto"/>
                                                <w:left w:val="none" w:sz="0" w:space="0" w:color="auto"/>
                                                <w:bottom w:val="none" w:sz="0" w:space="0" w:color="auto"/>
                                                <w:right w:val="none" w:sz="0" w:space="0" w:color="auto"/>
                                              </w:divBdr>
                                              <w:divsChild>
                                                <w:div w:id="1279795272">
                                                  <w:marLeft w:val="0"/>
                                                  <w:marRight w:val="0"/>
                                                  <w:marTop w:val="0"/>
                                                  <w:marBottom w:val="0"/>
                                                  <w:divBdr>
                                                    <w:top w:val="none" w:sz="0" w:space="0" w:color="auto"/>
                                                    <w:left w:val="none" w:sz="0" w:space="0" w:color="auto"/>
                                                    <w:bottom w:val="none" w:sz="0" w:space="0" w:color="auto"/>
                                                    <w:right w:val="none" w:sz="0" w:space="0" w:color="auto"/>
                                                  </w:divBdr>
                                                  <w:divsChild>
                                                    <w:div w:id="946274566">
                                                      <w:marLeft w:val="0"/>
                                                      <w:marRight w:val="0"/>
                                                      <w:marTop w:val="0"/>
                                                      <w:marBottom w:val="0"/>
                                                      <w:divBdr>
                                                        <w:top w:val="none" w:sz="0" w:space="0" w:color="auto"/>
                                                        <w:left w:val="none" w:sz="0" w:space="0" w:color="auto"/>
                                                        <w:bottom w:val="none" w:sz="0" w:space="0" w:color="auto"/>
                                                        <w:right w:val="none" w:sz="0" w:space="0" w:color="auto"/>
                                                      </w:divBdr>
                                                      <w:divsChild>
                                                        <w:div w:id="1825774428">
                                                          <w:marLeft w:val="0"/>
                                                          <w:marRight w:val="0"/>
                                                          <w:marTop w:val="0"/>
                                                          <w:marBottom w:val="0"/>
                                                          <w:divBdr>
                                                            <w:top w:val="none" w:sz="0" w:space="0" w:color="auto"/>
                                                            <w:left w:val="none" w:sz="0" w:space="0" w:color="auto"/>
                                                            <w:bottom w:val="none" w:sz="0" w:space="0" w:color="auto"/>
                                                            <w:right w:val="none" w:sz="0" w:space="0" w:color="auto"/>
                                                          </w:divBdr>
                                                          <w:divsChild>
                                                            <w:div w:id="1070007809">
                                                              <w:marLeft w:val="0"/>
                                                              <w:marRight w:val="0"/>
                                                              <w:marTop w:val="0"/>
                                                              <w:marBottom w:val="0"/>
                                                              <w:divBdr>
                                                                <w:top w:val="none" w:sz="0" w:space="0" w:color="auto"/>
                                                                <w:left w:val="none" w:sz="0" w:space="0" w:color="auto"/>
                                                                <w:bottom w:val="none" w:sz="0" w:space="0" w:color="auto"/>
                                                                <w:right w:val="none" w:sz="0" w:space="0" w:color="auto"/>
                                                              </w:divBdr>
                                                              <w:divsChild>
                                                                <w:div w:id="106236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5412500">
          <w:marLeft w:val="0"/>
          <w:marRight w:val="0"/>
          <w:marTop w:val="0"/>
          <w:marBottom w:val="0"/>
          <w:divBdr>
            <w:top w:val="none" w:sz="0" w:space="0" w:color="auto"/>
            <w:left w:val="none" w:sz="0" w:space="0" w:color="auto"/>
            <w:bottom w:val="none" w:sz="0" w:space="0" w:color="auto"/>
            <w:right w:val="none" w:sz="0" w:space="0" w:color="auto"/>
          </w:divBdr>
          <w:divsChild>
            <w:div w:id="551304727">
              <w:marLeft w:val="0"/>
              <w:marRight w:val="0"/>
              <w:marTop w:val="0"/>
              <w:marBottom w:val="0"/>
              <w:divBdr>
                <w:top w:val="none" w:sz="0" w:space="0" w:color="auto"/>
                <w:left w:val="none" w:sz="0" w:space="0" w:color="auto"/>
                <w:bottom w:val="none" w:sz="0" w:space="0" w:color="auto"/>
                <w:right w:val="none" w:sz="0" w:space="0" w:color="auto"/>
              </w:divBdr>
              <w:divsChild>
                <w:div w:id="761612641">
                  <w:marLeft w:val="0"/>
                  <w:marRight w:val="0"/>
                  <w:marTop w:val="0"/>
                  <w:marBottom w:val="0"/>
                  <w:divBdr>
                    <w:top w:val="none" w:sz="0" w:space="0" w:color="auto"/>
                    <w:left w:val="none" w:sz="0" w:space="0" w:color="auto"/>
                    <w:bottom w:val="none" w:sz="0" w:space="0" w:color="auto"/>
                    <w:right w:val="none" w:sz="0" w:space="0" w:color="auto"/>
                  </w:divBdr>
                  <w:divsChild>
                    <w:div w:id="2077971146">
                      <w:marLeft w:val="0"/>
                      <w:marRight w:val="0"/>
                      <w:marTop w:val="0"/>
                      <w:marBottom w:val="0"/>
                      <w:divBdr>
                        <w:top w:val="none" w:sz="0" w:space="0" w:color="auto"/>
                        <w:left w:val="none" w:sz="0" w:space="0" w:color="auto"/>
                        <w:bottom w:val="none" w:sz="0" w:space="0" w:color="auto"/>
                        <w:right w:val="none" w:sz="0" w:space="0" w:color="auto"/>
                      </w:divBdr>
                      <w:divsChild>
                        <w:div w:id="1438410455">
                          <w:marLeft w:val="0"/>
                          <w:marRight w:val="0"/>
                          <w:marTop w:val="0"/>
                          <w:marBottom w:val="0"/>
                          <w:divBdr>
                            <w:top w:val="none" w:sz="0" w:space="0" w:color="auto"/>
                            <w:left w:val="none" w:sz="0" w:space="0" w:color="auto"/>
                            <w:bottom w:val="none" w:sz="0" w:space="0" w:color="auto"/>
                            <w:right w:val="none" w:sz="0" w:space="0" w:color="auto"/>
                          </w:divBdr>
                          <w:divsChild>
                            <w:div w:id="773087624">
                              <w:marLeft w:val="0"/>
                              <w:marRight w:val="0"/>
                              <w:marTop w:val="0"/>
                              <w:marBottom w:val="0"/>
                              <w:divBdr>
                                <w:top w:val="none" w:sz="0" w:space="0" w:color="auto"/>
                                <w:left w:val="none" w:sz="0" w:space="0" w:color="auto"/>
                                <w:bottom w:val="none" w:sz="0" w:space="0" w:color="auto"/>
                                <w:right w:val="none" w:sz="0" w:space="0" w:color="auto"/>
                              </w:divBdr>
                              <w:divsChild>
                                <w:div w:id="539171429">
                                  <w:marLeft w:val="0"/>
                                  <w:marRight w:val="0"/>
                                  <w:marTop w:val="0"/>
                                  <w:marBottom w:val="0"/>
                                  <w:divBdr>
                                    <w:top w:val="none" w:sz="0" w:space="0" w:color="auto"/>
                                    <w:left w:val="none" w:sz="0" w:space="0" w:color="auto"/>
                                    <w:bottom w:val="none" w:sz="0" w:space="0" w:color="auto"/>
                                    <w:right w:val="none" w:sz="0" w:space="0" w:color="auto"/>
                                  </w:divBdr>
                                  <w:divsChild>
                                    <w:div w:id="2119595838">
                                      <w:marLeft w:val="0"/>
                                      <w:marRight w:val="0"/>
                                      <w:marTop w:val="0"/>
                                      <w:marBottom w:val="0"/>
                                      <w:divBdr>
                                        <w:top w:val="none" w:sz="0" w:space="0" w:color="auto"/>
                                        <w:left w:val="none" w:sz="0" w:space="0" w:color="auto"/>
                                        <w:bottom w:val="none" w:sz="0" w:space="0" w:color="auto"/>
                                        <w:right w:val="none" w:sz="0" w:space="0" w:color="auto"/>
                                      </w:divBdr>
                                      <w:divsChild>
                                        <w:div w:id="875120518">
                                          <w:marLeft w:val="0"/>
                                          <w:marRight w:val="0"/>
                                          <w:marTop w:val="0"/>
                                          <w:marBottom w:val="0"/>
                                          <w:divBdr>
                                            <w:top w:val="none" w:sz="0" w:space="0" w:color="auto"/>
                                            <w:left w:val="none" w:sz="0" w:space="0" w:color="auto"/>
                                            <w:bottom w:val="none" w:sz="0" w:space="0" w:color="auto"/>
                                            <w:right w:val="none" w:sz="0" w:space="0" w:color="auto"/>
                                          </w:divBdr>
                                          <w:divsChild>
                                            <w:div w:id="402684214">
                                              <w:marLeft w:val="0"/>
                                              <w:marRight w:val="0"/>
                                              <w:marTop w:val="0"/>
                                              <w:marBottom w:val="0"/>
                                              <w:divBdr>
                                                <w:top w:val="none" w:sz="0" w:space="0" w:color="auto"/>
                                                <w:left w:val="none" w:sz="0" w:space="0" w:color="auto"/>
                                                <w:bottom w:val="none" w:sz="0" w:space="0" w:color="auto"/>
                                                <w:right w:val="none" w:sz="0" w:space="0" w:color="auto"/>
                                              </w:divBdr>
                                              <w:divsChild>
                                                <w:div w:id="1414620221">
                                                  <w:marLeft w:val="0"/>
                                                  <w:marRight w:val="0"/>
                                                  <w:marTop w:val="0"/>
                                                  <w:marBottom w:val="0"/>
                                                  <w:divBdr>
                                                    <w:top w:val="none" w:sz="0" w:space="0" w:color="auto"/>
                                                    <w:left w:val="none" w:sz="0" w:space="0" w:color="auto"/>
                                                    <w:bottom w:val="none" w:sz="0" w:space="0" w:color="auto"/>
                                                    <w:right w:val="none" w:sz="0" w:space="0" w:color="auto"/>
                                                  </w:divBdr>
                                                  <w:divsChild>
                                                    <w:div w:id="183167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564319">
                                          <w:marLeft w:val="0"/>
                                          <w:marRight w:val="0"/>
                                          <w:marTop w:val="0"/>
                                          <w:marBottom w:val="0"/>
                                          <w:divBdr>
                                            <w:top w:val="none" w:sz="0" w:space="0" w:color="auto"/>
                                            <w:left w:val="none" w:sz="0" w:space="0" w:color="auto"/>
                                            <w:bottom w:val="none" w:sz="0" w:space="0" w:color="auto"/>
                                            <w:right w:val="none" w:sz="0" w:space="0" w:color="auto"/>
                                          </w:divBdr>
                                          <w:divsChild>
                                            <w:div w:id="25225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9833684">
      <w:bodyDiv w:val="1"/>
      <w:marLeft w:val="0"/>
      <w:marRight w:val="0"/>
      <w:marTop w:val="0"/>
      <w:marBottom w:val="0"/>
      <w:divBdr>
        <w:top w:val="none" w:sz="0" w:space="0" w:color="auto"/>
        <w:left w:val="none" w:sz="0" w:space="0" w:color="auto"/>
        <w:bottom w:val="none" w:sz="0" w:space="0" w:color="auto"/>
        <w:right w:val="none" w:sz="0" w:space="0" w:color="auto"/>
      </w:divBdr>
      <w:divsChild>
        <w:div w:id="1295066218">
          <w:marLeft w:val="0"/>
          <w:marRight w:val="0"/>
          <w:marTop w:val="0"/>
          <w:marBottom w:val="0"/>
          <w:divBdr>
            <w:top w:val="none" w:sz="0" w:space="0" w:color="auto"/>
            <w:left w:val="none" w:sz="0" w:space="0" w:color="auto"/>
            <w:bottom w:val="none" w:sz="0" w:space="0" w:color="auto"/>
            <w:right w:val="none" w:sz="0" w:space="0" w:color="auto"/>
          </w:divBdr>
          <w:divsChild>
            <w:div w:id="10152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83384">
      <w:bodyDiv w:val="1"/>
      <w:marLeft w:val="0"/>
      <w:marRight w:val="0"/>
      <w:marTop w:val="0"/>
      <w:marBottom w:val="0"/>
      <w:divBdr>
        <w:top w:val="none" w:sz="0" w:space="0" w:color="auto"/>
        <w:left w:val="none" w:sz="0" w:space="0" w:color="auto"/>
        <w:bottom w:val="none" w:sz="0" w:space="0" w:color="auto"/>
        <w:right w:val="none" w:sz="0" w:space="0" w:color="auto"/>
      </w:divBdr>
    </w:div>
    <w:div w:id="473958887">
      <w:bodyDiv w:val="1"/>
      <w:marLeft w:val="0"/>
      <w:marRight w:val="0"/>
      <w:marTop w:val="0"/>
      <w:marBottom w:val="0"/>
      <w:divBdr>
        <w:top w:val="none" w:sz="0" w:space="0" w:color="auto"/>
        <w:left w:val="none" w:sz="0" w:space="0" w:color="auto"/>
        <w:bottom w:val="none" w:sz="0" w:space="0" w:color="auto"/>
        <w:right w:val="none" w:sz="0" w:space="0" w:color="auto"/>
      </w:divBdr>
    </w:div>
    <w:div w:id="476146683">
      <w:bodyDiv w:val="1"/>
      <w:marLeft w:val="0"/>
      <w:marRight w:val="0"/>
      <w:marTop w:val="0"/>
      <w:marBottom w:val="0"/>
      <w:divBdr>
        <w:top w:val="none" w:sz="0" w:space="0" w:color="auto"/>
        <w:left w:val="none" w:sz="0" w:space="0" w:color="auto"/>
        <w:bottom w:val="none" w:sz="0" w:space="0" w:color="auto"/>
        <w:right w:val="none" w:sz="0" w:space="0" w:color="auto"/>
      </w:divBdr>
    </w:div>
    <w:div w:id="482939476">
      <w:bodyDiv w:val="1"/>
      <w:marLeft w:val="0"/>
      <w:marRight w:val="0"/>
      <w:marTop w:val="0"/>
      <w:marBottom w:val="0"/>
      <w:divBdr>
        <w:top w:val="none" w:sz="0" w:space="0" w:color="auto"/>
        <w:left w:val="none" w:sz="0" w:space="0" w:color="auto"/>
        <w:bottom w:val="none" w:sz="0" w:space="0" w:color="auto"/>
        <w:right w:val="none" w:sz="0" w:space="0" w:color="auto"/>
      </w:divBdr>
    </w:div>
    <w:div w:id="487676653">
      <w:bodyDiv w:val="1"/>
      <w:marLeft w:val="0"/>
      <w:marRight w:val="0"/>
      <w:marTop w:val="0"/>
      <w:marBottom w:val="0"/>
      <w:divBdr>
        <w:top w:val="none" w:sz="0" w:space="0" w:color="auto"/>
        <w:left w:val="none" w:sz="0" w:space="0" w:color="auto"/>
        <w:bottom w:val="none" w:sz="0" w:space="0" w:color="auto"/>
        <w:right w:val="none" w:sz="0" w:space="0" w:color="auto"/>
      </w:divBdr>
    </w:div>
    <w:div w:id="490096474">
      <w:bodyDiv w:val="1"/>
      <w:marLeft w:val="0"/>
      <w:marRight w:val="0"/>
      <w:marTop w:val="0"/>
      <w:marBottom w:val="0"/>
      <w:divBdr>
        <w:top w:val="none" w:sz="0" w:space="0" w:color="auto"/>
        <w:left w:val="none" w:sz="0" w:space="0" w:color="auto"/>
        <w:bottom w:val="none" w:sz="0" w:space="0" w:color="auto"/>
        <w:right w:val="none" w:sz="0" w:space="0" w:color="auto"/>
      </w:divBdr>
    </w:div>
    <w:div w:id="492571088">
      <w:bodyDiv w:val="1"/>
      <w:marLeft w:val="0"/>
      <w:marRight w:val="0"/>
      <w:marTop w:val="0"/>
      <w:marBottom w:val="0"/>
      <w:divBdr>
        <w:top w:val="none" w:sz="0" w:space="0" w:color="auto"/>
        <w:left w:val="none" w:sz="0" w:space="0" w:color="auto"/>
        <w:bottom w:val="none" w:sz="0" w:space="0" w:color="auto"/>
        <w:right w:val="none" w:sz="0" w:space="0" w:color="auto"/>
      </w:divBdr>
    </w:div>
    <w:div w:id="495346745">
      <w:bodyDiv w:val="1"/>
      <w:marLeft w:val="0"/>
      <w:marRight w:val="0"/>
      <w:marTop w:val="0"/>
      <w:marBottom w:val="0"/>
      <w:divBdr>
        <w:top w:val="none" w:sz="0" w:space="0" w:color="auto"/>
        <w:left w:val="none" w:sz="0" w:space="0" w:color="auto"/>
        <w:bottom w:val="none" w:sz="0" w:space="0" w:color="auto"/>
        <w:right w:val="none" w:sz="0" w:space="0" w:color="auto"/>
      </w:divBdr>
    </w:div>
    <w:div w:id="502164372">
      <w:bodyDiv w:val="1"/>
      <w:marLeft w:val="0"/>
      <w:marRight w:val="0"/>
      <w:marTop w:val="0"/>
      <w:marBottom w:val="0"/>
      <w:divBdr>
        <w:top w:val="none" w:sz="0" w:space="0" w:color="auto"/>
        <w:left w:val="none" w:sz="0" w:space="0" w:color="auto"/>
        <w:bottom w:val="none" w:sz="0" w:space="0" w:color="auto"/>
        <w:right w:val="none" w:sz="0" w:space="0" w:color="auto"/>
      </w:divBdr>
    </w:div>
    <w:div w:id="507865760">
      <w:bodyDiv w:val="1"/>
      <w:marLeft w:val="0"/>
      <w:marRight w:val="0"/>
      <w:marTop w:val="0"/>
      <w:marBottom w:val="0"/>
      <w:divBdr>
        <w:top w:val="none" w:sz="0" w:space="0" w:color="auto"/>
        <w:left w:val="none" w:sz="0" w:space="0" w:color="auto"/>
        <w:bottom w:val="none" w:sz="0" w:space="0" w:color="auto"/>
        <w:right w:val="none" w:sz="0" w:space="0" w:color="auto"/>
      </w:divBdr>
    </w:div>
    <w:div w:id="511260086">
      <w:bodyDiv w:val="1"/>
      <w:marLeft w:val="0"/>
      <w:marRight w:val="0"/>
      <w:marTop w:val="0"/>
      <w:marBottom w:val="0"/>
      <w:divBdr>
        <w:top w:val="none" w:sz="0" w:space="0" w:color="auto"/>
        <w:left w:val="none" w:sz="0" w:space="0" w:color="auto"/>
        <w:bottom w:val="none" w:sz="0" w:space="0" w:color="auto"/>
        <w:right w:val="none" w:sz="0" w:space="0" w:color="auto"/>
      </w:divBdr>
    </w:div>
    <w:div w:id="511723740">
      <w:bodyDiv w:val="1"/>
      <w:marLeft w:val="0"/>
      <w:marRight w:val="0"/>
      <w:marTop w:val="0"/>
      <w:marBottom w:val="0"/>
      <w:divBdr>
        <w:top w:val="none" w:sz="0" w:space="0" w:color="auto"/>
        <w:left w:val="none" w:sz="0" w:space="0" w:color="auto"/>
        <w:bottom w:val="none" w:sz="0" w:space="0" w:color="auto"/>
        <w:right w:val="none" w:sz="0" w:space="0" w:color="auto"/>
      </w:divBdr>
    </w:div>
    <w:div w:id="513225467">
      <w:bodyDiv w:val="1"/>
      <w:marLeft w:val="0"/>
      <w:marRight w:val="0"/>
      <w:marTop w:val="0"/>
      <w:marBottom w:val="0"/>
      <w:divBdr>
        <w:top w:val="none" w:sz="0" w:space="0" w:color="auto"/>
        <w:left w:val="none" w:sz="0" w:space="0" w:color="auto"/>
        <w:bottom w:val="none" w:sz="0" w:space="0" w:color="auto"/>
        <w:right w:val="none" w:sz="0" w:space="0" w:color="auto"/>
      </w:divBdr>
    </w:div>
    <w:div w:id="519776460">
      <w:bodyDiv w:val="1"/>
      <w:marLeft w:val="0"/>
      <w:marRight w:val="0"/>
      <w:marTop w:val="0"/>
      <w:marBottom w:val="0"/>
      <w:divBdr>
        <w:top w:val="none" w:sz="0" w:space="0" w:color="auto"/>
        <w:left w:val="none" w:sz="0" w:space="0" w:color="auto"/>
        <w:bottom w:val="none" w:sz="0" w:space="0" w:color="auto"/>
        <w:right w:val="none" w:sz="0" w:space="0" w:color="auto"/>
      </w:divBdr>
    </w:div>
    <w:div w:id="522060836">
      <w:bodyDiv w:val="1"/>
      <w:marLeft w:val="0"/>
      <w:marRight w:val="0"/>
      <w:marTop w:val="0"/>
      <w:marBottom w:val="0"/>
      <w:divBdr>
        <w:top w:val="none" w:sz="0" w:space="0" w:color="auto"/>
        <w:left w:val="none" w:sz="0" w:space="0" w:color="auto"/>
        <w:bottom w:val="none" w:sz="0" w:space="0" w:color="auto"/>
        <w:right w:val="none" w:sz="0" w:space="0" w:color="auto"/>
      </w:divBdr>
    </w:div>
    <w:div w:id="522936244">
      <w:bodyDiv w:val="1"/>
      <w:marLeft w:val="0"/>
      <w:marRight w:val="0"/>
      <w:marTop w:val="0"/>
      <w:marBottom w:val="0"/>
      <w:divBdr>
        <w:top w:val="none" w:sz="0" w:space="0" w:color="auto"/>
        <w:left w:val="none" w:sz="0" w:space="0" w:color="auto"/>
        <w:bottom w:val="none" w:sz="0" w:space="0" w:color="auto"/>
        <w:right w:val="none" w:sz="0" w:space="0" w:color="auto"/>
      </w:divBdr>
    </w:div>
    <w:div w:id="529491362">
      <w:bodyDiv w:val="1"/>
      <w:marLeft w:val="0"/>
      <w:marRight w:val="0"/>
      <w:marTop w:val="0"/>
      <w:marBottom w:val="0"/>
      <w:divBdr>
        <w:top w:val="none" w:sz="0" w:space="0" w:color="auto"/>
        <w:left w:val="none" w:sz="0" w:space="0" w:color="auto"/>
        <w:bottom w:val="none" w:sz="0" w:space="0" w:color="auto"/>
        <w:right w:val="none" w:sz="0" w:space="0" w:color="auto"/>
      </w:divBdr>
    </w:div>
    <w:div w:id="542376068">
      <w:bodyDiv w:val="1"/>
      <w:marLeft w:val="0"/>
      <w:marRight w:val="0"/>
      <w:marTop w:val="0"/>
      <w:marBottom w:val="0"/>
      <w:divBdr>
        <w:top w:val="none" w:sz="0" w:space="0" w:color="auto"/>
        <w:left w:val="none" w:sz="0" w:space="0" w:color="auto"/>
        <w:bottom w:val="none" w:sz="0" w:space="0" w:color="auto"/>
        <w:right w:val="none" w:sz="0" w:space="0" w:color="auto"/>
      </w:divBdr>
    </w:div>
    <w:div w:id="547451621">
      <w:bodyDiv w:val="1"/>
      <w:marLeft w:val="0"/>
      <w:marRight w:val="0"/>
      <w:marTop w:val="0"/>
      <w:marBottom w:val="0"/>
      <w:divBdr>
        <w:top w:val="none" w:sz="0" w:space="0" w:color="auto"/>
        <w:left w:val="none" w:sz="0" w:space="0" w:color="auto"/>
        <w:bottom w:val="none" w:sz="0" w:space="0" w:color="auto"/>
        <w:right w:val="none" w:sz="0" w:space="0" w:color="auto"/>
      </w:divBdr>
    </w:div>
    <w:div w:id="551697139">
      <w:bodyDiv w:val="1"/>
      <w:marLeft w:val="0"/>
      <w:marRight w:val="0"/>
      <w:marTop w:val="0"/>
      <w:marBottom w:val="0"/>
      <w:divBdr>
        <w:top w:val="none" w:sz="0" w:space="0" w:color="auto"/>
        <w:left w:val="none" w:sz="0" w:space="0" w:color="auto"/>
        <w:bottom w:val="none" w:sz="0" w:space="0" w:color="auto"/>
        <w:right w:val="none" w:sz="0" w:space="0" w:color="auto"/>
      </w:divBdr>
    </w:div>
    <w:div w:id="553586823">
      <w:bodyDiv w:val="1"/>
      <w:marLeft w:val="0"/>
      <w:marRight w:val="0"/>
      <w:marTop w:val="0"/>
      <w:marBottom w:val="0"/>
      <w:divBdr>
        <w:top w:val="none" w:sz="0" w:space="0" w:color="auto"/>
        <w:left w:val="none" w:sz="0" w:space="0" w:color="auto"/>
        <w:bottom w:val="none" w:sz="0" w:space="0" w:color="auto"/>
        <w:right w:val="none" w:sz="0" w:space="0" w:color="auto"/>
      </w:divBdr>
    </w:div>
    <w:div w:id="554701907">
      <w:bodyDiv w:val="1"/>
      <w:marLeft w:val="0"/>
      <w:marRight w:val="0"/>
      <w:marTop w:val="0"/>
      <w:marBottom w:val="0"/>
      <w:divBdr>
        <w:top w:val="none" w:sz="0" w:space="0" w:color="auto"/>
        <w:left w:val="none" w:sz="0" w:space="0" w:color="auto"/>
        <w:bottom w:val="none" w:sz="0" w:space="0" w:color="auto"/>
        <w:right w:val="none" w:sz="0" w:space="0" w:color="auto"/>
      </w:divBdr>
    </w:div>
    <w:div w:id="562176920">
      <w:bodyDiv w:val="1"/>
      <w:marLeft w:val="0"/>
      <w:marRight w:val="0"/>
      <w:marTop w:val="0"/>
      <w:marBottom w:val="0"/>
      <w:divBdr>
        <w:top w:val="none" w:sz="0" w:space="0" w:color="auto"/>
        <w:left w:val="none" w:sz="0" w:space="0" w:color="auto"/>
        <w:bottom w:val="none" w:sz="0" w:space="0" w:color="auto"/>
        <w:right w:val="none" w:sz="0" w:space="0" w:color="auto"/>
      </w:divBdr>
    </w:div>
    <w:div w:id="563292816">
      <w:bodyDiv w:val="1"/>
      <w:marLeft w:val="0"/>
      <w:marRight w:val="0"/>
      <w:marTop w:val="0"/>
      <w:marBottom w:val="0"/>
      <w:divBdr>
        <w:top w:val="none" w:sz="0" w:space="0" w:color="auto"/>
        <w:left w:val="none" w:sz="0" w:space="0" w:color="auto"/>
        <w:bottom w:val="none" w:sz="0" w:space="0" w:color="auto"/>
        <w:right w:val="none" w:sz="0" w:space="0" w:color="auto"/>
      </w:divBdr>
    </w:div>
    <w:div w:id="566693929">
      <w:bodyDiv w:val="1"/>
      <w:marLeft w:val="0"/>
      <w:marRight w:val="0"/>
      <w:marTop w:val="0"/>
      <w:marBottom w:val="0"/>
      <w:divBdr>
        <w:top w:val="none" w:sz="0" w:space="0" w:color="auto"/>
        <w:left w:val="none" w:sz="0" w:space="0" w:color="auto"/>
        <w:bottom w:val="none" w:sz="0" w:space="0" w:color="auto"/>
        <w:right w:val="none" w:sz="0" w:space="0" w:color="auto"/>
      </w:divBdr>
    </w:div>
    <w:div w:id="566695352">
      <w:bodyDiv w:val="1"/>
      <w:marLeft w:val="0"/>
      <w:marRight w:val="0"/>
      <w:marTop w:val="0"/>
      <w:marBottom w:val="0"/>
      <w:divBdr>
        <w:top w:val="none" w:sz="0" w:space="0" w:color="auto"/>
        <w:left w:val="none" w:sz="0" w:space="0" w:color="auto"/>
        <w:bottom w:val="none" w:sz="0" w:space="0" w:color="auto"/>
        <w:right w:val="none" w:sz="0" w:space="0" w:color="auto"/>
      </w:divBdr>
    </w:div>
    <w:div w:id="567616654">
      <w:bodyDiv w:val="1"/>
      <w:marLeft w:val="0"/>
      <w:marRight w:val="0"/>
      <w:marTop w:val="0"/>
      <w:marBottom w:val="0"/>
      <w:divBdr>
        <w:top w:val="none" w:sz="0" w:space="0" w:color="auto"/>
        <w:left w:val="none" w:sz="0" w:space="0" w:color="auto"/>
        <w:bottom w:val="none" w:sz="0" w:space="0" w:color="auto"/>
        <w:right w:val="none" w:sz="0" w:space="0" w:color="auto"/>
      </w:divBdr>
    </w:div>
    <w:div w:id="567956851">
      <w:bodyDiv w:val="1"/>
      <w:marLeft w:val="0"/>
      <w:marRight w:val="0"/>
      <w:marTop w:val="0"/>
      <w:marBottom w:val="0"/>
      <w:divBdr>
        <w:top w:val="none" w:sz="0" w:space="0" w:color="auto"/>
        <w:left w:val="none" w:sz="0" w:space="0" w:color="auto"/>
        <w:bottom w:val="none" w:sz="0" w:space="0" w:color="auto"/>
        <w:right w:val="none" w:sz="0" w:space="0" w:color="auto"/>
      </w:divBdr>
    </w:div>
    <w:div w:id="568156193">
      <w:bodyDiv w:val="1"/>
      <w:marLeft w:val="0"/>
      <w:marRight w:val="0"/>
      <w:marTop w:val="0"/>
      <w:marBottom w:val="0"/>
      <w:divBdr>
        <w:top w:val="none" w:sz="0" w:space="0" w:color="auto"/>
        <w:left w:val="none" w:sz="0" w:space="0" w:color="auto"/>
        <w:bottom w:val="none" w:sz="0" w:space="0" w:color="auto"/>
        <w:right w:val="none" w:sz="0" w:space="0" w:color="auto"/>
      </w:divBdr>
    </w:div>
    <w:div w:id="573395176">
      <w:bodyDiv w:val="1"/>
      <w:marLeft w:val="0"/>
      <w:marRight w:val="0"/>
      <w:marTop w:val="0"/>
      <w:marBottom w:val="0"/>
      <w:divBdr>
        <w:top w:val="none" w:sz="0" w:space="0" w:color="auto"/>
        <w:left w:val="none" w:sz="0" w:space="0" w:color="auto"/>
        <w:bottom w:val="none" w:sz="0" w:space="0" w:color="auto"/>
        <w:right w:val="none" w:sz="0" w:space="0" w:color="auto"/>
      </w:divBdr>
    </w:div>
    <w:div w:id="577716576">
      <w:bodyDiv w:val="1"/>
      <w:marLeft w:val="0"/>
      <w:marRight w:val="0"/>
      <w:marTop w:val="0"/>
      <w:marBottom w:val="0"/>
      <w:divBdr>
        <w:top w:val="none" w:sz="0" w:space="0" w:color="auto"/>
        <w:left w:val="none" w:sz="0" w:space="0" w:color="auto"/>
        <w:bottom w:val="none" w:sz="0" w:space="0" w:color="auto"/>
        <w:right w:val="none" w:sz="0" w:space="0" w:color="auto"/>
      </w:divBdr>
    </w:div>
    <w:div w:id="577784248">
      <w:bodyDiv w:val="1"/>
      <w:marLeft w:val="0"/>
      <w:marRight w:val="0"/>
      <w:marTop w:val="0"/>
      <w:marBottom w:val="0"/>
      <w:divBdr>
        <w:top w:val="none" w:sz="0" w:space="0" w:color="auto"/>
        <w:left w:val="none" w:sz="0" w:space="0" w:color="auto"/>
        <w:bottom w:val="none" w:sz="0" w:space="0" w:color="auto"/>
        <w:right w:val="none" w:sz="0" w:space="0" w:color="auto"/>
      </w:divBdr>
    </w:div>
    <w:div w:id="578250339">
      <w:bodyDiv w:val="1"/>
      <w:marLeft w:val="0"/>
      <w:marRight w:val="0"/>
      <w:marTop w:val="0"/>
      <w:marBottom w:val="0"/>
      <w:divBdr>
        <w:top w:val="none" w:sz="0" w:space="0" w:color="auto"/>
        <w:left w:val="none" w:sz="0" w:space="0" w:color="auto"/>
        <w:bottom w:val="none" w:sz="0" w:space="0" w:color="auto"/>
        <w:right w:val="none" w:sz="0" w:space="0" w:color="auto"/>
      </w:divBdr>
    </w:div>
    <w:div w:id="587345959">
      <w:bodyDiv w:val="1"/>
      <w:marLeft w:val="0"/>
      <w:marRight w:val="0"/>
      <w:marTop w:val="0"/>
      <w:marBottom w:val="0"/>
      <w:divBdr>
        <w:top w:val="none" w:sz="0" w:space="0" w:color="auto"/>
        <w:left w:val="none" w:sz="0" w:space="0" w:color="auto"/>
        <w:bottom w:val="none" w:sz="0" w:space="0" w:color="auto"/>
        <w:right w:val="none" w:sz="0" w:space="0" w:color="auto"/>
      </w:divBdr>
    </w:div>
    <w:div w:id="590313842">
      <w:bodyDiv w:val="1"/>
      <w:marLeft w:val="0"/>
      <w:marRight w:val="0"/>
      <w:marTop w:val="0"/>
      <w:marBottom w:val="0"/>
      <w:divBdr>
        <w:top w:val="none" w:sz="0" w:space="0" w:color="auto"/>
        <w:left w:val="none" w:sz="0" w:space="0" w:color="auto"/>
        <w:bottom w:val="none" w:sz="0" w:space="0" w:color="auto"/>
        <w:right w:val="none" w:sz="0" w:space="0" w:color="auto"/>
      </w:divBdr>
      <w:divsChild>
        <w:div w:id="184368781">
          <w:blockQuote w:val="1"/>
          <w:marLeft w:val="720"/>
          <w:marRight w:val="720"/>
          <w:marTop w:val="100"/>
          <w:marBottom w:val="100"/>
          <w:divBdr>
            <w:top w:val="none" w:sz="0" w:space="0" w:color="auto"/>
            <w:left w:val="none" w:sz="0" w:space="0" w:color="auto"/>
            <w:bottom w:val="none" w:sz="0" w:space="0" w:color="auto"/>
            <w:right w:val="none" w:sz="0" w:space="0" w:color="auto"/>
          </w:divBdr>
        </w:div>
        <w:div w:id="391924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50327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6370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1858306">
      <w:bodyDiv w:val="1"/>
      <w:marLeft w:val="0"/>
      <w:marRight w:val="0"/>
      <w:marTop w:val="0"/>
      <w:marBottom w:val="0"/>
      <w:divBdr>
        <w:top w:val="none" w:sz="0" w:space="0" w:color="auto"/>
        <w:left w:val="none" w:sz="0" w:space="0" w:color="auto"/>
        <w:bottom w:val="none" w:sz="0" w:space="0" w:color="auto"/>
        <w:right w:val="none" w:sz="0" w:space="0" w:color="auto"/>
      </w:divBdr>
    </w:div>
    <w:div w:id="598635449">
      <w:bodyDiv w:val="1"/>
      <w:marLeft w:val="0"/>
      <w:marRight w:val="0"/>
      <w:marTop w:val="0"/>
      <w:marBottom w:val="0"/>
      <w:divBdr>
        <w:top w:val="none" w:sz="0" w:space="0" w:color="auto"/>
        <w:left w:val="none" w:sz="0" w:space="0" w:color="auto"/>
        <w:bottom w:val="none" w:sz="0" w:space="0" w:color="auto"/>
        <w:right w:val="none" w:sz="0" w:space="0" w:color="auto"/>
      </w:divBdr>
    </w:div>
    <w:div w:id="599948381">
      <w:bodyDiv w:val="1"/>
      <w:marLeft w:val="0"/>
      <w:marRight w:val="0"/>
      <w:marTop w:val="0"/>
      <w:marBottom w:val="0"/>
      <w:divBdr>
        <w:top w:val="none" w:sz="0" w:space="0" w:color="auto"/>
        <w:left w:val="none" w:sz="0" w:space="0" w:color="auto"/>
        <w:bottom w:val="none" w:sz="0" w:space="0" w:color="auto"/>
        <w:right w:val="none" w:sz="0" w:space="0" w:color="auto"/>
      </w:divBdr>
    </w:div>
    <w:div w:id="602423749">
      <w:bodyDiv w:val="1"/>
      <w:marLeft w:val="0"/>
      <w:marRight w:val="0"/>
      <w:marTop w:val="0"/>
      <w:marBottom w:val="0"/>
      <w:divBdr>
        <w:top w:val="none" w:sz="0" w:space="0" w:color="auto"/>
        <w:left w:val="none" w:sz="0" w:space="0" w:color="auto"/>
        <w:bottom w:val="none" w:sz="0" w:space="0" w:color="auto"/>
        <w:right w:val="none" w:sz="0" w:space="0" w:color="auto"/>
      </w:divBdr>
    </w:div>
    <w:div w:id="603457267">
      <w:bodyDiv w:val="1"/>
      <w:marLeft w:val="0"/>
      <w:marRight w:val="0"/>
      <w:marTop w:val="0"/>
      <w:marBottom w:val="0"/>
      <w:divBdr>
        <w:top w:val="none" w:sz="0" w:space="0" w:color="auto"/>
        <w:left w:val="none" w:sz="0" w:space="0" w:color="auto"/>
        <w:bottom w:val="none" w:sz="0" w:space="0" w:color="auto"/>
        <w:right w:val="none" w:sz="0" w:space="0" w:color="auto"/>
      </w:divBdr>
    </w:div>
    <w:div w:id="605117080">
      <w:bodyDiv w:val="1"/>
      <w:marLeft w:val="0"/>
      <w:marRight w:val="0"/>
      <w:marTop w:val="0"/>
      <w:marBottom w:val="0"/>
      <w:divBdr>
        <w:top w:val="none" w:sz="0" w:space="0" w:color="auto"/>
        <w:left w:val="none" w:sz="0" w:space="0" w:color="auto"/>
        <w:bottom w:val="none" w:sz="0" w:space="0" w:color="auto"/>
        <w:right w:val="none" w:sz="0" w:space="0" w:color="auto"/>
      </w:divBdr>
      <w:divsChild>
        <w:div w:id="1088774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0360713">
      <w:bodyDiv w:val="1"/>
      <w:marLeft w:val="0"/>
      <w:marRight w:val="0"/>
      <w:marTop w:val="0"/>
      <w:marBottom w:val="0"/>
      <w:divBdr>
        <w:top w:val="none" w:sz="0" w:space="0" w:color="auto"/>
        <w:left w:val="none" w:sz="0" w:space="0" w:color="auto"/>
        <w:bottom w:val="none" w:sz="0" w:space="0" w:color="auto"/>
        <w:right w:val="none" w:sz="0" w:space="0" w:color="auto"/>
      </w:divBdr>
    </w:div>
    <w:div w:id="613288987">
      <w:bodyDiv w:val="1"/>
      <w:marLeft w:val="0"/>
      <w:marRight w:val="0"/>
      <w:marTop w:val="0"/>
      <w:marBottom w:val="0"/>
      <w:divBdr>
        <w:top w:val="none" w:sz="0" w:space="0" w:color="auto"/>
        <w:left w:val="none" w:sz="0" w:space="0" w:color="auto"/>
        <w:bottom w:val="none" w:sz="0" w:space="0" w:color="auto"/>
        <w:right w:val="none" w:sz="0" w:space="0" w:color="auto"/>
      </w:divBdr>
    </w:div>
    <w:div w:id="618875841">
      <w:bodyDiv w:val="1"/>
      <w:marLeft w:val="0"/>
      <w:marRight w:val="0"/>
      <w:marTop w:val="0"/>
      <w:marBottom w:val="0"/>
      <w:divBdr>
        <w:top w:val="none" w:sz="0" w:space="0" w:color="auto"/>
        <w:left w:val="none" w:sz="0" w:space="0" w:color="auto"/>
        <w:bottom w:val="none" w:sz="0" w:space="0" w:color="auto"/>
        <w:right w:val="none" w:sz="0" w:space="0" w:color="auto"/>
      </w:divBdr>
    </w:div>
    <w:div w:id="620498686">
      <w:bodyDiv w:val="1"/>
      <w:marLeft w:val="0"/>
      <w:marRight w:val="0"/>
      <w:marTop w:val="0"/>
      <w:marBottom w:val="0"/>
      <w:divBdr>
        <w:top w:val="none" w:sz="0" w:space="0" w:color="auto"/>
        <w:left w:val="none" w:sz="0" w:space="0" w:color="auto"/>
        <w:bottom w:val="none" w:sz="0" w:space="0" w:color="auto"/>
        <w:right w:val="none" w:sz="0" w:space="0" w:color="auto"/>
      </w:divBdr>
    </w:div>
    <w:div w:id="624893164">
      <w:bodyDiv w:val="1"/>
      <w:marLeft w:val="0"/>
      <w:marRight w:val="0"/>
      <w:marTop w:val="0"/>
      <w:marBottom w:val="0"/>
      <w:divBdr>
        <w:top w:val="none" w:sz="0" w:space="0" w:color="auto"/>
        <w:left w:val="none" w:sz="0" w:space="0" w:color="auto"/>
        <w:bottom w:val="none" w:sz="0" w:space="0" w:color="auto"/>
        <w:right w:val="none" w:sz="0" w:space="0" w:color="auto"/>
      </w:divBdr>
    </w:div>
    <w:div w:id="651757058">
      <w:bodyDiv w:val="1"/>
      <w:marLeft w:val="0"/>
      <w:marRight w:val="0"/>
      <w:marTop w:val="0"/>
      <w:marBottom w:val="0"/>
      <w:divBdr>
        <w:top w:val="none" w:sz="0" w:space="0" w:color="auto"/>
        <w:left w:val="none" w:sz="0" w:space="0" w:color="auto"/>
        <w:bottom w:val="none" w:sz="0" w:space="0" w:color="auto"/>
        <w:right w:val="none" w:sz="0" w:space="0" w:color="auto"/>
      </w:divBdr>
    </w:div>
    <w:div w:id="655913617">
      <w:bodyDiv w:val="1"/>
      <w:marLeft w:val="0"/>
      <w:marRight w:val="0"/>
      <w:marTop w:val="0"/>
      <w:marBottom w:val="0"/>
      <w:divBdr>
        <w:top w:val="none" w:sz="0" w:space="0" w:color="auto"/>
        <w:left w:val="none" w:sz="0" w:space="0" w:color="auto"/>
        <w:bottom w:val="none" w:sz="0" w:space="0" w:color="auto"/>
        <w:right w:val="none" w:sz="0" w:space="0" w:color="auto"/>
      </w:divBdr>
    </w:div>
    <w:div w:id="659889729">
      <w:bodyDiv w:val="1"/>
      <w:marLeft w:val="0"/>
      <w:marRight w:val="0"/>
      <w:marTop w:val="0"/>
      <w:marBottom w:val="0"/>
      <w:divBdr>
        <w:top w:val="none" w:sz="0" w:space="0" w:color="auto"/>
        <w:left w:val="none" w:sz="0" w:space="0" w:color="auto"/>
        <w:bottom w:val="none" w:sz="0" w:space="0" w:color="auto"/>
        <w:right w:val="none" w:sz="0" w:space="0" w:color="auto"/>
      </w:divBdr>
    </w:div>
    <w:div w:id="675427885">
      <w:bodyDiv w:val="1"/>
      <w:marLeft w:val="0"/>
      <w:marRight w:val="0"/>
      <w:marTop w:val="0"/>
      <w:marBottom w:val="0"/>
      <w:divBdr>
        <w:top w:val="none" w:sz="0" w:space="0" w:color="auto"/>
        <w:left w:val="none" w:sz="0" w:space="0" w:color="auto"/>
        <w:bottom w:val="none" w:sz="0" w:space="0" w:color="auto"/>
        <w:right w:val="none" w:sz="0" w:space="0" w:color="auto"/>
      </w:divBdr>
    </w:div>
    <w:div w:id="681010274">
      <w:bodyDiv w:val="1"/>
      <w:marLeft w:val="0"/>
      <w:marRight w:val="0"/>
      <w:marTop w:val="0"/>
      <w:marBottom w:val="0"/>
      <w:divBdr>
        <w:top w:val="none" w:sz="0" w:space="0" w:color="auto"/>
        <w:left w:val="none" w:sz="0" w:space="0" w:color="auto"/>
        <w:bottom w:val="none" w:sz="0" w:space="0" w:color="auto"/>
        <w:right w:val="none" w:sz="0" w:space="0" w:color="auto"/>
      </w:divBdr>
      <w:divsChild>
        <w:div w:id="1129129611">
          <w:marLeft w:val="0"/>
          <w:marRight w:val="0"/>
          <w:marTop w:val="0"/>
          <w:marBottom w:val="0"/>
          <w:divBdr>
            <w:top w:val="none" w:sz="0" w:space="0" w:color="auto"/>
            <w:left w:val="none" w:sz="0" w:space="0" w:color="auto"/>
            <w:bottom w:val="none" w:sz="0" w:space="0" w:color="auto"/>
            <w:right w:val="none" w:sz="0" w:space="0" w:color="auto"/>
          </w:divBdr>
          <w:divsChild>
            <w:div w:id="13684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1794">
      <w:bodyDiv w:val="1"/>
      <w:marLeft w:val="0"/>
      <w:marRight w:val="0"/>
      <w:marTop w:val="0"/>
      <w:marBottom w:val="0"/>
      <w:divBdr>
        <w:top w:val="none" w:sz="0" w:space="0" w:color="auto"/>
        <w:left w:val="none" w:sz="0" w:space="0" w:color="auto"/>
        <w:bottom w:val="none" w:sz="0" w:space="0" w:color="auto"/>
        <w:right w:val="none" w:sz="0" w:space="0" w:color="auto"/>
      </w:divBdr>
    </w:div>
    <w:div w:id="683047525">
      <w:bodyDiv w:val="1"/>
      <w:marLeft w:val="0"/>
      <w:marRight w:val="0"/>
      <w:marTop w:val="0"/>
      <w:marBottom w:val="0"/>
      <w:divBdr>
        <w:top w:val="none" w:sz="0" w:space="0" w:color="auto"/>
        <w:left w:val="none" w:sz="0" w:space="0" w:color="auto"/>
        <w:bottom w:val="none" w:sz="0" w:space="0" w:color="auto"/>
        <w:right w:val="none" w:sz="0" w:space="0" w:color="auto"/>
      </w:divBdr>
    </w:div>
    <w:div w:id="684484405">
      <w:bodyDiv w:val="1"/>
      <w:marLeft w:val="0"/>
      <w:marRight w:val="0"/>
      <w:marTop w:val="0"/>
      <w:marBottom w:val="0"/>
      <w:divBdr>
        <w:top w:val="none" w:sz="0" w:space="0" w:color="auto"/>
        <w:left w:val="none" w:sz="0" w:space="0" w:color="auto"/>
        <w:bottom w:val="none" w:sz="0" w:space="0" w:color="auto"/>
        <w:right w:val="none" w:sz="0" w:space="0" w:color="auto"/>
      </w:divBdr>
    </w:div>
    <w:div w:id="690649996">
      <w:bodyDiv w:val="1"/>
      <w:marLeft w:val="0"/>
      <w:marRight w:val="0"/>
      <w:marTop w:val="0"/>
      <w:marBottom w:val="0"/>
      <w:divBdr>
        <w:top w:val="none" w:sz="0" w:space="0" w:color="auto"/>
        <w:left w:val="none" w:sz="0" w:space="0" w:color="auto"/>
        <w:bottom w:val="none" w:sz="0" w:space="0" w:color="auto"/>
        <w:right w:val="none" w:sz="0" w:space="0" w:color="auto"/>
      </w:divBdr>
    </w:div>
    <w:div w:id="690956757">
      <w:bodyDiv w:val="1"/>
      <w:marLeft w:val="0"/>
      <w:marRight w:val="0"/>
      <w:marTop w:val="0"/>
      <w:marBottom w:val="0"/>
      <w:divBdr>
        <w:top w:val="none" w:sz="0" w:space="0" w:color="auto"/>
        <w:left w:val="none" w:sz="0" w:space="0" w:color="auto"/>
        <w:bottom w:val="none" w:sz="0" w:space="0" w:color="auto"/>
        <w:right w:val="none" w:sz="0" w:space="0" w:color="auto"/>
      </w:divBdr>
    </w:div>
    <w:div w:id="693580378">
      <w:bodyDiv w:val="1"/>
      <w:marLeft w:val="0"/>
      <w:marRight w:val="0"/>
      <w:marTop w:val="0"/>
      <w:marBottom w:val="0"/>
      <w:divBdr>
        <w:top w:val="none" w:sz="0" w:space="0" w:color="auto"/>
        <w:left w:val="none" w:sz="0" w:space="0" w:color="auto"/>
        <w:bottom w:val="none" w:sz="0" w:space="0" w:color="auto"/>
        <w:right w:val="none" w:sz="0" w:space="0" w:color="auto"/>
      </w:divBdr>
    </w:div>
    <w:div w:id="704254654">
      <w:bodyDiv w:val="1"/>
      <w:marLeft w:val="0"/>
      <w:marRight w:val="0"/>
      <w:marTop w:val="0"/>
      <w:marBottom w:val="0"/>
      <w:divBdr>
        <w:top w:val="none" w:sz="0" w:space="0" w:color="auto"/>
        <w:left w:val="none" w:sz="0" w:space="0" w:color="auto"/>
        <w:bottom w:val="none" w:sz="0" w:space="0" w:color="auto"/>
        <w:right w:val="none" w:sz="0" w:space="0" w:color="auto"/>
      </w:divBdr>
    </w:div>
    <w:div w:id="708803534">
      <w:bodyDiv w:val="1"/>
      <w:marLeft w:val="0"/>
      <w:marRight w:val="0"/>
      <w:marTop w:val="0"/>
      <w:marBottom w:val="0"/>
      <w:divBdr>
        <w:top w:val="none" w:sz="0" w:space="0" w:color="auto"/>
        <w:left w:val="none" w:sz="0" w:space="0" w:color="auto"/>
        <w:bottom w:val="none" w:sz="0" w:space="0" w:color="auto"/>
        <w:right w:val="none" w:sz="0" w:space="0" w:color="auto"/>
      </w:divBdr>
    </w:div>
    <w:div w:id="719019719">
      <w:bodyDiv w:val="1"/>
      <w:marLeft w:val="0"/>
      <w:marRight w:val="0"/>
      <w:marTop w:val="0"/>
      <w:marBottom w:val="0"/>
      <w:divBdr>
        <w:top w:val="none" w:sz="0" w:space="0" w:color="auto"/>
        <w:left w:val="none" w:sz="0" w:space="0" w:color="auto"/>
        <w:bottom w:val="none" w:sz="0" w:space="0" w:color="auto"/>
        <w:right w:val="none" w:sz="0" w:space="0" w:color="auto"/>
      </w:divBdr>
    </w:div>
    <w:div w:id="724253051">
      <w:bodyDiv w:val="1"/>
      <w:marLeft w:val="0"/>
      <w:marRight w:val="0"/>
      <w:marTop w:val="0"/>
      <w:marBottom w:val="0"/>
      <w:divBdr>
        <w:top w:val="none" w:sz="0" w:space="0" w:color="auto"/>
        <w:left w:val="none" w:sz="0" w:space="0" w:color="auto"/>
        <w:bottom w:val="none" w:sz="0" w:space="0" w:color="auto"/>
        <w:right w:val="none" w:sz="0" w:space="0" w:color="auto"/>
      </w:divBdr>
    </w:div>
    <w:div w:id="749154941">
      <w:bodyDiv w:val="1"/>
      <w:marLeft w:val="0"/>
      <w:marRight w:val="0"/>
      <w:marTop w:val="0"/>
      <w:marBottom w:val="0"/>
      <w:divBdr>
        <w:top w:val="none" w:sz="0" w:space="0" w:color="auto"/>
        <w:left w:val="none" w:sz="0" w:space="0" w:color="auto"/>
        <w:bottom w:val="none" w:sz="0" w:space="0" w:color="auto"/>
        <w:right w:val="none" w:sz="0" w:space="0" w:color="auto"/>
      </w:divBdr>
    </w:div>
    <w:div w:id="750125799">
      <w:bodyDiv w:val="1"/>
      <w:marLeft w:val="0"/>
      <w:marRight w:val="0"/>
      <w:marTop w:val="0"/>
      <w:marBottom w:val="0"/>
      <w:divBdr>
        <w:top w:val="none" w:sz="0" w:space="0" w:color="auto"/>
        <w:left w:val="none" w:sz="0" w:space="0" w:color="auto"/>
        <w:bottom w:val="none" w:sz="0" w:space="0" w:color="auto"/>
        <w:right w:val="none" w:sz="0" w:space="0" w:color="auto"/>
      </w:divBdr>
      <w:divsChild>
        <w:div w:id="8720756">
          <w:blockQuote w:val="1"/>
          <w:marLeft w:val="720"/>
          <w:marRight w:val="720"/>
          <w:marTop w:val="100"/>
          <w:marBottom w:val="100"/>
          <w:divBdr>
            <w:top w:val="none" w:sz="0" w:space="0" w:color="auto"/>
            <w:left w:val="none" w:sz="0" w:space="0" w:color="auto"/>
            <w:bottom w:val="none" w:sz="0" w:space="0" w:color="auto"/>
            <w:right w:val="none" w:sz="0" w:space="0" w:color="auto"/>
          </w:divBdr>
        </w:div>
        <w:div w:id="288319482">
          <w:blockQuote w:val="1"/>
          <w:marLeft w:val="720"/>
          <w:marRight w:val="720"/>
          <w:marTop w:val="100"/>
          <w:marBottom w:val="100"/>
          <w:divBdr>
            <w:top w:val="none" w:sz="0" w:space="0" w:color="auto"/>
            <w:left w:val="none" w:sz="0" w:space="0" w:color="auto"/>
            <w:bottom w:val="none" w:sz="0" w:space="0" w:color="auto"/>
            <w:right w:val="none" w:sz="0" w:space="0" w:color="auto"/>
          </w:divBdr>
        </w:div>
        <w:div w:id="334264793">
          <w:blockQuote w:val="1"/>
          <w:marLeft w:val="720"/>
          <w:marRight w:val="720"/>
          <w:marTop w:val="100"/>
          <w:marBottom w:val="100"/>
          <w:divBdr>
            <w:top w:val="none" w:sz="0" w:space="0" w:color="auto"/>
            <w:left w:val="none" w:sz="0" w:space="0" w:color="auto"/>
            <w:bottom w:val="none" w:sz="0" w:space="0" w:color="auto"/>
            <w:right w:val="none" w:sz="0" w:space="0" w:color="auto"/>
          </w:divBdr>
        </w:div>
        <w:div w:id="597760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293246304">
          <w:blockQuote w:val="1"/>
          <w:marLeft w:val="720"/>
          <w:marRight w:val="720"/>
          <w:marTop w:val="100"/>
          <w:marBottom w:val="100"/>
          <w:divBdr>
            <w:top w:val="none" w:sz="0" w:space="0" w:color="auto"/>
            <w:left w:val="none" w:sz="0" w:space="0" w:color="auto"/>
            <w:bottom w:val="none" w:sz="0" w:space="0" w:color="auto"/>
            <w:right w:val="none" w:sz="0" w:space="0" w:color="auto"/>
          </w:divBdr>
        </w:div>
        <w:div w:id="15207760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8601270">
      <w:bodyDiv w:val="1"/>
      <w:marLeft w:val="0"/>
      <w:marRight w:val="0"/>
      <w:marTop w:val="0"/>
      <w:marBottom w:val="0"/>
      <w:divBdr>
        <w:top w:val="none" w:sz="0" w:space="0" w:color="auto"/>
        <w:left w:val="none" w:sz="0" w:space="0" w:color="auto"/>
        <w:bottom w:val="none" w:sz="0" w:space="0" w:color="auto"/>
        <w:right w:val="none" w:sz="0" w:space="0" w:color="auto"/>
      </w:divBdr>
    </w:div>
    <w:div w:id="761755445">
      <w:bodyDiv w:val="1"/>
      <w:marLeft w:val="0"/>
      <w:marRight w:val="0"/>
      <w:marTop w:val="0"/>
      <w:marBottom w:val="0"/>
      <w:divBdr>
        <w:top w:val="none" w:sz="0" w:space="0" w:color="auto"/>
        <w:left w:val="none" w:sz="0" w:space="0" w:color="auto"/>
        <w:bottom w:val="none" w:sz="0" w:space="0" w:color="auto"/>
        <w:right w:val="none" w:sz="0" w:space="0" w:color="auto"/>
      </w:divBdr>
    </w:div>
    <w:div w:id="762146950">
      <w:bodyDiv w:val="1"/>
      <w:marLeft w:val="0"/>
      <w:marRight w:val="0"/>
      <w:marTop w:val="0"/>
      <w:marBottom w:val="0"/>
      <w:divBdr>
        <w:top w:val="none" w:sz="0" w:space="0" w:color="auto"/>
        <w:left w:val="none" w:sz="0" w:space="0" w:color="auto"/>
        <w:bottom w:val="none" w:sz="0" w:space="0" w:color="auto"/>
        <w:right w:val="none" w:sz="0" w:space="0" w:color="auto"/>
      </w:divBdr>
    </w:div>
    <w:div w:id="764036166">
      <w:bodyDiv w:val="1"/>
      <w:marLeft w:val="0"/>
      <w:marRight w:val="0"/>
      <w:marTop w:val="0"/>
      <w:marBottom w:val="0"/>
      <w:divBdr>
        <w:top w:val="none" w:sz="0" w:space="0" w:color="auto"/>
        <w:left w:val="none" w:sz="0" w:space="0" w:color="auto"/>
        <w:bottom w:val="none" w:sz="0" w:space="0" w:color="auto"/>
        <w:right w:val="none" w:sz="0" w:space="0" w:color="auto"/>
      </w:divBdr>
    </w:div>
    <w:div w:id="765926184">
      <w:bodyDiv w:val="1"/>
      <w:marLeft w:val="0"/>
      <w:marRight w:val="0"/>
      <w:marTop w:val="0"/>
      <w:marBottom w:val="0"/>
      <w:divBdr>
        <w:top w:val="none" w:sz="0" w:space="0" w:color="auto"/>
        <w:left w:val="none" w:sz="0" w:space="0" w:color="auto"/>
        <w:bottom w:val="none" w:sz="0" w:space="0" w:color="auto"/>
        <w:right w:val="none" w:sz="0" w:space="0" w:color="auto"/>
      </w:divBdr>
    </w:div>
    <w:div w:id="768476515">
      <w:bodyDiv w:val="1"/>
      <w:marLeft w:val="0"/>
      <w:marRight w:val="0"/>
      <w:marTop w:val="0"/>
      <w:marBottom w:val="0"/>
      <w:divBdr>
        <w:top w:val="none" w:sz="0" w:space="0" w:color="auto"/>
        <w:left w:val="none" w:sz="0" w:space="0" w:color="auto"/>
        <w:bottom w:val="none" w:sz="0" w:space="0" w:color="auto"/>
        <w:right w:val="none" w:sz="0" w:space="0" w:color="auto"/>
      </w:divBdr>
    </w:div>
    <w:div w:id="768500522">
      <w:bodyDiv w:val="1"/>
      <w:marLeft w:val="0"/>
      <w:marRight w:val="0"/>
      <w:marTop w:val="0"/>
      <w:marBottom w:val="0"/>
      <w:divBdr>
        <w:top w:val="none" w:sz="0" w:space="0" w:color="auto"/>
        <w:left w:val="none" w:sz="0" w:space="0" w:color="auto"/>
        <w:bottom w:val="none" w:sz="0" w:space="0" w:color="auto"/>
        <w:right w:val="none" w:sz="0" w:space="0" w:color="auto"/>
      </w:divBdr>
    </w:div>
    <w:div w:id="773861087">
      <w:bodyDiv w:val="1"/>
      <w:marLeft w:val="0"/>
      <w:marRight w:val="0"/>
      <w:marTop w:val="0"/>
      <w:marBottom w:val="0"/>
      <w:divBdr>
        <w:top w:val="none" w:sz="0" w:space="0" w:color="auto"/>
        <w:left w:val="none" w:sz="0" w:space="0" w:color="auto"/>
        <w:bottom w:val="none" w:sz="0" w:space="0" w:color="auto"/>
        <w:right w:val="none" w:sz="0" w:space="0" w:color="auto"/>
      </w:divBdr>
    </w:div>
    <w:div w:id="780337651">
      <w:bodyDiv w:val="1"/>
      <w:marLeft w:val="0"/>
      <w:marRight w:val="0"/>
      <w:marTop w:val="0"/>
      <w:marBottom w:val="0"/>
      <w:divBdr>
        <w:top w:val="none" w:sz="0" w:space="0" w:color="auto"/>
        <w:left w:val="none" w:sz="0" w:space="0" w:color="auto"/>
        <w:bottom w:val="none" w:sz="0" w:space="0" w:color="auto"/>
        <w:right w:val="none" w:sz="0" w:space="0" w:color="auto"/>
      </w:divBdr>
      <w:divsChild>
        <w:div w:id="131098159">
          <w:marLeft w:val="0"/>
          <w:marRight w:val="0"/>
          <w:marTop w:val="0"/>
          <w:marBottom w:val="0"/>
          <w:divBdr>
            <w:top w:val="none" w:sz="0" w:space="0" w:color="auto"/>
            <w:left w:val="none" w:sz="0" w:space="0" w:color="auto"/>
            <w:bottom w:val="none" w:sz="0" w:space="0" w:color="auto"/>
            <w:right w:val="none" w:sz="0" w:space="0" w:color="auto"/>
          </w:divBdr>
          <w:divsChild>
            <w:div w:id="18321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2019">
      <w:bodyDiv w:val="1"/>
      <w:marLeft w:val="0"/>
      <w:marRight w:val="0"/>
      <w:marTop w:val="0"/>
      <w:marBottom w:val="0"/>
      <w:divBdr>
        <w:top w:val="none" w:sz="0" w:space="0" w:color="auto"/>
        <w:left w:val="none" w:sz="0" w:space="0" w:color="auto"/>
        <w:bottom w:val="none" w:sz="0" w:space="0" w:color="auto"/>
        <w:right w:val="none" w:sz="0" w:space="0" w:color="auto"/>
      </w:divBdr>
    </w:div>
    <w:div w:id="783882433">
      <w:bodyDiv w:val="1"/>
      <w:marLeft w:val="0"/>
      <w:marRight w:val="0"/>
      <w:marTop w:val="0"/>
      <w:marBottom w:val="0"/>
      <w:divBdr>
        <w:top w:val="none" w:sz="0" w:space="0" w:color="auto"/>
        <w:left w:val="none" w:sz="0" w:space="0" w:color="auto"/>
        <w:bottom w:val="none" w:sz="0" w:space="0" w:color="auto"/>
        <w:right w:val="none" w:sz="0" w:space="0" w:color="auto"/>
      </w:divBdr>
    </w:div>
    <w:div w:id="784816013">
      <w:bodyDiv w:val="1"/>
      <w:marLeft w:val="0"/>
      <w:marRight w:val="0"/>
      <w:marTop w:val="0"/>
      <w:marBottom w:val="0"/>
      <w:divBdr>
        <w:top w:val="none" w:sz="0" w:space="0" w:color="auto"/>
        <w:left w:val="none" w:sz="0" w:space="0" w:color="auto"/>
        <w:bottom w:val="none" w:sz="0" w:space="0" w:color="auto"/>
        <w:right w:val="none" w:sz="0" w:space="0" w:color="auto"/>
      </w:divBdr>
    </w:div>
    <w:div w:id="794911346">
      <w:bodyDiv w:val="1"/>
      <w:marLeft w:val="0"/>
      <w:marRight w:val="0"/>
      <w:marTop w:val="0"/>
      <w:marBottom w:val="0"/>
      <w:divBdr>
        <w:top w:val="none" w:sz="0" w:space="0" w:color="auto"/>
        <w:left w:val="none" w:sz="0" w:space="0" w:color="auto"/>
        <w:bottom w:val="none" w:sz="0" w:space="0" w:color="auto"/>
        <w:right w:val="none" w:sz="0" w:space="0" w:color="auto"/>
      </w:divBdr>
    </w:div>
    <w:div w:id="808547175">
      <w:bodyDiv w:val="1"/>
      <w:marLeft w:val="0"/>
      <w:marRight w:val="0"/>
      <w:marTop w:val="0"/>
      <w:marBottom w:val="0"/>
      <w:divBdr>
        <w:top w:val="none" w:sz="0" w:space="0" w:color="auto"/>
        <w:left w:val="none" w:sz="0" w:space="0" w:color="auto"/>
        <w:bottom w:val="none" w:sz="0" w:space="0" w:color="auto"/>
        <w:right w:val="none" w:sz="0" w:space="0" w:color="auto"/>
      </w:divBdr>
    </w:div>
    <w:div w:id="811560641">
      <w:bodyDiv w:val="1"/>
      <w:marLeft w:val="0"/>
      <w:marRight w:val="0"/>
      <w:marTop w:val="0"/>
      <w:marBottom w:val="0"/>
      <w:divBdr>
        <w:top w:val="none" w:sz="0" w:space="0" w:color="auto"/>
        <w:left w:val="none" w:sz="0" w:space="0" w:color="auto"/>
        <w:bottom w:val="none" w:sz="0" w:space="0" w:color="auto"/>
        <w:right w:val="none" w:sz="0" w:space="0" w:color="auto"/>
      </w:divBdr>
    </w:div>
    <w:div w:id="816410444">
      <w:bodyDiv w:val="1"/>
      <w:marLeft w:val="0"/>
      <w:marRight w:val="0"/>
      <w:marTop w:val="0"/>
      <w:marBottom w:val="0"/>
      <w:divBdr>
        <w:top w:val="none" w:sz="0" w:space="0" w:color="auto"/>
        <w:left w:val="none" w:sz="0" w:space="0" w:color="auto"/>
        <w:bottom w:val="none" w:sz="0" w:space="0" w:color="auto"/>
        <w:right w:val="none" w:sz="0" w:space="0" w:color="auto"/>
      </w:divBdr>
    </w:div>
    <w:div w:id="820579035">
      <w:bodyDiv w:val="1"/>
      <w:marLeft w:val="0"/>
      <w:marRight w:val="0"/>
      <w:marTop w:val="0"/>
      <w:marBottom w:val="0"/>
      <w:divBdr>
        <w:top w:val="none" w:sz="0" w:space="0" w:color="auto"/>
        <w:left w:val="none" w:sz="0" w:space="0" w:color="auto"/>
        <w:bottom w:val="none" w:sz="0" w:space="0" w:color="auto"/>
        <w:right w:val="none" w:sz="0" w:space="0" w:color="auto"/>
      </w:divBdr>
    </w:div>
    <w:div w:id="822115418">
      <w:bodyDiv w:val="1"/>
      <w:marLeft w:val="0"/>
      <w:marRight w:val="0"/>
      <w:marTop w:val="0"/>
      <w:marBottom w:val="0"/>
      <w:divBdr>
        <w:top w:val="none" w:sz="0" w:space="0" w:color="auto"/>
        <w:left w:val="none" w:sz="0" w:space="0" w:color="auto"/>
        <w:bottom w:val="none" w:sz="0" w:space="0" w:color="auto"/>
        <w:right w:val="none" w:sz="0" w:space="0" w:color="auto"/>
      </w:divBdr>
    </w:div>
    <w:div w:id="829980491">
      <w:bodyDiv w:val="1"/>
      <w:marLeft w:val="0"/>
      <w:marRight w:val="0"/>
      <w:marTop w:val="0"/>
      <w:marBottom w:val="0"/>
      <w:divBdr>
        <w:top w:val="none" w:sz="0" w:space="0" w:color="auto"/>
        <w:left w:val="none" w:sz="0" w:space="0" w:color="auto"/>
        <w:bottom w:val="none" w:sz="0" w:space="0" w:color="auto"/>
        <w:right w:val="none" w:sz="0" w:space="0" w:color="auto"/>
      </w:divBdr>
    </w:div>
    <w:div w:id="830146122">
      <w:bodyDiv w:val="1"/>
      <w:marLeft w:val="0"/>
      <w:marRight w:val="0"/>
      <w:marTop w:val="0"/>
      <w:marBottom w:val="0"/>
      <w:divBdr>
        <w:top w:val="none" w:sz="0" w:space="0" w:color="auto"/>
        <w:left w:val="none" w:sz="0" w:space="0" w:color="auto"/>
        <w:bottom w:val="none" w:sz="0" w:space="0" w:color="auto"/>
        <w:right w:val="none" w:sz="0" w:space="0" w:color="auto"/>
      </w:divBdr>
    </w:div>
    <w:div w:id="832375405">
      <w:bodyDiv w:val="1"/>
      <w:marLeft w:val="0"/>
      <w:marRight w:val="0"/>
      <w:marTop w:val="0"/>
      <w:marBottom w:val="0"/>
      <w:divBdr>
        <w:top w:val="none" w:sz="0" w:space="0" w:color="auto"/>
        <w:left w:val="none" w:sz="0" w:space="0" w:color="auto"/>
        <w:bottom w:val="none" w:sz="0" w:space="0" w:color="auto"/>
        <w:right w:val="none" w:sz="0" w:space="0" w:color="auto"/>
      </w:divBdr>
    </w:div>
    <w:div w:id="834683981">
      <w:bodyDiv w:val="1"/>
      <w:marLeft w:val="0"/>
      <w:marRight w:val="0"/>
      <w:marTop w:val="0"/>
      <w:marBottom w:val="0"/>
      <w:divBdr>
        <w:top w:val="none" w:sz="0" w:space="0" w:color="auto"/>
        <w:left w:val="none" w:sz="0" w:space="0" w:color="auto"/>
        <w:bottom w:val="none" w:sz="0" w:space="0" w:color="auto"/>
        <w:right w:val="none" w:sz="0" w:space="0" w:color="auto"/>
      </w:divBdr>
    </w:div>
    <w:div w:id="850723993">
      <w:bodyDiv w:val="1"/>
      <w:marLeft w:val="0"/>
      <w:marRight w:val="0"/>
      <w:marTop w:val="0"/>
      <w:marBottom w:val="0"/>
      <w:divBdr>
        <w:top w:val="none" w:sz="0" w:space="0" w:color="auto"/>
        <w:left w:val="none" w:sz="0" w:space="0" w:color="auto"/>
        <w:bottom w:val="none" w:sz="0" w:space="0" w:color="auto"/>
        <w:right w:val="none" w:sz="0" w:space="0" w:color="auto"/>
      </w:divBdr>
    </w:div>
    <w:div w:id="862788169">
      <w:bodyDiv w:val="1"/>
      <w:marLeft w:val="0"/>
      <w:marRight w:val="0"/>
      <w:marTop w:val="0"/>
      <w:marBottom w:val="0"/>
      <w:divBdr>
        <w:top w:val="none" w:sz="0" w:space="0" w:color="auto"/>
        <w:left w:val="none" w:sz="0" w:space="0" w:color="auto"/>
        <w:bottom w:val="none" w:sz="0" w:space="0" w:color="auto"/>
        <w:right w:val="none" w:sz="0" w:space="0" w:color="auto"/>
      </w:divBdr>
    </w:div>
    <w:div w:id="863320615">
      <w:bodyDiv w:val="1"/>
      <w:marLeft w:val="0"/>
      <w:marRight w:val="0"/>
      <w:marTop w:val="0"/>
      <w:marBottom w:val="0"/>
      <w:divBdr>
        <w:top w:val="none" w:sz="0" w:space="0" w:color="auto"/>
        <w:left w:val="none" w:sz="0" w:space="0" w:color="auto"/>
        <w:bottom w:val="none" w:sz="0" w:space="0" w:color="auto"/>
        <w:right w:val="none" w:sz="0" w:space="0" w:color="auto"/>
      </w:divBdr>
    </w:div>
    <w:div w:id="863904791">
      <w:bodyDiv w:val="1"/>
      <w:marLeft w:val="0"/>
      <w:marRight w:val="0"/>
      <w:marTop w:val="0"/>
      <w:marBottom w:val="0"/>
      <w:divBdr>
        <w:top w:val="none" w:sz="0" w:space="0" w:color="auto"/>
        <w:left w:val="none" w:sz="0" w:space="0" w:color="auto"/>
        <w:bottom w:val="none" w:sz="0" w:space="0" w:color="auto"/>
        <w:right w:val="none" w:sz="0" w:space="0" w:color="auto"/>
      </w:divBdr>
      <w:divsChild>
        <w:div w:id="1355157850">
          <w:marLeft w:val="0"/>
          <w:marRight w:val="0"/>
          <w:marTop w:val="0"/>
          <w:marBottom w:val="0"/>
          <w:divBdr>
            <w:top w:val="none" w:sz="0" w:space="0" w:color="auto"/>
            <w:left w:val="none" w:sz="0" w:space="0" w:color="auto"/>
            <w:bottom w:val="none" w:sz="0" w:space="0" w:color="auto"/>
            <w:right w:val="none" w:sz="0" w:space="0" w:color="auto"/>
          </w:divBdr>
          <w:divsChild>
            <w:div w:id="149883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18001">
      <w:bodyDiv w:val="1"/>
      <w:marLeft w:val="0"/>
      <w:marRight w:val="0"/>
      <w:marTop w:val="0"/>
      <w:marBottom w:val="0"/>
      <w:divBdr>
        <w:top w:val="none" w:sz="0" w:space="0" w:color="auto"/>
        <w:left w:val="none" w:sz="0" w:space="0" w:color="auto"/>
        <w:bottom w:val="none" w:sz="0" w:space="0" w:color="auto"/>
        <w:right w:val="none" w:sz="0" w:space="0" w:color="auto"/>
      </w:divBdr>
    </w:div>
    <w:div w:id="864710428">
      <w:bodyDiv w:val="1"/>
      <w:marLeft w:val="0"/>
      <w:marRight w:val="0"/>
      <w:marTop w:val="0"/>
      <w:marBottom w:val="0"/>
      <w:divBdr>
        <w:top w:val="none" w:sz="0" w:space="0" w:color="auto"/>
        <w:left w:val="none" w:sz="0" w:space="0" w:color="auto"/>
        <w:bottom w:val="none" w:sz="0" w:space="0" w:color="auto"/>
        <w:right w:val="none" w:sz="0" w:space="0" w:color="auto"/>
      </w:divBdr>
    </w:div>
    <w:div w:id="865868690">
      <w:bodyDiv w:val="1"/>
      <w:marLeft w:val="0"/>
      <w:marRight w:val="0"/>
      <w:marTop w:val="0"/>
      <w:marBottom w:val="0"/>
      <w:divBdr>
        <w:top w:val="none" w:sz="0" w:space="0" w:color="auto"/>
        <w:left w:val="none" w:sz="0" w:space="0" w:color="auto"/>
        <w:bottom w:val="none" w:sz="0" w:space="0" w:color="auto"/>
        <w:right w:val="none" w:sz="0" w:space="0" w:color="auto"/>
      </w:divBdr>
      <w:divsChild>
        <w:div w:id="105582770">
          <w:marLeft w:val="0"/>
          <w:marRight w:val="0"/>
          <w:marTop w:val="0"/>
          <w:marBottom w:val="0"/>
          <w:divBdr>
            <w:top w:val="none" w:sz="0" w:space="0" w:color="auto"/>
            <w:left w:val="none" w:sz="0" w:space="0" w:color="auto"/>
            <w:bottom w:val="none" w:sz="0" w:space="0" w:color="auto"/>
            <w:right w:val="none" w:sz="0" w:space="0" w:color="auto"/>
          </w:divBdr>
          <w:divsChild>
            <w:div w:id="1458180768">
              <w:marLeft w:val="0"/>
              <w:marRight w:val="0"/>
              <w:marTop w:val="0"/>
              <w:marBottom w:val="0"/>
              <w:divBdr>
                <w:top w:val="none" w:sz="0" w:space="0" w:color="auto"/>
                <w:left w:val="none" w:sz="0" w:space="0" w:color="auto"/>
                <w:bottom w:val="none" w:sz="0" w:space="0" w:color="auto"/>
                <w:right w:val="none" w:sz="0" w:space="0" w:color="auto"/>
              </w:divBdr>
              <w:divsChild>
                <w:div w:id="2095083770">
                  <w:marLeft w:val="0"/>
                  <w:marRight w:val="0"/>
                  <w:marTop w:val="0"/>
                  <w:marBottom w:val="0"/>
                  <w:divBdr>
                    <w:top w:val="none" w:sz="0" w:space="0" w:color="auto"/>
                    <w:left w:val="none" w:sz="0" w:space="0" w:color="auto"/>
                    <w:bottom w:val="none" w:sz="0" w:space="0" w:color="auto"/>
                    <w:right w:val="none" w:sz="0" w:space="0" w:color="auto"/>
                  </w:divBdr>
                  <w:divsChild>
                    <w:div w:id="123085026">
                      <w:marLeft w:val="0"/>
                      <w:marRight w:val="0"/>
                      <w:marTop w:val="0"/>
                      <w:marBottom w:val="0"/>
                      <w:divBdr>
                        <w:top w:val="none" w:sz="0" w:space="0" w:color="auto"/>
                        <w:left w:val="none" w:sz="0" w:space="0" w:color="auto"/>
                        <w:bottom w:val="none" w:sz="0" w:space="0" w:color="auto"/>
                        <w:right w:val="none" w:sz="0" w:space="0" w:color="auto"/>
                      </w:divBdr>
                      <w:divsChild>
                        <w:div w:id="995034429">
                          <w:marLeft w:val="0"/>
                          <w:marRight w:val="0"/>
                          <w:marTop w:val="0"/>
                          <w:marBottom w:val="0"/>
                          <w:divBdr>
                            <w:top w:val="none" w:sz="0" w:space="0" w:color="auto"/>
                            <w:left w:val="none" w:sz="0" w:space="0" w:color="auto"/>
                            <w:bottom w:val="none" w:sz="0" w:space="0" w:color="auto"/>
                            <w:right w:val="none" w:sz="0" w:space="0" w:color="auto"/>
                          </w:divBdr>
                          <w:divsChild>
                            <w:div w:id="594289878">
                              <w:marLeft w:val="0"/>
                              <w:marRight w:val="0"/>
                              <w:marTop w:val="0"/>
                              <w:marBottom w:val="0"/>
                              <w:divBdr>
                                <w:top w:val="none" w:sz="0" w:space="0" w:color="auto"/>
                                <w:left w:val="none" w:sz="0" w:space="0" w:color="auto"/>
                                <w:bottom w:val="none" w:sz="0" w:space="0" w:color="auto"/>
                                <w:right w:val="none" w:sz="0" w:space="0" w:color="auto"/>
                              </w:divBdr>
                              <w:divsChild>
                                <w:div w:id="34090408">
                                  <w:marLeft w:val="0"/>
                                  <w:marRight w:val="0"/>
                                  <w:marTop w:val="0"/>
                                  <w:marBottom w:val="0"/>
                                  <w:divBdr>
                                    <w:top w:val="none" w:sz="0" w:space="0" w:color="auto"/>
                                    <w:left w:val="none" w:sz="0" w:space="0" w:color="auto"/>
                                    <w:bottom w:val="none" w:sz="0" w:space="0" w:color="auto"/>
                                    <w:right w:val="none" w:sz="0" w:space="0" w:color="auto"/>
                                  </w:divBdr>
                                  <w:divsChild>
                                    <w:div w:id="523055668">
                                      <w:marLeft w:val="0"/>
                                      <w:marRight w:val="0"/>
                                      <w:marTop w:val="0"/>
                                      <w:marBottom w:val="0"/>
                                      <w:divBdr>
                                        <w:top w:val="none" w:sz="0" w:space="0" w:color="auto"/>
                                        <w:left w:val="none" w:sz="0" w:space="0" w:color="auto"/>
                                        <w:bottom w:val="none" w:sz="0" w:space="0" w:color="auto"/>
                                        <w:right w:val="none" w:sz="0" w:space="0" w:color="auto"/>
                                      </w:divBdr>
                                      <w:divsChild>
                                        <w:div w:id="1237394332">
                                          <w:marLeft w:val="0"/>
                                          <w:marRight w:val="0"/>
                                          <w:marTop w:val="0"/>
                                          <w:marBottom w:val="0"/>
                                          <w:divBdr>
                                            <w:top w:val="none" w:sz="0" w:space="0" w:color="auto"/>
                                            <w:left w:val="none" w:sz="0" w:space="0" w:color="auto"/>
                                            <w:bottom w:val="none" w:sz="0" w:space="0" w:color="auto"/>
                                            <w:right w:val="none" w:sz="0" w:space="0" w:color="auto"/>
                                          </w:divBdr>
                                          <w:divsChild>
                                            <w:div w:id="1511947018">
                                              <w:marLeft w:val="0"/>
                                              <w:marRight w:val="0"/>
                                              <w:marTop w:val="0"/>
                                              <w:marBottom w:val="0"/>
                                              <w:divBdr>
                                                <w:top w:val="none" w:sz="0" w:space="0" w:color="auto"/>
                                                <w:left w:val="none" w:sz="0" w:space="0" w:color="auto"/>
                                                <w:bottom w:val="none" w:sz="0" w:space="0" w:color="auto"/>
                                                <w:right w:val="none" w:sz="0" w:space="0" w:color="auto"/>
                                              </w:divBdr>
                                              <w:divsChild>
                                                <w:div w:id="13645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667892">
                                          <w:marLeft w:val="0"/>
                                          <w:marRight w:val="0"/>
                                          <w:marTop w:val="0"/>
                                          <w:marBottom w:val="0"/>
                                          <w:divBdr>
                                            <w:top w:val="none" w:sz="0" w:space="0" w:color="auto"/>
                                            <w:left w:val="none" w:sz="0" w:space="0" w:color="auto"/>
                                            <w:bottom w:val="none" w:sz="0" w:space="0" w:color="auto"/>
                                            <w:right w:val="none" w:sz="0" w:space="0" w:color="auto"/>
                                          </w:divBdr>
                                          <w:divsChild>
                                            <w:div w:id="1536113758">
                                              <w:marLeft w:val="0"/>
                                              <w:marRight w:val="0"/>
                                              <w:marTop w:val="0"/>
                                              <w:marBottom w:val="0"/>
                                              <w:divBdr>
                                                <w:top w:val="none" w:sz="0" w:space="0" w:color="auto"/>
                                                <w:left w:val="none" w:sz="0" w:space="0" w:color="auto"/>
                                                <w:bottom w:val="none" w:sz="0" w:space="0" w:color="auto"/>
                                                <w:right w:val="none" w:sz="0" w:space="0" w:color="auto"/>
                                              </w:divBdr>
                                              <w:divsChild>
                                                <w:div w:id="1605183426">
                                                  <w:marLeft w:val="0"/>
                                                  <w:marRight w:val="0"/>
                                                  <w:marTop w:val="0"/>
                                                  <w:marBottom w:val="0"/>
                                                  <w:divBdr>
                                                    <w:top w:val="none" w:sz="0" w:space="0" w:color="auto"/>
                                                    <w:left w:val="none" w:sz="0" w:space="0" w:color="auto"/>
                                                    <w:bottom w:val="none" w:sz="0" w:space="0" w:color="auto"/>
                                                    <w:right w:val="none" w:sz="0" w:space="0" w:color="auto"/>
                                                  </w:divBdr>
                                                  <w:divsChild>
                                                    <w:div w:id="123647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8283222">
          <w:marLeft w:val="0"/>
          <w:marRight w:val="0"/>
          <w:marTop w:val="0"/>
          <w:marBottom w:val="0"/>
          <w:divBdr>
            <w:top w:val="none" w:sz="0" w:space="0" w:color="auto"/>
            <w:left w:val="none" w:sz="0" w:space="0" w:color="auto"/>
            <w:bottom w:val="none" w:sz="0" w:space="0" w:color="auto"/>
            <w:right w:val="none" w:sz="0" w:space="0" w:color="auto"/>
          </w:divBdr>
          <w:divsChild>
            <w:div w:id="96827947">
              <w:marLeft w:val="0"/>
              <w:marRight w:val="0"/>
              <w:marTop w:val="0"/>
              <w:marBottom w:val="0"/>
              <w:divBdr>
                <w:top w:val="none" w:sz="0" w:space="0" w:color="auto"/>
                <w:left w:val="none" w:sz="0" w:space="0" w:color="auto"/>
                <w:bottom w:val="none" w:sz="0" w:space="0" w:color="auto"/>
                <w:right w:val="none" w:sz="0" w:space="0" w:color="auto"/>
              </w:divBdr>
              <w:divsChild>
                <w:div w:id="465389480">
                  <w:marLeft w:val="0"/>
                  <w:marRight w:val="0"/>
                  <w:marTop w:val="0"/>
                  <w:marBottom w:val="0"/>
                  <w:divBdr>
                    <w:top w:val="none" w:sz="0" w:space="0" w:color="auto"/>
                    <w:left w:val="none" w:sz="0" w:space="0" w:color="auto"/>
                    <w:bottom w:val="none" w:sz="0" w:space="0" w:color="auto"/>
                    <w:right w:val="none" w:sz="0" w:space="0" w:color="auto"/>
                  </w:divBdr>
                  <w:divsChild>
                    <w:div w:id="1342396319">
                      <w:marLeft w:val="0"/>
                      <w:marRight w:val="0"/>
                      <w:marTop w:val="0"/>
                      <w:marBottom w:val="0"/>
                      <w:divBdr>
                        <w:top w:val="none" w:sz="0" w:space="0" w:color="auto"/>
                        <w:left w:val="none" w:sz="0" w:space="0" w:color="auto"/>
                        <w:bottom w:val="none" w:sz="0" w:space="0" w:color="auto"/>
                        <w:right w:val="none" w:sz="0" w:space="0" w:color="auto"/>
                      </w:divBdr>
                      <w:divsChild>
                        <w:div w:id="213355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294235">
      <w:bodyDiv w:val="1"/>
      <w:marLeft w:val="0"/>
      <w:marRight w:val="0"/>
      <w:marTop w:val="0"/>
      <w:marBottom w:val="0"/>
      <w:divBdr>
        <w:top w:val="none" w:sz="0" w:space="0" w:color="auto"/>
        <w:left w:val="none" w:sz="0" w:space="0" w:color="auto"/>
        <w:bottom w:val="none" w:sz="0" w:space="0" w:color="auto"/>
        <w:right w:val="none" w:sz="0" w:space="0" w:color="auto"/>
      </w:divBdr>
    </w:div>
    <w:div w:id="882180428">
      <w:bodyDiv w:val="1"/>
      <w:marLeft w:val="0"/>
      <w:marRight w:val="0"/>
      <w:marTop w:val="0"/>
      <w:marBottom w:val="0"/>
      <w:divBdr>
        <w:top w:val="none" w:sz="0" w:space="0" w:color="auto"/>
        <w:left w:val="none" w:sz="0" w:space="0" w:color="auto"/>
        <w:bottom w:val="none" w:sz="0" w:space="0" w:color="auto"/>
        <w:right w:val="none" w:sz="0" w:space="0" w:color="auto"/>
      </w:divBdr>
    </w:div>
    <w:div w:id="883368965">
      <w:bodyDiv w:val="1"/>
      <w:marLeft w:val="0"/>
      <w:marRight w:val="0"/>
      <w:marTop w:val="0"/>
      <w:marBottom w:val="0"/>
      <w:divBdr>
        <w:top w:val="none" w:sz="0" w:space="0" w:color="auto"/>
        <w:left w:val="none" w:sz="0" w:space="0" w:color="auto"/>
        <w:bottom w:val="none" w:sz="0" w:space="0" w:color="auto"/>
        <w:right w:val="none" w:sz="0" w:space="0" w:color="auto"/>
      </w:divBdr>
    </w:div>
    <w:div w:id="886602841">
      <w:bodyDiv w:val="1"/>
      <w:marLeft w:val="0"/>
      <w:marRight w:val="0"/>
      <w:marTop w:val="0"/>
      <w:marBottom w:val="0"/>
      <w:divBdr>
        <w:top w:val="none" w:sz="0" w:space="0" w:color="auto"/>
        <w:left w:val="none" w:sz="0" w:space="0" w:color="auto"/>
        <w:bottom w:val="none" w:sz="0" w:space="0" w:color="auto"/>
        <w:right w:val="none" w:sz="0" w:space="0" w:color="auto"/>
      </w:divBdr>
    </w:div>
    <w:div w:id="888034814">
      <w:bodyDiv w:val="1"/>
      <w:marLeft w:val="0"/>
      <w:marRight w:val="0"/>
      <w:marTop w:val="0"/>
      <w:marBottom w:val="0"/>
      <w:divBdr>
        <w:top w:val="none" w:sz="0" w:space="0" w:color="auto"/>
        <w:left w:val="none" w:sz="0" w:space="0" w:color="auto"/>
        <w:bottom w:val="none" w:sz="0" w:space="0" w:color="auto"/>
        <w:right w:val="none" w:sz="0" w:space="0" w:color="auto"/>
      </w:divBdr>
    </w:div>
    <w:div w:id="896741090">
      <w:bodyDiv w:val="1"/>
      <w:marLeft w:val="0"/>
      <w:marRight w:val="0"/>
      <w:marTop w:val="0"/>
      <w:marBottom w:val="0"/>
      <w:divBdr>
        <w:top w:val="none" w:sz="0" w:space="0" w:color="auto"/>
        <w:left w:val="none" w:sz="0" w:space="0" w:color="auto"/>
        <w:bottom w:val="none" w:sz="0" w:space="0" w:color="auto"/>
        <w:right w:val="none" w:sz="0" w:space="0" w:color="auto"/>
      </w:divBdr>
    </w:div>
    <w:div w:id="900140638">
      <w:bodyDiv w:val="1"/>
      <w:marLeft w:val="0"/>
      <w:marRight w:val="0"/>
      <w:marTop w:val="0"/>
      <w:marBottom w:val="0"/>
      <w:divBdr>
        <w:top w:val="none" w:sz="0" w:space="0" w:color="auto"/>
        <w:left w:val="none" w:sz="0" w:space="0" w:color="auto"/>
        <w:bottom w:val="none" w:sz="0" w:space="0" w:color="auto"/>
        <w:right w:val="none" w:sz="0" w:space="0" w:color="auto"/>
      </w:divBdr>
    </w:div>
    <w:div w:id="901597130">
      <w:bodyDiv w:val="1"/>
      <w:marLeft w:val="0"/>
      <w:marRight w:val="0"/>
      <w:marTop w:val="0"/>
      <w:marBottom w:val="0"/>
      <w:divBdr>
        <w:top w:val="none" w:sz="0" w:space="0" w:color="auto"/>
        <w:left w:val="none" w:sz="0" w:space="0" w:color="auto"/>
        <w:bottom w:val="none" w:sz="0" w:space="0" w:color="auto"/>
        <w:right w:val="none" w:sz="0" w:space="0" w:color="auto"/>
      </w:divBdr>
    </w:div>
    <w:div w:id="911156408">
      <w:bodyDiv w:val="1"/>
      <w:marLeft w:val="0"/>
      <w:marRight w:val="0"/>
      <w:marTop w:val="0"/>
      <w:marBottom w:val="0"/>
      <w:divBdr>
        <w:top w:val="none" w:sz="0" w:space="0" w:color="auto"/>
        <w:left w:val="none" w:sz="0" w:space="0" w:color="auto"/>
        <w:bottom w:val="none" w:sz="0" w:space="0" w:color="auto"/>
        <w:right w:val="none" w:sz="0" w:space="0" w:color="auto"/>
      </w:divBdr>
    </w:div>
    <w:div w:id="926305186">
      <w:bodyDiv w:val="1"/>
      <w:marLeft w:val="0"/>
      <w:marRight w:val="0"/>
      <w:marTop w:val="0"/>
      <w:marBottom w:val="0"/>
      <w:divBdr>
        <w:top w:val="none" w:sz="0" w:space="0" w:color="auto"/>
        <w:left w:val="none" w:sz="0" w:space="0" w:color="auto"/>
        <w:bottom w:val="none" w:sz="0" w:space="0" w:color="auto"/>
        <w:right w:val="none" w:sz="0" w:space="0" w:color="auto"/>
      </w:divBdr>
    </w:div>
    <w:div w:id="928150558">
      <w:bodyDiv w:val="1"/>
      <w:marLeft w:val="0"/>
      <w:marRight w:val="0"/>
      <w:marTop w:val="0"/>
      <w:marBottom w:val="0"/>
      <w:divBdr>
        <w:top w:val="none" w:sz="0" w:space="0" w:color="auto"/>
        <w:left w:val="none" w:sz="0" w:space="0" w:color="auto"/>
        <w:bottom w:val="none" w:sz="0" w:space="0" w:color="auto"/>
        <w:right w:val="none" w:sz="0" w:space="0" w:color="auto"/>
      </w:divBdr>
    </w:div>
    <w:div w:id="928343831">
      <w:bodyDiv w:val="1"/>
      <w:marLeft w:val="0"/>
      <w:marRight w:val="0"/>
      <w:marTop w:val="0"/>
      <w:marBottom w:val="0"/>
      <w:divBdr>
        <w:top w:val="none" w:sz="0" w:space="0" w:color="auto"/>
        <w:left w:val="none" w:sz="0" w:space="0" w:color="auto"/>
        <w:bottom w:val="none" w:sz="0" w:space="0" w:color="auto"/>
        <w:right w:val="none" w:sz="0" w:space="0" w:color="auto"/>
      </w:divBdr>
    </w:div>
    <w:div w:id="930967341">
      <w:bodyDiv w:val="1"/>
      <w:marLeft w:val="0"/>
      <w:marRight w:val="0"/>
      <w:marTop w:val="0"/>
      <w:marBottom w:val="0"/>
      <w:divBdr>
        <w:top w:val="none" w:sz="0" w:space="0" w:color="auto"/>
        <w:left w:val="none" w:sz="0" w:space="0" w:color="auto"/>
        <w:bottom w:val="none" w:sz="0" w:space="0" w:color="auto"/>
        <w:right w:val="none" w:sz="0" w:space="0" w:color="auto"/>
      </w:divBdr>
    </w:div>
    <w:div w:id="932326903">
      <w:bodyDiv w:val="1"/>
      <w:marLeft w:val="0"/>
      <w:marRight w:val="0"/>
      <w:marTop w:val="0"/>
      <w:marBottom w:val="0"/>
      <w:divBdr>
        <w:top w:val="none" w:sz="0" w:space="0" w:color="auto"/>
        <w:left w:val="none" w:sz="0" w:space="0" w:color="auto"/>
        <w:bottom w:val="none" w:sz="0" w:space="0" w:color="auto"/>
        <w:right w:val="none" w:sz="0" w:space="0" w:color="auto"/>
      </w:divBdr>
    </w:div>
    <w:div w:id="939876232">
      <w:bodyDiv w:val="1"/>
      <w:marLeft w:val="0"/>
      <w:marRight w:val="0"/>
      <w:marTop w:val="0"/>
      <w:marBottom w:val="0"/>
      <w:divBdr>
        <w:top w:val="none" w:sz="0" w:space="0" w:color="auto"/>
        <w:left w:val="none" w:sz="0" w:space="0" w:color="auto"/>
        <w:bottom w:val="none" w:sz="0" w:space="0" w:color="auto"/>
        <w:right w:val="none" w:sz="0" w:space="0" w:color="auto"/>
      </w:divBdr>
    </w:div>
    <w:div w:id="943655477">
      <w:bodyDiv w:val="1"/>
      <w:marLeft w:val="0"/>
      <w:marRight w:val="0"/>
      <w:marTop w:val="0"/>
      <w:marBottom w:val="0"/>
      <w:divBdr>
        <w:top w:val="none" w:sz="0" w:space="0" w:color="auto"/>
        <w:left w:val="none" w:sz="0" w:space="0" w:color="auto"/>
        <w:bottom w:val="none" w:sz="0" w:space="0" w:color="auto"/>
        <w:right w:val="none" w:sz="0" w:space="0" w:color="auto"/>
      </w:divBdr>
    </w:div>
    <w:div w:id="952634182">
      <w:bodyDiv w:val="1"/>
      <w:marLeft w:val="0"/>
      <w:marRight w:val="0"/>
      <w:marTop w:val="0"/>
      <w:marBottom w:val="0"/>
      <w:divBdr>
        <w:top w:val="none" w:sz="0" w:space="0" w:color="auto"/>
        <w:left w:val="none" w:sz="0" w:space="0" w:color="auto"/>
        <w:bottom w:val="none" w:sz="0" w:space="0" w:color="auto"/>
        <w:right w:val="none" w:sz="0" w:space="0" w:color="auto"/>
      </w:divBdr>
    </w:div>
    <w:div w:id="963581178">
      <w:bodyDiv w:val="1"/>
      <w:marLeft w:val="0"/>
      <w:marRight w:val="0"/>
      <w:marTop w:val="0"/>
      <w:marBottom w:val="0"/>
      <w:divBdr>
        <w:top w:val="none" w:sz="0" w:space="0" w:color="auto"/>
        <w:left w:val="none" w:sz="0" w:space="0" w:color="auto"/>
        <w:bottom w:val="none" w:sz="0" w:space="0" w:color="auto"/>
        <w:right w:val="none" w:sz="0" w:space="0" w:color="auto"/>
      </w:divBdr>
    </w:div>
    <w:div w:id="965697548">
      <w:bodyDiv w:val="1"/>
      <w:marLeft w:val="0"/>
      <w:marRight w:val="0"/>
      <w:marTop w:val="0"/>
      <w:marBottom w:val="0"/>
      <w:divBdr>
        <w:top w:val="none" w:sz="0" w:space="0" w:color="auto"/>
        <w:left w:val="none" w:sz="0" w:space="0" w:color="auto"/>
        <w:bottom w:val="none" w:sz="0" w:space="0" w:color="auto"/>
        <w:right w:val="none" w:sz="0" w:space="0" w:color="auto"/>
      </w:divBdr>
    </w:div>
    <w:div w:id="968360288">
      <w:bodyDiv w:val="1"/>
      <w:marLeft w:val="0"/>
      <w:marRight w:val="0"/>
      <w:marTop w:val="0"/>
      <w:marBottom w:val="0"/>
      <w:divBdr>
        <w:top w:val="none" w:sz="0" w:space="0" w:color="auto"/>
        <w:left w:val="none" w:sz="0" w:space="0" w:color="auto"/>
        <w:bottom w:val="none" w:sz="0" w:space="0" w:color="auto"/>
        <w:right w:val="none" w:sz="0" w:space="0" w:color="auto"/>
      </w:divBdr>
    </w:div>
    <w:div w:id="970207397">
      <w:bodyDiv w:val="1"/>
      <w:marLeft w:val="0"/>
      <w:marRight w:val="0"/>
      <w:marTop w:val="0"/>
      <w:marBottom w:val="0"/>
      <w:divBdr>
        <w:top w:val="none" w:sz="0" w:space="0" w:color="auto"/>
        <w:left w:val="none" w:sz="0" w:space="0" w:color="auto"/>
        <w:bottom w:val="none" w:sz="0" w:space="0" w:color="auto"/>
        <w:right w:val="none" w:sz="0" w:space="0" w:color="auto"/>
      </w:divBdr>
    </w:div>
    <w:div w:id="977077589">
      <w:bodyDiv w:val="1"/>
      <w:marLeft w:val="0"/>
      <w:marRight w:val="0"/>
      <w:marTop w:val="0"/>
      <w:marBottom w:val="0"/>
      <w:divBdr>
        <w:top w:val="none" w:sz="0" w:space="0" w:color="auto"/>
        <w:left w:val="none" w:sz="0" w:space="0" w:color="auto"/>
        <w:bottom w:val="none" w:sz="0" w:space="0" w:color="auto"/>
        <w:right w:val="none" w:sz="0" w:space="0" w:color="auto"/>
      </w:divBdr>
    </w:div>
    <w:div w:id="986323920">
      <w:bodyDiv w:val="1"/>
      <w:marLeft w:val="0"/>
      <w:marRight w:val="0"/>
      <w:marTop w:val="0"/>
      <w:marBottom w:val="0"/>
      <w:divBdr>
        <w:top w:val="none" w:sz="0" w:space="0" w:color="auto"/>
        <w:left w:val="none" w:sz="0" w:space="0" w:color="auto"/>
        <w:bottom w:val="none" w:sz="0" w:space="0" w:color="auto"/>
        <w:right w:val="none" w:sz="0" w:space="0" w:color="auto"/>
      </w:divBdr>
      <w:divsChild>
        <w:div w:id="1968268600">
          <w:marLeft w:val="0"/>
          <w:marRight w:val="0"/>
          <w:marTop w:val="0"/>
          <w:marBottom w:val="0"/>
          <w:divBdr>
            <w:top w:val="none" w:sz="0" w:space="0" w:color="auto"/>
            <w:left w:val="none" w:sz="0" w:space="0" w:color="auto"/>
            <w:bottom w:val="none" w:sz="0" w:space="0" w:color="auto"/>
            <w:right w:val="none" w:sz="0" w:space="0" w:color="auto"/>
          </w:divBdr>
          <w:divsChild>
            <w:div w:id="9173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79398">
      <w:bodyDiv w:val="1"/>
      <w:marLeft w:val="0"/>
      <w:marRight w:val="0"/>
      <w:marTop w:val="0"/>
      <w:marBottom w:val="0"/>
      <w:divBdr>
        <w:top w:val="none" w:sz="0" w:space="0" w:color="auto"/>
        <w:left w:val="none" w:sz="0" w:space="0" w:color="auto"/>
        <w:bottom w:val="none" w:sz="0" w:space="0" w:color="auto"/>
        <w:right w:val="none" w:sz="0" w:space="0" w:color="auto"/>
      </w:divBdr>
    </w:div>
    <w:div w:id="995306917">
      <w:bodyDiv w:val="1"/>
      <w:marLeft w:val="0"/>
      <w:marRight w:val="0"/>
      <w:marTop w:val="0"/>
      <w:marBottom w:val="0"/>
      <w:divBdr>
        <w:top w:val="none" w:sz="0" w:space="0" w:color="auto"/>
        <w:left w:val="none" w:sz="0" w:space="0" w:color="auto"/>
        <w:bottom w:val="none" w:sz="0" w:space="0" w:color="auto"/>
        <w:right w:val="none" w:sz="0" w:space="0" w:color="auto"/>
      </w:divBdr>
    </w:div>
    <w:div w:id="1005013025">
      <w:bodyDiv w:val="1"/>
      <w:marLeft w:val="0"/>
      <w:marRight w:val="0"/>
      <w:marTop w:val="0"/>
      <w:marBottom w:val="0"/>
      <w:divBdr>
        <w:top w:val="none" w:sz="0" w:space="0" w:color="auto"/>
        <w:left w:val="none" w:sz="0" w:space="0" w:color="auto"/>
        <w:bottom w:val="none" w:sz="0" w:space="0" w:color="auto"/>
        <w:right w:val="none" w:sz="0" w:space="0" w:color="auto"/>
      </w:divBdr>
    </w:div>
    <w:div w:id="1005480931">
      <w:bodyDiv w:val="1"/>
      <w:marLeft w:val="0"/>
      <w:marRight w:val="0"/>
      <w:marTop w:val="0"/>
      <w:marBottom w:val="0"/>
      <w:divBdr>
        <w:top w:val="none" w:sz="0" w:space="0" w:color="auto"/>
        <w:left w:val="none" w:sz="0" w:space="0" w:color="auto"/>
        <w:bottom w:val="none" w:sz="0" w:space="0" w:color="auto"/>
        <w:right w:val="none" w:sz="0" w:space="0" w:color="auto"/>
      </w:divBdr>
    </w:div>
    <w:div w:id="1011832563">
      <w:bodyDiv w:val="1"/>
      <w:marLeft w:val="0"/>
      <w:marRight w:val="0"/>
      <w:marTop w:val="0"/>
      <w:marBottom w:val="0"/>
      <w:divBdr>
        <w:top w:val="none" w:sz="0" w:space="0" w:color="auto"/>
        <w:left w:val="none" w:sz="0" w:space="0" w:color="auto"/>
        <w:bottom w:val="none" w:sz="0" w:space="0" w:color="auto"/>
        <w:right w:val="none" w:sz="0" w:space="0" w:color="auto"/>
      </w:divBdr>
    </w:div>
    <w:div w:id="1024284490">
      <w:bodyDiv w:val="1"/>
      <w:marLeft w:val="0"/>
      <w:marRight w:val="0"/>
      <w:marTop w:val="0"/>
      <w:marBottom w:val="0"/>
      <w:divBdr>
        <w:top w:val="none" w:sz="0" w:space="0" w:color="auto"/>
        <w:left w:val="none" w:sz="0" w:space="0" w:color="auto"/>
        <w:bottom w:val="none" w:sz="0" w:space="0" w:color="auto"/>
        <w:right w:val="none" w:sz="0" w:space="0" w:color="auto"/>
      </w:divBdr>
    </w:div>
    <w:div w:id="1027097258">
      <w:bodyDiv w:val="1"/>
      <w:marLeft w:val="0"/>
      <w:marRight w:val="0"/>
      <w:marTop w:val="0"/>
      <w:marBottom w:val="0"/>
      <w:divBdr>
        <w:top w:val="none" w:sz="0" w:space="0" w:color="auto"/>
        <w:left w:val="none" w:sz="0" w:space="0" w:color="auto"/>
        <w:bottom w:val="none" w:sz="0" w:space="0" w:color="auto"/>
        <w:right w:val="none" w:sz="0" w:space="0" w:color="auto"/>
      </w:divBdr>
    </w:div>
    <w:div w:id="1031420811">
      <w:bodyDiv w:val="1"/>
      <w:marLeft w:val="0"/>
      <w:marRight w:val="0"/>
      <w:marTop w:val="0"/>
      <w:marBottom w:val="0"/>
      <w:divBdr>
        <w:top w:val="none" w:sz="0" w:space="0" w:color="auto"/>
        <w:left w:val="none" w:sz="0" w:space="0" w:color="auto"/>
        <w:bottom w:val="none" w:sz="0" w:space="0" w:color="auto"/>
        <w:right w:val="none" w:sz="0" w:space="0" w:color="auto"/>
      </w:divBdr>
    </w:div>
    <w:div w:id="1033964285">
      <w:bodyDiv w:val="1"/>
      <w:marLeft w:val="0"/>
      <w:marRight w:val="0"/>
      <w:marTop w:val="0"/>
      <w:marBottom w:val="0"/>
      <w:divBdr>
        <w:top w:val="none" w:sz="0" w:space="0" w:color="auto"/>
        <w:left w:val="none" w:sz="0" w:space="0" w:color="auto"/>
        <w:bottom w:val="none" w:sz="0" w:space="0" w:color="auto"/>
        <w:right w:val="none" w:sz="0" w:space="0" w:color="auto"/>
      </w:divBdr>
    </w:div>
    <w:div w:id="1036543539">
      <w:bodyDiv w:val="1"/>
      <w:marLeft w:val="0"/>
      <w:marRight w:val="0"/>
      <w:marTop w:val="0"/>
      <w:marBottom w:val="0"/>
      <w:divBdr>
        <w:top w:val="none" w:sz="0" w:space="0" w:color="auto"/>
        <w:left w:val="none" w:sz="0" w:space="0" w:color="auto"/>
        <w:bottom w:val="none" w:sz="0" w:space="0" w:color="auto"/>
        <w:right w:val="none" w:sz="0" w:space="0" w:color="auto"/>
      </w:divBdr>
    </w:div>
    <w:div w:id="1036849111">
      <w:bodyDiv w:val="1"/>
      <w:marLeft w:val="0"/>
      <w:marRight w:val="0"/>
      <w:marTop w:val="0"/>
      <w:marBottom w:val="0"/>
      <w:divBdr>
        <w:top w:val="none" w:sz="0" w:space="0" w:color="auto"/>
        <w:left w:val="none" w:sz="0" w:space="0" w:color="auto"/>
        <w:bottom w:val="none" w:sz="0" w:space="0" w:color="auto"/>
        <w:right w:val="none" w:sz="0" w:space="0" w:color="auto"/>
      </w:divBdr>
    </w:div>
    <w:div w:id="1043097526">
      <w:bodyDiv w:val="1"/>
      <w:marLeft w:val="0"/>
      <w:marRight w:val="0"/>
      <w:marTop w:val="0"/>
      <w:marBottom w:val="0"/>
      <w:divBdr>
        <w:top w:val="none" w:sz="0" w:space="0" w:color="auto"/>
        <w:left w:val="none" w:sz="0" w:space="0" w:color="auto"/>
        <w:bottom w:val="none" w:sz="0" w:space="0" w:color="auto"/>
        <w:right w:val="none" w:sz="0" w:space="0" w:color="auto"/>
      </w:divBdr>
    </w:div>
    <w:div w:id="1043750371">
      <w:bodyDiv w:val="1"/>
      <w:marLeft w:val="0"/>
      <w:marRight w:val="0"/>
      <w:marTop w:val="0"/>
      <w:marBottom w:val="0"/>
      <w:divBdr>
        <w:top w:val="none" w:sz="0" w:space="0" w:color="auto"/>
        <w:left w:val="none" w:sz="0" w:space="0" w:color="auto"/>
        <w:bottom w:val="none" w:sz="0" w:space="0" w:color="auto"/>
        <w:right w:val="none" w:sz="0" w:space="0" w:color="auto"/>
      </w:divBdr>
    </w:div>
    <w:div w:id="1044644658">
      <w:bodyDiv w:val="1"/>
      <w:marLeft w:val="0"/>
      <w:marRight w:val="0"/>
      <w:marTop w:val="0"/>
      <w:marBottom w:val="0"/>
      <w:divBdr>
        <w:top w:val="none" w:sz="0" w:space="0" w:color="auto"/>
        <w:left w:val="none" w:sz="0" w:space="0" w:color="auto"/>
        <w:bottom w:val="none" w:sz="0" w:space="0" w:color="auto"/>
        <w:right w:val="none" w:sz="0" w:space="0" w:color="auto"/>
      </w:divBdr>
    </w:div>
    <w:div w:id="1059785528">
      <w:bodyDiv w:val="1"/>
      <w:marLeft w:val="0"/>
      <w:marRight w:val="0"/>
      <w:marTop w:val="0"/>
      <w:marBottom w:val="0"/>
      <w:divBdr>
        <w:top w:val="none" w:sz="0" w:space="0" w:color="auto"/>
        <w:left w:val="none" w:sz="0" w:space="0" w:color="auto"/>
        <w:bottom w:val="none" w:sz="0" w:space="0" w:color="auto"/>
        <w:right w:val="none" w:sz="0" w:space="0" w:color="auto"/>
      </w:divBdr>
      <w:divsChild>
        <w:div w:id="1678969598">
          <w:marLeft w:val="0"/>
          <w:marRight w:val="0"/>
          <w:marTop w:val="0"/>
          <w:marBottom w:val="0"/>
          <w:divBdr>
            <w:top w:val="none" w:sz="0" w:space="0" w:color="auto"/>
            <w:left w:val="none" w:sz="0" w:space="0" w:color="auto"/>
            <w:bottom w:val="none" w:sz="0" w:space="0" w:color="auto"/>
            <w:right w:val="none" w:sz="0" w:space="0" w:color="auto"/>
          </w:divBdr>
          <w:divsChild>
            <w:div w:id="6895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16992">
      <w:bodyDiv w:val="1"/>
      <w:marLeft w:val="0"/>
      <w:marRight w:val="0"/>
      <w:marTop w:val="0"/>
      <w:marBottom w:val="0"/>
      <w:divBdr>
        <w:top w:val="none" w:sz="0" w:space="0" w:color="auto"/>
        <w:left w:val="none" w:sz="0" w:space="0" w:color="auto"/>
        <w:bottom w:val="none" w:sz="0" w:space="0" w:color="auto"/>
        <w:right w:val="none" w:sz="0" w:space="0" w:color="auto"/>
      </w:divBdr>
    </w:div>
    <w:div w:id="1067070155">
      <w:bodyDiv w:val="1"/>
      <w:marLeft w:val="0"/>
      <w:marRight w:val="0"/>
      <w:marTop w:val="0"/>
      <w:marBottom w:val="0"/>
      <w:divBdr>
        <w:top w:val="none" w:sz="0" w:space="0" w:color="auto"/>
        <w:left w:val="none" w:sz="0" w:space="0" w:color="auto"/>
        <w:bottom w:val="none" w:sz="0" w:space="0" w:color="auto"/>
        <w:right w:val="none" w:sz="0" w:space="0" w:color="auto"/>
      </w:divBdr>
    </w:div>
    <w:div w:id="1074159478">
      <w:bodyDiv w:val="1"/>
      <w:marLeft w:val="0"/>
      <w:marRight w:val="0"/>
      <w:marTop w:val="0"/>
      <w:marBottom w:val="0"/>
      <w:divBdr>
        <w:top w:val="none" w:sz="0" w:space="0" w:color="auto"/>
        <w:left w:val="none" w:sz="0" w:space="0" w:color="auto"/>
        <w:bottom w:val="none" w:sz="0" w:space="0" w:color="auto"/>
        <w:right w:val="none" w:sz="0" w:space="0" w:color="auto"/>
      </w:divBdr>
    </w:div>
    <w:div w:id="1079517736">
      <w:bodyDiv w:val="1"/>
      <w:marLeft w:val="0"/>
      <w:marRight w:val="0"/>
      <w:marTop w:val="0"/>
      <w:marBottom w:val="0"/>
      <w:divBdr>
        <w:top w:val="none" w:sz="0" w:space="0" w:color="auto"/>
        <w:left w:val="none" w:sz="0" w:space="0" w:color="auto"/>
        <w:bottom w:val="none" w:sz="0" w:space="0" w:color="auto"/>
        <w:right w:val="none" w:sz="0" w:space="0" w:color="auto"/>
      </w:divBdr>
    </w:div>
    <w:div w:id="1080834251">
      <w:bodyDiv w:val="1"/>
      <w:marLeft w:val="0"/>
      <w:marRight w:val="0"/>
      <w:marTop w:val="0"/>
      <w:marBottom w:val="0"/>
      <w:divBdr>
        <w:top w:val="none" w:sz="0" w:space="0" w:color="auto"/>
        <w:left w:val="none" w:sz="0" w:space="0" w:color="auto"/>
        <w:bottom w:val="none" w:sz="0" w:space="0" w:color="auto"/>
        <w:right w:val="none" w:sz="0" w:space="0" w:color="auto"/>
      </w:divBdr>
    </w:div>
    <w:div w:id="1081099508">
      <w:bodyDiv w:val="1"/>
      <w:marLeft w:val="0"/>
      <w:marRight w:val="0"/>
      <w:marTop w:val="0"/>
      <w:marBottom w:val="0"/>
      <w:divBdr>
        <w:top w:val="none" w:sz="0" w:space="0" w:color="auto"/>
        <w:left w:val="none" w:sz="0" w:space="0" w:color="auto"/>
        <w:bottom w:val="none" w:sz="0" w:space="0" w:color="auto"/>
        <w:right w:val="none" w:sz="0" w:space="0" w:color="auto"/>
      </w:divBdr>
    </w:div>
    <w:div w:id="1091052670">
      <w:bodyDiv w:val="1"/>
      <w:marLeft w:val="0"/>
      <w:marRight w:val="0"/>
      <w:marTop w:val="0"/>
      <w:marBottom w:val="0"/>
      <w:divBdr>
        <w:top w:val="none" w:sz="0" w:space="0" w:color="auto"/>
        <w:left w:val="none" w:sz="0" w:space="0" w:color="auto"/>
        <w:bottom w:val="none" w:sz="0" w:space="0" w:color="auto"/>
        <w:right w:val="none" w:sz="0" w:space="0" w:color="auto"/>
      </w:divBdr>
    </w:div>
    <w:div w:id="1098526786">
      <w:bodyDiv w:val="1"/>
      <w:marLeft w:val="0"/>
      <w:marRight w:val="0"/>
      <w:marTop w:val="0"/>
      <w:marBottom w:val="0"/>
      <w:divBdr>
        <w:top w:val="none" w:sz="0" w:space="0" w:color="auto"/>
        <w:left w:val="none" w:sz="0" w:space="0" w:color="auto"/>
        <w:bottom w:val="none" w:sz="0" w:space="0" w:color="auto"/>
        <w:right w:val="none" w:sz="0" w:space="0" w:color="auto"/>
      </w:divBdr>
    </w:div>
    <w:div w:id="1099986966">
      <w:bodyDiv w:val="1"/>
      <w:marLeft w:val="0"/>
      <w:marRight w:val="0"/>
      <w:marTop w:val="0"/>
      <w:marBottom w:val="0"/>
      <w:divBdr>
        <w:top w:val="none" w:sz="0" w:space="0" w:color="auto"/>
        <w:left w:val="none" w:sz="0" w:space="0" w:color="auto"/>
        <w:bottom w:val="none" w:sz="0" w:space="0" w:color="auto"/>
        <w:right w:val="none" w:sz="0" w:space="0" w:color="auto"/>
      </w:divBdr>
    </w:div>
    <w:div w:id="1100641482">
      <w:bodyDiv w:val="1"/>
      <w:marLeft w:val="0"/>
      <w:marRight w:val="0"/>
      <w:marTop w:val="0"/>
      <w:marBottom w:val="0"/>
      <w:divBdr>
        <w:top w:val="none" w:sz="0" w:space="0" w:color="auto"/>
        <w:left w:val="none" w:sz="0" w:space="0" w:color="auto"/>
        <w:bottom w:val="none" w:sz="0" w:space="0" w:color="auto"/>
        <w:right w:val="none" w:sz="0" w:space="0" w:color="auto"/>
      </w:divBdr>
    </w:div>
    <w:div w:id="1101224967">
      <w:bodyDiv w:val="1"/>
      <w:marLeft w:val="0"/>
      <w:marRight w:val="0"/>
      <w:marTop w:val="0"/>
      <w:marBottom w:val="0"/>
      <w:divBdr>
        <w:top w:val="none" w:sz="0" w:space="0" w:color="auto"/>
        <w:left w:val="none" w:sz="0" w:space="0" w:color="auto"/>
        <w:bottom w:val="none" w:sz="0" w:space="0" w:color="auto"/>
        <w:right w:val="none" w:sz="0" w:space="0" w:color="auto"/>
      </w:divBdr>
    </w:div>
    <w:div w:id="1103956105">
      <w:bodyDiv w:val="1"/>
      <w:marLeft w:val="0"/>
      <w:marRight w:val="0"/>
      <w:marTop w:val="0"/>
      <w:marBottom w:val="0"/>
      <w:divBdr>
        <w:top w:val="none" w:sz="0" w:space="0" w:color="auto"/>
        <w:left w:val="none" w:sz="0" w:space="0" w:color="auto"/>
        <w:bottom w:val="none" w:sz="0" w:space="0" w:color="auto"/>
        <w:right w:val="none" w:sz="0" w:space="0" w:color="auto"/>
      </w:divBdr>
    </w:div>
    <w:div w:id="1106264954">
      <w:bodyDiv w:val="1"/>
      <w:marLeft w:val="0"/>
      <w:marRight w:val="0"/>
      <w:marTop w:val="0"/>
      <w:marBottom w:val="0"/>
      <w:divBdr>
        <w:top w:val="none" w:sz="0" w:space="0" w:color="auto"/>
        <w:left w:val="none" w:sz="0" w:space="0" w:color="auto"/>
        <w:bottom w:val="none" w:sz="0" w:space="0" w:color="auto"/>
        <w:right w:val="none" w:sz="0" w:space="0" w:color="auto"/>
      </w:divBdr>
    </w:div>
    <w:div w:id="1110857772">
      <w:bodyDiv w:val="1"/>
      <w:marLeft w:val="0"/>
      <w:marRight w:val="0"/>
      <w:marTop w:val="0"/>
      <w:marBottom w:val="0"/>
      <w:divBdr>
        <w:top w:val="none" w:sz="0" w:space="0" w:color="auto"/>
        <w:left w:val="none" w:sz="0" w:space="0" w:color="auto"/>
        <w:bottom w:val="none" w:sz="0" w:space="0" w:color="auto"/>
        <w:right w:val="none" w:sz="0" w:space="0" w:color="auto"/>
      </w:divBdr>
    </w:div>
    <w:div w:id="1112474413">
      <w:bodyDiv w:val="1"/>
      <w:marLeft w:val="0"/>
      <w:marRight w:val="0"/>
      <w:marTop w:val="0"/>
      <w:marBottom w:val="0"/>
      <w:divBdr>
        <w:top w:val="none" w:sz="0" w:space="0" w:color="auto"/>
        <w:left w:val="none" w:sz="0" w:space="0" w:color="auto"/>
        <w:bottom w:val="none" w:sz="0" w:space="0" w:color="auto"/>
        <w:right w:val="none" w:sz="0" w:space="0" w:color="auto"/>
      </w:divBdr>
    </w:div>
    <w:div w:id="1117992089">
      <w:bodyDiv w:val="1"/>
      <w:marLeft w:val="0"/>
      <w:marRight w:val="0"/>
      <w:marTop w:val="0"/>
      <w:marBottom w:val="0"/>
      <w:divBdr>
        <w:top w:val="none" w:sz="0" w:space="0" w:color="auto"/>
        <w:left w:val="none" w:sz="0" w:space="0" w:color="auto"/>
        <w:bottom w:val="none" w:sz="0" w:space="0" w:color="auto"/>
        <w:right w:val="none" w:sz="0" w:space="0" w:color="auto"/>
      </w:divBdr>
      <w:divsChild>
        <w:div w:id="1432775342">
          <w:marLeft w:val="0"/>
          <w:marRight w:val="0"/>
          <w:marTop w:val="0"/>
          <w:marBottom w:val="0"/>
          <w:divBdr>
            <w:top w:val="none" w:sz="0" w:space="0" w:color="auto"/>
            <w:left w:val="none" w:sz="0" w:space="0" w:color="auto"/>
            <w:bottom w:val="none" w:sz="0" w:space="0" w:color="auto"/>
            <w:right w:val="none" w:sz="0" w:space="0" w:color="auto"/>
          </w:divBdr>
          <w:divsChild>
            <w:div w:id="1569994274">
              <w:marLeft w:val="0"/>
              <w:marRight w:val="0"/>
              <w:marTop w:val="0"/>
              <w:marBottom w:val="0"/>
              <w:divBdr>
                <w:top w:val="none" w:sz="0" w:space="0" w:color="auto"/>
                <w:left w:val="none" w:sz="0" w:space="0" w:color="auto"/>
                <w:bottom w:val="none" w:sz="0" w:space="0" w:color="auto"/>
                <w:right w:val="none" w:sz="0" w:space="0" w:color="auto"/>
              </w:divBdr>
              <w:divsChild>
                <w:div w:id="14053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845533">
      <w:bodyDiv w:val="1"/>
      <w:marLeft w:val="0"/>
      <w:marRight w:val="0"/>
      <w:marTop w:val="0"/>
      <w:marBottom w:val="0"/>
      <w:divBdr>
        <w:top w:val="none" w:sz="0" w:space="0" w:color="auto"/>
        <w:left w:val="none" w:sz="0" w:space="0" w:color="auto"/>
        <w:bottom w:val="none" w:sz="0" w:space="0" w:color="auto"/>
        <w:right w:val="none" w:sz="0" w:space="0" w:color="auto"/>
      </w:divBdr>
    </w:div>
    <w:div w:id="1127896172">
      <w:bodyDiv w:val="1"/>
      <w:marLeft w:val="0"/>
      <w:marRight w:val="0"/>
      <w:marTop w:val="0"/>
      <w:marBottom w:val="0"/>
      <w:divBdr>
        <w:top w:val="none" w:sz="0" w:space="0" w:color="auto"/>
        <w:left w:val="none" w:sz="0" w:space="0" w:color="auto"/>
        <w:bottom w:val="none" w:sz="0" w:space="0" w:color="auto"/>
        <w:right w:val="none" w:sz="0" w:space="0" w:color="auto"/>
      </w:divBdr>
    </w:div>
    <w:div w:id="1131482334">
      <w:bodyDiv w:val="1"/>
      <w:marLeft w:val="0"/>
      <w:marRight w:val="0"/>
      <w:marTop w:val="0"/>
      <w:marBottom w:val="0"/>
      <w:divBdr>
        <w:top w:val="none" w:sz="0" w:space="0" w:color="auto"/>
        <w:left w:val="none" w:sz="0" w:space="0" w:color="auto"/>
        <w:bottom w:val="none" w:sz="0" w:space="0" w:color="auto"/>
        <w:right w:val="none" w:sz="0" w:space="0" w:color="auto"/>
      </w:divBdr>
    </w:div>
    <w:div w:id="1134104626">
      <w:bodyDiv w:val="1"/>
      <w:marLeft w:val="0"/>
      <w:marRight w:val="0"/>
      <w:marTop w:val="0"/>
      <w:marBottom w:val="0"/>
      <w:divBdr>
        <w:top w:val="none" w:sz="0" w:space="0" w:color="auto"/>
        <w:left w:val="none" w:sz="0" w:space="0" w:color="auto"/>
        <w:bottom w:val="none" w:sz="0" w:space="0" w:color="auto"/>
        <w:right w:val="none" w:sz="0" w:space="0" w:color="auto"/>
      </w:divBdr>
    </w:div>
    <w:div w:id="1138720233">
      <w:bodyDiv w:val="1"/>
      <w:marLeft w:val="0"/>
      <w:marRight w:val="0"/>
      <w:marTop w:val="0"/>
      <w:marBottom w:val="0"/>
      <w:divBdr>
        <w:top w:val="none" w:sz="0" w:space="0" w:color="auto"/>
        <w:left w:val="none" w:sz="0" w:space="0" w:color="auto"/>
        <w:bottom w:val="none" w:sz="0" w:space="0" w:color="auto"/>
        <w:right w:val="none" w:sz="0" w:space="0" w:color="auto"/>
      </w:divBdr>
    </w:div>
    <w:div w:id="1150366254">
      <w:bodyDiv w:val="1"/>
      <w:marLeft w:val="0"/>
      <w:marRight w:val="0"/>
      <w:marTop w:val="0"/>
      <w:marBottom w:val="0"/>
      <w:divBdr>
        <w:top w:val="none" w:sz="0" w:space="0" w:color="auto"/>
        <w:left w:val="none" w:sz="0" w:space="0" w:color="auto"/>
        <w:bottom w:val="none" w:sz="0" w:space="0" w:color="auto"/>
        <w:right w:val="none" w:sz="0" w:space="0" w:color="auto"/>
      </w:divBdr>
    </w:div>
    <w:div w:id="1152214107">
      <w:bodyDiv w:val="1"/>
      <w:marLeft w:val="0"/>
      <w:marRight w:val="0"/>
      <w:marTop w:val="0"/>
      <w:marBottom w:val="0"/>
      <w:divBdr>
        <w:top w:val="none" w:sz="0" w:space="0" w:color="auto"/>
        <w:left w:val="none" w:sz="0" w:space="0" w:color="auto"/>
        <w:bottom w:val="none" w:sz="0" w:space="0" w:color="auto"/>
        <w:right w:val="none" w:sz="0" w:space="0" w:color="auto"/>
      </w:divBdr>
    </w:div>
    <w:div w:id="1156843872">
      <w:bodyDiv w:val="1"/>
      <w:marLeft w:val="0"/>
      <w:marRight w:val="0"/>
      <w:marTop w:val="0"/>
      <w:marBottom w:val="0"/>
      <w:divBdr>
        <w:top w:val="none" w:sz="0" w:space="0" w:color="auto"/>
        <w:left w:val="none" w:sz="0" w:space="0" w:color="auto"/>
        <w:bottom w:val="none" w:sz="0" w:space="0" w:color="auto"/>
        <w:right w:val="none" w:sz="0" w:space="0" w:color="auto"/>
      </w:divBdr>
    </w:div>
    <w:div w:id="1176963321">
      <w:bodyDiv w:val="1"/>
      <w:marLeft w:val="0"/>
      <w:marRight w:val="0"/>
      <w:marTop w:val="0"/>
      <w:marBottom w:val="0"/>
      <w:divBdr>
        <w:top w:val="none" w:sz="0" w:space="0" w:color="auto"/>
        <w:left w:val="none" w:sz="0" w:space="0" w:color="auto"/>
        <w:bottom w:val="none" w:sz="0" w:space="0" w:color="auto"/>
        <w:right w:val="none" w:sz="0" w:space="0" w:color="auto"/>
      </w:divBdr>
    </w:div>
    <w:div w:id="1189903894">
      <w:bodyDiv w:val="1"/>
      <w:marLeft w:val="0"/>
      <w:marRight w:val="0"/>
      <w:marTop w:val="0"/>
      <w:marBottom w:val="0"/>
      <w:divBdr>
        <w:top w:val="none" w:sz="0" w:space="0" w:color="auto"/>
        <w:left w:val="none" w:sz="0" w:space="0" w:color="auto"/>
        <w:bottom w:val="none" w:sz="0" w:space="0" w:color="auto"/>
        <w:right w:val="none" w:sz="0" w:space="0" w:color="auto"/>
      </w:divBdr>
    </w:div>
    <w:div w:id="1202596702">
      <w:bodyDiv w:val="1"/>
      <w:marLeft w:val="0"/>
      <w:marRight w:val="0"/>
      <w:marTop w:val="0"/>
      <w:marBottom w:val="0"/>
      <w:divBdr>
        <w:top w:val="none" w:sz="0" w:space="0" w:color="auto"/>
        <w:left w:val="none" w:sz="0" w:space="0" w:color="auto"/>
        <w:bottom w:val="none" w:sz="0" w:space="0" w:color="auto"/>
        <w:right w:val="none" w:sz="0" w:space="0" w:color="auto"/>
      </w:divBdr>
    </w:div>
    <w:div w:id="1207335579">
      <w:bodyDiv w:val="1"/>
      <w:marLeft w:val="0"/>
      <w:marRight w:val="0"/>
      <w:marTop w:val="0"/>
      <w:marBottom w:val="0"/>
      <w:divBdr>
        <w:top w:val="none" w:sz="0" w:space="0" w:color="auto"/>
        <w:left w:val="none" w:sz="0" w:space="0" w:color="auto"/>
        <w:bottom w:val="none" w:sz="0" w:space="0" w:color="auto"/>
        <w:right w:val="none" w:sz="0" w:space="0" w:color="auto"/>
      </w:divBdr>
    </w:div>
    <w:div w:id="1207985027">
      <w:bodyDiv w:val="1"/>
      <w:marLeft w:val="0"/>
      <w:marRight w:val="0"/>
      <w:marTop w:val="0"/>
      <w:marBottom w:val="0"/>
      <w:divBdr>
        <w:top w:val="none" w:sz="0" w:space="0" w:color="auto"/>
        <w:left w:val="none" w:sz="0" w:space="0" w:color="auto"/>
        <w:bottom w:val="none" w:sz="0" w:space="0" w:color="auto"/>
        <w:right w:val="none" w:sz="0" w:space="0" w:color="auto"/>
      </w:divBdr>
    </w:div>
    <w:div w:id="1217856455">
      <w:bodyDiv w:val="1"/>
      <w:marLeft w:val="0"/>
      <w:marRight w:val="0"/>
      <w:marTop w:val="0"/>
      <w:marBottom w:val="0"/>
      <w:divBdr>
        <w:top w:val="none" w:sz="0" w:space="0" w:color="auto"/>
        <w:left w:val="none" w:sz="0" w:space="0" w:color="auto"/>
        <w:bottom w:val="none" w:sz="0" w:space="0" w:color="auto"/>
        <w:right w:val="none" w:sz="0" w:space="0" w:color="auto"/>
      </w:divBdr>
    </w:div>
    <w:div w:id="1225335178">
      <w:bodyDiv w:val="1"/>
      <w:marLeft w:val="0"/>
      <w:marRight w:val="0"/>
      <w:marTop w:val="0"/>
      <w:marBottom w:val="0"/>
      <w:divBdr>
        <w:top w:val="none" w:sz="0" w:space="0" w:color="auto"/>
        <w:left w:val="none" w:sz="0" w:space="0" w:color="auto"/>
        <w:bottom w:val="none" w:sz="0" w:space="0" w:color="auto"/>
        <w:right w:val="none" w:sz="0" w:space="0" w:color="auto"/>
      </w:divBdr>
    </w:div>
    <w:div w:id="1229802622">
      <w:bodyDiv w:val="1"/>
      <w:marLeft w:val="0"/>
      <w:marRight w:val="0"/>
      <w:marTop w:val="0"/>
      <w:marBottom w:val="0"/>
      <w:divBdr>
        <w:top w:val="none" w:sz="0" w:space="0" w:color="auto"/>
        <w:left w:val="none" w:sz="0" w:space="0" w:color="auto"/>
        <w:bottom w:val="none" w:sz="0" w:space="0" w:color="auto"/>
        <w:right w:val="none" w:sz="0" w:space="0" w:color="auto"/>
      </w:divBdr>
    </w:div>
    <w:div w:id="1245608063">
      <w:bodyDiv w:val="1"/>
      <w:marLeft w:val="0"/>
      <w:marRight w:val="0"/>
      <w:marTop w:val="0"/>
      <w:marBottom w:val="0"/>
      <w:divBdr>
        <w:top w:val="none" w:sz="0" w:space="0" w:color="auto"/>
        <w:left w:val="none" w:sz="0" w:space="0" w:color="auto"/>
        <w:bottom w:val="none" w:sz="0" w:space="0" w:color="auto"/>
        <w:right w:val="none" w:sz="0" w:space="0" w:color="auto"/>
      </w:divBdr>
    </w:div>
    <w:div w:id="1256935476">
      <w:bodyDiv w:val="1"/>
      <w:marLeft w:val="0"/>
      <w:marRight w:val="0"/>
      <w:marTop w:val="0"/>
      <w:marBottom w:val="0"/>
      <w:divBdr>
        <w:top w:val="none" w:sz="0" w:space="0" w:color="auto"/>
        <w:left w:val="none" w:sz="0" w:space="0" w:color="auto"/>
        <w:bottom w:val="none" w:sz="0" w:space="0" w:color="auto"/>
        <w:right w:val="none" w:sz="0" w:space="0" w:color="auto"/>
      </w:divBdr>
    </w:div>
    <w:div w:id="1259022531">
      <w:bodyDiv w:val="1"/>
      <w:marLeft w:val="0"/>
      <w:marRight w:val="0"/>
      <w:marTop w:val="0"/>
      <w:marBottom w:val="0"/>
      <w:divBdr>
        <w:top w:val="none" w:sz="0" w:space="0" w:color="auto"/>
        <w:left w:val="none" w:sz="0" w:space="0" w:color="auto"/>
        <w:bottom w:val="none" w:sz="0" w:space="0" w:color="auto"/>
        <w:right w:val="none" w:sz="0" w:space="0" w:color="auto"/>
      </w:divBdr>
    </w:div>
    <w:div w:id="1260992210">
      <w:bodyDiv w:val="1"/>
      <w:marLeft w:val="0"/>
      <w:marRight w:val="0"/>
      <w:marTop w:val="0"/>
      <w:marBottom w:val="0"/>
      <w:divBdr>
        <w:top w:val="none" w:sz="0" w:space="0" w:color="auto"/>
        <w:left w:val="none" w:sz="0" w:space="0" w:color="auto"/>
        <w:bottom w:val="none" w:sz="0" w:space="0" w:color="auto"/>
        <w:right w:val="none" w:sz="0" w:space="0" w:color="auto"/>
      </w:divBdr>
    </w:div>
    <w:div w:id="1261257797">
      <w:bodyDiv w:val="1"/>
      <w:marLeft w:val="0"/>
      <w:marRight w:val="0"/>
      <w:marTop w:val="0"/>
      <w:marBottom w:val="0"/>
      <w:divBdr>
        <w:top w:val="none" w:sz="0" w:space="0" w:color="auto"/>
        <w:left w:val="none" w:sz="0" w:space="0" w:color="auto"/>
        <w:bottom w:val="none" w:sz="0" w:space="0" w:color="auto"/>
        <w:right w:val="none" w:sz="0" w:space="0" w:color="auto"/>
      </w:divBdr>
    </w:div>
    <w:div w:id="1268149238">
      <w:bodyDiv w:val="1"/>
      <w:marLeft w:val="0"/>
      <w:marRight w:val="0"/>
      <w:marTop w:val="0"/>
      <w:marBottom w:val="0"/>
      <w:divBdr>
        <w:top w:val="none" w:sz="0" w:space="0" w:color="auto"/>
        <w:left w:val="none" w:sz="0" w:space="0" w:color="auto"/>
        <w:bottom w:val="none" w:sz="0" w:space="0" w:color="auto"/>
        <w:right w:val="none" w:sz="0" w:space="0" w:color="auto"/>
      </w:divBdr>
    </w:div>
    <w:div w:id="1281761404">
      <w:bodyDiv w:val="1"/>
      <w:marLeft w:val="0"/>
      <w:marRight w:val="0"/>
      <w:marTop w:val="0"/>
      <w:marBottom w:val="0"/>
      <w:divBdr>
        <w:top w:val="none" w:sz="0" w:space="0" w:color="auto"/>
        <w:left w:val="none" w:sz="0" w:space="0" w:color="auto"/>
        <w:bottom w:val="none" w:sz="0" w:space="0" w:color="auto"/>
        <w:right w:val="none" w:sz="0" w:space="0" w:color="auto"/>
      </w:divBdr>
    </w:div>
    <w:div w:id="1282373510">
      <w:bodyDiv w:val="1"/>
      <w:marLeft w:val="0"/>
      <w:marRight w:val="0"/>
      <w:marTop w:val="0"/>
      <w:marBottom w:val="0"/>
      <w:divBdr>
        <w:top w:val="none" w:sz="0" w:space="0" w:color="auto"/>
        <w:left w:val="none" w:sz="0" w:space="0" w:color="auto"/>
        <w:bottom w:val="none" w:sz="0" w:space="0" w:color="auto"/>
        <w:right w:val="none" w:sz="0" w:space="0" w:color="auto"/>
      </w:divBdr>
    </w:div>
    <w:div w:id="1288319069">
      <w:bodyDiv w:val="1"/>
      <w:marLeft w:val="0"/>
      <w:marRight w:val="0"/>
      <w:marTop w:val="0"/>
      <w:marBottom w:val="0"/>
      <w:divBdr>
        <w:top w:val="none" w:sz="0" w:space="0" w:color="auto"/>
        <w:left w:val="none" w:sz="0" w:space="0" w:color="auto"/>
        <w:bottom w:val="none" w:sz="0" w:space="0" w:color="auto"/>
        <w:right w:val="none" w:sz="0" w:space="0" w:color="auto"/>
      </w:divBdr>
    </w:div>
    <w:div w:id="1293055945">
      <w:bodyDiv w:val="1"/>
      <w:marLeft w:val="0"/>
      <w:marRight w:val="0"/>
      <w:marTop w:val="0"/>
      <w:marBottom w:val="0"/>
      <w:divBdr>
        <w:top w:val="none" w:sz="0" w:space="0" w:color="auto"/>
        <w:left w:val="none" w:sz="0" w:space="0" w:color="auto"/>
        <w:bottom w:val="none" w:sz="0" w:space="0" w:color="auto"/>
        <w:right w:val="none" w:sz="0" w:space="0" w:color="auto"/>
      </w:divBdr>
    </w:div>
    <w:div w:id="1296570830">
      <w:bodyDiv w:val="1"/>
      <w:marLeft w:val="0"/>
      <w:marRight w:val="0"/>
      <w:marTop w:val="0"/>
      <w:marBottom w:val="0"/>
      <w:divBdr>
        <w:top w:val="none" w:sz="0" w:space="0" w:color="auto"/>
        <w:left w:val="none" w:sz="0" w:space="0" w:color="auto"/>
        <w:bottom w:val="none" w:sz="0" w:space="0" w:color="auto"/>
        <w:right w:val="none" w:sz="0" w:space="0" w:color="auto"/>
      </w:divBdr>
    </w:div>
    <w:div w:id="1301616762">
      <w:bodyDiv w:val="1"/>
      <w:marLeft w:val="0"/>
      <w:marRight w:val="0"/>
      <w:marTop w:val="0"/>
      <w:marBottom w:val="0"/>
      <w:divBdr>
        <w:top w:val="none" w:sz="0" w:space="0" w:color="auto"/>
        <w:left w:val="none" w:sz="0" w:space="0" w:color="auto"/>
        <w:bottom w:val="none" w:sz="0" w:space="0" w:color="auto"/>
        <w:right w:val="none" w:sz="0" w:space="0" w:color="auto"/>
      </w:divBdr>
    </w:div>
    <w:div w:id="1311442480">
      <w:bodyDiv w:val="1"/>
      <w:marLeft w:val="0"/>
      <w:marRight w:val="0"/>
      <w:marTop w:val="0"/>
      <w:marBottom w:val="0"/>
      <w:divBdr>
        <w:top w:val="none" w:sz="0" w:space="0" w:color="auto"/>
        <w:left w:val="none" w:sz="0" w:space="0" w:color="auto"/>
        <w:bottom w:val="none" w:sz="0" w:space="0" w:color="auto"/>
        <w:right w:val="none" w:sz="0" w:space="0" w:color="auto"/>
      </w:divBdr>
    </w:div>
    <w:div w:id="1314800211">
      <w:bodyDiv w:val="1"/>
      <w:marLeft w:val="0"/>
      <w:marRight w:val="0"/>
      <w:marTop w:val="0"/>
      <w:marBottom w:val="0"/>
      <w:divBdr>
        <w:top w:val="none" w:sz="0" w:space="0" w:color="auto"/>
        <w:left w:val="none" w:sz="0" w:space="0" w:color="auto"/>
        <w:bottom w:val="none" w:sz="0" w:space="0" w:color="auto"/>
        <w:right w:val="none" w:sz="0" w:space="0" w:color="auto"/>
      </w:divBdr>
    </w:div>
    <w:div w:id="1319774123">
      <w:bodyDiv w:val="1"/>
      <w:marLeft w:val="0"/>
      <w:marRight w:val="0"/>
      <w:marTop w:val="0"/>
      <w:marBottom w:val="0"/>
      <w:divBdr>
        <w:top w:val="none" w:sz="0" w:space="0" w:color="auto"/>
        <w:left w:val="none" w:sz="0" w:space="0" w:color="auto"/>
        <w:bottom w:val="none" w:sz="0" w:space="0" w:color="auto"/>
        <w:right w:val="none" w:sz="0" w:space="0" w:color="auto"/>
      </w:divBdr>
    </w:div>
    <w:div w:id="1327629223">
      <w:bodyDiv w:val="1"/>
      <w:marLeft w:val="0"/>
      <w:marRight w:val="0"/>
      <w:marTop w:val="0"/>
      <w:marBottom w:val="0"/>
      <w:divBdr>
        <w:top w:val="none" w:sz="0" w:space="0" w:color="auto"/>
        <w:left w:val="none" w:sz="0" w:space="0" w:color="auto"/>
        <w:bottom w:val="none" w:sz="0" w:space="0" w:color="auto"/>
        <w:right w:val="none" w:sz="0" w:space="0" w:color="auto"/>
      </w:divBdr>
    </w:div>
    <w:div w:id="1329332319">
      <w:bodyDiv w:val="1"/>
      <w:marLeft w:val="0"/>
      <w:marRight w:val="0"/>
      <w:marTop w:val="0"/>
      <w:marBottom w:val="0"/>
      <w:divBdr>
        <w:top w:val="none" w:sz="0" w:space="0" w:color="auto"/>
        <w:left w:val="none" w:sz="0" w:space="0" w:color="auto"/>
        <w:bottom w:val="none" w:sz="0" w:space="0" w:color="auto"/>
        <w:right w:val="none" w:sz="0" w:space="0" w:color="auto"/>
      </w:divBdr>
    </w:div>
    <w:div w:id="1330333184">
      <w:bodyDiv w:val="1"/>
      <w:marLeft w:val="0"/>
      <w:marRight w:val="0"/>
      <w:marTop w:val="0"/>
      <w:marBottom w:val="0"/>
      <w:divBdr>
        <w:top w:val="none" w:sz="0" w:space="0" w:color="auto"/>
        <w:left w:val="none" w:sz="0" w:space="0" w:color="auto"/>
        <w:bottom w:val="none" w:sz="0" w:space="0" w:color="auto"/>
        <w:right w:val="none" w:sz="0" w:space="0" w:color="auto"/>
      </w:divBdr>
    </w:div>
    <w:div w:id="1331254419">
      <w:bodyDiv w:val="1"/>
      <w:marLeft w:val="0"/>
      <w:marRight w:val="0"/>
      <w:marTop w:val="0"/>
      <w:marBottom w:val="0"/>
      <w:divBdr>
        <w:top w:val="none" w:sz="0" w:space="0" w:color="auto"/>
        <w:left w:val="none" w:sz="0" w:space="0" w:color="auto"/>
        <w:bottom w:val="none" w:sz="0" w:space="0" w:color="auto"/>
        <w:right w:val="none" w:sz="0" w:space="0" w:color="auto"/>
      </w:divBdr>
    </w:div>
    <w:div w:id="1334799193">
      <w:bodyDiv w:val="1"/>
      <w:marLeft w:val="0"/>
      <w:marRight w:val="0"/>
      <w:marTop w:val="0"/>
      <w:marBottom w:val="0"/>
      <w:divBdr>
        <w:top w:val="none" w:sz="0" w:space="0" w:color="auto"/>
        <w:left w:val="none" w:sz="0" w:space="0" w:color="auto"/>
        <w:bottom w:val="none" w:sz="0" w:space="0" w:color="auto"/>
        <w:right w:val="none" w:sz="0" w:space="0" w:color="auto"/>
      </w:divBdr>
    </w:div>
    <w:div w:id="1334838756">
      <w:bodyDiv w:val="1"/>
      <w:marLeft w:val="0"/>
      <w:marRight w:val="0"/>
      <w:marTop w:val="0"/>
      <w:marBottom w:val="0"/>
      <w:divBdr>
        <w:top w:val="none" w:sz="0" w:space="0" w:color="auto"/>
        <w:left w:val="none" w:sz="0" w:space="0" w:color="auto"/>
        <w:bottom w:val="none" w:sz="0" w:space="0" w:color="auto"/>
        <w:right w:val="none" w:sz="0" w:space="0" w:color="auto"/>
      </w:divBdr>
    </w:div>
    <w:div w:id="1336155948">
      <w:bodyDiv w:val="1"/>
      <w:marLeft w:val="0"/>
      <w:marRight w:val="0"/>
      <w:marTop w:val="0"/>
      <w:marBottom w:val="0"/>
      <w:divBdr>
        <w:top w:val="none" w:sz="0" w:space="0" w:color="auto"/>
        <w:left w:val="none" w:sz="0" w:space="0" w:color="auto"/>
        <w:bottom w:val="none" w:sz="0" w:space="0" w:color="auto"/>
        <w:right w:val="none" w:sz="0" w:space="0" w:color="auto"/>
      </w:divBdr>
    </w:div>
    <w:div w:id="1337998091">
      <w:bodyDiv w:val="1"/>
      <w:marLeft w:val="0"/>
      <w:marRight w:val="0"/>
      <w:marTop w:val="0"/>
      <w:marBottom w:val="0"/>
      <w:divBdr>
        <w:top w:val="none" w:sz="0" w:space="0" w:color="auto"/>
        <w:left w:val="none" w:sz="0" w:space="0" w:color="auto"/>
        <w:bottom w:val="none" w:sz="0" w:space="0" w:color="auto"/>
        <w:right w:val="none" w:sz="0" w:space="0" w:color="auto"/>
      </w:divBdr>
    </w:div>
    <w:div w:id="1338918233">
      <w:bodyDiv w:val="1"/>
      <w:marLeft w:val="0"/>
      <w:marRight w:val="0"/>
      <w:marTop w:val="0"/>
      <w:marBottom w:val="0"/>
      <w:divBdr>
        <w:top w:val="none" w:sz="0" w:space="0" w:color="auto"/>
        <w:left w:val="none" w:sz="0" w:space="0" w:color="auto"/>
        <w:bottom w:val="none" w:sz="0" w:space="0" w:color="auto"/>
        <w:right w:val="none" w:sz="0" w:space="0" w:color="auto"/>
      </w:divBdr>
    </w:div>
    <w:div w:id="1339887140">
      <w:bodyDiv w:val="1"/>
      <w:marLeft w:val="0"/>
      <w:marRight w:val="0"/>
      <w:marTop w:val="0"/>
      <w:marBottom w:val="0"/>
      <w:divBdr>
        <w:top w:val="none" w:sz="0" w:space="0" w:color="auto"/>
        <w:left w:val="none" w:sz="0" w:space="0" w:color="auto"/>
        <w:bottom w:val="none" w:sz="0" w:space="0" w:color="auto"/>
        <w:right w:val="none" w:sz="0" w:space="0" w:color="auto"/>
      </w:divBdr>
    </w:div>
    <w:div w:id="1343555611">
      <w:bodyDiv w:val="1"/>
      <w:marLeft w:val="0"/>
      <w:marRight w:val="0"/>
      <w:marTop w:val="0"/>
      <w:marBottom w:val="0"/>
      <w:divBdr>
        <w:top w:val="none" w:sz="0" w:space="0" w:color="auto"/>
        <w:left w:val="none" w:sz="0" w:space="0" w:color="auto"/>
        <w:bottom w:val="none" w:sz="0" w:space="0" w:color="auto"/>
        <w:right w:val="none" w:sz="0" w:space="0" w:color="auto"/>
      </w:divBdr>
    </w:div>
    <w:div w:id="1348406492">
      <w:bodyDiv w:val="1"/>
      <w:marLeft w:val="0"/>
      <w:marRight w:val="0"/>
      <w:marTop w:val="0"/>
      <w:marBottom w:val="0"/>
      <w:divBdr>
        <w:top w:val="none" w:sz="0" w:space="0" w:color="auto"/>
        <w:left w:val="none" w:sz="0" w:space="0" w:color="auto"/>
        <w:bottom w:val="none" w:sz="0" w:space="0" w:color="auto"/>
        <w:right w:val="none" w:sz="0" w:space="0" w:color="auto"/>
      </w:divBdr>
    </w:div>
    <w:div w:id="1350136251">
      <w:bodyDiv w:val="1"/>
      <w:marLeft w:val="0"/>
      <w:marRight w:val="0"/>
      <w:marTop w:val="0"/>
      <w:marBottom w:val="0"/>
      <w:divBdr>
        <w:top w:val="none" w:sz="0" w:space="0" w:color="auto"/>
        <w:left w:val="none" w:sz="0" w:space="0" w:color="auto"/>
        <w:bottom w:val="none" w:sz="0" w:space="0" w:color="auto"/>
        <w:right w:val="none" w:sz="0" w:space="0" w:color="auto"/>
      </w:divBdr>
      <w:divsChild>
        <w:div w:id="6636467">
          <w:marLeft w:val="0"/>
          <w:marRight w:val="0"/>
          <w:marTop w:val="0"/>
          <w:marBottom w:val="0"/>
          <w:divBdr>
            <w:top w:val="none" w:sz="0" w:space="0" w:color="auto"/>
            <w:left w:val="none" w:sz="0" w:space="0" w:color="auto"/>
            <w:bottom w:val="none" w:sz="0" w:space="0" w:color="auto"/>
            <w:right w:val="none" w:sz="0" w:space="0" w:color="auto"/>
          </w:divBdr>
          <w:divsChild>
            <w:div w:id="3311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73004">
      <w:bodyDiv w:val="1"/>
      <w:marLeft w:val="0"/>
      <w:marRight w:val="0"/>
      <w:marTop w:val="0"/>
      <w:marBottom w:val="0"/>
      <w:divBdr>
        <w:top w:val="none" w:sz="0" w:space="0" w:color="auto"/>
        <w:left w:val="none" w:sz="0" w:space="0" w:color="auto"/>
        <w:bottom w:val="none" w:sz="0" w:space="0" w:color="auto"/>
        <w:right w:val="none" w:sz="0" w:space="0" w:color="auto"/>
      </w:divBdr>
    </w:div>
    <w:div w:id="1361971440">
      <w:bodyDiv w:val="1"/>
      <w:marLeft w:val="0"/>
      <w:marRight w:val="0"/>
      <w:marTop w:val="0"/>
      <w:marBottom w:val="0"/>
      <w:divBdr>
        <w:top w:val="none" w:sz="0" w:space="0" w:color="auto"/>
        <w:left w:val="none" w:sz="0" w:space="0" w:color="auto"/>
        <w:bottom w:val="none" w:sz="0" w:space="0" w:color="auto"/>
        <w:right w:val="none" w:sz="0" w:space="0" w:color="auto"/>
      </w:divBdr>
    </w:div>
    <w:div w:id="1370178132">
      <w:bodyDiv w:val="1"/>
      <w:marLeft w:val="0"/>
      <w:marRight w:val="0"/>
      <w:marTop w:val="0"/>
      <w:marBottom w:val="0"/>
      <w:divBdr>
        <w:top w:val="none" w:sz="0" w:space="0" w:color="auto"/>
        <w:left w:val="none" w:sz="0" w:space="0" w:color="auto"/>
        <w:bottom w:val="none" w:sz="0" w:space="0" w:color="auto"/>
        <w:right w:val="none" w:sz="0" w:space="0" w:color="auto"/>
      </w:divBdr>
    </w:div>
    <w:div w:id="1383557893">
      <w:bodyDiv w:val="1"/>
      <w:marLeft w:val="0"/>
      <w:marRight w:val="0"/>
      <w:marTop w:val="0"/>
      <w:marBottom w:val="0"/>
      <w:divBdr>
        <w:top w:val="none" w:sz="0" w:space="0" w:color="auto"/>
        <w:left w:val="none" w:sz="0" w:space="0" w:color="auto"/>
        <w:bottom w:val="none" w:sz="0" w:space="0" w:color="auto"/>
        <w:right w:val="none" w:sz="0" w:space="0" w:color="auto"/>
      </w:divBdr>
    </w:div>
    <w:div w:id="1386442561">
      <w:bodyDiv w:val="1"/>
      <w:marLeft w:val="0"/>
      <w:marRight w:val="0"/>
      <w:marTop w:val="0"/>
      <w:marBottom w:val="0"/>
      <w:divBdr>
        <w:top w:val="none" w:sz="0" w:space="0" w:color="auto"/>
        <w:left w:val="none" w:sz="0" w:space="0" w:color="auto"/>
        <w:bottom w:val="none" w:sz="0" w:space="0" w:color="auto"/>
        <w:right w:val="none" w:sz="0" w:space="0" w:color="auto"/>
      </w:divBdr>
    </w:div>
    <w:div w:id="1388605661">
      <w:bodyDiv w:val="1"/>
      <w:marLeft w:val="0"/>
      <w:marRight w:val="0"/>
      <w:marTop w:val="0"/>
      <w:marBottom w:val="0"/>
      <w:divBdr>
        <w:top w:val="none" w:sz="0" w:space="0" w:color="auto"/>
        <w:left w:val="none" w:sz="0" w:space="0" w:color="auto"/>
        <w:bottom w:val="none" w:sz="0" w:space="0" w:color="auto"/>
        <w:right w:val="none" w:sz="0" w:space="0" w:color="auto"/>
      </w:divBdr>
    </w:div>
    <w:div w:id="1395201545">
      <w:bodyDiv w:val="1"/>
      <w:marLeft w:val="0"/>
      <w:marRight w:val="0"/>
      <w:marTop w:val="0"/>
      <w:marBottom w:val="0"/>
      <w:divBdr>
        <w:top w:val="none" w:sz="0" w:space="0" w:color="auto"/>
        <w:left w:val="none" w:sz="0" w:space="0" w:color="auto"/>
        <w:bottom w:val="none" w:sz="0" w:space="0" w:color="auto"/>
        <w:right w:val="none" w:sz="0" w:space="0" w:color="auto"/>
      </w:divBdr>
    </w:div>
    <w:div w:id="1399405875">
      <w:bodyDiv w:val="1"/>
      <w:marLeft w:val="0"/>
      <w:marRight w:val="0"/>
      <w:marTop w:val="0"/>
      <w:marBottom w:val="0"/>
      <w:divBdr>
        <w:top w:val="none" w:sz="0" w:space="0" w:color="auto"/>
        <w:left w:val="none" w:sz="0" w:space="0" w:color="auto"/>
        <w:bottom w:val="none" w:sz="0" w:space="0" w:color="auto"/>
        <w:right w:val="none" w:sz="0" w:space="0" w:color="auto"/>
      </w:divBdr>
    </w:div>
    <w:div w:id="1409960435">
      <w:bodyDiv w:val="1"/>
      <w:marLeft w:val="0"/>
      <w:marRight w:val="0"/>
      <w:marTop w:val="0"/>
      <w:marBottom w:val="0"/>
      <w:divBdr>
        <w:top w:val="none" w:sz="0" w:space="0" w:color="auto"/>
        <w:left w:val="none" w:sz="0" w:space="0" w:color="auto"/>
        <w:bottom w:val="none" w:sz="0" w:space="0" w:color="auto"/>
        <w:right w:val="none" w:sz="0" w:space="0" w:color="auto"/>
      </w:divBdr>
    </w:div>
    <w:div w:id="1418863302">
      <w:bodyDiv w:val="1"/>
      <w:marLeft w:val="0"/>
      <w:marRight w:val="0"/>
      <w:marTop w:val="0"/>
      <w:marBottom w:val="0"/>
      <w:divBdr>
        <w:top w:val="none" w:sz="0" w:space="0" w:color="auto"/>
        <w:left w:val="none" w:sz="0" w:space="0" w:color="auto"/>
        <w:bottom w:val="none" w:sz="0" w:space="0" w:color="auto"/>
        <w:right w:val="none" w:sz="0" w:space="0" w:color="auto"/>
      </w:divBdr>
    </w:div>
    <w:div w:id="1424449956">
      <w:bodyDiv w:val="1"/>
      <w:marLeft w:val="0"/>
      <w:marRight w:val="0"/>
      <w:marTop w:val="0"/>
      <w:marBottom w:val="0"/>
      <w:divBdr>
        <w:top w:val="none" w:sz="0" w:space="0" w:color="auto"/>
        <w:left w:val="none" w:sz="0" w:space="0" w:color="auto"/>
        <w:bottom w:val="none" w:sz="0" w:space="0" w:color="auto"/>
        <w:right w:val="none" w:sz="0" w:space="0" w:color="auto"/>
      </w:divBdr>
    </w:div>
    <w:div w:id="1427968145">
      <w:bodyDiv w:val="1"/>
      <w:marLeft w:val="0"/>
      <w:marRight w:val="0"/>
      <w:marTop w:val="0"/>
      <w:marBottom w:val="0"/>
      <w:divBdr>
        <w:top w:val="none" w:sz="0" w:space="0" w:color="auto"/>
        <w:left w:val="none" w:sz="0" w:space="0" w:color="auto"/>
        <w:bottom w:val="none" w:sz="0" w:space="0" w:color="auto"/>
        <w:right w:val="none" w:sz="0" w:space="0" w:color="auto"/>
      </w:divBdr>
    </w:div>
    <w:div w:id="1428188865">
      <w:bodyDiv w:val="1"/>
      <w:marLeft w:val="0"/>
      <w:marRight w:val="0"/>
      <w:marTop w:val="0"/>
      <w:marBottom w:val="0"/>
      <w:divBdr>
        <w:top w:val="none" w:sz="0" w:space="0" w:color="auto"/>
        <w:left w:val="none" w:sz="0" w:space="0" w:color="auto"/>
        <w:bottom w:val="none" w:sz="0" w:space="0" w:color="auto"/>
        <w:right w:val="none" w:sz="0" w:space="0" w:color="auto"/>
      </w:divBdr>
    </w:div>
    <w:div w:id="1435250781">
      <w:bodyDiv w:val="1"/>
      <w:marLeft w:val="0"/>
      <w:marRight w:val="0"/>
      <w:marTop w:val="0"/>
      <w:marBottom w:val="0"/>
      <w:divBdr>
        <w:top w:val="none" w:sz="0" w:space="0" w:color="auto"/>
        <w:left w:val="none" w:sz="0" w:space="0" w:color="auto"/>
        <w:bottom w:val="none" w:sz="0" w:space="0" w:color="auto"/>
        <w:right w:val="none" w:sz="0" w:space="0" w:color="auto"/>
      </w:divBdr>
    </w:div>
    <w:div w:id="1436441786">
      <w:bodyDiv w:val="1"/>
      <w:marLeft w:val="0"/>
      <w:marRight w:val="0"/>
      <w:marTop w:val="0"/>
      <w:marBottom w:val="0"/>
      <w:divBdr>
        <w:top w:val="none" w:sz="0" w:space="0" w:color="auto"/>
        <w:left w:val="none" w:sz="0" w:space="0" w:color="auto"/>
        <w:bottom w:val="none" w:sz="0" w:space="0" w:color="auto"/>
        <w:right w:val="none" w:sz="0" w:space="0" w:color="auto"/>
      </w:divBdr>
    </w:div>
    <w:div w:id="1442073461">
      <w:bodyDiv w:val="1"/>
      <w:marLeft w:val="0"/>
      <w:marRight w:val="0"/>
      <w:marTop w:val="0"/>
      <w:marBottom w:val="0"/>
      <w:divBdr>
        <w:top w:val="none" w:sz="0" w:space="0" w:color="auto"/>
        <w:left w:val="none" w:sz="0" w:space="0" w:color="auto"/>
        <w:bottom w:val="none" w:sz="0" w:space="0" w:color="auto"/>
        <w:right w:val="none" w:sz="0" w:space="0" w:color="auto"/>
      </w:divBdr>
    </w:div>
    <w:div w:id="1442650904">
      <w:bodyDiv w:val="1"/>
      <w:marLeft w:val="0"/>
      <w:marRight w:val="0"/>
      <w:marTop w:val="0"/>
      <w:marBottom w:val="0"/>
      <w:divBdr>
        <w:top w:val="none" w:sz="0" w:space="0" w:color="auto"/>
        <w:left w:val="none" w:sz="0" w:space="0" w:color="auto"/>
        <w:bottom w:val="none" w:sz="0" w:space="0" w:color="auto"/>
        <w:right w:val="none" w:sz="0" w:space="0" w:color="auto"/>
      </w:divBdr>
    </w:div>
    <w:div w:id="1448501892">
      <w:bodyDiv w:val="1"/>
      <w:marLeft w:val="0"/>
      <w:marRight w:val="0"/>
      <w:marTop w:val="0"/>
      <w:marBottom w:val="0"/>
      <w:divBdr>
        <w:top w:val="none" w:sz="0" w:space="0" w:color="auto"/>
        <w:left w:val="none" w:sz="0" w:space="0" w:color="auto"/>
        <w:bottom w:val="none" w:sz="0" w:space="0" w:color="auto"/>
        <w:right w:val="none" w:sz="0" w:space="0" w:color="auto"/>
      </w:divBdr>
    </w:div>
    <w:div w:id="1449350112">
      <w:bodyDiv w:val="1"/>
      <w:marLeft w:val="0"/>
      <w:marRight w:val="0"/>
      <w:marTop w:val="0"/>
      <w:marBottom w:val="0"/>
      <w:divBdr>
        <w:top w:val="none" w:sz="0" w:space="0" w:color="auto"/>
        <w:left w:val="none" w:sz="0" w:space="0" w:color="auto"/>
        <w:bottom w:val="none" w:sz="0" w:space="0" w:color="auto"/>
        <w:right w:val="none" w:sz="0" w:space="0" w:color="auto"/>
      </w:divBdr>
    </w:div>
    <w:div w:id="1454133986">
      <w:bodyDiv w:val="1"/>
      <w:marLeft w:val="0"/>
      <w:marRight w:val="0"/>
      <w:marTop w:val="0"/>
      <w:marBottom w:val="0"/>
      <w:divBdr>
        <w:top w:val="none" w:sz="0" w:space="0" w:color="auto"/>
        <w:left w:val="none" w:sz="0" w:space="0" w:color="auto"/>
        <w:bottom w:val="none" w:sz="0" w:space="0" w:color="auto"/>
        <w:right w:val="none" w:sz="0" w:space="0" w:color="auto"/>
      </w:divBdr>
    </w:div>
    <w:div w:id="1465155032">
      <w:bodyDiv w:val="1"/>
      <w:marLeft w:val="0"/>
      <w:marRight w:val="0"/>
      <w:marTop w:val="0"/>
      <w:marBottom w:val="0"/>
      <w:divBdr>
        <w:top w:val="none" w:sz="0" w:space="0" w:color="auto"/>
        <w:left w:val="none" w:sz="0" w:space="0" w:color="auto"/>
        <w:bottom w:val="none" w:sz="0" w:space="0" w:color="auto"/>
        <w:right w:val="none" w:sz="0" w:space="0" w:color="auto"/>
      </w:divBdr>
      <w:divsChild>
        <w:div w:id="739408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445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8666264">
      <w:bodyDiv w:val="1"/>
      <w:marLeft w:val="0"/>
      <w:marRight w:val="0"/>
      <w:marTop w:val="0"/>
      <w:marBottom w:val="0"/>
      <w:divBdr>
        <w:top w:val="none" w:sz="0" w:space="0" w:color="auto"/>
        <w:left w:val="none" w:sz="0" w:space="0" w:color="auto"/>
        <w:bottom w:val="none" w:sz="0" w:space="0" w:color="auto"/>
        <w:right w:val="none" w:sz="0" w:space="0" w:color="auto"/>
      </w:divBdr>
    </w:div>
    <w:div w:id="1471628095">
      <w:bodyDiv w:val="1"/>
      <w:marLeft w:val="0"/>
      <w:marRight w:val="0"/>
      <w:marTop w:val="0"/>
      <w:marBottom w:val="0"/>
      <w:divBdr>
        <w:top w:val="none" w:sz="0" w:space="0" w:color="auto"/>
        <w:left w:val="none" w:sz="0" w:space="0" w:color="auto"/>
        <w:bottom w:val="none" w:sz="0" w:space="0" w:color="auto"/>
        <w:right w:val="none" w:sz="0" w:space="0" w:color="auto"/>
      </w:divBdr>
    </w:div>
    <w:div w:id="1473330325">
      <w:bodyDiv w:val="1"/>
      <w:marLeft w:val="0"/>
      <w:marRight w:val="0"/>
      <w:marTop w:val="0"/>
      <w:marBottom w:val="0"/>
      <w:divBdr>
        <w:top w:val="none" w:sz="0" w:space="0" w:color="auto"/>
        <w:left w:val="none" w:sz="0" w:space="0" w:color="auto"/>
        <w:bottom w:val="none" w:sz="0" w:space="0" w:color="auto"/>
        <w:right w:val="none" w:sz="0" w:space="0" w:color="auto"/>
      </w:divBdr>
    </w:div>
    <w:div w:id="1476800466">
      <w:bodyDiv w:val="1"/>
      <w:marLeft w:val="0"/>
      <w:marRight w:val="0"/>
      <w:marTop w:val="0"/>
      <w:marBottom w:val="0"/>
      <w:divBdr>
        <w:top w:val="none" w:sz="0" w:space="0" w:color="auto"/>
        <w:left w:val="none" w:sz="0" w:space="0" w:color="auto"/>
        <w:bottom w:val="none" w:sz="0" w:space="0" w:color="auto"/>
        <w:right w:val="none" w:sz="0" w:space="0" w:color="auto"/>
      </w:divBdr>
    </w:div>
    <w:div w:id="1479953401">
      <w:bodyDiv w:val="1"/>
      <w:marLeft w:val="0"/>
      <w:marRight w:val="0"/>
      <w:marTop w:val="0"/>
      <w:marBottom w:val="0"/>
      <w:divBdr>
        <w:top w:val="none" w:sz="0" w:space="0" w:color="auto"/>
        <w:left w:val="none" w:sz="0" w:space="0" w:color="auto"/>
        <w:bottom w:val="none" w:sz="0" w:space="0" w:color="auto"/>
        <w:right w:val="none" w:sz="0" w:space="0" w:color="auto"/>
      </w:divBdr>
    </w:div>
    <w:div w:id="1482500093">
      <w:bodyDiv w:val="1"/>
      <w:marLeft w:val="0"/>
      <w:marRight w:val="0"/>
      <w:marTop w:val="0"/>
      <w:marBottom w:val="0"/>
      <w:divBdr>
        <w:top w:val="none" w:sz="0" w:space="0" w:color="auto"/>
        <w:left w:val="none" w:sz="0" w:space="0" w:color="auto"/>
        <w:bottom w:val="none" w:sz="0" w:space="0" w:color="auto"/>
        <w:right w:val="none" w:sz="0" w:space="0" w:color="auto"/>
      </w:divBdr>
    </w:div>
    <w:div w:id="1495992994">
      <w:bodyDiv w:val="1"/>
      <w:marLeft w:val="0"/>
      <w:marRight w:val="0"/>
      <w:marTop w:val="0"/>
      <w:marBottom w:val="0"/>
      <w:divBdr>
        <w:top w:val="none" w:sz="0" w:space="0" w:color="auto"/>
        <w:left w:val="none" w:sz="0" w:space="0" w:color="auto"/>
        <w:bottom w:val="none" w:sz="0" w:space="0" w:color="auto"/>
        <w:right w:val="none" w:sz="0" w:space="0" w:color="auto"/>
      </w:divBdr>
    </w:div>
    <w:div w:id="1502039011">
      <w:bodyDiv w:val="1"/>
      <w:marLeft w:val="0"/>
      <w:marRight w:val="0"/>
      <w:marTop w:val="0"/>
      <w:marBottom w:val="0"/>
      <w:divBdr>
        <w:top w:val="none" w:sz="0" w:space="0" w:color="auto"/>
        <w:left w:val="none" w:sz="0" w:space="0" w:color="auto"/>
        <w:bottom w:val="none" w:sz="0" w:space="0" w:color="auto"/>
        <w:right w:val="none" w:sz="0" w:space="0" w:color="auto"/>
      </w:divBdr>
    </w:div>
    <w:div w:id="1509103883">
      <w:bodyDiv w:val="1"/>
      <w:marLeft w:val="0"/>
      <w:marRight w:val="0"/>
      <w:marTop w:val="0"/>
      <w:marBottom w:val="0"/>
      <w:divBdr>
        <w:top w:val="none" w:sz="0" w:space="0" w:color="auto"/>
        <w:left w:val="none" w:sz="0" w:space="0" w:color="auto"/>
        <w:bottom w:val="none" w:sz="0" w:space="0" w:color="auto"/>
        <w:right w:val="none" w:sz="0" w:space="0" w:color="auto"/>
      </w:divBdr>
    </w:div>
    <w:div w:id="1514108854">
      <w:bodyDiv w:val="1"/>
      <w:marLeft w:val="0"/>
      <w:marRight w:val="0"/>
      <w:marTop w:val="0"/>
      <w:marBottom w:val="0"/>
      <w:divBdr>
        <w:top w:val="none" w:sz="0" w:space="0" w:color="auto"/>
        <w:left w:val="none" w:sz="0" w:space="0" w:color="auto"/>
        <w:bottom w:val="none" w:sz="0" w:space="0" w:color="auto"/>
        <w:right w:val="none" w:sz="0" w:space="0" w:color="auto"/>
      </w:divBdr>
    </w:div>
    <w:div w:id="1515411563">
      <w:bodyDiv w:val="1"/>
      <w:marLeft w:val="0"/>
      <w:marRight w:val="0"/>
      <w:marTop w:val="0"/>
      <w:marBottom w:val="0"/>
      <w:divBdr>
        <w:top w:val="none" w:sz="0" w:space="0" w:color="auto"/>
        <w:left w:val="none" w:sz="0" w:space="0" w:color="auto"/>
        <w:bottom w:val="none" w:sz="0" w:space="0" w:color="auto"/>
        <w:right w:val="none" w:sz="0" w:space="0" w:color="auto"/>
      </w:divBdr>
    </w:div>
    <w:div w:id="1517841842">
      <w:bodyDiv w:val="1"/>
      <w:marLeft w:val="0"/>
      <w:marRight w:val="0"/>
      <w:marTop w:val="0"/>
      <w:marBottom w:val="0"/>
      <w:divBdr>
        <w:top w:val="none" w:sz="0" w:space="0" w:color="auto"/>
        <w:left w:val="none" w:sz="0" w:space="0" w:color="auto"/>
        <w:bottom w:val="none" w:sz="0" w:space="0" w:color="auto"/>
        <w:right w:val="none" w:sz="0" w:space="0" w:color="auto"/>
      </w:divBdr>
    </w:div>
    <w:div w:id="1521118525">
      <w:bodyDiv w:val="1"/>
      <w:marLeft w:val="0"/>
      <w:marRight w:val="0"/>
      <w:marTop w:val="0"/>
      <w:marBottom w:val="0"/>
      <w:divBdr>
        <w:top w:val="none" w:sz="0" w:space="0" w:color="auto"/>
        <w:left w:val="none" w:sz="0" w:space="0" w:color="auto"/>
        <w:bottom w:val="none" w:sz="0" w:space="0" w:color="auto"/>
        <w:right w:val="none" w:sz="0" w:space="0" w:color="auto"/>
      </w:divBdr>
    </w:div>
    <w:div w:id="1524437173">
      <w:bodyDiv w:val="1"/>
      <w:marLeft w:val="0"/>
      <w:marRight w:val="0"/>
      <w:marTop w:val="0"/>
      <w:marBottom w:val="0"/>
      <w:divBdr>
        <w:top w:val="none" w:sz="0" w:space="0" w:color="auto"/>
        <w:left w:val="none" w:sz="0" w:space="0" w:color="auto"/>
        <w:bottom w:val="none" w:sz="0" w:space="0" w:color="auto"/>
        <w:right w:val="none" w:sz="0" w:space="0" w:color="auto"/>
      </w:divBdr>
    </w:div>
    <w:div w:id="1527014124">
      <w:bodyDiv w:val="1"/>
      <w:marLeft w:val="0"/>
      <w:marRight w:val="0"/>
      <w:marTop w:val="0"/>
      <w:marBottom w:val="0"/>
      <w:divBdr>
        <w:top w:val="none" w:sz="0" w:space="0" w:color="auto"/>
        <w:left w:val="none" w:sz="0" w:space="0" w:color="auto"/>
        <w:bottom w:val="none" w:sz="0" w:space="0" w:color="auto"/>
        <w:right w:val="none" w:sz="0" w:space="0" w:color="auto"/>
      </w:divBdr>
    </w:div>
    <w:div w:id="1527598325">
      <w:bodyDiv w:val="1"/>
      <w:marLeft w:val="0"/>
      <w:marRight w:val="0"/>
      <w:marTop w:val="0"/>
      <w:marBottom w:val="0"/>
      <w:divBdr>
        <w:top w:val="none" w:sz="0" w:space="0" w:color="auto"/>
        <w:left w:val="none" w:sz="0" w:space="0" w:color="auto"/>
        <w:bottom w:val="none" w:sz="0" w:space="0" w:color="auto"/>
        <w:right w:val="none" w:sz="0" w:space="0" w:color="auto"/>
      </w:divBdr>
    </w:div>
    <w:div w:id="1540899535">
      <w:bodyDiv w:val="1"/>
      <w:marLeft w:val="0"/>
      <w:marRight w:val="0"/>
      <w:marTop w:val="0"/>
      <w:marBottom w:val="0"/>
      <w:divBdr>
        <w:top w:val="none" w:sz="0" w:space="0" w:color="auto"/>
        <w:left w:val="none" w:sz="0" w:space="0" w:color="auto"/>
        <w:bottom w:val="none" w:sz="0" w:space="0" w:color="auto"/>
        <w:right w:val="none" w:sz="0" w:space="0" w:color="auto"/>
      </w:divBdr>
    </w:div>
    <w:div w:id="1541893787">
      <w:bodyDiv w:val="1"/>
      <w:marLeft w:val="0"/>
      <w:marRight w:val="0"/>
      <w:marTop w:val="0"/>
      <w:marBottom w:val="0"/>
      <w:divBdr>
        <w:top w:val="none" w:sz="0" w:space="0" w:color="auto"/>
        <w:left w:val="none" w:sz="0" w:space="0" w:color="auto"/>
        <w:bottom w:val="none" w:sz="0" w:space="0" w:color="auto"/>
        <w:right w:val="none" w:sz="0" w:space="0" w:color="auto"/>
      </w:divBdr>
    </w:div>
    <w:div w:id="1543058788">
      <w:bodyDiv w:val="1"/>
      <w:marLeft w:val="0"/>
      <w:marRight w:val="0"/>
      <w:marTop w:val="0"/>
      <w:marBottom w:val="0"/>
      <w:divBdr>
        <w:top w:val="none" w:sz="0" w:space="0" w:color="auto"/>
        <w:left w:val="none" w:sz="0" w:space="0" w:color="auto"/>
        <w:bottom w:val="none" w:sz="0" w:space="0" w:color="auto"/>
        <w:right w:val="none" w:sz="0" w:space="0" w:color="auto"/>
      </w:divBdr>
    </w:div>
    <w:div w:id="1546874153">
      <w:bodyDiv w:val="1"/>
      <w:marLeft w:val="0"/>
      <w:marRight w:val="0"/>
      <w:marTop w:val="0"/>
      <w:marBottom w:val="0"/>
      <w:divBdr>
        <w:top w:val="none" w:sz="0" w:space="0" w:color="auto"/>
        <w:left w:val="none" w:sz="0" w:space="0" w:color="auto"/>
        <w:bottom w:val="none" w:sz="0" w:space="0" w:color="auto"/>
        <w:right w:val="none" w:sz="0" w:space="0" w:color="auto"/>
      </w:divBdr>
      <w:divsChild>
        <w:div w:id="865942338">
          <w:marLeft w:val="0"/>
          <w:marRight w:val="0"/>
          <w:marTop w:val="0"/>
          <w:marBottom w:val="0"/>
          <w:divBdr>
            <w:top w:val="none" w:sz="0" w:space="0" w:color="auto"/>
            <w:left w:val="none" w:sz="0" w:space="0" w:color="auto"/>
            <w:bottom w:val="none" w:sz="0" w:space="0" w:color="auto"/>
            <w:right w:val="none" w:sz="0" w:space="0" w:color="auto"/>
          </w:divBdr>
          <w:divsChild>
            <w:div w:id="1904287918">
              <w:marLeft w:val="0"/>
              <w:marRight w:val="0"/>
              <w:marTop w:val="0"/>
              <w:marBottom w:val="0"/>
              <w:divBdr>
                <w:top w:val="none" w:sz="0" w:space="0" w:color="auto"/>
                <w:left w:val="none" w:sz="0" w:space="0" w:color="auto"/>
                <w:bottom w:val="none" w:sz="0" w:space="0" w:color="auto"/>
                <w:right w:val="none" w:sz="0" w:space="0" w:color="auto"/>
              </w:divBdr>
              <w:divsChild>
                <w:div w:id="996689281">
                  <w:marLeft w:val="0"/>
                  <w:marRight w:val="0"/>
                  <w:marTop w:val="0"/>
                  <w:marBottom w:val="0"/>
                  <w:divBdr>
                    <w:top w:val="none" w:sz="0" w:space="0" w:color="auto"/>
                    <w:left w:val="none" w:sz="0" w:space="0" w:color="auto"/>
                    <w:bottom w:val="none" w:sz="0" w:space="0" w:color="auto"/>
                    <w:right w:val="none" w:sz="0" w:space="0" w:color="auto"/>
                  </w:divBdr>
                  <w:divsChild>
                    <w:div w:id="710426326">
                      <w:marLeft w:val="0"/>
                      <w:marRight w:val="0"/>
                      <w:marTop w:val="0"/>
                      <w:marBottom w:val="0"/>
                      <w:divBdr>
                        <w:top w:val="none" w:sz="0" w:space="0" w:color="auto"/>
                        <w:left w:val="none" w:sz="0" w:space="0" w:color="auto"/>
                        <w:bottom w:val="none" w:sz="0" w:space="0" w:color="auto"/>
                        <w:right w:val="none" w:sz="0" w:space="0" w:color="auto"/>
                      </w:divBdr>
                      <w:divsChild>
                        <w:div w:id="1996831602">
                          <w:marLeft w:val="0"/>
                          <w:marRight w:val="0"/>
                          <w:marTop w:val="0"/>
                          <w:marBottom w:val="0"/>
                          <w:divBdr>
                            <w:top w:val="none" w:sz="0" w:space="0" w:color="auto"/>
                            <w:left w:val="none" w:sz="0" w:space="0" w:color="auto"/>
                            <w:bottom w:val="none" w:sz="0" w:space="0" w:color="auto"/>
                            <w:right w:val="none" w:sz="0" w:space="0" w:color="auto"/>
                          </w:divBdr>
                          <w:divsChild>
                            <w:div w:id="985743277">
                              <w:marLeft w:val="0"/>
                              <w:marRight w:val="0"/>
                              <w:marTop w:val="0"/>
                              <w:marBottom w:val="0"/>
                              <w:divBdr>
                                <w:top w:val="none" w:sz="0" w:space="0" w:color="auto"/>
                                <w:left w:val="none" w:sz="0" w:space="0" w:color="auto"/>
                                <w:bottom w:val="none" w:sz="0" w:space="0" w:color="auto"/>
                                <w:right w:val="none" w:sz="0" w:space="0" w:color="auto"/>
                              </w:divBdr>
                              <w:divsChild>
                                <w:div w:id="841168661">
                                  <w:marLeft w:val="0"/>
                                  <w:marRight w:val="0"/>
                                  <w:marTop w:val="0"/>
                                  <w:marBottom w:val="0"/>
                                  <w:divBdr>
                                    <w:top w:val="none" w:sz="0" w:space="0" w:color="auto"/>
                                    <w:left w:val="none" w:sz="0" w:space="0" w:color="auto"/>
                                    <w:bottom w:val="none" w:sz="0" w:space="0" w:color="auto"/>
                                    <w:right w:val="none" w:sz="0" w:space="0" w:color="auto"/>
                                  </w:divBdr>
                                  <w:divsChild>
                                    <w:div w:id="266232767">
                                      <w:marLeft w:val="0"/>
                                      <w:marRight w:val="0"/>
                                      <w:marTop w:val="0"/>
                                      <w:marBottom w:val="0"/>
                                      <w:divBdr>
                                        <w:top w:val="none" w:sz="0" w:space="0" w:color="auto"/>
                                        <w:left w:val="none" w:sz="0" w:space="0" w:color="auto"/>
                                        <w:bottom w:val="none" w:sz="0" w:space="0" w:color="auto"/>
                                        <w:right w:val="none" w:sz="0" w:space="0" w:color="auto"/>
                                      </w:divBdr>
                                      <w:divsChild>
                                        <w:div w:id="973294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644537">
      <w:bodyDiv w:val="1"/>
      <w:marLeft w:val="0"/>
      <w:marRight w:val="0"/>
      <w:marTop w:val="0"/>
      <w:marBottom w:val="0"/>
      <w:divBdr>
        <w:top w:val="none" w:sz="0" w:space="0" w:color="auto"/>
        <w:left w:val="none" w:sz="0" w:space="0" w:color="auto"/>
        <w:bottom w:val="none" w:sz="0" w:space="0" w:color="auto"/>
        <w:right w:val="none" w:sz="0" w:space="0" w:color="auto"/>
      </w:divBdr>
    </w:div>
    <w:div w:id="1550416624">
      <w:bodyDiv w:val="1"/>
      <w:marLeft w:val="0"/>
      <w:marRight w:val="0"/>
      <w:marTop w:val="0"/>
      <w:marBottom w:val="0"/>
      <w:divBdr>
        <w:top w:val="none" w:sz="0" w:space="0" w:color="auto"/>
        <w:left w:val="none" w:sz="0" w:space="0" w:color="auto"/>
        <w:bottom w:val="none" w:sz="0" w:space="0" w:color="auto"/>
        <w:right w:val="none" w:sz="0" w:space="0" w:color="auto"/>
      </w:divBdr>
    </w:div>
    <w:div w:id="1554657332">
      <w:bodyDiv w:val="1"/>
      <w:marLeft w:val="0"/>
      <w:marRight w:val="0"/>
      <w:marTop w:val="0"/>
      <w:marBottom w:val="0"/>
      <w:divBdr>
        <w:top w:val="none" w:sz="0" w:space="0" w:color="auto"/>
        <w:left w:val="none" w:sz="0" w:space="0" w:color="auto"/>
        <w:bottom w:val="none" w:sz="0" w:space="0" w:color="auto"/>
        <w:right w:val="none" w:sz="0" w:space="0" w:color="auto"/>
      </w:divBdr>
    </w:div>
    <w:div w:id="1555240428">
      <w:bodyDiv w:val="1"/>
      <w:marLeft w:val="0"/>
      <w:marRight w:val="0"/>
      <w:marTop w:val="0"/>
      <w:marBottom w:val="0"/>
      <w:divBdr>
        <w:top w:val="none" w:sz="0" w:space="0" w:color="auto"/>
        <w:left w:val="none" w:sz="0" w:space="0" w:color="auto"/>
        <w:bottom w:val="none" w:sz="0" w:space="0" w:color="auto"/>
        <w:right w:val="none" w:sz="0" w:space="0" w:color="auto"/>
      </w:divBdr>
      <w:divsChild>
        <w:div w:id="1003239524">
          <w:marLeft w:val="0"/>
          <w:marRight w:val="0"/>
          <w:marTop w:val="0"/>
          <w:marBottom w:val="0"/>
          <w:divBdr>
            <w:top w:val="none" w:sz="0" w:space="0" w:color="auto"/>
            <w:left w:val="none" w:sz="0" w:space="0" w:color="auto"/>
            <w:bottom w:val="none" w:sz="0" w:space="0" w:color="auto"/>
            <w:right w:val="none" w:sz="0" w:space="0" w:color="auto"/>
          </w:divBdr>
          <w:divsChild>
            <w:div w:id="13716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15155">
      <w:bodyDiv w:val="1"/>
      <w:marLeft w:val="0"/>
      <w:marRight w:val="0"/>
      <w:marTop w:val="0"/>
      <w:marBottom w:val="0"/>
      <w:divBdr>
        <w:top w:val="none" w:sz="0" w:space="0" w:color="auto"/>
        <w:left w:val="none" w:sz="0" w:space="0" w:color="auto"/>
        <w:bottom w:val="none" w:sz="0" w:space="0" w:color="auto"/>
        <w:right w:val="none" w:sz="0" w:space="0" w:color="auto"/>
      </w:divBdr>
    </w:div>
    <w:div w:id="1557935025">
      <w:bodyDiv w:val="1"/>
      <w:marLeft w:val="0"/>
      <w:marRight w:val="0"/>
      <w:marTop w:val="0"/>
      <w:marBottom w:val="0"/>
      <w:divBdr>
        <w:top w:val="none" w:sz="0" w:space="0" w:color="auto"/>
        <w:left w:val="none" w:sz="0" w:space="0" w:color="auto"/>
        <w:bottom w:val="none" w:sz="0" w:space="0" w:color="auto"/>
        <w:right w:val="none" w:sz="0" w:space="0" w:color="auto"/>
      </w:divBdr>
    </w:div>
    <w:div w:id="1565525655">
      <w:bodyDiv w:val="1"/>
      <w:marLeft w:val="0"/>
      <w:marRight w:val="0"/>
      <w:marTop w:val="0"/>
      <w:marBottom w:val="0"/>
      <w:divBdr>
        <w:top w:val="none" w:sz="0" w:space="0" w:color="auto"/>
        <w:left w:val="none" w:sz="0" w:space="0" w:color="auto"/>
        <w:bottom w:val="none" w:sz="0" w:space="0" w:color="auto"/>
        <w:right w:val="none" w:sz="0" w:space="0" w:color="auto"/>
      </w:divBdr>
    </w:div>
    <w:div w:id="1566523085">
      <w:bodyDiv w:val="1"/>
      <w:marLeft w:val="0"/>
      <w:marRight w:val="0"/>
      <w:marTop w:val="0"/>
      <w:marBottom w:val="0"/>
      <w:divBdr>
        <w:top w:val="none" w:sz="0" w:space="0" w:color="auto"/>
        <w:left w:val="none" w:sz="0" w:space="0" w:color="auto"/>
        <w:bottom w:val="none" w:sz="0" w:space="0" w:color="auto"/>
        <w:right w:val="none" w:sz="0" w:space="0" w:color="auto"/>
      </w:divBdr>
    </w:div>
    <w:div w:id="1567179033">
      <w:bodyDiv w:val="1"/>
      <w:marLeft w:val="0"/>
      <w:marRight w:val="0"/>
      <w:marTop w:val="0"/>
      <w:marBottom w:val="0"/>
      <w:divBdr>
        <w:top w:val="none" w:sz="0" w:space="0" w:color="auto"/>
        <w:left w:val="none" w:sz="0" w:space="0" w:color="auto"/>
        <w:bottom w:val="none" w:sz="0" w:space="0" w:color="auto"/>
        <w:right w:val="none" w:sz="0" w:space="0" w:color="auto"/>
      </w:divBdr>
    </w:div>
    <w:div w:id="1568615749">
      <w:bodyDiv w:val="1"/>
      <w:marLeft w:val="0"/>
      <w:marRight w:val="0"/>
      <w:marTop w:val="0"/>
      <w:marBottom w:val="0"/>
      <w:divBdr>
        <w:top w:val="none" w:sz="0" w:space="0" w:color="auto"/>
        <w:left w:val="none" w:sz="0" w:space="0" w:color="auto"/>
        <w:bottom w:val="none" w:sz="0" w:space="0" w:color="auto"/>
        <w:right w:val="none" w:sz="0" w:space="0" w:color="auto"/>
      </w:divBdr>
    </w:div>
    <w:div w:id="1570965834">
      <w:bodyDiv w:val="1"/>
      <w:marLeft w:val="0"/>
      <w:marRight w:val="0"/>
      <w:marTop w:val="0"/>
      <w:marBottom w:val="0"/>
      <w:divBdr>
        <w:top w:val="none" w:sz="0" w:space="0" w:color="auto"/>
        <w:left w:val="none" w:sz="0" w:space="0" w:color="auto"/>
        <w:bottom w:val="none" w:sz="0" w:space="0" w:color="auto"/>
        <w:right w:val="none" w:sz="0" w:space="0" w:color="auto"/>
      </w:divBdr>
    </w:div>
    <w:div w:id="1573351857">
      <w:bodyDiv w:val="1"/>
      <w:marLeft w:val="0"/>
      <w:marRight w:val="0"/>
      <w:marTop w:val="0"/>
      <w:marBottom w:val="0"/>
      <w:divBdr>
        <w:top w:val="none" w:sz="0" w:space="0" w:color="auto"/>
        <w:left w:val="none" w:sz="0" w:space="0" w:color="auto"/>
        <w:bottom w:val="none" w:sz="0" w:space="0" w:color="auto"/>
        <w:right w:val="none" w:sz="0" w:space="0" w:color="auto"/>
      </w:divBdr>
      <w:divsChild>
        <w:div w:id="1112169868">
          <w:marLeft w:val="0"/>
          <w:marRight w:val="0"/>
          <w:marTop w:val="0"/>
          <w:marBottom w:val="0"/>
          <w:divBdr>
            <w:top w:val="none" w:sz="0" w:space="0" w:color="auto"/>
            <w:left w:val="none" w:sz="0" w:space="0" w:color="auto"/>
            <w:bottom w:val="none" w:sz="0" w:space="0" w:color="auto"/>
            <w:right w:val="none" w:sz="0" w:space="0" w:color="auto"/>
          </w:divBdr>
          <w:divsChild>
            <w:div w:id="1570653657">
              <w:marLeft w:val="0"/>
              <w:marRight w:val="0"/>
              <w:marTop w:val="0"/>
              <w:marBottom w:val="0"/>
              <w:divBdr>
                <w:top w:val="none" w:sz="0" w:space="0" w:color="auto"/>
                <w:left w:val="none" w:sz="0" w:space="0" w:color="auto"/>
                <w:bottom w:val="none" w:sz="0" w:space="0" w:color="auto"/>
                <w:right w:val="none" w:sz="0" w:space="0" w:color="auto"/>
              </w:divBdr>
              <w:divsChild>
                <w:div w:id="7929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88870">
      <w:bodyDiv w:val="1"/>
      <w:marLeft w:val="0"/>
      <w:marRight w:val="0"/>
      <w:marTop w:val="0"/>
      <w:marBottom w:val="0"/>
      <w:divBdr>
        <w:top w:val="none" w:sz="0" w:space="0" w:color="auto"/>
        <w:left w:val="none" w:sz="0" w:space="0" w:color="auto"/>
        <w:bottom w:val="none" w:sz="0" w:space="0" w:color="auto"/>
        <w:right w:val="none" w:sz="0" w:space="0" w:color="auto"/>
      </w:divBdr>
    </w:div>
    <w:div w:id="1579049034">
      <w:bodyDiv w:val="1"/>
      <w:marLeft w:val="0"/>
      <w:marRight w:val="0"/>
      <w:marTop w:val="0"/>
      <w:marBottom w:val="0"/>
      <w:divBdr>
        <w:top w:val="none" w:sz="0" w:space="0" w:color="auto"/>
        <w:left w:val="none" w:sz="0" w:space="0" w:color="auto"/>
        <w:bottom w:val="none" w:sz="0" w:space="0" w:color="auto"/>
        <w:right w:val="none" w:sz="0" w:space="0" w:color="auto"/>
      </w:divBdr>
    </w:div>
    <w:div w:id="1585334587">
      <w:bodyDiv w:val="1"/>
      <w:marLeft w:val="0"/>
      <w:marRight w:val="0"/>
      <w:marTop w:val="0"/>
      <w:marBottom w:val="0"/>
      <w:divBdr>
        <w:top w:val="none" w:sz="0" w:space="0" w:color="auto"/>
        <w:left w:val="none" w:sz="0" w:space="0" w:color="auto"/>
        <w:bottom w:val="none" w:sz="0" w:space="0" w:color="auto"/>
        <w:right w:val="none" w:sz="0" w:space="0" w:color="auto"/>
      </w:divBdr>
    </w:div>
    <w:div w:id="1586180639">
      <w:bodyDiv w:val="1"/>
      <w:marLeft w:val="0"/>
      <w:marRight w:val="0"/>
      <w:marTop w:val="0"/>
      <w:marBottom w:val="0"/>
      <w:divBdr>
        <w:top w:val="none" w:sz="0" w:space="0" w:color="auto"/>
        <w:left w:val="none" w:sz="0" w:space="0" w:color="auto"/>
        <w:bottom w:val="none" w:sz="0" w:space="0" w:color="auto"/>
        <w:right w:val="none" w:sz="0" w:space="0" w:color="auto"/>
      </w:divBdr>
    </w:div>
    <w:div w:id="1586574212">
      <w:bodyDiv w:val="1"/>
      <w:marLeft w:val="0"/>
      <w:marRight w:val="0"/>
      <w:marTop w:val="0"/>
      <w:marBottom w:val="0"/>
      <w:divBdr>
        <w:top w:val="none" w:sz="0" w:space="0" w:color="auto"/>
        <w:left w:val="none" w:sz="0" w:space="0" w:color="auto"/>
        <w:bottom w:val="none" w:sz="0" w:space="0" w:color="auto"/>
        <w:right w:val="none" w:sz="0" w:space="0" w:color="auto"/>
      </w:divBdr>
    </w:div>
    <w:div w:id="1598099972">
      <w:bodyDiv w:val="1"/>
      <w:marLeft w:val="0"/>
      <w:marRight w:val="0"/>
      <w:marTop w:val="0"/>
      <w:marBottom w:val="0"/>
      <w:divBdr>
        <w:top w:val="none" w:sz="0" w:space="0" w:color="auto"/>
        <w:left w:val="none" w:sz="0" w:space="0" w:color="auto"/>
        <w:bottom w:val="none" w:sz="0" w:space="0" w:color="auto"/>
        <w:right w:val="none" w:sz="0" w:space="0" w:color="auto"/>
      </w:divBdr>
      <w:divsChild>
        <w:div w:id="40978423">
          <w:marLeft w:val="0"/>
          <w:marRight w:val="0"/>
          <w:marTop w:val="0"/>
          <w:marBottom w:val="0"/>
          <w:divBdr>
            <w:top w:val="none" w:sz="0" w:space="0" w:color="auto"/>
            <w:left w:val="none" w:sz="0" w:space="0" w:color="auto"/>
            <w:bottom w:val="none" w:sz="0" w:space="0" w:color="auto"/>
            <w:right w:val="none" w:sz="0" w:space="0" w:color="auto"/>
          </w:divBdr>
          <w:divsChild>
            <w:div w:id="91455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4404">
      <w:bodyDiv w:val="1"/>
      <w:marLeft w:val="0"/>
      <w:marRight w:val="0"/>
      <w:marTop w:val="0"/>
      <w:marBottom w:val="0"/>
      <w:divBdr>
        <w:top w:val="none" w:sz="0" w:space="0" w:color="auto"/>
        <w:left w:val="none" w:sz="0" w:space="0" w:color="auto"/>
        <w:bottom w:val="none" w:sz="0" w:space="0" w:color="auto"/>
        <w:right w:val="none" w:sz="0" w:space="0" w:color="auto"/>
      </w:divBdr>
      <w:divsChild>
        <w:div w:id="1157763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895232">
      <w:bodyDiv w:val="1"/>
      <w:marLeft w:val="0"/>
      <w:marRight w:val="0"/>
      <w:marTop w:val="0"/>
      <w:marBottom w:val="0"/>
      <w:divBdr>
        <w:top w:val="none" w:sz="0" w:space="0" w:color="auto"/>
        <w:left w:val="none" w:sz="0" w:space="0" w:color="auto"/>
        <w:bottom w:val="none" w:sz="0" w:space="0" w:color="auto"/>
        <w:right w:val="none" w:sz="0" w:space="0" w:color="auto"/>
      </w:divBdr>
    </w:div>
    <w:div w:id="1615282901">
      <w:bodyDiv w:val="1"/>
      <w:marLeft w:val="0"/>
      <w:marRight w:val="0"/>
      <w:marTop w:val="0"/>
      <w:marBottom w:val="0"/>
      <w:divBdr>
        <w:top w:val="none" w:sz="0" w:space="0" w:color="auto"/>
        <w:left w:val="none" w:sz="0" w:space="0" w:color="auto"/>
        <w:bottom w:val="none" w:sz="0" w:space="0" w:color="auto"/>
        <w:right w:val="none" w:sz="0" w:space="0" w:color="auto"/>
      </w:divBdr>
    </w:div>
    <w:div w:id="1616060455">
      <w:bodyDiv w:val="1"/>
      <w:marLeft w:val="0"/>
      <w:marRight w:val="0"/>
      <w:marTop w:val="0"/>
      <w:marBottom w:val="0"/>
      <w:divBdr>
        <w:top w:val="none" w:sz="0" w:space="0" w:color="auto"/>
        <w:left w:val="none" w:sz="0" w:space="0" w:color="auto"/>
        <w:bottom w:val="none" w:sz="0" w:space="0" w:color="auto"/>
        <w:right w:val="none" w:sz="0" w:space="0" w:color="auto"/>
      </w:divBdr>
    </w:div>
    <w:div w:id="1618877887">
      <w:bodyDiv w:val="1"/>
      <w:marLeft w:val="0"/>
      <w:marRight w:val="0"/>
      <w:marTop w:val="0"/>
      <w:marBottom w:val="0"/>
      <w:divBdr>
        <w:top w:val="none" w:sz="0" w:space="0" w:color="auto"/>
        <w:left w:val="none" w:sz="0" w:space="0" w:color="auto"/>
        <w:bottom w:val="none" w:sz="0" w:space="0" w:color="auto"/>
        <w:right w:val="none" w:sz="0" w:space="0" w:color="auto"/>
      </w:divBdr>
      <w:divsChild>
        <w:div w:id="1436752773">
          <w:marLeft w:val="0"/>
          <w:marRight w:val="0"/>
          <w:marTop w:val="0"/>
          <w:marBottom w:val="0"/>
          <w:divBdr>
            <w:top w:val="none" w:sz="0" w:space="0" w:color="auto"/>
            <w:left w:val="none" w:sz="0" w:space="0" w:color="auto"/>
            <w:bottom w:val="none" w:sz="0" w:space="0" w:color="auto"/>
            <w:right w:val="none" w:sz="0" w:space="0" w:color="auto"/>
          </w:divBdr>
          <w:divsChild>
            <w:div w:id="72653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9559">
      <w:bodyDiv w:val="1"/>
      <w:marLeft w:val="0"/>
      <w:marRight w:val="0"/>
      <w:marTop w:val="0"/>
      <w:marBottom w:val="0"/>
      <w:divBdr>
        <w:top w:val="none" w:sz="0" w:space="0" w:color="auto"/>
        <w:left w:val="none" w:sz="0" w:space="0" w:color="auto"/>
        <w:bottom w:val="none" w:sz="0" w:space="0" w:color="auto"/>
        <w:right w:val="none" w:sz="0" w:space="0" w:color="auto"/>
      </w:divBdr>
    </w:div>
    <w:div w:id="1626808858">
      <w:bodyDiv w:val="1"/>
      <w:marLeft w:val="0"/>
      <w:marRight w:val="0"/>
      <w:marTop w:val="0"/>
      <w:marBottom w:val="0"/>
      <w:divBdr>
        <w:top w:val="none" w:sz="0" w:space="0" w:color="auto"/>
        <w:left w:val="none" w:sz="0" w:space="0" w:color="auto"/>
        <w:bottom w:val="none" w:sz="0" w:space="0" w:color="auto"/>
        <w:right w:val="none" w:sz="0" w:space="0" w:color="auto"/>
      </w:divBdr>
    </w:div>
    <w:div w:id="1631746031">
      <w:bodyDiv w:val="1"/>
      <w:marLeft w:val="0"/>
      <w:marRight w:val="0"/>
      <w:marTop w:val="0"/>
      <w:marBottom w:val="0"/>
      <w:divBdr>
        <w:top w:val="none" w:sz="0" w:space="0" w:color="auto"/>
        <w:left w:val="none" w:sz="0" w:space="0" w:color="auto"/>
        <w:bottom w:val="none" w:sz="0" w:space="0" w:color="auto"/>
        <w:right w:val="none" w:sz="0" w:space="0" w:color="auto"/>
      </w:divBdr>
    </w:div>
    <w:div w:id="1640500176">
      <w:bodyDiv w:val="1"/>
      <w:marLeft w:val="0"/>
      <w:marRight w:val="0"/>
      <w:marTop w:val="0"/>
      <w:marBottom w:val="0"/>
      <w:divBdr>
        <w:top w:val="none" w:sz="0" w:space="0" w:color="auto"/>
        <w:left w:val="none" w:sz="0" w:space="0" w:color="auto"/>
        <w:bottom w:val="none" w:sz="0" w:space="0" w:color="auto"/>
        <w:right w:val="none" w:sz="0" w:space="0" w:color="auto"/>
      </w:divBdr>
    </w:div>
    <w:div w:id="1642877977">
      <w:bodyDiv w:val="1"/>
      <w:marLeft w:val="0"/>
      <w:marRight w:val="0"/>
      <w:marTop w:val="0"/>
      <w:marBottom w:val="0"/>
      <w:divBdr>
        <w:top w:val="none" w:sz="0" w:space="0" w:color="auto"/>
        <w:left w:val="none" w:sz="0" w:space="0" w:color="auto"/>
        <w:bottom w:val="none" w:sz="0" w:space="0" w:color="auto"/>
        <w:right w:val="none" w:sz="0" w:space="0" w:color="auto"/>
      </w:divBdr>
    </w:div>
    <w:div w:id="1645115708">
      <w:bodyDiv w:val="1"/>
      <w:marLeft w:val="0"/>
      <w:marRight w:val="0"/>
      <w:marTop w:val="0"/>
      <w:marBottom w:val="0"/>
      <w:divBdr>
        <w:top w:val="none" w:sz="0" w:space="0" w:color="auto"/>
        <w:left w:val="none" w:sz="0" w:space="0" w:color="auto"/>
        <w:bottom w:val="none" w:sz="0" w:space="0" w:color="auto"/>
        <w:right w:val="none" w:sz="0" w:space="0" w:color="auto"/>
      </w:divBdr>
    </w:div>
    <w:div w:id="1645357076">
      <w:bodyDiv w:val="1"/>
      <w:marLeft w:val="0"/>
      <w:marRight w:val="0"/>
      <w:marTop w:val="0"/>
      <w:marBottom w:val="0"/>
      <w:divBdr>
        <w:top w:val="none" w:sz="0" w:space="0" w:color="auto"/>
        <w:left w:val="none" w:sz="0" w:space="0" w:color="auto"/>
        <w:bottom w:val="none" w:sz="0" w:space="0" w:color="auto"/>
        <w:right w:val="none" w:sz="0" w:space="0" w:color="auto"/>
      </w:divBdr>
    </w:div>
    <w:div w:id="1652247600">
      <w:bodyDiv w:val="1"/>
      <w:marLeft w:val="0"/>
      <w:marRight w:val="0"/>
      <w:marTop w:val="0"/>
      <w:marBottom w:val="0"/>
      <w:divBdr>
        <w:top w:val="none" w:sz="0" w:space="0" w:color="auto"/>
        <w:left w:val="none" w:sz="0" w:space="0" w:color="auto"/>
        <w:bottom w:val="none" w:sz="0" w:space="0" w:color="auto"/>
        <w:right w:val="none" w:sz="0" w:space="0" w:color="auto"/>
      </w:divBdr>
    </w:div>
    <w:div w:id="1657805007">
      <w:bodyDiv w:val="1"/>
      <w:marLeft w:val="0"/>
      <w:marRight w:val="0"/>
      <w:marTop w:val="0"/>
      <w:marBottom w:val="0"/>
      <w:divBdr>
        <w:top w:val="none" w:sz="0" w:space="0" w:color="auto"/>
        <w:left w:val="none" w:sz="0" w:space="0" w:color="auto"/>
        <w:bottom w:val="none" w:sz="0" w:space="0" w:color="auto"/>
        <w:right w:val="none" w:sz="0" w:space="0" w:color="auto"/>
      </w:divBdr>
    </w:div>
    <w:div w:id="1660957107">
      <w:bodyDiv w:val="1"/>
      <w:marLeft w:val="0"/>
      <w:marRight w:val="0"/>
      <w:marTop w:val="0"/>
      <w:marBottom w:val="0"/>
      <w:divBdr>
        <w:top w:val="none" w:sz="0" w:space="0" w:color="auto"/>
        <w:left w:val="none" w:sz="0" w:space="0" w:color="auto"/>
        <w:bottom w:val="none" w:sz="0" w:space="0" w:color="auto"/>
        <w:right w:val="none" w:sz="0" w:space="0" w:color="auto"/>
      </w:divBdr>
      <w:divsChild>
        <w:div w:id="1280798587">
          <w:marLeft w:val="0"/>
          <w:marRight w:val="0"/>
          <w:marTop w:val="0"/>
          <w:marBottom w:val="0"/>
          <w:divBdr>
            <w:top w:val="none" w:sz="0" w:space="0" w:color="auto"/>
            <w:left w:val="none" w:sz="0" w:space="0" w:color="auto"/>
            <w:bottom w:val="none" w:sz="0" w:space="0" w:color="auto"/>
            <w:right w:val="none" w:sz="0" w:space="0" w:color="auto"/>
          </w:divBdr>
          <w:divsChild>
            <w:div w:id="76287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3689">
      <w:bodyDiv w:val="1"/>
      <w:marLeft w:val="0"/>
      <w:marRight w:val="0"/>
      <w:marTop w:val="0"/>
      <w:marBottom w:val="0"/>
      <w:divBdr>
        <w:top w:val="none" w:sz="0" w:space="0" w:color="auto"/>
        <w:left w:val="none" w:sz="0" w:space="0" w:color="auto"/>
        <w:bottom w:val="none" w:sz="0" w:space="0" w:color="auto"/>
        <w:right w:val="none" w:sz="0" w:space="0" w:color="auto"/>
      </w:divBdr>
    </w:div>
    <w:div w:id="1669791858">
      <w:bodyDiv w:val="1"/>
      <w:marLeft w:val="0"/>
      <w:marRight w:val="0"/>
      <w:marTop w:val="0"/>
      <w:marBottom w:val="0"/>
      <w:divBdr>
        <w:top w:val="none" w:sz="0" w:space="0" w:color="auto"/>
        <w:left w:val="none" w:sz="0" w:space="0" w:color="auto"/>
        <w:bottom w:val="none" w:sz="0" w:space="0" w:color="auto"/>
        <w:right w:val="none" w:sz="0" w:space="0" w:color="auto"/>
      </w:divBdr>
      <w:divsChild>
        <w:div w:id="927621600">
          <w:marLeft w:val="0"/>
          <w:marRight w:val="0"/>
          <w:marTop w:val="0"/>
          <w:marBottom w:val="0"/>
          <w:divBdr>
            <w:top w:val="none" w:sz="0" w:space="0" w:color="auto"/>
            <w:left w:val="none" w:sz="0" w:space="0" w:color="auto"/>
            <w:bottom w:val="none" w:sz="0" w:space="0" w:color="auto"/>
            <w:right w:val="none" w:sz="0" w:space="0" w:color="auto"/>
          </w:divBdr>
          <w:divsChild>
            <w:div w:id="9504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50447">
      <w:bodyDiv w:val="1"/>
      <w:marLeft w:val="0"/>
      <w:marRight w:val="0"/>
      <w:marTop w:val="0"/>
      <w:marBottom w:val="0"/>
      <w:divBdr>
        <w:top w:val="none" w:sz="0" w:space="0" w:color="auto"/>
        <w:left w:val="none" w:sz="0" w:space="0" w:color="auto"/>
        <w:bottom w:val="none" w:sz="0" w:space="0" w:color="auto"/>
        <w:right w:val="none" w:sz="0" w:space="0" w:color="auto"/>
      </w:divBdr>
    </w:div>
    <w:div w:id="1683966419">
      <w:bodyDiv w:val="1"/>
      <w:marLeft w:val="0"/>
      <w:marRight w:val="0"/>
      <w:marTop w:val="0"/>
      <w:marBottom w:val="0"/>
      <w:divBdr>
        <w:top w:val="none" w:sz="0" w:space="0" w:color="auto"/>
        <w:left w:val="none" w:sz="0" w:space="0" w:color="auto"/>
        <w:bottom w:val="none" w:sz="0" w:space="0" w:color="auto"/>
        <w:right w:val="none" w:sz="0" w:space="0" w:color="auto"/>
      </w:divBdr>
    </w:div>
    <w:div w:id="1686907272">
      <w:bodyDiv w:val="1"/>
      <w:marLeft w:val="0"/>
      <w:marRight w:val="0"/>
      <w:marTop w:val="0"/>
      <w:marBottom w:val="0"/>
      <w:divBdr>
        <w:top w:val="none" w:sz="0" w:space="0" w:color="auto"/>
        <w:left w:val="none" w:sz="0" w:space="0" w:color="auto"/>
        <w:bottom w:val="none" w:sz="0" w:space="0" w:color="auto"/>
        <w:right w:val="none" w:sz="0" w:space="0" w:color="auto"/>
      </w:divBdr>
    </w:div>
    <w:div w:id="1687898435">
      <w:bodyDiv w:val="1"/>
      <w:marLeft w:val="0"/>
      <w:marRight w:val="0"/>
      <w:marTop w:val="0"/>
      <w:marBottom w:val="0"/>
      <w:divBdr>
        <w:top w:val="none" w:sz="0" w:space="0" w:color="auto"/>
        <w:left w:val="none" w:sz="0" w:space="0" w:color="auto"/>
        <w:bottom w:val="none" w:sz="0" w:space="0" w:color="auto"/>
        <w:right w:val="none" w:sz="0" w:space="0" w:color="auto"/>
      </w:divBdr>
    </w:div>
    <w:div w:id="1689604069">
      <w:bodyDiv w:val="1"/>
      <w:marLeft w:val="0"/>
      <w:marRight w:val="0"/>
      <w:marTop w:val="0"/>
      <w:marBottom w:val="0"/>
      <w:divBdr>
        <w:top w:val="none" w:sz="0" w:space="0" w:color="auto"/>
        <w:left w:val="none" w:sz="0" w:space="0" w:color="auto"/>
        <w:bottom w:val="none" w:sz="0" w:space="0" w:color="auto"/>
        <w:right w:val="none" w:sz="0" w:space="0" w:color="auto"/>
      </w:divBdr>
      <w:divsChild>
        <w:div w:id="12197114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7776462">
      <w:bodyDiv w:val="1"/>
      <w:marLeft w:val="0"/>
      <w:marRight w:val="0"/>
      <w:marTop w:val="0"/>
      <w:marBottom w:val="0"/>
      <w:divBdr>
        <w:top w:val="none" w:sz="0" w:space="0" w:color="auto"/>
        <w:left w:val="none" w:sz="0" w:space="0" w:color="auto"/>
        <w:bottom w:val="none" w:sz="0" w:space="0" w:color="auto"/>
        <w:right w:val="none" w:sz="0" w:space="0" w:color="auto"/>
      </w:divBdr>
      <w:divsChild>
        <w:div w:id="547493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67759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6831493">
      <w:bodyDiv w:val="1"/>
      <w:marLeft w:val="0"/>
      <w:marRight w:val="0"/>
      <w:marTop w:val="0"/>
      <w:marBottom w:val="0"/>
      <w:divBdr>
        <w:top w:val="none" w:sz="0" w:space="0" w:color="auto"/>
        <w:left w:val="none" w:sz="0" w:space="0" w:color="auto"/>
        <w:bottom w:val="none" w:sz="0" w:space="0" w:color="auto"/>
        <w:right w:val="none" w:sz="0" w:space="0" w:color="auto"/>
      </w:divBdr>
    </w:div>
    <w:div w:id="1713266042">
      <w:bodyDiv w:val="1"/>
      <w:marLeft w:val="0"/>
      <w:marRight w:val="0"/>
      <w:marTop w:val="0"/>
      <w:marBottom w:val="0"/>
      <w:divBdr>
        <w:top w:val="none" w:sz="0" w:space="0" w:color="auto"/>
        <w:left w:val="none" w:sz="0" w:space="0" w:color="auto"/>
        <w:bottom w:val="none" w:sz="0" w:space="0" w:color="auto"/>
        <w:right w:val="none" w:sz="0" w:space="0" w:color="auto"/>
      </w:divBdr>
    </w:div>
    <w:div w:id="1724209635">
      <w:bodyDiv w:val="1"/>
      <w:marLeft w:val="0"/>
      <w:marRight w:val="0"/>
      <w:marTop w:val="0"/>
      <w:marBottom w:val="0"/>
      <w:divBdr>
        <w:top w:val="none" w:sz="0" w:space="0" w:color="auto"/>
        <w:left w:val="none" w:sz="0" w:space="0" w:color="auto"/>
        <w:bottom w:val="none" w:sz="0" w:space="0" w:color="auto"/>
        <w:right w:val="none" w:sz="0" w:space="0" w:color="auto"/>
      </w:divBdr>
    </w:div>
    <w:div w:id="1725104190">
      <w:bodyDiv w:val="1"/>
      <w:marLeft w:val="0"/>
      <w:marRight w:val="0"/>
      <w:marTop w:val="0"/>
      <w:marBottom w:val="0"/>
      <w:divBdr>
        <w:top w:val="none" w:sz="0" w:space="0" w:color="auto"/>
        <w:left w:val="none" w:sz="0" w:space="0" w:color="auto"/>
        <w:bottom w:val="none" w:sz="0" w:space="0" w:color="auto"/>
        <w:right w:val="none" w:sz="0" w:space="0" w:color="auto"/>
      </w:divBdr>
    </w:div>
    <w:div w:id="1725639849">
      <w:bodyDiv w:val="1"/>
      <w:marLeft w:val="0"/>
      <w:marRight w:val="0"/>
      <w:marTop w:val="0"/>
      <w:marBottom w:val="0"/>
      <w:divBdr>
        <w:top w:val="none" w:sz="0" w:space="0" w:color="auto"/>
        <w:left w:val="none" w:sz="0" w:space="0" w:color="auto"/>
        <w:bottom w:val="none" w:sz="0" w:space="0" w:color="auto"/>
        <w:right w:val="none" w:sz="0" w:space="0" w:color="auto"/>
      </w:divBdr>
    </w:div>
    <w:div w:id="1731033169">
      <w:bodyDiv w:val="1"/>
      <w:marLeft w:val="0"/>
      <w:marRight w:val="0"/>
      <w:marTop w:val="0"/>
      <w:marBottom w:val="0"/>
      <w:divBdr>
        <w:top w:val="none" w:sz="0" w:space="0" w:color="auto"/>
        <w:left w:val="none" w:sz="0" w:space="0" w:color="auto"/>
        <w:bottom w:val="none" w:sz="0" w:space="0" w:color="auto"/>
        <w:right w:val="none" w:sz="0" w:space="0" w:color="auto"/>
      </w:divBdr>
    </w:div>
    <w:div w:id="1740132556">
      <w:bodyDiv w:val="1"/>
      <w:marLeft w:val="0"/>
      <w:marRight w:val="0"/>
      <w:marTop w:val="0"/>
      <w:marBottom w:val="0"/>
      <w:divBdr>
        <w:top w:val="none" w:sz="0" w:space="0" w:color="auto"/>
        <w:left w:val="none" w:sz="0" w:space="0" w:color="auto"/>
        <w:bottom w:val="none" w:sz="0" w:space="0" w:color="auto"/>
        <w:right w:val="none" w:sz="0" w:space="0" w:color="auto"/>
      </w:divBdr>
    </w:div>
    <w:div w:id="1744140888">
      <w:bodyDiv w:val="1"/>
      <w:marLeft w:val="0"/>
      <w:marRight w:val="0"/>
      <w:marTop w:val="0"/>
      <w:marBottom w:val="0"/>
      <w:divBdr>
        <w:top w:val="none" w:sz="0" w:space="0" w:color="auto"/>
        <w:left w:val="none" w:sz="0" w:space="0" w:color="auto"/>
        <w:bottom w:val="none" w:sz="0" w:space="0" w:color="auto"/>
        <w:right w:val="none" w:sz="0" w:space="0" w:color="auto"/>
      </w:divBdr>
    </w:div>
    <w:div w:id="1746998256">
      <w:bodyDiv w:val="1"/>
      <w:marLeft w:val="0"/>
      <w:marRight w:val="0"/>
      <w:marTop w:val="0"/>
      <w:marBottom w:val="0"/>
      <w:divBdr>
        <w:top w:val="none" w:sz="0" w:space="0" w:color="auto"/>
        <w:left w:val="none" w:sz="0" w:space="0" w:color="auto"/>
        <w:bottom w:val="none" w:sz="0" w:space="0" w:color="auto"/>
        <w:right w:val="none" w:sz="0" w:space="0" w:color="auto"/>
      </w:divBdr>
    </w:div>
    <w:div w:id="1761561486">
      <w:bodyDiv w:val="1"/>
      <w:marLeft w:val="0"/>
      <w:marRight w:val="0"/>
      <w:marTop w:val="0"/>
      <w:marBottom w:val="0"/>
      <w:divBdr>
        <w:top w:val="none" w:sz="0" w:space="0" w:color="auto"/>
        <w:left w:val="none" w:sz="0" w:space="0" w:color="auto"/>
        <w:bottom w:val="none" w:sz="0" w:space="0" w:color="auto"/>
        <w:right w:val="none" w:sz="0" w:space="0" w:color="auto"/>
      </w:divBdr>
    </w:div>
    <w:div w:id="1762490427">
      <w:bodyDiv w:val="1"/>
      <w:marLeft w:val="0"/>
      <w:marRight w:val="0"/>
      <w:marTop w:val="0"/>
      <w:marBottom w:val="0"/>
      <w:divBdr>
        <w:top w:val="none" w:sz="0" w:space="0" w:color="auto"/>
        <w:left w:val="none" w:sz="0" w:space="0" w:color="auto"/>
        <w:bottom w:val="none" w:sz="0" w:space="0" w:color="auto"/>
        <w:right w:val="none" w:sz="0" w:space="0" w:color="auto"/>
      </w:divBdr>
      <w:divsChild>
        <w:div w:id="12327322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528442">
      <w:bodyDiv w:val="1"/>
      <w:marLeft w:val="0"/>
      <w:marRight w:val="0"/>
      <w:marTop w:val="0"/>
      <w:marBottom w:val="0"/>
      <w:divBdr>
        <w:top w:val="none" w:sz="0" w:space="0" w:color="auto"/>
        <w:left w:val="none" w:sz="0" w:space="0" w:color="auto"/>
        <w:bottom w:val="none" w:sz="0" w:space="0" w:color="auto"/>
        <w:right w:val="none" w:sz="0" w:space="0" w:color="auto"/>
      </w:divBdr>
    </w:div>
    <w:div w:id="1766876514">
      <w:bodyDiv w:val="1"/>
      <w:marLeft w:val="0"/>
      <w:marRight w:val="0"/>
      <w:marTop w:val="0"/>
      <w:marBottom w:val="0"/>
      <w:divBdr>
        <w:top w:val="none" w:sz="0" w:space="0" w:color="auto"/>
        <w:left w:val="none" w:sz="0" w:space="0" w:color="auto"/>
        <w:bottom w:val="none" w:sz="0" w:space="0" w:color="auto"/>
        <w:right w:val="none" w:sz="0" w:space="0" w:color="auto"/>
      </w:divBdr>
    </w:div>
    <w:div w:id="1772969362">
      <w:bodyDiv w:val="1"/>
      <w:marLeft w:val="0"/>
      <w:marRight w:val="0"/>
      <w:marTop w:val="0"/>
      <w:marBottom w:val="0"/>
      <w:divBdr>
        <w:top w:val="none" w:sz="0" w:space="0" w:color="auto"/>
        <w:left w:val="none" w:sz="0" w:space="0" w:color="auto"/>
        <w:bottom w:val="none" w:sz="0" w:space="0" w:color="auto"/>
        <w:right w:val="none" w:sz="0" w:space="0" w:color="auto"/>
      </w:divBdr>
    </w:div>
    <w:div w:id="1777795894">
      <w:bodyDiv w:val="1"/>
      <w:marLeft w:val="0"/>
      <w:marRight w:val="0"/>
      <w:marTop w:val="0"/>
      <w:marBottom w:val="0"/>
      <w:divBdr>
        <w:top w:val="none" w:sz="0" w:space="0" w:color="auto"/>
        <w:left w:val="none" w:sz="0" w:space="0" w:color="auto"/>
        <w:bottom w:val="none" w:sz="0" w:space="0" w:color="auto"/>
        <w:right w:val="none" w:sz="0" w:space="0" w:color="auto"/>
      </w:divBdr>
    </w:div>
    <w:div w:id="1781995566">
      <w:bodyDiv w:val="1"/>
      <w:marLeft w:val="0"/>
      <w:marRight w:val="0"/>
      <w:marTop w:val="0"/>
      <w:marBottom w:val="0"/>
      <w:divBdr>
        <w:top w:val="none" w:sz="0" w:space="0" w:color="auto"/>
        <w:left w:val="none" w:sz="0" w:space="0" w:color="auto"/>
        <w:bottom w:val="none" w:sz="0" w:space="0" w:color="auto"/>
        <w:right w:val="none" w:sz="0" w:space="0" w:color="auto"/>
      </w:divBdr>
    </w:div>
    <w:div w:id="1784303602">
      <w:bodyDiv w:val="1"/>
      <w:marLeft w:val="0"/>
      <w:marRight w:val="0"/>
      <w:marTop w:val="0"/>
      <w:marBottom w:val="0"/>
      <w:divBdr>
        <w:top w:val="none" w:sz="0" w:space="0" w:color="auto"/>
        <w:left w:val="none" w:sz="0" w:space="0" w:color="auto"/>
        <w:bottom w:val="none" w:sz="0" w:space="0" w:color="auto"/>
        <w:right w:val="none" w:sz="0" w:space="0" w:color="auto"/>
      </w:divBdr>
    </w:div>
    <w:div w:id="1800420464">
      <w:bodyDiv w:val="1"/>
      <w:marLeft w:val="0"/>
      <w:marRight w:val="0"/>
      <w:marTop w:val="0"/>
      <w:marBottom w:val="0"/>
      <w:divBdr>
        <w:top w:val="none" w:sz="0" w:space="0" w:color="auto"/>
        <w:left w:val="none" w:sz="0" w:space="0" w:color="auto"/>
        <w:bottom w:val="none" w:sz="0" w:space="0" w:color="auto"/>
        <w:right w:val="none" w:sz="0" w:space="0" w:color="auto"/>
      </w:divBdr>
      <w:divsChild>
        <w:div w:id="312173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2570650">
      <w:bodyDiv w:val="1"/>
      <w:marLeft w:val="0"/>
      <w:marRight w:val="0"/>
      <w:marTop w:val="0"/>
      <w:marBottom w:val="0"/>
      <w:divBdr>
        <w:top w:val="none" w:sz="0" w:space="0" w:color="auto"/>
        <w:left w:val="none" w:sz="0" w:space="0" w:color="auto"/>
        <w:bottom w:val="none" w:sz="0" w:space="0" w:color="auto"/>
        <w:right w:val="none" w:sz="0" w:space="0" w:color="auto"/>
      </w:divBdr>
    </w:div>
    <w:div w:id="1804693755">
      <w:bodyDiv w:val="1"/>
      <w:marLeft w:val="0"/>
      <w:marRight w:val="0"/>
      <w:marTop w:val="0"/>
      <w:marBottom w:val="0"/>
      <w:divBdr>
        <w:top w:val="none" w:sz="0" w:space="0" w:color="auto"/>
        <w:left w:val="none" w:sz="0" w:space="0" w:color="auto"/>
        <w:bottom w:val="none" w:sz="0" w:space="0" w:color="auto"/>
        <w:right w:val="none" w:sz="0" w:space="0" w:color="auto"/>
      </w:divBdr>
    </w:div>
    <w:div w:id="1808087412">
      <w:bodyDiv w:val="1"/>
      <w:marLeft w:val="0"/>
      <w:marRight w:val="0"/>
      <w:marTop w:val="0"/>
      <w:marBottom w:val="0"/>
      <w:divBdr>
        <w:top w:val="none" w:sz="0" w:space="0" w:color="auto"/>
        <w:left w:val="none" w:sz="0" w:space="0" w:color="auto"/>
        <w:bottom w:val="none" w:sz="0" w:space="0" w:color="auto"/>
        <w:right w:val="none" w:sz="0" w:space="0" w:color="auto"/>
      </w:divBdr>
    </w:div>
    <w:div w:id="1812864429">
      <w:bodyDiv w:val="1"/>
      <w:marLeft w:val="0"/>
      <w:marRight w:val="0"/>
      <w:marTop w:val="0"/>
      <w:marBottom w:val="0"/>
      <w:divBdr>
        <w:top w:val="none" w:sz="0" w:space="0" w:color="auto"/>
        <w:left w:val="none" w:sz="0" w:space="0" w:color="auto"/>
        <w:bottom w:val="none" w:sz="0" w:space="0" w:color="auto"/>
        <w:right w:val="none" w:sz="0" w:space="0" w:color="auto"/>
      </w:divBdr>
    </w:div>
    <w:div w:id="1815171327">
      <w:bodyDiv w:val="1"/>
      <w:marLeft w:val="0"/>
      <w:marRight w:val="0"/>
      <w:marTop w:val="0"/>
      <w:marBottom w:val="0"/>
      <w:divBdr>
        <w:top w:val="none" w:sz="0" w:space="0" w:color="auto"/>
        <w:left w:val="none" w:sz="0" w:space="0" w:color="auto"/>
        <w:bottom w:val="none" w:sz="0" w:space="0" w:color="auto"/>
        <w:right w:val="none" w:sz="0" w:space="0" w:color="auto"/>
      </w:divBdr>
      <w:divsChild>
        <w:div w:id="1645427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611025">
      <w:bodyDiv w:val="1"/>
      <w:marLeft w:val="0"/>
      <w:marRight w:val="0"/>
      <w:marTop w:val="0"/>
      <w:marBottom w:val="0"/>
      <w:divBdr>
        <w:top w:val="none" w:sz="0" w:space="0" w:color="auto"/>
        <w:left w:val="none" w:sz="0" w:space="0" w:color="auto"/>
        <w:bottom w:val="none" w:sz="0" w:space="0" w:color="auto"/>
        <w:right w:val="none" w:sz="0" w:space="0" w:color="auto"/>
      </w:divBdr>
    </w:div>
    <w:div w:id="1827086006">
      <w:bodyDiv w:val="1"/>
      <w:marLeft w:val="0"/>
      <w:marRight w:val="0"/>
      <w:marTop w:val="0"/>
      <w:marBottom w:val="0"/>
      <w:divBdr>
        <w:top w:val="none" w:sz="0" w:space="0" w:color="auto"/>
        <w:left w:val="none" w:sz="0" w:space="0" w:color="auto"/>
        <w:bottom w:val="none" w:sz="0" w:space="0" w:color="auto"/>
        <w:right w:val="none" w:sz="0" w:space="0" w:color="auto"/>
      </w:divBdr>
    </w:div>
    <w:div w:id="1830169115">
      <w:bodyDiv w:val="1"/>
      <w:marLeft w:val="0"/>
      <w:marRight w:val="0"/>
      <w:marTop w:val="0"/>
      <w:marBottom w:val="0"/>
      <w:divBdr>
        <w:top w:val="none" w:sz="0" w:space="0" w:color="auto"/>
        <w:left w:val="none" w:sz="0" w:space="0" w:color="auto"/>
        <w:bottom w:val="none" w:sz="0" w:space="0" w:color="auto"/>
        <w:right w:val="none" w:sz="0" w:space="0" w:color="auto"/>
      </w:divBdr>
    </w:div>
    <w:div w:id="1838307612">
      <w:bodyDiv w:val="1"/>
      <w:marLeft w:val="0"/>
      <w:marRight w:val="0"/>
      <w:marTop w:val="0"/>
      <w:marBottom w:val="0"/>
      <w:divBdr>
        <w:top w:val="none" w:sz="0" w:space="0" w:color="auto"/>
        <w:left w:val="none" w:sz="0" w:space="0" w:color="auto"/>
        <w:bottom w:val="none" w:sz="0" w:space="0" w:color="auto"/>
        <w:right w:val="none" w:sz="0" w:space="0" w:color="auto"/>
      </w:divBdr>
    </w:div>
    <w:div w:id="1838499925">
      <w:bodyDiv w:val="1"/>
      <w:marLeft w:val="0"/>
      <w:marRight w:val="0"/>
      <w:marTop w:val="0"/>
      <w:marBottom w:val="0"/>
      <w:divBdr>
        <w:top w:val="none" w:sz="0" w:space="0" w:color="auto"/>
        <w:left w:val="none" w:sz="0" w:space="0" w:color="auto"/>
        <w:bottom w:val="none" w:sz="0" w:space="0" w:color="auto"/>
        <w:right w:val="none" w:sz="0" w:space="0" w:color="auto"/>
      </w:divBdr>
    </w:div>
    <w:div w:id="1840266794">
      <w:bodyDiv w:val="1"/>
      <w:marLeft w:val="0"/>
      <w:marRight w:val="0"/>
      <w:marTop w:val="0"/>
      <w:marBottom w:val="0"/>
      <w:divBdr>
        <w:top w:val="none" w:sz="0" w:space="0" w:color="auto"/>
        <w:left w:val="none" w:sz="0" w:space="0" w:color="auto"/>
        <w:bottom w:val="none" w:sz="0" w:space="0" w:color="auto"/>
        <w:right w:val="none" w:sz="0" w:space="0" w:color="auto"/>
      </w:divBdr>
    </w:div>
    <w:div w:id="1844781020">
      <w:bodyDiv w:val="1"/>
      <w:marLeft w:val="0"/>
      <w:marRight w:val="0"/>
      <w:marTop w:val="0"/>
      <w:marBottom w:val="0"/>
      <w:divBdr>
        <w:top w:val="none" w:sz="0" w:space="0" w:color="auto"/>
        <w:left w:val="none" w:sz="0" w:space="0" w:color="auto"/>
        <w:bottom w:val="none" w:sz="0" w:space="0" w:color="auto"/>
        <w:right w:val="none" w:sz="0" w:space="0" w:color="auto"/>
      </w:divBdr>
    </w:div>
    <w:div w:id="1854109153">
      <w:bodyDiv w:val="1"/>
      <w:marLeft w:val="0"/>
      <w:marRight w:val="0"/>
      <w:marTop w:val="0"/>
      <w:marBottom w:val="0"/>
      <w:divBdr>
        <w:top w:val="none" w:sz="0" w:space="0" w:color="auto"/>
        <w:left w:val="none" w:sz="0" w:space="0" w:color="auto"/>
        <w:bottom w:val="none" w:sz="0" w:space="0" w:color="auto"/>
        <w:right w:val="none" w:sz="0" w:space="0" w:color="auto"/>
      </w:divBdr>
    </w:div>
    <w:div w:id="1865508962">
      <w:bodyDiv w:val="1"/>
      <w:marLeft w:val="0"/>
      <w:marRight w:val="0"/>
      <w:marTop w:val="0"/>
      <w:marBottom w:val="0"/>
      <w:divBdr>
        <w:top w:val="none" w:sz="0" w:space="0" w:color="auto"/>
        <w:left w:val="none" w:sz="0" w:space="0" w:color="auto"/>
        <w:bottom w:val="none" w:sz="0" w:space="0" w:color="auto"/>
        <w:right w:val="none" w:sz="0" w:space="0" w:color="auto"/>
      </w:divBdr>
    </w:div>
    <w:div w:id="1865704316">
      <w:bodyDiv w:val="1"/>
      <w:marLeft w:val="0"/>
      <w:marRight w:val="0"/>
      <w:marTop w:val="0"/>
      <w:marBottom w:val="0"/>
      <w:divBdr>
        <w:top w:val="none" w:sz="0" w:space="0" w:color="auto"/>
        <w:left w:val="none" w:sz="0" w:space="0" w:color="auto"/>
        <w:bottom w:val="none" w:sz="0" w:space="0" w:color="auto"/>
        <w:right w:val="none" w:sz="0" w:space="0" w:color="auto"/>
      </w:divBdr>
    </w:div>
    <w:div w:id="1866363809">
      <w:bodyDiv w:val="1"/>
      <w:marLeft w:val="0"/>
      <w:marRight w:val="0"/>
      <w:marTop w:val="0"/>
      <w:marBottom w:val="0"/>
      <w:divBdr>
        <w:top w:val="none" w:sz="0" w:space="0" w:color="auto"/>
        <w:left w:val="none" w:sz="0" w:space="0" w:color="auto"/>
        <w:bottom w:val="none" w:sz="0" w:space="0" w:color="auto"/>
        <w:right w:val="none" w:sz="0" w:space="0" w:color="auto"/>
      </w:divBdr>
    </w:div>
    <w:div w:id="1872496589">
      <w:bodyDiv w:val="1"/>
      <w:marLeft w:val="0"/>
      <w:marRight w:val="0"/>
      <w:marTop w:val="0"/>
      <w:marBottom w:val="0"/>
      <w:divBdr>
        <w:top w:val="none" w:sz="0" w:space="0" w:color="auto"/>
        <w:left w:val="none" w:sz="0" w:space="0" w:color="auto"/>
        <w:bottom w:val="none" w:sz="0" w:space="0" w:color="auto"/>
        <w:right w:val="none" w:sz="0" w:space="0" w:color="auto"/>
      </w:divBdr>
    </w:div>
    <w:div w:id="1875073622">
      <w:bodyDiv w:val="1"/>
      <w:marLeft w:val="0"/>
      <w:marRight w:val="0"/>
      <w:marTop w:val="0"/>
      <w:marBottom w:val="0"/>
      <w:divBdr>
        <w:top w:val="none" w:sz="0" w:space="0" w:color="auto"/>
        <w:left w:val="none" w:sz="0" w:space="0" w:color="auto"/>
        <w:bottom w:val="none" w:sz="0" w:space="0" w:color="auto"/>
        <w:right w:val="none" w:sz="0" w:space="0" w:color="auto"/>
      </w:divBdr>
    </w:div>
    <w:div w:id="1876582343">
      <w:bodyDiv w:val="1"/>
      <w:marLeft w:val="0"/>
      <w:marRight w:val="0"/>
      <w:marTop w:val="0"/>
      <w:marBottom w:val="0"/>
      <w:divBdr>
        <w:top w:val="none" w:sz="0" w:space="0" w:color="auto"/>
        <w:left w:val="none" w:sz="0" w:space="0" w:color="auto"/>
        <w:bottom w:val="none" w:sz="0" w:space="0" w:color="auto"/>
        <w:right w:val="none" w:sz="0" w:space="0" w:color="auto"/>
      </w:divBdr>
    </w:div>
    <w:div w:id="1879663706">
      <w:bodyDiv w:val="1"/>
      <w:marLeft w:val="0"/>
      <w:marRight w:val="0"/>
      <w:marTop w:val="0"/>
      <w:marBottom w:val="0"/>
      <w:divBdr>
        <w:top w:val="none" w:sz="0" w:space="0" w:color="auto"/>
        <w:left w:val="none" w:sz="0" w:space="0" w:color="auto"/>
        <w:bottom w:val="none" w:sz="0" w:space="0" w:color="auto"/>
        <w:right w:val="none" w:sz="0" w:space="0" w:color="auto"/>
      </w:divBdr>
      <w:divsChild>
        <w:div w:id="464005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0971310">
      <w:bodyDiv w:val="1"/>
      <w:marLeft w:val="0"/>
      <w:marRight w:val="0"/>
      <w:marTop w:val="0"/>
      <w:marBottom w:val="0"/>
      <w:divBdr>
        <w:top w:val="none" w:sz="0" w:space="0" w:color="auto"/>
        <w:left w:val="none" w:sz="0" w:space="0" w:color="auto"/>
        <w:bottom w:val="none" w:sz="0" w:space="0" w:color="auto"/>
        <w:right w:val="none" w:sz="0" w:space="0" w:color="auto"/>
      </w:divBdr>
    </w:div>
    <w:div w:id="1887640403">
      <w:bodyDiv w:val="1"/>
      <w:marLeft w:val="0"/>
      <w:marRight w:val="0"/>
      <w:marTop w:val="0"/>
      <w:marBottom w:val="0"/>
      <w:divBdr>
        <w:top w:val="none" w:sz="0" w:space="0" w:color="auto"/>
        <w:left w:val="none" w:sz="0" w:space="0" w:color="auto"/>
        <w:bottom w:val="none" w:sz="0" w:space="0" w:color="auto"/>
        <w:right w:val="none" w:sz="0" w:space="0" w:color="auto"/>
      </w:divBdr>
    </w:div>
    <w:div w:id="1896039475">
      <w:bodyDiv w:val="1"/>
      <w:marLeft w:val="0"/>
      <w:marRight w:val="0"/>
      <w:marTop w:val="0"/>
      <w:marBottom w:val="0"/>
      <w:divBdr>
        <w:top w:val="none" w:sz="0" w:space="0" w:color="auto"/>
        <w:left w:val="none" w:sz="0" w:space="0" w:color="auto"/>
        <w:bottom w:val="none" w:sz="0" w:space="0" w:color="auto"/>
        <w:right w:val="none" w:sz="0" w:space="0" w:color="auto"/>
      </w:divBdr>
    </w:div>
    <w:div w:id="1901280117">
      <w:bodyDiv w:val="1"/>
      <w:marLeft w:val="0"/>
      <w:marRight w:val="0"/>
      <w:marTop w:val="0"/>
      <w:marBottom w:val="0"/>
      <w:divBdr>
        <w:top w:val="none" w:sz="0" w:space="0" w:color="auto"/>
        <w:left w:val="none" w:sz="0" w:space="0" w:color="auto"/>
        <w:bottom w:val="none" w:sz="0" w:space="0" w:color="auto"/>
        <w:right w:val="none" w:sz="0" w:space="0" w:color="auto"/>
      </w:divBdr>
    </w:div>
    <w:div w:id="1909266720">
      <w:bodyDiv w:val="1"/>
      <w:marLeft w:val="0"/>
      <w:marRight w:val="0"/>
      <w:marTop w:val="0"/>
      <w:marBottom w:val="0"/>
      <w:divBdr>
        <w:top w:val="none" w:sz="0" w:space="0" w:color="auto"/>
        <w:left w:val="none" w:sz="0" w:space="0" w:color="auto"/>
        <w:bottom w:val="none" w:sz="0" w:space="0" w:color="auto"/>
        <w:right w:val="none" w:sz="0" w:space="0" w:color="auto"/>
      </w:divBdr>
    </w:div>
    <w:div w:id="1913735720">
      <w:bodyDiv w:val="1"/>
      <w:marLeft w:val="0"/>
      <w:marRight w:val="0"/>
      <w:marTop w:val="0"/>
      <w:marBottom w:val="0"/>
      <w:divBdr>
        <w:top w:val="none" w:sz="0" w:space="0" w:color="auto"/>
        <w:left w:val="none" w:sz="0" w:space="0" w:color="auto"/>
        <w:bottom w:val="none" w:sz="0" w:space="0" w:color="auto"/>
        <w:right w:val="none" w:sz="0" w:space="0" w:color="auto"/>
      </w:divBdr>
    </w:div>
    <w:div w:id="1916816376">
      <w:bodyDiv w:val="1"/>
      <w:marLeft w:val="0"/>
      <w:marRight w:val="0"/>
      <w:marTop w:val="0"/>
      <w:marBottom w:val="0"/>
      <w:divBdr>
        <w:top w:val="none" w:sz="0" w:space="0" w:color="auto"/>
        <w:left w:val="none" w:sz="0" w:space="0" w:color="auto"/>
        <w:bottom w:val="none" w:sz="0" w:space="0" w:color="auto"/>
        <w:right w:val="none" w:sz="0" w:space="0" w:color="auto"/>
      </w:divBdr>
    </w:div>
    <w:div w:id="1921744290">
      <w:bodyDiv w:val="1"/>
      <w:marLeft w:val="0"/>
      <w:marRight w:val="0"/>
      <w:marTop w:val="0"/>
      <w:marBottom w:val="0"/>
      <w:divBdr>
        <w:top w:val="none" w:sz="0" w:space="0" w:color="auto"/>
        <w:left w:val="none" w:sz="0" w:space="0" w:color="auto"/>
        <w:bottom w:val="none" w:sz="0" w:space="0" w:color="auto"/>
        <w:right w:val="none" w:sz="0" w:space="0" w:color="auto"/>
      </w:divBdr>
    </w:div>
    <w:div w:id="1923028751">
      <w:bodyDiv w:val="1"/>
      <w:marLeft w:val="0"/>
      <w:marRight w:val="0"/>
      <w:marTop w:val="0"/>
      <w:marBottom w:val="0"/>
      <w:divBdr>
        <w:top w:val="none" w:sz="0" w:space="0" w:color="auto"/>
        <w:left w:val="none" w:sz="0" w:space="0" w:color="auto"/>
        <w:bottom w:val="none" w:sz="0" w:space="0" w:color="auto"/>
        <w:right w:val="none" w:sz="0" w:space="0" w:color="auto"/>
      </w:divBdr>
      <w:divsChild>
        <w:div w:id="543519307">
          <w:blockQuote w:val="1"/>
          <w:marLeft w:val="720"/>
          <w:marRight w:val="720"/>
          <w:marTop w:val="100"/>
          <w:marBottom w:val="100"/>
          <w:divBdr>
            <w:top w:val="none" w:sz="0" w:space="0" w:color="auto"/>
            <w:left w:val="none" w:sz="0" w:space="0" w:color="auto"/>
            <w:bottom w:val="none" w:sz="0" w:space="0" w:color="auto"/>
            <w:right w:val="none" w:sz="0" w:space="0" w:color="auto"/>
          </w:divBdr>
        </w:div>
        <w:div w:id="5652626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29783611">
          <w:blockQuote w:val="1"/>
          <w:marLeft w:val="720"/>
          <w:marRight w:val="720"/>
          <w:marTop w:val="100"/>
          <w:marBottom w:val="100"/>
          <w:divBdr>
            <w:top w:val="none" w:sz="0" w:space="0" w:color="auto"/>
            <w:left w:val="none" w:sz="0" w:space="0" w:color="auto"/>
            <w:bottom w:val="none" w:sz="0" w:space="0" w:color="auto"/>
            <w:right w:val="none" w:sz="0" w:space="0" w:color="auto"/>
          </w:divBdr>
        </w:div>
        <w:div w:id="1162509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8422365">
      <w:bodyDiv w:val="1"/>
      <w:marLeft w:val="0"/>
      <w:marRight w:val="0"/>
      <w:marTop w:val="0"/>
      <w:marBottom w:val="0"/>
      <w:divBdr>
        <w:top w:val="none" w:sz="0" w:space="0" w:color="auto"/>
        <w:left w:val="none" w:sz="0" w:space="0" w:color="auto"/>
        <w:bottom w:val="none" w:sz="0" w:space="0" w:color="auto"/>
        <w:right w:val="none" w:sz="0" w:space="0" w:color="auto"/>
      </w:divBdr>
    </w:div>
    <w:div w:id="1938444231">
      <w:bodyDiv w:val="1"/>
      <w:marLeft w:val="0"/>
      <w:marRight w:val="0"/>
      <w:marTop w:val="0"/>
      <w:marBottom w:val="0"/>
      <w:divBdr>
        <w:top w:val="none" w:sz="0" w:space="0" w:color="auto"/>
        <w:left w:val="none" w:sz="0" w:space="0" w:color="auto"/>
        <w:bottom w:val="none" w:sz="0" w:space="0" w:color="auto"/>
        <w:right w:val="none" w:sz="0" w:space="0" w:color="auto"/>
      </w:divBdr>
    </w:div>
    <w:div w:id="1938949245">
      <w:bodyDiv w:val="1"/>
      <w:marLeft w:val="0"/>
      <w:marRight w:val="0"/>
      <w:marTop w:val="0"/>
      <w:marBottom w:val="0"/>
      <w:divBdr>
        <w:top w:val="none" w:sz="0" w:space="0" w:color="auto"/>
        <w:left w:val="none" w:sz="0" w:space="0" w:color="auto"/>
        <w:bottom w:val="none" w:sz="0" w:space="0" w:color="auto"/>
        <w:right w:val="none" w:sz="0" w:space="0" w:color="auto"/>
      </w:divBdr>
    </w:div>
    <w:div w:id="1945918584">
      <w:bodyDiv w:val="1"/>
      <w:marLeft w:val="0"/>
      <w:marRight w:val="0"/>
      <w:marTop w:val="0"/>
      <w:marBottom w:val="0"/>
      <w:divBdr>
        <w:top w:val="none" w:sz="0" w:space="0" w:color="auto"/>
        <w:left w:val="none" w:sz="0" w:space="0" w:color="auto"/>
        <w:bottom w:val="none" w:sz="0" w:space="0" w:color="auto"/>
        <w:right w:val="none" w:sz="0" w:space="0" w:color="auto"/>
      </w:divBdr>
    </w:div>
    <w:div w:id="1955400464">
      <w:bodyDiv w:val="1"/>
      <w:marLeft w:val="0"/>
      <w:marRight w:val="0"/>
      <w:marTop w:val="0"/>
      <w:marBottom w:val="0"/>
      <w:divBdr>
        <w:top w:val="none" w:sz="0" w:space="0" w:color="auto"/>
        <w:left w:val="none" w:sz="0" w:space="0" w:color="auto"/>
        <w:bottom w:val="none" w:sz="0" w:space="0" w:color="auto"/>
        <w:right w:val="none" w:sz="0" w:space="0" w:color="auto"/>
      </w:divBdr>
    </w:div>
    <w:div w:id="1963462267">
      <w:bodyDiv w:val="1"/>
      <w:marLeft w:val="0"/>
      <w:marRight w:val="0"/>
      <w:marTop w:val="0"/>
      <w:marBottom w:val="0"/>
      <w:divBdr>
        <w:top w:val="none" w:sz="0" w:space="0" w:color="auto"/>
        <w:left w:val="none" w:sz="0" w:space="0" w:color="auto"/>
        <w:bottom w:val="none" w:sz="0" w:space="0" w:color="auto"/>
        <w:right w:val="none" w:sz="0" w:space="0" w:color="auto"/>
      </w:divBdr>
    </w:div>
    <w:div w:id="1966957576">
      <w:bodyDiv w:val="1"/>
      <w:marLeft w:val="0"/>
      <w:marRight w:val="0"/>
      <w:marTop w:val="0"/>
      <w:marBottom w:val="0"/>
      <w:divBdr>
        <w:top w:val="none" w:sz="0" w:space="0" w:color="auto"/>
        <w:left w:val="none" w:sz="0" w:space="0" w:color="auto"/>
        <w:bottom w:val="none" w:sz="0" w:space="0" w:color="auto"/>
        <w:right w:val="none" w:sz="0" w:space="0" w:color="auto"/>
      </w:divBdr>
    </w:div>
    <w:div w:id="1969772995">
      <w:bodyDiv w:val="1"/>
      <w:marLeft w:val="0"/>
      <w:marRight w:val="0"/>
      <w:marTop w:val="0"/>
      <w:marBottom w:val="0"/>
      <w:divBdr>
        <w:top w:val="none" w:sz="0" w:space="0" w:color="auto"/>
        <w:left w:val="none" w:sz="0" w:space="0" w:color="auto"/>
        <w:bottom w:val="none" w:sz="0" w:space="0" w:color="auto"/>
        <w:right w:val="none" w:sz="0" w:space="0" w:color="auto"/>
      </w:divBdr>
    </w:div>
    <w:div w:id="1977489175">
      <w:bodyDiv w:val="1"/>
      <w:marLeft w:val="0"/>
      <w:marRight w:val="0"/>
      <w:marTop w:val="0"/>
      <w:marBottom w:val="0"/>
      <w:divBdr>
        <w:top w:val="none" w:sz="0" w:space="0" w:color="auto"/>
        <w:left w:val="none" w:sz="0" w:space="0" w:color="auto"/>
        <w:bottom w:val="none" w:sz="0" w:space="0" w:color="auto"/>
        <w:right w:val="none" w:sz="0" w:space="0" w:color="auto"/>
      </w:divBdr>
    </w:div>
    <w:div w:id="1978682163">
      <w:bodyDiv w:val="1"/>
      <w:marLeft w:val="0"/>
      <w:marRight w:val="0"/>
      <w:marTop w:val="0"/>
      <w:marBottom w:val="0"/>
      <w:divBdr>
        <w:top w:val="none" w:sz="0" w:space="0" w:color="auto"/>
        <w:left w:val="none" w:sz="0" w:space="0" w:color="auto"/>
        <w:bottom w:val="none" w:sz="0" w:space="0" w:color="auto"/>
        <w:right w:val="none" w:sz="0" w:space="0" w:color="auto"/>
      </w:divBdr>
    </w:div>
    <w:div w:id="1979408724">
      <w:bodyDiv w:val="1"/>
      <w:marLeft w:val="0"/>
      <w:marRight w:val="0"/>
      <w:marTop w:val="0"/>
      <w:marBottom w:val="0"/>
      <w:divBdr>
        <w:top w:val="none" w:sz="0" w:space="0" w:color="auto"/>
        <w:left w:val="none" w:sz="0" w:space="0" w:color="auto"/>
        <w:bottom w:val="none" w:sz="0" w:space="0" w:color="auto"/>
        <w:right w:val="none" w:sz="0" w:space="0" w:color="auto"/>
      </w:divBdr>
    </w:div>
    <w:div w:id="1985231185">
      <w:bodyDiv w:val="1"/>
      <w:marLeft w:val="0"/>
      <w:marRight w:val="0"/>
      <w:marTop w:val="0"/>
      <w:marBottom w:val="0"/>
      <w:divBdr>
        <w:top w:val="none" w:sz="0" w:space="0" w:color="auto"/>
        <w:left w:val="none" w:sz="0" w:space="0" w:color="auto"/>
        <w:bottom w:val="none" w:sz="0" w:space="0" w:color="auto"/>
        <w:right w:val="none" w:sz="0" w:space="0" w:color="auto"/>
      </w:divBdr>
    </w:div>
    <w:div w:id="1995791812">
      <w:bodyDiv w:val="1"/>
      <w:marLeft w:val="0"/>
      <w:marRight w:val="0"/>
      <w:marTop w:val="0"/>
      <w:marBottom w:val="0"/>
      <w:divBdr>
        <w:top w:val="none" w:sz="0" w:space="0" w:color="auto"/>
        <w:left w:val="none" w:sz="0" w:space="0" w:color="auto"/>
        <w:bottom w:val="none" w:sz="0" w:space="0" w:color="auto"/>
        <w:right w:val="none" w:sz="0" w:space="0" w:color="auto"/>
      </w:divBdr>
    </w:div>
    <w:div w:id="2004695200">
      <w:bodyDiv w:val="1"/>
      <w:marLeft w:val="0"/>
      <w:marRight w:val="0"/>
      <w:marTop w:val="0"/>
      <w:marBottom w:val="0"/>
      <w:divBdr>
        <w:top w:val="none" w:sz="0" w:space="0" w:color="auto"/>
        <w:left w:val="none" w:sz="0" w:space="0" w:color="auto"/>
        <w:bottom w:val="none" w:sz="0" w:space="0" w:color="auto"/>
        <w:right w:val="none" w:sz="0" w:space="0" w:color="auto"/>
      </w:divBdr>
    </w:div>
    <w:div w:id="2006860453">
      <w:bodyDiv w:val="1"/>
      <w:marLeft w:val="0"/>
      <w:marRight w:val="0"/>
      <w:marTop w:val="0"/>
      <w:marBottom w:val="0"/>
      <w:divBdr>
        <w:top w:val="none" w:sz="0" w:space="0" w:color="auto"/>
        <w:left w:val="none" w:sz="0" w:space="0" w:color="auto"/>
        <w:bottom w:val="none" w:sz="0" w:space="0" w:color="auto"/>
        <w:right w:val="none" w:sz="0" w:space="0" w:color="auto"/>
      </w:divBdr>
    </w:div>
    <w:div w:id="2017147496">
      <w:bodyDiv w:val="1"/>
      <w:marLeft w:val="0"/>
      <w:marRight w:val="0"/>
      <w:marTop w:val="0"/>
      <w:marBottom w:val="0"/>
      <w:divBdr>
        <w:top w:val="none" w:sz="0" w:space="0" w:color="auto"/>
        <w:left w:val="none" w:sz="0" w:space="0" w:color="auto"/>
        <w:bottom w:val="none" w:sz="0" w:space="0" w:color="auto"/>
        <w:right w:val="none" w:sz="0" w:space="0" w:color="auto"/>
      </w:divBdr>
      <w:divsChild>
        <w:div w:id="1439838098">
          <w:marLeft w:val="0"/>
          <w:marRight w:val="0"/>
          <w:marTop w:val="0"/>
          <w:marBottom w:val="0"/>
          <w:divBdr>
            <w:top w:val="none" w:sz="0" w:space="0" w:color="auto"/>
            <w:left w:val="none" w:sz="0" w:space="0" w:color="auto"/>
            <w:bottom w:val="none" w:sz="0" w:space="0" w:color="auto"/>
            <w:right w:val="none" w:sz="0" w:space="0" w:color="auto"/>
          </w:divBdr>
          <w:divsChild>
            <w:div w:id="5222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7240">
      <w:bodyDiv w:val="1"/>
      <w:marLeft w:val="0"/>
      <w:marRight w:val="0"/>
      <w:marTop w:val="0"/>
      <w:marBottom w:val="0"/>
      <w:divBdr>
        <w:top w:val="none" w:sz="0" w:space="0" w:color="auto"/>
        <w:left w:val="none" w:sz="0" w:space="0" w:color="auto"/>
        <w:bottom w:val="none" w:sz="0" w:space="0" w:color="auto"/>
        <w:right w:val="none" w:sz="0" w:space="0" w:color="auto"/>
      </w:divBdr>
    </w:div>
    <w:div w:id="2026789070">
      <w:bodyDiv w:val="1"/>
      <w:marLeft w:val="0"/>
      <w:marRight w:val="0"/>
      <w:marTop w:val="0"/>
      <w:marBottom w:val="0"/>
      <w:divBdr>
        <w:top w:val="none" w:sz="0" w:space="0" w:color="auto"/>
        <w:left w:val="none" w:sz="0" w:space="0" w:color="auto"/>
        <w:bottom w:val="none" w:sz="0" w:space="0" w:color="auto"/>
        <w:right w:val="none" w:sz="0" w:space="0" w:color="auto"/>
      </w:divBdr>
    </w:div>
    <w:div w:id="2026858245">
      <w:bodyDiv w:val="1"/>
      <w:marLeft w:val="0"/>
      <w:marRight w:val="0"/>
      <w:marTop w:val="0"/>
      <w:marBottom w:val="0"/>
      <w:divBdr>
        <w:top w:val="none" w:sz="0" w:space="0" w:color="auto"/>
        <w:left w:val="none" w:sz="0" w:space="0" w:color="auto"/>
        <w:bottom w:val="none" w:sz="0" w:space="0" w:color="auto"/>
        <w:right w:val="none" w:sz="0" w:space="0" w:color="auto"/>
      </w:divBdr>
    </w:div>
    <w:div w:id="2037344255">
      <w:bodyDiv w:val="1"/>
      <w:marLeft w:val="0"/>
      <w:marRight w:val="0"/>
      <w:marTop w:val="0"/>
      <w:marBottom w:val="0"/>
      <w:divBdr>
        <w:top w:val="none" w:sz="0" w:space="0" w:color="auto"/>
        <w:left w:val="none" w:sz="0" w:space="0" w:color="auto"/>
        <w:bottom w:val="none" w:sz="0" w:space="0" w:color="auto"/>
        <w:right w:val="none" w:sz="0" w:space="0" w:color="auto"/>
      </w:divBdr>
    </w:div>
    <w:div w:id="2039112747">
      <w:bodyDiv w:val="1"/>
      <w:marLeft w:val="0"/>
      <w:marRight w:val="0"/>
      <w:marTop w:val="0"/>
      <w:marBottom w:val="0"/>
      <w:divBdr>
        <w:top w:val="none" w:sz="0" w:space="0" w:color="auto"/>
        <w:left w:val="none" w:sz="0" w:space="0" w:color="auto"/>
        <w:bottom w:val="none" w:sz="0" w:space="0" w:color="auto"/>
        <w:right w:val="none" w:sz="0" w:space="0" w:color="auto"/>
      </w:divBdr>
      <w:divsChild>
        <w:div w:id="155388285">
          <w:marLeft w:val="0"/>
          <w:marRight w:val="0"/>
          <w:marTop w:val="0"/>
          <w:marBottom w:val="0"/>
          <w:divBdr>
            <w:top w:val="none" w:sz="0" w:space="0" w:color="auto"/>
            <w:left w:val="none" w:sz="0" w:space="0" w:color="auto"/>
            <w:bottom w:val="none" w:sz="0" w:space="0" w:color="auto"/>
            <w:right w:val="none" w:sz="0" w:space="0" w:color="auto"/>
          </w:divBdr>
          <w:divsChild>
            <w:div w:id="15897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052981">
      <w:bodyDiv w:val="1"/>
      <w:marLeft w:val="0"/>
      <w:marRight w:val="0"/>
      <w:marTop w:val="0"/>
      <w:marBottom w:val="0"/>
      <w:divBdr>
        <w:top w:val="none" w:sz="0" w:space="0" w:color="auto"/>
        <w:left w:val="none" w:sz="0" w:space="0" w:color="auto"/>
        <w:bottom w:val="none" w:sz="0" w:space="0" w:color="auto"/>
        <w:right w:val="none" w:sz="0" w:space="0" w:color="auto"/>
      </w:divBdr>
    </w:div>
    <w:div w:id="2043746093">
      <w:bodyDiv w:val="1"/>
      <w:marLeft w:val="0"/>
      <w:marRight w:val="0"/>
      <w:marTop w:val="0"/>
      <w:marBottom w:val="0"/>
      <w:divBdr>
        <w:top w:val="none" w:sz="0" w:space="0" w:color="auto"/>
        <w:left w:val="none" w:sz="0" w:space="0" w:color="auto"/>
        <w:bottom w:val="none" w:sz="0" w:space="0" w:color="auto"/>
        <w:right w:val="none" w:sz="0" w:space="0" w:color="auto"/>
      </w:divBdr>
    </w:div>
    <w:div w:id="2053259941">
      <w:bodyDiv w:val="1"/>
      <w:marLeft w:val="0"/>
      <w:marRight w:val="0"/>
      <w:marTop w:val="0"/>
      <w:marBottom w:val="0"/>
      <w:divBdr>
        <w:top w:val="none" w:sz="0" w:space="0" w:color="auto"/>
        <w:left w:val="none" w:sz="0" w:space="0" w:color="auto"/>
        <w:bottom w:val="none" w:sz="0" w:space="0" w:color="auto"/>
        <w:right w:val="none" w:sz="0" w:space="0" w:color="auto"/>
      </w:divBdr>
    </w:div>
    <w:div w:id="2056391352">
      <w:bodyDiv w:val="1"/>
      <w:marLeft w:val="0"/>
      <w:marRight w:val="0"/>
      <w:marTop w:val="0"/>
      <w:marBottom w:val="0"/>
      <w:divBdr>
        <w:top w:val="none" w:sz="0" w:space="0" w:color="auto"/>
        <w:left w:val="none" w:sz="0" w:space="0" w:color="auto"/>
        <w:bottom w:val="none" w:sz="0" w:space="0" w:color="auto"/>
        <w:right w:val="none" w:sz="0" w:space="0" w:color="auto"/>
      </w:divBdr>
    </w:div>
    <w:div w:id="2063363827">
      <w:bodyDiv w:val="1"/>
      <w:marLeft w:val="0"/>
      <w:marRight w:val="0"/>
      <w:marTop w:val="0"/>
      <w:marBottom w:val="0"/>
      <w:divBdr>
        <w:top w:val="none" w:sz="0" w:space="0" w:color="auto"/>
        <w:left w:val="none" w:sz="0" w:space="0" w:color="auto"/>
        <w:bottom w:val="none" w:sz="0" w:space="0" w:color="auto"/>
        <w:right w:val="none" w:sz="0" w:space="0" w:color="auto"/>
      </w:divBdr>
    </w:div>
    <w:div w:id="2072268603">
      <w:bodyDiv w:val="1"/>
      <w:marLeft w:val="0"/>
      <w:marRight w:val="0"/>
      <w:marTop w:val="0"/>
      <w:marBottom w:val="0"/>
      <w:divBdr>
        <w:top w:val="none" w:sz="0" w:space="0" w:color="auto"/>
        <w:left w:val="none" w:sz="0" w:space="0" w:color="auto"/>
        <w:bottom w:val="none" w:sz="0" w:space="0" w:color="auto"/>
        <w:right w:val="none" w:sz="0" w:space="0" w:color="auto"/>
      </w:divBdr>
    </w:div>
    <w:div w:id="2077320037">
      <w:bodyDiv w:val="1"/>
      <w:marLeft w:val="0"/>
      <w:marRight w:val="0"/>
      <w:marTop w:val="0"/>
      <w:marBottom w:val="0"/>
      <w:divBdr>
        <w:top w:val="none" w:sz="0" w:space="0" w:color="auto"/>
        <w:left w:val="none" w:sz="0" w:space="0" w:color="auto"/>
        <w:bottom w:val="none" w:sz="0" w:space="0" w:color="auto"/>
        <w:right w:val="none" w:sz="0" w:space="0" w:color="auto"/>
      </w:divBdr>
    </w:div>
    <w:div w:id="2084182674">
      <w:bodyDiv w:val="1"/>
      <w:marLeft w:val="0"/>
      <w:marRight w:val="0"/>
      <w:marTop w:val="0"/>
      <w:marBottom w:val="0"/>
      <w:divBdr>
        <w:top w:val="none" w:sz="0" w:space="0" w:color="auto"/>
        <w:left w:val="none" w:sz="0" w:space="0" w:color="auto"/>
        <w:bottom w:val="none" w:sz="0" w:space="0" w:color="auto"/>
        <w:right w:val="none" w:sz="0" w:space="0" w:color="auto"/>
      </w:divBdr>
    </w:div>
    <w:div w:id="2084251974">
      <w:bodyDiv w:val="1"/>
      <w:marLeft w:val="0"/>
      <w:marRight w:val="0"/>
      <w:marTop w:val="0"/>
      <w:marBottom w:val="0"/>
      <w:divBdr>
        <w:top w:val="none" w:sz="0" w:space="0" w:color="auto"/>
        <w:left w:val="none" w:sz="0" w:space="0" w:color="auto"/>
        <w:bottom w:val="none" w:sz="0" w:space="0" w:color="auto"/>
        <w:right w:val="none" w:sz="0" w:space="0" w:color="auto"/>
      </w:divBdr>
      <w:divsChild>
        <w:div w:id="98643477">
          <w:blockQuote w:val="1"/>
          <w:marLeft w:val="720"/>
          <w:marRight w:val="720"/>
          <w:marTop w:val="100"/>
          <w:marBottom w:val="100"/>
          <w:divBdr>
            <w:top w:val="none" w:sz="0" w:space="0" w:color="auto"/>
            <w:left w:val="none" w:sz="0" w:space="0" w:color="auto"/>
            <w:bottom w:val="none" w:sz="0" w:space="0" w:color="auto"/>
            <w:right w:val="none" w:sz="0" w:space="0" w:color="auto"/>
          </w:divBdr>
        </w:div>
        <w:div w:id="471483409">
          <w:blockQuote w:val="1"/>
          <w:marLeft w:val="720"/>
          <w:marRight w:val="720"/>
          <w:marTop w:val="100"/>
          <w:marBottom w:val="100"/>
          <w:divBdr>
            <w:top w:val="none" w:sz="0" w:space="0" w:color="auto"/>
            <w:left w:val="none" w:sz="0" w:space="0" w:color="auto"/>
            <w:bottom w:val="none" w:sz="0" w:space="0" w:color="auto"/>
            <w:right w:val="none" w:sz="0" w:space="0" w:color="auto"/>
          </w:divBdr>
        </w:div>
        <w:div w:id="657270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243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4582533">
          <w:blockQuote w:val="1"/>
          <w:marLeft w:val="720"/>
          <w:marRight w:val="720"/>
          <w:marTop w:val="100"/>
          <w:marBottom w:val="100"/>
          <w:divBdr>
            <w:top w:val="none" w:sz="0" w:space="0" w:color="auto"/>
            <w:left w:val="none" w:sz="0" w:space="0" w:color="auto"/>
            <w:bottom w:val="none" w:sz="0" w:space="0" w:color="auto"/>
            <w:right w:val="none" w:sz="0" w:space="0" w:color="auto"/>
          </w:divBdr>
        </w:div>
        <w:div w:id="1946231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0686526">
      <w:bodyDiv w:val="1"/>
      <w:marLeft w:val="0"/>
      <w:marRight w:val="0"/>
      <w:marTop w:val="0"/>
      <w:marBottom w:val="0"/>
      <w:divBdr>
        <w:top w:val="none" w:sz="0" w:space="0" w:color="auto"/>
        <w:left w:val="none" w:sz="0" w:space="0" w:color="auto"/>
        <w:bottom w:val="none" w:sz="0" w:space="0" w:color="auto"/>
        <w:right w:val="none" w:sz="0" w:space="0" w:color="auto"/>
      </w:divBdr>
    </w:div>
    <w:div w:id="2094666727">
      <w:bodyDiv w:val="1"/>
      <w:marLeft w:val="0"/>
      <w:marRight w:val="0"/>
      <w:marTop w:val="0"/>
      <w:marBottom w:val="0"/>
      <w:divBdr>
        <w:top w:val="none" w:sz="0" w:space="0" w:color="auto"/>
        <w:left w:val="none" w:sz="0" w:space="0" w:color="auto"/>
        <w:bottom w:val="none" w:sz="0" w:space="0" w:color="auto"/>
        <w:right w:val="none" w:sz="0" w:space="0" w:color="auto"/>
      </w:divBdr>
    </w:div>
    <w:div w:id="2097633369">
      <w:bodyDiv w:val="1"/>
      <w:marLeft w:val="0"/>
      <w:marRight w:val="0"/>
      <w:marTop w:val="0"/>
      <w:marBottom w:val="0"/>
      <w:divBdr>
        <w:top w:val="none" w:sz="0" w:space="0" w:color="auto"/>
        <w:left w:val="none" w:sz="0" w:space="0" w:color="auto"/>
        <w:bottom w:val="none" w:sz="0" w:space="0" w:color="auto"/>
        <w:right w:val="none" w:sz="0" w:space="0" w:color="auto"/>
      </w:divBdr>
    </w:div>
    <w:div w:id="2102682820">
      <w:bodyDiv w:val="1"/>
      <w:marLeft w:val="0"/>
      <w:marRight w:val="0"/>
      <w:marTop w:val="0"/>
      <w:marBottom w:val="0"/>
      <w:divBdr>
        <w:top w:val="none" w:sz="0" w:space="0" w:color="auto"/>
        <w:left w:val="none" w:sz="0" w:space="0" w:color="auto"/>
        <w:bottom w:val="none" w:sz="0" w:space="0" w:color="auto"/>
        <w:right w:val="none" w:sz="0" w:space="0" w:color="auto"/>
      </w:divBdr>
    </w:div>
    <w:div w:id="2106997322">
      <w:bodyDiv w:val="1"/>
      <w:marLeft w:val="0"/>
      <w:marRight w:val="0"/>
      <w:marTop w:val="0"/>
      <w:marBottom w:val="0"/>
      <w:divBdr>
        <w:top w:val="none" w:sz="0" w:space="0" w:color="auto"/>
        <w:left w:val="none" w:sz="0" w:space="0" w:color="auto"/>
        <w:bottom w:val="none" w:sz="0" w:space="0" w:color="auto"/>
        <w:right w:val="none" w:sz="0" w:space="0" w:color="auto"/>
      </w:divBdr>
    </w:div>
    <w:div w:id="2110854421">
      <w:bodyDiv w:val="1"/>
      <w:marLeft w:val="0"/>
      <w:marRight w:val="0"/>
      <w:marTop w:val="0"/>
      <w:marBottom w:val="0"/>
      <w:divBdr>
        <w:top w:val="none" w:sz="0" w:space="0" w:color="auto"/>
        <w:left w:val="none" w:sz="0" w:space="0" w:color="auto"/>
        <w:bottom w:val="none" w:sz="0" w:space="0" w:color="auto"/>
        <w:right w:val="none" w:sz="0" w:space="0" w:color="auto"/>
      </w:divBdr>
    </w:div>
    <w:div w:id="2111703312">
      <w:bodyDiv w:val="1"/>
      <w:marLeft w:val="0"/>
      <w:marRight w:val="0"/>
      <w:marTop w:val="0"/>
      <w:marBottom w:val="0"/>
      <w:divBdr>
        <w:top w:val="none" w:sz="0" w:space="0" w:color="auto"/>
        <w:left w:val="none" w:sz="0" w:space="0" w:color="auto"/>
        <w:bottom w:val="none" w:sz="0" w:space="0" w:color="auto"/>
        <w:right w:val="none" w:sz="0" w:space="0" w:color="auto"/>
      </w:divBdr>
    </w:div>
    <w:div w:id="2111776647">
      <w:bodyDiv w:val="1"/>
      <w:marLeft w:val="0"/>
      <w:marRight w:val="0"/>
      <w:marTop w:val="0"/>
      <w:marBottom w:val="0"/>
      <w:divBdr>
        <w:top w:val="none" w:sz="0" w:space="0" w:color="auto"/>
        <w:left w:val="none" w:sz="0" w:space="0" w:color="auto"/>
        <w:bottom w:val="none" w:sz="0" w:space="0" w:color="auto"/>
        <w:right w:val="none" w:sz="0" w:space="0" w:color="auto"/>
      </w:divBdr>
    </w:div>
    <w:div w:id="2112703292">
      <w:bodyDiv w:val="1"/>
      <w:marLeft w:val="0"/>
      <w:marRight w:val="0"/>
      <w:marTop w:val="0"/>
      <w:marBottom w:val="0"/>
      <w:divBdr>
        <w:top w:val="none" w:sz="0" w:space="0" w:color="auto"/>
        <w:left w:val="none" w:sz="0" w:space="0" w:color="auto"/>
        <w:bottom w:val="none" w:sz="0" w:space="0" w:color="auto"/>
        <w:right w:val="none" w:sz="0" w:space="0" w:color="auto"/>
      </w:divBdr>
    </w:div>
    <w:div w:id="2116054064">
      <w:bodyDiv w:val="1"/>
      <w:marLeft w:val="0"/>
      <w:marRight w:val="0"/>
      <w:marTop w:val="0"/>
      <w:marBottom w:val="0"/>
      <w:divBdr>
        <w:top w:val="none" w:sz="0" w:space="0" w:color="auto"/>
        <w:left w:val="none" w:sz="0" w:space="0" w:color="auto"/>
        <w:bottom w:val="none" w:sz="0" w:space="0" w:color="auto"/>
        <w:right w:val="none" w:sz="0" w:space="0" w:color="auto"/>
      </w:divBdr>
    </w:div>
    <w:div w:id="2116320206">
      <w:bodyDiv w:val="1"/>
      <w:marLeft w:val="0"/>
      <w:marRight w:val="0"/>
      <w:marTop w:val="0"/>
      <w:marBottom w:val="0"/>
      <w:divBdr>
        <w:top w:val="none" w:sz="0" w:space="0" w:color="auto"/>
        <w:left w:val="none" w:sz="0" w:space="0" w:color="auto"/>
        <w:bottom w:val="none" w:sz="0" w:space="0" w:color="auto"/>
        <w:right w:val="none" w:sz="0" w:space="0" w:color="auto"/>
      </w:divBdr>
    </w:div>
    <w:div w:id="2122721921">
      <w:bodyDiv w:val="1"/>
      <w:marLeft w:val="0"/>
      <w:marRight w:val="0"/>
      <w:marTop w:val="0"/>
      <w:marBottom w:val="0"/>
      <w:divBdr>
        <w:top w:val="none" w:sz="0" w:space="0" w:color="auto"/>
        <w:left w:val="none" w:sz="0" w:space="0" w:color="auto"/>
        <w:bottom w:val="none" w:sz="0" w:space="0" w:color="auto"/>
        <w:right w:val="none" w:sz="0" w:space="0" w:color="auto"/>
      </w:divBdr>
    </w:div>
    <w:div w:id="2129395745">
      <w:bodyDiv w:val="1"/>
      <w:marLeft w:val="0"/>
      <w:marRight w:val="0"/>
      <w:marTop w:val="0"/>
      <w:marBottom w:val="0"/>
      <w:divBdr>
        <w:top w:val="none" w:sz="0" w:space="0" w:color="auto"/>
        <w:left w:val="none" w:sz="0" w:space="0" w:color="auto"/>
        <w:bottom w:val="none" w:sz="0" w:space="0" w:color="auto"/>
        <w:right w:val="none" w:sz="0" w:space="0" w:color="auto"/>
      </w:divBdr>
    </w:div>
    <w:div w:id="2130657071">
      <w:bodyDiv w:val="1"/>
      <w:marLeft w:val="0"/>
      <w:marRight w:val="0"/>
      <w:marTop w:val="0"/>
      <w:marBottom w:val="0"/>
      <w:divBdr>
        <w:top w:val="none" w:sz="0" w:space="0" w:color="auto"/>
        <w:left w:val="none" w:sz="0" w:space="0" w:color="auto"/>
        <w:bottom w:val="none" w:sz="0" w:space="0" w:color="auto"/>
        <w:right w:val="none" w:sz="0" w:space="0" w:color="auto"/>
      </w:divBdr>
    </w:div>
    <w:div w:id="2134053077">
      <w:bodyDiv w:val="1"/>
      <w:marLeft w:val="0"/>
      <w:marRight w:val="0"/>
      <w:marTop w:val="0"/>
      <w:marBottom w:val="0"/>
      <w:divBdr>
        <w:top w:val="none" w:sz="0" w:space="0" w:color="auto"/>
        <w:left w:val="none" w:sz="0" w:space="0" w:color="auto"/>
        <w:bottom w:val="none" w:sz="0" w:space="0" w:color="auto"/>
        <w:right w:val="none" w:sz="0" w:space="0" w:color="auto"/>
      </w:divBdr>
    </w:div>
    <w:div w:id="2134864086">
      <w:bodyDiv w:val="1"/>
      <w:marLeft w:val="0"/>
      <w:marRight w:val="0"/>
      <w:marTop w:val="0"/>
      <w:marBottom w:val="0"/>
      <w:divBdr>
        <w:top w:val="none" w:sz="0" w:space="0" w:color="auto"/>
        <w:left w:val="none" w:sz="0" w:space="0" w:color="auto"/>
        <w:bottom w:val="none" w:sz="0" w:space="0" w:color="auto"/>
        <w:right w:val="none" w:sz="0" w:space="0" w:color="auto"/>
      </w:divBdr>
    </w:div>
    <w:div w:id="2137137383">
      <w:bodyDiv w:val="1"/>
      <w:marLeft w:val="0"/>
      <w:marRight w:val="0"/>
      <w:marTop w:val="0"/>
      <w:marBottom w:val="0"/>
      <w:divBdr>
        <w:top w:val="none" w:sz="0" w:space="0" w:color="auto"/>
        <w:left w:val="none" w:sz="0" w:space="0" w:color="auto"/>
        <w:bottom w:val="none" w:sz="0" w:space="0" w:color="auto"/>
        <w:right w:val="none" w:sz="0" w:space="0" w:color="auto"/>
      </w:divBdr>
    </w:div>
    <w:div w:id="2141800745">
      <w:bodyDiv w:val="1"/>
      <w:marLeft w:val="0"/>
      <w:marRight w:val="0"/>
      <w:marTop w:val="0"/>
      <w:marBottom w:val="0"/>
      <w:divBdr>
        <w:top w:val="none" w:sz="0" w:space="0" w:color="auto"/>
        <w:left w:val="none" w:sz="0" w:space="0" w:color="auto"/>
        <w:bottom w:val="none" w:sz="0" w:space="0" w:color="auto"/>
        <w:right w:val="none" w:sz="0" w:space="0" w:color="auto"/>
      </w:divBdr>
    </w:div>
    <w:div w:id="214619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atbank.statistica.md/PxWeb/pxweb/ro/10%20Mediul%20inconjurator/10%20Mediul%20inconjurator__MED010/MED010200reg.px/?rxid=b2ff27d7-0b96-43c9-934b-42e1a2a9a774" TargetMode="External"/><Relationship Id="rId18" Type="http://schemas.openxmlformats.org/officeDocument/2006/relationships/hyperlink" Target="https://drmkc.jrc.ec.europa.eu/inform-index/INFORM-Risk/Country-Risk-Profile" TargetMode="External"/><Relationship Id="rId26" Type="http://schemas.openxmlformats.org/officeDocument/2006/relationships/footer" Target="footer1.xml"/><Relationship Id="rId39" Type="http://schemas.openxmlformats.org/officeDocument/2006/relationships/chart" Target="charts/chart15.xml"/><Relationship Id="rId21" Type="http://schemas.openxmlformats.org/officeDocument/2006/relationships/chart" Target="charts/chart5.xml"/><Relationship Id="rId34" Type="http://schemas.openxmlformats.org/officeDocument/2006/relationships/hyperlink" Target="https://statbank.statistica.md/PxWeb/pxweb/ro/40%20Statistica%20economica/40%20Statistica%20economica__05%20PRE__PRE030__serii%20anuale/PRE030090.px/" TargetMode="External"/><Relationship Id="rId42" Type="http://schemas.openxmlformats.org/officeDocument/2006/relationships/hyperlink" Target="https://statbank.statistica.md/PxWeb/pxweb/ro/10%20Mediul%20inconjurator/10%20Mediul%20inconjurator__MED050/" TargetMode="External"/><Relationship Id="rId47" Type="http://schemas.openxmlformats.org/officeDocument/2006/relationships/chart" Target="charts/chart19.xml"/><Relationship Id="rId50" Type="http://schemas.openxmlformats.org/officeDocument/2006/relationships/image" Target="media/image6.png"/><Relationship Id="rId55" Type="http://schemas.openxmlformats.org/officeDocument/2006/relationships/chart" Target="charts/chart24.xml"/><Relationship Id="rId63" Type="http://schemas.openxmlformats.org/officeDocument/2006/relationships/chart" Target="charts/chart31.xml"/><Relationship Id="rId68" Type="http://schemas.openxmlformats.org/officeDocument/2006/relationships/chart" Target="charts/chart36.xml"/><Relationship Id="rId76" Type="http://schemas.openxmlformats.org/officeDocument/2006/relationships/chart" Target="charts/chart44.xml"/><Relationship Id="rId7" Type="http://schemas.openxmlformats.org/officeDocument/2006/relationships/footnotes" Target="footnotes.xml"/><Relationship Id="rId71" Type="http://schemas.openxmlformats.org/officeDocument/2006/relationships/chart" Target="charts/chart39.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hyperlink" Target="https://statbank.statistica.md/PxWeb/pxweb/ro/40%20Statistica%20economica/40%20Statistica%20economica__16%20AGR__AGR010/AGR010080.px/" TargetMode="External"/><Relationship Id="rId11" Type="http://schemas.openxmlformats.org/officeDocument/2006/relationships/hyperlink" Target="https://statbank.statistica.md/PxWeb/pxweb/ro/10%20Mediul%20inconjurator/10%20Mediul%20inconjurator__MED010/MED010100reg.px/" TargetMode="External"/><Relationship Id="rId24" Type="http://schemas.openxmlformats.org/officeDocument/2006/relationships/chart" Target="charts/chart7.xml"/><Relationship Id="rId32" Type="http://schemas.openxmlformats.org/officeDocument/2006/relationships/chart" Target="charts/chart10.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hyperlink" Target="https://statbank.statistica.md/PxWeb/pxweb/ro/10%20Mediul%20inconjurator/10%20Mediul%20inconjurator__MED020/" TargetMode="External"/><Relationship Id="rId53" Type="http://schemas.openxmlformats.org/officeDocument/2006/relationships/chart" Target="charts/chart22.xml"/><Relationship Id="rId58" Type="http://schemas.openxmlformats.org/officeDocument/2006/relationships/chart" Target="charts/chart27.xml"/><Relationship Id="rId66" Type="http://schemas.openxmlformats.org/officeDocument/2006/relationships/chart" Target="charts/chart34.xml"/><Relationship Id="rId74" Type="http://schemas.openxmlformats.org/officeDocument/2006/relationships/chart" Target="charts/chart42.xml"/><Relationship Id="rId79" Type="http://schemas.openxmlformats.org/officeDocument/2006/relationships/chart" Target="charts/chart47.xml"/><Relationship Id="rId5" Type="http://schemas.openxmlformats.org/officeDocument/2006/relationships/settings" Target="settings.xml"/><Relationship Id="rId61" Type="http://schemas.openxmlformats.org/officeDocument/2006/relationships/chart" Target="charts/chart29.xml"/><Relationship Id="rId82"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4.xml"/><Relationship Id="rId31" Type="http://schemas.openxmlformats.org/officeDocument/2006/relationships/hyperlink" Target="https://statbank.statistica.md/PxWeb/pxweb/ro/40%20Statistica%20economica/40%20Statistica%20economica__16%20AGR__AGR020/AGR020300reg.px/" TargetMode="External"/><Relationship Id="rId44" Type="http://schemas.openxmlformats.org/officeDocument/2006/relationships/hyperlink" Target="https://statbank.statistica.md/PxWeb/pxweb/ro/10%20Mediul%20inconjurator/" TargetMode="External"/><Relationship Id="rId52" Type="http://schemas.openxmlformats.org/officeDocument/2006/relationships/chart" Target="charts/chart21.xml"/><Relationship Id="rId60" Type="http://schemas.openxmlformats.org/officeDocument/2006/relationships/image" Target="media/image7.png"/><Relationship Id="rId65" Type="http://schemas.openxmlformats.org/officeDocument/2006/relationships/chart" Target="charts/chart33.xml"/><Relationship Id="rId73" Type="http://schemas.openxmlformats.org/officeDocument/2006/relationships/chart" Target="charts/chart41.xml"/><Relationship Id="rId78" Type="http://schemas.openxmlformats.org/officeDocument/2006/relationships/chart" Target="charts/chart46.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hyperlink" Target="https://dse.md/sites/default/files/statistic_documents/Analiza%20SE%202010-2024.pdf" TargetMode="External"/><Relationship Id="rId27" Type="http://schemas.openxmlformats.org/officeDocument/2006/relationships/footer" Target="footer2.xml"/><Relationship Id="rId30" Type="http://schemas.openxmlformats.org/officeDocument/2006/relationships/chart" Target="charts/chart9.xml"/><Relationship Id="rId35" Type="http://schemas.openxmlformats.org/officeDocument/2006/relationships/chart" Target="charts/chart12.xml"/><Relationship Id="rId43" Type="http://schemas.openxmlformats.org/officeDocument/2006/relationships/chart" Target="charts/chart17.xml"/><Relationship Id="rId48" Type="http://schemas.openxmlformats.org/officeDocument/2006/relationships/image" Target="media/image4.png"/><Relationship Id="rId56" Type="http://schemas.openxmlformats.org/officeDocument/2006/relationships/chart" Target="charts/chart25.xml"/><Relationship Id="rId64" Type="http://schemas.openxmlformats.org/officeDocument/2006/relationships/chart" Target="charts/chart32.xml"/><Relationship Id="rId69" Type="http://schemas.openxmlformats.org/officeDocument/2006/relationships/chart" Target="charts/chart37.xml"/><Relationship Id="rId77" Type="http://schemas.openxmlformats.org/officeDocument/2006/relationships/chart" Target="charts/chart45.xml"/><Relationship Id="rId8" Type="http://schemas.openxmlformats.org/officeDocument/2006/relationships/endnotes" Target="endnotes.xml"/><Relationship Id="rId51" Type="http://schemas.openxmlformats.org/officeDocument/2006/relationships/chart" Target="charts/chart20.xml"/><Relationship Id="rId72" Type="http://schemas.openxmlformats.org/officeDocument/2006/relationships/chart" Target="charts/chart40.xml"/><Relationship Id="rId80" Type="http://schemas.openxmlformats.org/officeDocument/2006/relationships/chart" Target="charts/chart48.xml"/><Relationship Id="rId3" Type="http://schemas.openxmlformats.org/officeDocument/2006/relationships/numbering" Target="numbering.xml"/><Relationship Id="rId12" Type="http://schemas.openxmlformats.org/officeDocument/2006/relationships/chart" Target="charts/chart2.xml"/><Relationship Id="rId17" Type="http://schemas.openxmlformats.org/officeDocument/2006/relationships/image" Target="media/image3.emf"/><Relationship Id="rId25" Type="http://schemas.openxmlformats.org/officeDocument/2006/relationships/hyperlink" Target="https://statbank.statistica.md/PxWeb/pxweb/ro/10%20Mediul%20inconjurator/10%20Mediul%20inconjurator__MED050/MED050100.px/" TargetMode="External"/><Relationship Id="rId33" Type="http://schemas.openxmlformats.org/officeDocument/2006/relationships/chart" Target="charts/chart11.xml"/><Relationship Id="rId38" Type="http://schemas.openxmlformats.org/officeDocument/2006/relationships/chart" Target="charts/chart14.xml"/><Relationship Id="rId46" Type="http://schemas.openxmlformats.org/officeDocument/2006/relationships/chart" Target="charts/chart18.xml"/><Relationship Id="rId59" Type="http://schemas.openxmlformats.org/officeDocument/2006/relationships/chart" Target="charts/chart28.xml"/><Relationship Id="rId67" Type="http://schemas.openxmlformats.org/officeDocument/2006/relationships/chart" Target="charts/chart35.xml"/><Relationship Id="rId20" Type="http://schemas.openxmlformats.org/officeDocument/2006/relationships/hyperlink" Target="https://dse.md/sites/default/files/statistic_documents/Analiza%20SE%202010-2024.pdf" TargetMode="External"/><Relationship Id="rId41" Type="http://schemas.openxmlformats.org/officeDocument/2006/relationships/hyperlink" Target="https://statbank.statistica.md/PxWeb/pxweb/ro/10%20Mediul%20inconjurator/" TargetMode="External"/><Relationship Id="rId54" Type="http://schemas.openxmlformats.org/officeDocument/2006/relationships/chart" Target="charts/chart23.xml"/><Relationship Id="rId62" Type="http://schemas.openxmlformats.org/officeDocument/2006/relationships/chart" Target="charts/chart30.xml"/><Relationship Id="rId70" Type="http://schemas.openxmlformats.org/officeDocument/2006/relationships/chart" Target="charts/chart38.xml"/><Relationship Id="rId75" Type="http://schemas.openxmlformats.org/officeDocument/2006/relationships/chart" Target="charts/chart4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tatbank.statistica.md/PxWeb/pxweb/ro/10%20Mediul%20inconjurator/10%20Mediul%20inconjurator__MED010/MED010200reg.px/" TargetMode="External"/><Relationship Id="rId23" Type="http://schemas.openxmlformats.org/officeDocument/2006/relationships/chart" Target="charts/chart6.xml"/><Relationship Id="rId28" Type="http://schemas.openxmlformats.org/officeDocument/2006/relationships/chart" Target="charts/chart8.xml"/><Relationship Id="rId36" Type="http://schemas.openxmlformats.org/officeDocument/2006/relationships/hyperlink" Target="https://statbank.statistica.md/PxWeb/pxweb/ro/40%20Statistica%20economica/40%20Statistica%20economica__16%20AGR__AGR030/AGR030100.px/" TargetMode="External"/><Relationship Id="rId49" Type="http://schemas.openxmlformats.org/officeDocument/2006/relationships/image" Target="media/image5.png"/><Relationship Id="rId57" Type="http://schemas.openxmlformats.org/officeDocument/2006/relationships/chart" Target="charts/chart26.xml"/></Relationships>
</file>

<file path=word/_rels/footnotes.xml.rels><?xml version="1.0" encoding="UTF-8" standalone="yes"?>
<Relationships xmlns="http://schemas.openxmlformats.org/package/2006/relationships"><Relationship Id="rId8" Type="http://schemas.openxmlformats.org/officeDocument/2006/relationships/hyperlink" Target="https://www.undrr.org/publication/technical-guidance-comprehensive-risk-assessment-and-planning-context-climate-change" TargetMode="External"/><Relationship Id="rId13" Type="http://schemas.openxmlformats.org/officeDocument/2006/relationships/hyperlink" Target="https://statbank.statistica.md/PxWeb/pxweb/ro/30%20Statistica%20sociala/30%20Statistica%20sociala__03%20FM__SAL020/" TargetMode="External"/><Relationship Id="rId18" Type="http://schemas.openxmlformats.org/officeDocument/2006/relationships/hyperlink" Target="https://www.meteo.md/index.php/ro/description_codes/hazards/7" TargetMode="External"/><Relationship Id="rId26" Type="http://schemas.openxmlformats.org/officeDocument/2006/relationships/hyperlink" Target="https://antigrindina.md/despre-serviciul-special/domeniul-de-activitate.html" TargetMode="External"/><Relationship Id="rId3" Type="http://schemas.openxmlformats.org/officeDocument/2006/relationships/hyperlink" Target="https://unfccc.int/documents/627100" TargetMode="External"/><Relationship Id="rId21" Type="http://schemas.openxmlformats.org/officeDocument/2006/relationships/hyperlink" Target="https://iomint-my.sharepoint.com/Users/maximelebovics/Library/Containers/com.microsoft.Word/Data/Library/Preferences/AutoRecovery/1.IGSU%20&#8211;%20Analiza%20Situat&#806;iilor%20Except&#806;ionale,%202010&#8211;2024:%20https:/dse.md/sites/default/files/statistic_documents/Analiza%20SE%202010-2024.pdf" TargetMode="External"/><Relationship Id="rId7" Type="http://schemas.openxmlformats.org/officeDocument/2006/relationships/hyperlink" Target="https://eur-lex.europa.eu/legal-content/RO/TXT/PDF/?uri=CELEX:52024DC0130" TargetMode="External"/><Relationship Id="rId12" Type="http://schemas.openxmlformats.org/officeDocument/2006/relationships/hyperlink" Target="https://statbank.statistica.md/PxWeb/pxweb/ro/30%20Statistica%20sociala/30%20Statistica%20sociala__03%20FM/" TargetMode="External"/><Relationship Id="rId17" Type="http://schemas.openxmlformats.org/officeDocument/2006/relationships/hyperlink" Target="https://statistica.gov.md/ro/statistic_indicator_details/51" TargetMode="External"/><Relationship Id="rId25" Type="http://schemas.openxmlformats.org/officeDocument/2006/relationships/hyperlink" Target="https://clima.gov.md/climate-next/page/grindina" TargetMode="External"/><Relationship Id="rId33" Type="http://schemas.openxmlformats.org/officeDocument/2006/relationships/hyperlink" Target="https://www.legis.md/cautare/getResults?doc_id=150247&amp;lang=ro" TargetMode="External"/><Relationship Id="rId2" Type="http://schemas.openxmlformats.org/officeDocument/2006/relationships/hyperlink" Target="https://esaro.unfpa.org/sites/default/files/pub-pdf/recommendations_unfpa_cc_cop26_final.pdf" TargetMode="External"/><Relationship Id="rId16" Type="http://schemas.openxmlformats.org/officeDocument/2006/relationships/hyperlink" Target="https://portals.iucn.org/library/sites/library/files/documents/CGFAS-001-En.pdf" TargetMode="External"/><Relationship Id="rId20" Type="http://schemas.openxmlformats.org/officeDocument/2006/relationships/hyperlink" Target="https://www.meteo.md/index.php/ro/description_codes/hazards/9" TargetMode="External"/><Relationship Id="rId29" Type="http://schemas.openxmlformats.org/officeDocument/2006/relationships/hyperlink" Target="https://www.legis.md/cautare/getResults?doc_id=66776&amp;lang=ro" TargetMode="External"/><Relationship Id="rId1" Type="http://schemas.openxmlformats.org/officeDocument/2006/relationships/hyperlink" Target="https://unfccc.int/process/bodies/constituted-bodies/WIMExCom/TFD" TargetMode="External"/><Relationship Id="rId6" Type="http://schemas.openxmlformats.org/officeDocument/2006/relationships/hyperlink" Target="https://drmkc.jrc.ec.europa.eu/inform-index/INFORM-Risk/Risk-Facts-Figures" TargetMode="External"/><Relationship Id="rId11" Type="http://schemas.openxmlformats.org/officeDocument/2006/relationships/hyperlink" Target="https://statbank.statistica.md/PxWeb/pxweb/ro/30%20Statistica%20sociala/" TargetMode="External"/><Relationship Id="rId24" Type="http://schemas.openxmlformats.org/officeDocument/2006/relationships/hyperlink" Target="https://www.meteo.md/index.php/ro/description_codes/hazards/5" TargetMode="External"/><Relationship Id="rId32" Type="http://schemas.openxmlformats.org/officeDocument/2006/relationships/hyperlink" Target="https://portals.iucn.org/library/sites/library/files/documents/2022-055-En.pdf" TargetMode="External"/><Relationship Id="rId5" Type="http://schemas.openxmlformats.org/officeDocument/2006/relationships/hyperlink" Target="https://statistica.gov.md/en/preliminary-results-of-the-population-and-housing-census-2024-10079_61630.html" TargetMode="External"/><Relationship Id="rId15" Type="http://schemas.openxmlformats.org/officeDocument/2006/relationships/hyperlink" Target="https://statbank.statistica.md/PxWeb/pxweb/ro/30%20Statistica%20sociala/30%20Statistica%20sociala__03%20FM__SAL020/SAL020100.px/?rxid=5aad211e-2f63-43c6-9796-f49f4cefe6cf" TargetMode="External"/><Relationship Id="rId23" Type="http://schemas.openxmlformats.org/officeDocument/2006/relationships/hyperlink" Target="https://www.meteo.md/index.php/ro/description_codes/hazards/11" TargetMode="External"/><Relationship Id="rId28" Type="http://schemas.openxmlformats.org/officeDocument/2006/relationships/hyperlink" Target="https://www.meteo.md/index.php/ro/description_codes/hazards/1" TargetMode="External"/><Relationship Id="rId10" Type="http://schemas.openxmlformats.org/officeDocument/2006/relationships/hyperlink" Target="https://wmo.int/topics/drought" TargetMode="External"/><Relationship Id="rId19" Type="http://schemas.openxmlformats.org/officeDocument/2006/relationships/hyperlink" Target="https://voceabasarabiei.md/cnn-cotul-morii-din-hancesti-in-topul-zonelor-fantome-abandonate-din-cauza-cataclismelor-si-schimbarilor-climatice" TargetMode="External"/><Relationship Id="rId31" Type="http://schemas.openxmlformats.org/officeDocument/2006/relationships/hyperlink" Target="https://cdn.who.int/media/docs/default-source/climate-change/highlights-brief_final.pdf?sfvrsn=537bdfea_3" TargetMode="External"/><Relationship Id="rId4" Type="http://schemas.openxmlformats.org/officeDocument/2006/relationships/hyperlink" Target="https://documents1.worldbank.org/curated/en/986111616047168414/pdf/Strengthening-Moldova-s-Disaster-Risk-Management-and-Climate-Resilience-Facing-Current-Issues-and-Future-Challenges.pdf" TargetMode="External"/><Relationship Id="rId9" Type="http://schemas.openxmlformats.org/officeDocument/2006/relationships/hyperlink" Target="https://eur-lex.europa.eu/legal-content/RO/TXT/PDF/?uri=CELEX:52019XC1220(01)" TargetMode="External"/><Relationship Id="rId14" Type="http://schemas.openxmlformats.org/officeDocument/2006/relationships/hyperlink" Target="https://statbank.statistica.md/PxWeb/pxweb/ro/40%20Statistica%20economica/40%20Statistica%20economica__13%20CNT__CNT208/CNT208100.px/?rxid=b2ff27d7-0b96-43c9-934b-42e1a2a9a774" TargetMode="External"/><Relationship Id="rId22" Type="http://schemas.openxmlformats.org/officeDocument/2006/relationships/hyperlink" Target="https://esaro.unfpa.org/sites/default/files/pub-pdf/responding_to_climate_change.pdf" TargetMode="External"/><Relationship Id="rId27" Type="http://schemas.openxmlformats.org/officeDocument/2006/relationships/hyperlink" Target="https://www.meteo.md/index.php/ro/description_codes/hazards/12" TargetMode="External"/><Relationship Id="rId30" Type="http://schemas.openxmlformats.org/officeDocument/2006/relationships/hyperlink" Target="https://iucn.org/news/202402/one-health-nature-conservation-project-central-asia-launched-iucn-and-partner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maximelebovics\Desktop\Updated%20CV%20Nov%202024\IOM%20application_National%20DRR%20Consultant\DATE%20STATISTICE\SHS\datele_meteo_1990-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maximelebovics\Desktop\Updated%20CV%20Nov%202024\IOM%20application_National%20DRR%20Consultant\DATE%20STATISTICE\INFORM%20INDEX%20score%20average%20trends%20globa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maximelebovics\Desktop\Updated%20CV%20Nov%202024\IOM%20application_National%20DRR%20Consultant\DATE%20STATISTICE\Preturi%20medii_indici%20produse%20agroicole_2014_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maximelebovics\Desktop\Updated%20CV%20Nov%202024\IOM%20application_National%20DRR%20Consultant\DATE%20STATISTICE\Efectiv%20animale%201980_20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maximelebovics\Desktop\Updated%20CV%20Nov%202024\IOM%20application_National%20DRR%20Consultant\DATE%20STATISTICE\Indic%20principali%20ai%20fondului%20forestier_2010_20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maximelebovics\Desktop\Updated%20CV%20Nov%202024\IOM%20application_National%20DRR%20Consultant\DATE%20STATISTICE\Regenerarea%20padurilor%20in%20fondul%20silvic%20de%20stat_2010_2022.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maximelebovics\Desktop\Updated%20CV%20Nov%202024\IOM%20application_National%20DRR%20Consultant\DATE%20STATISTICE\Utilizarea%20apei_2008_2023.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maximelebovics\Desktop\Updated%20CV%20Nov%202024\IOM%20application_National%20DRR%20Consultant\DATE%20STATISTICE\IGSU%20DATA\SITUATII%20EXCEPTIONALE\2010_2024%20COMPILED%20DATA%20\Charts_IGSU%20DATA.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Users\maximelebovics\Desktop\Updated%20CV%20Nov%202024\IOM%20application_National%20DRR%20Consultant\DATE%20STATISTICE\SHS\datele_meteo_1990-2024.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aximelebovics\Desktop\IOM%20application_National%20DRR%20Consultant\DATE%20STATISTICE\METEOROLOGIE_BNS\Precipitatii%20anuale_3%20statii%20METEO_2002_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Users\maximelebovics\Desktop\Updated%20CV%20Nov%202024\IOM%20application_National%20DRR%20Consultant\DATE%20STATISTICE\IGSU%20DATA\SITUATII%20EXCEPTIONALE\2010_2024%20COMPILED%20DATA%20\Charts_IGSU%20DATA.xlsx"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file:///\\Users\maximelebovics\Desktop\Updated%20CV%20Nov%202024\IOM%20application_National%20DRR%20Consultant\DATE%20STATISTICE\SHS\datele_meteo_1990-2024.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file:///\\Users\maximelebovics\Desktop\Updated%20CV%20Nov%202024\IOM%20application_National%20DRR%20Consultant\DATE%20STATISTICE\SHS\datele_meteo_1990-2024.xlsx"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oleObject" Target="file:///\\Users\maximelebovics\Desktop\Updated%20CV%20Nov%202024\IOM%20application_National%20DRR%20Consultant\DATE%20STATISTICE\IGSU%20DATA\SITUATII%20EXCEPTIONALE\2010_2024%20COMPILED%20DATA%20\Charts_IGSU%20DATA.xlsx" TargetMode="External"/><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oleObject" Target="file:///\\Users\maximelebovics\Desktop\Updated%20CV%20Nov%202024\IOM%20application_National%20DRR%20Consultant\DATE%20STATISTICE\IGSU%20DATA\SITUATII%20EXCEPTIONALE\2010_2024%20COMPILED%20DATA%20\Charts_IGSU%20DATA.xlsx" TargetMode="External"/><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oleObject" Target="file:///\\Users\maximelebovics\Desktop\Updated%20CV%20Nov%202024\IOM%20application_National%20DRR%20Consultant\DATE%20STATISTICE\SHS\datele_meteo_1990-2024.xlsx" TargetMode="External"/><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oleObject" Target="file:///\\Users\maximelebovics\Desktop\Updated%20CV%20Nov%202024\IOM%20application_National%20DRR%20Consultant\DATE%20STATISTICE\SHS\datele_meteo_1990-2024.xlsx" TargetMode="External"/><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oleObject" Target="file:///\\Users\maximelebovics\Desktop\Updated%20CV%20Nov%202024\IOM%20application_National%20DRR%20Consultant\DATE%20STATISTICE\IGSU%20DATA\SITUATII%20EXCEPTIONALE\2010_2024%20COMPILED%20DATA%20\Charts_IGSU%20DATA.xlsx" TargetMode="External"/><Relationship Id="rId2" Type="http://schemas.microsoft.com/office/2011/relationships/chartColorStyle" Target="colors25.xml"/><Relationship Id="rId1" Type="http://schemas.microsoft.com/office/2011/relationships/chartStyle" Target="style25.xml"/></Relationships>
</file>

<file path=word/charts/_rels/chart28.xml.rels><?xml version="1.0" encoding="UTF-8" standalone="yes"?>
<Relationships xmlns="http://schemas.openxmlformats.org/package/2006/relationships"><Relationship Id="rId3" Type="http://schemas.openxmlformats.org/officeDocument/2006/relationships/oleObject" Target="file:///\\Users\maximelebovics\Desktop\Updated%20CV%20Nov%202024\IOM%20application_National%20DRR%20Consultant\DATE%20STATISTICE\SHS\datele_meteo_1990-2024.xlsx" TargetMode="External"/><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3" Type="http://schemas.openxmlformats.org/officeDocument/2006/relationships/oleObject" Target="file:///\\Users\maximelebovics\Desktop\Chart%20in%20Microsoft%20Word.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aximelebovics\Desktop\IOM%20application_National%20DRR%20Consultant\DATE%20STATISTICE\METEOROLOGIE_BNS\Viteza%20vantului%20medie%20anuala_Chisinau_Briceni_2002_2024.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Users\maximelebovics\Downloads\E-2-ro-final%20(2)%20(1).xls" TargetMode="External"/><Relationship Id="rId2" Type="http://schemas.microsoft.com/office/2011/relationships/chartColorStyle" Target="colors28.xml"/><Relationship Id="rId1" Type="http://schemas.microsoft.com/office/2011/relationships/chartStyle" Target="style28.xml"/></Relationships>
</file>

<file path=word/charts/_rels/chart31.xml.rels><?xml version="1.0" encoding="UTF-8" standalone="yes"?>
<Relationships xmlns="http://schemas.openxmlformats.org/package/2006/relationships"><Relationship Id="rId3" Type="http://schemas.openxmlformats.org/officeDocument/2006/relationships/oleObject" Target="file:///\\Users\maximelebovics\Desktop\IOM%20application_National%20DRR%20Consultant\DATE%20STATISTICE\RRD%20socio-biologice\MASTER%20FILE_%20water%20and%20socio%20biological.xlsx" TargetMode="External"/><Relationship Id="rId2" Type="http://schemas.microsoft.com/office/2011/relationships/chartColorStyle" Target="colors29.xml"/><Relationship Id="rId1" Type="http://schemas.microsoft.com/office/2011/relationships/chartStyle" Target="style29.xml"/></Relationships>
</file>

<file path=word/charts/_rels/chart32.xml.rels><?xml version="1.0" encoding="UTF-8" standalone="yes"?>
<Relationships xmlns="http://schemas.openxmlformats.org/package/2006/relationships"><Relationship Id="rId3" Type="http://schemas.openxmlformats.org/officeDocument/2006/relationships/oleObject" Target="file:///\\Users\maximelebovics\Desktop\IOM%20application_National%20DRR%20Consultant\DATE%20STATISTICE\RRD%20socio-biologice\MASTER%20FILE_%20water%20and%20socio%20biological.xlsx" TargetMode="External"/><Relationship Id="rId2" Type="http://schemas.microsoft.com/office/2011/relationships/chartColorStyle" Target="colors30.xml"/><Relationship Id="rId1" Type="http://schemas.microsoft.com/office/2011/relationships/chartStyle" Target="style30.xml"/></Relationships>
</file>

<file path=word/charts/_rels/chart33.xml.rels><?xml version="1.0" encoding="UTF-8" standalone="yes"?>
<Relationships xmlns="http://schemas.openxmlformats.org/package/2006/relationships"><Relationship Id="rId3" Type="http://schemas.openxmlformats.org/officeDocument/2006/relationships/oleObject" Target="file:///\\Users\maximelebovics\Desktop\IOM%20application_National%20DRR%20Consultant\DATE%20STATISTICE\RRD%20socio-biologice\MASTER%20FILE_%20water%20and%20socio%20biological.xlsx" TargetMode="External"/><Relationship Id="rId2" Type="http://schemas.microsoft.com/office/2011/relationships/chartColorStyle" Target="colors31.xml"/><Relationship Id="rId1" Type="http://schemas.microsoft.com/office/2011/relationships/chartStyle" Target="style31.xml"/></Relationships>
</file>

<file path=word/charts/_rels/chart34.xml.rels><?xml version="1.0" encoding="UTF-8" standalone="yes"?>
<Relationships xmlns="http://schemas.openxmlformats.org/package/2006/relationships"><Relationship Id="rId3" Type="http://schemas.openxmlformats.org/officeDocument/2006/relationships/oleObject" Target="file:///\\Users\maximelebovics\Desktop\IOM%20application_National%20DRR%20Consultant\DATE%20STATISTICE\RRD%20socio-biologice\MASTER%20FILE_%20water%20and%20socio%20biological.xlsx" TargetMode="External"/><Relationship Id="rId2" Type="http://schemas.microsoft.com/office/2011/relationships/chartColorStyle" Target="colors32.xml"/><Relationship Id="rId1" Type="http://schemas.microsoft.com/office/2011/relationships/chartStyle" Target="style32.xml"/></Relationships>
</file>

<file path=word/charts/_rels/chart35.xml.rels><?xml version="1.0" encoding="UTF-8" standalone="yes"?>
<Relationships xmlns="http://schemas.openxmlformats.org/package/2006/relationships"><Relationship Id="rId3" Type="http://schemas.openxmlformats.org/officeDocument/2006/relationships/oleObject" Target="file:///\\Users\maximelebovics\Desktop\IOM%20application_National%20DRR%20Consultant\DATE%20STATISTICE\RRD%20socio-biologice\MASTER%20FILE_%20water%20and%20socio%20biological.xlsx" TargetMode="External"/><Relationship Id="rId2" Type="http://schemas.microsoft.com/office/2011/relationships/chartColorStyle" Target="colors33.xml"/><Relationship Id="rId1" Type="http://schemas.microsoft.com/office/2011/relationships/chartStyle" Target="style33.xml"/></Relationships>
</file>

<file path=word/charts/_rels/chart36.xml.rels><?xml version="1.0" encoding="UTF-8" standalone="yes"?>
<Relationships xmlns="http://schemas.openxmlformats.org/package/2006/relationships"><Relationship Id="rId3" Type="http://schemas.openxmlformats.org/officeDocument/2006/relationships/oleObject" Target="file:///\\Users\maximelebovics\Desktop\IOM%20application_National%20DRR%20Consultant\DATE%20STATISTICE\RRD%20socio-biologice\MASTER%20FILE_%20water%20and%20socio%20biological.xlsx" TargetMode="External"/><Relationship Id="rId2" Type="http://schemas.microsoft.com/office/2011/relationships/chartColorStyle" Target="colors34.xml"/><Relationship Id="rId1" Type="http://schemas.microsoft.com/office/2011/relationships/chartStyle" Target="style34.xml"/></Relationships>
</file>

<file path=word/charts/_rels/chart37.xml.rels><?xml version="1.0" encoding="UTF-8" standalone="yes"?>
<Relationships xmlns="http://schemas.openxmlformats.org/package/2006/relationships"><Relationship Id="rId3" Type="http://schemas.openxmlformats.org/officeDocument/2006/relationships/oleObject" Target="file:///\\Users\maximelebovics\Desktop\IOM%20application_National%20DRR%20Consultant\DATE%20STATISTICE\RRD%20socio-biologice\MASTER%20FILE_%20water%20and%20socio%20biological.xlsx" TargetMode="External"/><Relationship Id="rId2" Type="http://schemas.microsoft.com/office/2011/relationships/chartColorStyle" Target="colors35.xml"/><Relationship Id="rId1" Type="http://schemas.microsoft.com/office/2011/relationships/chartStyle" Target="style35.xml"/></Relationships>
</file>

<file path=word/charts/_rels/chart38.xml.rels><?xml version="1.0" encoding="UTF-8" standalone="yes"?>
<Relationships xmlns="http://schemas.openxmlformats.org/package/2006/relationships"><Relationship Id="rId3" Type="http://schemas.openxmlformats.org/officeDocument/2006/relationships/oleObject" Target="file:///\\Users\maximelebovics\Desktop\IOM%20application_National%20DRR%20Consultant\DATE%20STATISTICE\RRD%20socio-biologice\MASTER%20FILE_%20water%20and%20socio%20biological.xlsx" TargetMode="External"/><Relationship Id="rId2" Type="http://schemas.microsoft.com/office/2011/relationships/chartColorStyle" Target="colors36.xml"/><Relationship Id="rId1" Type="http://schemas.microsoft.com/office/2011/relationships/chartStyle" Target="style36.xml"/></Relationships>
</file>

<file path=word/charts/_rels/chart39.xml.rels><?xml version="1.0" encoding="UTF-8" standalone="yes"?>
<Relationships xmlns="http://schemas.openxmlformats.org/package/2006/relationships"><Relationship Id="rId3" Type="http://schemas.openxmlformats.org/officeDocument/2006/relationships/oleObject" Target="file:///\\Users\maximelebovics\Desktop\IOM%20application_National%20DRR%20Consultant\DATE%20STATISTICE\RRD%20socio-biologice\MASTER%20FILE_%20water%20and%20socio%20biological.xlsx" TargetMode="External"/><Relationship Id="rId2" Type="http://schemas.microsoft.com/office/2011/relationships/chartColorStyle" Target="colors37.xml"/><Relationship Id="rId1" Type="http://schemas.microsoft.com/office/2011/relationships/chartStyle" Target="style37.xml"/></Relationships>
</file>

<file path=word/charts/_rels/chart4.xml.rels><?xml version="1.0" encoding="UTF-8" standalone="yes"?>
<Relationships xmlns="http://schemas.openxmlformats.org/package/2006/relationships"><Relationship Id="rId3" Type="http://schemas.openxmlformats.org/officeDocument/2006/relationships/oleObject" Target="file:///\\Users\maximelebovics\Desktop\Updated%20CV%20Nov%202024\IOM%20application_National%20DRR%20Consultant\DATE%20STATISTICE\IGSU%20DATA\SITUATII%20EXCEPTIONALE\2010_2024%20COMPILED%20DATA%20\2010-2024%20SE.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Users\maximelebovics\Desktop\IOM%20application_National%20DRR%20Consultant\DATE%20STATISTICE\RRD%20socio-biologice\MASTER%20FILE_%20water%20and%20socio%20biological.xlsx" TargetMode="External"/><Relationship Id="rId2" Type="http://schemas.microsoft.com/office/2011/relationships/chartColorStyle" Target="colors38.xml"/><Relationship Id="rId1" Type="http://schemas.microsoft.com/office/2011/relationships/chartStyle" Target="style38.xml"/></Relationships>
</file>

<file path=word/charts/_rels/chart41.xml.rels><?xml version="1.0" encoding="UTF-8" standalone="yes"?>
<Relationships xmlns="http://schemas.openxmlformats.org/package/2006/relationships"><Relationship Id="rId3" Type="http://schemas.openxmlformats.org/officeDocument/2006/relationships/oleObject" Target="file:///\\Users\maximelebovics\Desktop\IOM%20application_National%20DRR%20Consultant\DATE%20STATISTICE\RRD%20socio-biologice\MASTER%20FILE_%20water%20and%20socio%20biological.xlsx" TargetMode="External"/><Relationship Id="rId2" Type="http://schemas.microsoft.com/office/2011/relationships/chartColorStyle" Target="colors39.xml"/><Relationship Id="rId1" Type="http://schemas.microsoft.com/office/2011/relationships/chartStyle" Target="style39.xml"/></Relationships>
</file>

<file path=word/charts/_rels/chart42.xml.rels><?xml version="1.0" encoding="UTF-8" standalone="yes"?>
<Relationships xmlns="http://schemas.openxmlformats.org/package/2006/relationships"><Relationship Id="rId3" Type="http://schemas.openxmlformats.org/officeDocument/2006/relationships/oleObject" Target="file:///\\Users\maximelebovics\Desktop\IOM%20application_National%20DRR%20Consultant\DATE%20STATISTICE\RRD%20socio-biologice\MASTER%20FILE_%20water%20and%20socio%20biological.xlsx" TargetMode="External"/><Relationship Id="rId2" Type="http://schemas.microsoft.com/office/2011/relationships/chartColorStyle" Target="colors40.xml"/><Relationship Id="rId1" Type="http://schemas.microsoft.com/office/2011/relationships/chartStyle" Target="style40.xml"/></Relationships>
</file>

<file path=word/charts/_rels/chart43.xml.rels><?xml version="1.0" encoding="UTF-8" standalone="yes"?>
<Relationships xmlns="http://schemas.openxmlformats.org/package/2006/relationships"><Relationship Id="rId3" Type="http://schemas.openxmlformats.org/officeDocument/2006/relationships/oleObject" Target="file:///\\Users\maximelebovics\Desktop\IOM%20application_National%20DRR%20Consultant\DATE%20STATISTICE\RRD%20socio-biologice\MASTER%20FILE_%20water%20and%20socio%20biological.xlsx" TargetMode="External"/><Relationship Id="rId2" Type="http://schemas.microsoft.com/office/2011/relationships/chartColorStyle" Target="colors41.xml"/><Relationship Id="rId1" Type="http://schemas.microsoft.com/office/2011/relationships/chartStyle" Target="style41.xml"/></Relationships>
</file>

<file path=word/charts/_rels/chart44.xml.rels><?xml version="1.0" encoding="UTF-8" standalone="yes"?>
<Relationships xmlns="http://schemas.openxmlformats.org/package/2006/relationships"><Relationship Id="rId3" Type="http://schemas.openxmlformats.org/officeDocument/2006/relationships/oleObject" Target="file:///\\Users\maximelebovics\Desktop\IOM%20application_National%20DRR%20Consultant\DATE%20STATISTICE\RRD%20socio-biologice\MASTER%20FILE_%20water%20and%20socio%20biological.xlsx" TargetMode="External"/><Relationship Id="rId2" Type="http://schemas.microsoft.com/office/2011/relationships/chartColorStyle" Target="colors42.xml"/><Relationship Id="rId1" Type="http://schemas.microsoft.com/office/2011/relationships/chartStyle" Target="style42.xml"/></Relationships>
</file>

<file path=word/charts/_rels/chart45.xml.rels><?xml version="1.0" encoding="UTF-8" standalone="yes"?>
<Relationships xmlns="http://schemas.openxmlformats.org/package/2006/relationships"><Relationship Id="rId3" Type="http://schemas.openxmlformats.org/officeDocument/2006/relationships/oleObject" Target="file:///\\Users\maximelebovics\Desktop\IOM%20application_National%20DRR%20Consultant\DATE%20STATISTICE\RRD%20socio-biologice\MASTER%20FILE_%20water%20and%20socio%20biological.xlsx" TargetMode="External"/><Relationship Id="rId2" Type="http://schemas.microsoft.com/office/2011/relationships/chartColorStyle" Target="colors43.xml"/><Relationship Id="rId1" Type="http://schemas.microsoft.com/office/2011/relationships/chartStyle" Target="style43.xml"/></Relationships>
</file>

<file path=word/charts/_rels/chart46.xml.rels><?xml version="1.0" encoding="UTF-8" standalone="yes"?>
<Relationships xmlns="http://schemas.openxmlformats.org/package/2006/relationships"><Relationship Id="rId3" Type="http://schemas.openxmlformats.org/officeDocument/2006/relationships/oleObject" Target="file:///\\Users\maximelebovics\Desktop\IOM%20application_National%20DRR%20Consultant\DATE%20STATISTICE\RRD%20socio-biologice\MASTER%20FILE_%20water%20and%20socio%20biological.xlsx" TargetMode="External"/><Relationship Id="rId2" Type="http://schemas.microsoft.com/office/2011/relationships/chartColorStyle" Target="colors44.xml"/><Relationship Id="rId1" Type="http://schemas.microsoft.com/office/2011/relationships/chartStyle" Target="style44.xml"/></Relationships>
</file>

<file path=word/charts/_rels/chart47.xml.rels><?xml version="1.0" encoding="UTF-8" standalone="yes"?>
<Relationships xmlns="http://schemas.openxmlformats.org/package/2006/relationships"><Relationship Id="rId3" Type="http://schemas.openxmlformats.org/officeDocument/2006/relationships/oleObject" Target="file:///\\Users\maximelebovics\Desktop\IOM%20application_National%20DRR%20Consultant\DATE%20STATISTICE\RRD%20socio-biologice\MASTER%20FILE_%20water%20and%20socio%20biological.xlsx" TargetMode="External"/><Relationship Id="rId2" Type="http://schemas.microsoft.com/office/2011/relationships/chartColorStyle" Target="colors45.xml"/><Relationship Id="rId1" Type="http://schemas.microsoft.com/office/2011/relationships/chartStyle" Target="style45.xml"/></Relationships>
</file>

<file path=word/charts/_rels/chart48.xml.rels><?xml version="1.0" encoding="UTF-8" standalone="yes"?>
<Relationships xmlns="http://schemas.openxmlformats.org/package/2006/relationships"><Relationship Id="rId3" Type="http://schemas.openxmlformats.org/officeDocument/2006/relationships/oleObject" Target="file:///\\Users\maximelebovics\Desktop\IOM%20application_National%20DRR%20Consultant\DATE%20STATISTICE\RRD%20socio-biologice\MASTER%20FILE_%20water%20and%20socio%20biological.xlsx" TargetMode="External"/><Relationship Id="rId2" Type="http://schemas.microsoft.com/office/2011/relationships/chartColorStyle" Target="colors46.xml"/><Relationship Id="rId1" Type="http://schemas.microsoft.com/office/2011/relationships/chartStyle" Target="style46.xml"/></Relationships>
</file>

<file path=word/charts/_rels/chart5.xml.rels><?xml version="1.0" encoding="UTF-8" standalone="yes"?>
<Relationships xmlns="http://schemas.openxmlformats.org/package/2006/relationships"><Relationship Id="rId3" Type="http://schemas.openxmlformats.org/officeDocument/2006/relationships/oleObject" Target="file:///\\Users\maximelebovics\Desktop\Updated%20CV%20Nov%202024\IOM%20application_National%20DRR%20Consultant\DATE%20STATISTICE\IGSU%20DATA\SITUATII%20EXCEPTIONALE\2010_2024%20COMPILED%20DATA%20\2010-2024%20S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maximelebovics\Desktop\Updated%20CV%20Nov%202024\IOM%20application_National%20DRR%20Consultant\DATE%20STATISTICE\IGSU%20DATA\SITUATII%20EXCEPTIONALE\2010_2024%20COMPILED%20DATA%20\Charts_IGSU%20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maximelebovics\Desktop\Updated%20CV%20Nov%202024\IOM%20application_National%20DRR%20Consultant\DATE%20STATISTICE\Fondul%20funciar%20pe%20categorii%20de%20terenuri_2001_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maximelebovics\Desktop\Updated%20CV%20Nov%202024\IOM%20application_National%20DRR%20Consultant\DATE%20STATISTICE\Productia%20globala%20agricola_1990_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maximelebovics\Desktop\Updated%20CV%20Nov%202024\IOM%20application_National%20DRR%20Consultant\DATE%20STATISTICE\Culturi%20agricole%202016_20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date_generale!$B$1:$B$2</c:f>
              <c:strCache>
                <c:ptCount val="2"/>
                <c:pt idx="0">
                  <c:v>Temperatura medie anuală a aerului (°С)</c:v>
                </c:pt>
                <c:pt idx="1">
                  <c:v>Chișinău</c:v>
                </c:pt>
              </c:strCache>
            </c:strRef>
          </c:tx>
          <c:spPr>
            <a:ln w="9525" cap="rnd">
              <a:solidFill>
                <a:schemeClr val="accent1"/>
              </a:solid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prstDash val="sysDash"/>
              </a:ln>
              <a:effectLst/>
            </c:spPr>
            <c:trendlineType val="linear"/>
            <c:dispRSqr val="0"/>
            <c:dispEq val="0"/>
          </c:trendline>
          <c:xVal>
            <c:numRef>
              <c:f>date_generale!$A$3:$A$37</c:f>
              <c:numCache>
                <c:formatCode>General</c:formatCod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numCache>
            </c:numRef>
          </c:xVal>
          <c:yVal>
            <c:numRef>
              <c:f>date_generale!$B$3:$B$37</c:f>
              <c:numCache>
                <c:formatCode>0.0</c:formatCode>
                <c:ptCount val="35"/>
                <c:pt idx="0">
                  <c:v>11.338461538461541</c:v>
                </c:pt>
                <c:pt idx="1">
                  <c:v>9.430769230769231</c:v>
                </c:pt>
                <c:pt idx="2">
                  <c:v>10.115384615384615</c:v>
                </c:pt>
                <c:pt idx="3">
                  <c:v>9.407692307692308</c:v>
                </c:pt>
                <c:pt idx="4">
                  <c:v>11.338461538461539</c:v>
                </c:pt>
                <c:pt idx="5">
                  <c:v>10.015384615384615</c:v>
                </c:pt>
                <c:pt idx="6">
                  <c:v>9.0538461538461537</c:v>
                </c:pt>
                <c:pt idx="7">
                  <c:v>9.4</c:v>
                </c:pt>
                <c:pt idx="8">
                  <c:v>10.253846153846155</c:v>
                </c:pt>
                <c:pt idx="9">
                  <c:v>11.025000000000002</c:v>
                </c:pt>
                <c:pt idx="10">
                  <c:v>11.150000000000002</c:v>
                </c:pt>
                <c:pt idx="11">
                  <c:v>10.308333333333335</c:v>
                </c:pt>
                <c:pt idx="12">
                  <c:v>10.841666666666667</c:v>
                </c:pt>
                <c:pt idx="13">
                  <c:v>9.8000000000000007</c:v>
                </c:pt>
                <c:pt idx="14">
                  <c:v>10.3</c:v>
                </c:pt>
                <c:pt idx="15">
                  <c:v>10.491666666666665</c:v>
                </c:pt>
                <c:pt idx="16">
                  <c:v>10.208333333333334</c:v>
                </c:pt>
                <c:pt idx="17">
                  <c:v>12.041666666666666</c:v>
                </c:pt>
                <c:pt idx="18">
                  <c:v>11.308333333333334</c:v>
                </c:pt>
                <c:pt idx="19">
                  <c:v>11.408333333333333</c:v>
                </c:pt>
                <c:pt idx="20">
                  <c:v>10.558333333333335</c:v>
                </c:pt>
                <c:pt idx="21">
                  <c:v>10.450000000000001</c:v>
                </c:pt>
                <c:pt idx="22">
                  <c:v>11.2</c:v>
                </c:pt>
                <c:pt idx="23">
                  <c:v>11.083333333333334</c:v>
                </c:pt>
                <c:pt idx="24">
                  <c:v>10.916666666666668</c:v>
                </c:pt>
                <c:pt idx="25">
                  <c:v>11.983333333333331</c:v>
                </c:pt>
                <c:pt idx="26">
                  <c:v>11.224999999999998</c:v>
                </c:pt>
                <c:pt idx="27">
                  <c:v>11.208333333333334</c:v>
                </c:pt>
                <c:pt idx="28">
                  <c:v>11.175000000000001</c:v>
                </c:pt>
                <c:pt idx="29">
                  <c:v>12.191666666666666</c:v>
                </c:pt>
                <c:pt idx="30">
                  <c:v>12.666666666666668</c:v>
                </c:pt>
                <c:pt idx="31">
                  <c:v>10.566666666666666</c:v>
                </c:pt>
                <c:pt idx="32">
                  <c:v>11.733333333333336</c:v>
                </c:pt>
                <c:pt idx="33">
                  <c:v>12.733333333333336</c:v>
                </c:pt>
                <c:pt idx="34">
                  <c:v>12.966666666666667</c:v>
                </c:pt>
              </c:numCache>
            </c:numRef>
          </c:yVal>
          <c:smooth val="0"/>
          <c:extLst>
            <c:ext xmlns:c16="http://schemas.microsoft.com/office/drawing/2014/chart" uri="{C3380CC4-5D6E-409C-BE32-E72D297353CC}">
              <c16:uniqueId val="{00000001-B89B-4008-8503-F0C512B9B3CE}"/>
            </c:ext>
          </c:extLst>
        </c:ser>
        <c:ser>
          <c:idx val="1"/>
          <c:order val="1"/>
          <c:tx>
            <c:strRef>
              <c:f>date_generale!$C$1:$C$2</c:f>
              <c:strCache>
                <c:ptCount val="2"/>
                <c:pt idx="0">
                  <c:v>Temperatura medie anuală a aerului (°С)</c:v>
                </c:pt>
                <c:pt idx="1">
                  <c:v>Bălți</c:v>
                </c:pt>
              </c:strCache>
            </c:strRef>
          </c:tx>
          <c:spPr>
            <a:ln w="9525" cap="rnd">
              <a:solidFill>
                <a:schemeClr val="accent2"/>
              </a:solidFill>
              <a:round/>
            </a:ln>
            <a:effectLst>
              <a:outerShdw blurRad="40000" dist="23000" dir="5400000" rotWithShape="0">
                <a:srgbClr val="000000">
                  <a:alpha val="35000"/>
                </a:srgbClr>
              </a:outerShdw>
            </a:effectLst>
          </c:spPr>
          <c:marker>
            <c:symbol val="circle"/>
            <c:size val="5"/>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a:solidFill>
                  <a:schemeClr val="accent2"/>
                </a:solidFill>
                <a:round/>
              </a:ln>
              <a:effectLst>
                <a:outerShdw blurRad="40000" dist="23000" dir="5400000" rotWithShape="0">
                  <a:srgbClr val="000000">
                    <a:alpha val="35000"/>
                  </a:srgbClr>
                </a:outerShdw>
              </a:effectLst>
            </c:spPr>
          </c:marker>
          <c:trendline>
            <c:spPr>
              <a:ln w="9525" cap="rnd">
                <a:solidFill>
                  <a:schemeClr val="accent2"/>
                </a:solidFill>
                <a:prstDash val="sysDash"/>
              </a:ln>
              <a:effectLst/>
            </c:spPr>
            <c:trendlineType val="linear"/>
            <c:dispRSqr val="0"/>
            <c:dispEq val="0"/>
          </c:trendline>
          <c:xVal>
            <c:numRef>
              <c:f>date_generale!$A$3:$A$37</c:f>
              <c:numCache>
                <c:formatCode>General</c:formatCod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numCache>
            </c:numRef>
          </c:xVal>
          <c:yVal>
            <c:numRef>
              <c:f>date_generale!$C$3:$C$37</c:f>
              <c:numCache>
                <c:formatCode>#,##0.0</c:formatCode>
                <c:ptCount val="35"/>
                <c:pt idx="0">
                  <c:v>10.8</c:v>
                </c:pt>
                <c:pt idx="1">
                  <c:v>9.1999999999999993</c:v>
                </c:pt>
                <c:pt idx="2">
                  <c:v>9.6999999999999993</c:v>
                </c:pt>
                <c:pt idx="3">
                  <c:v>8.9</c:v>
                </c:pt>
                <c:pt idx="4">
                  <c:v>10.7</c:v>
                </c:pt>
                <c:pt idx="5">
                  <c:v>9.4</c:v>
                </c:pt>
                <c:pt idx="6">
                  <c:v>8.3000000000000007</c:v>
                </c:pt>
                <c:pt idx="7">
                  <c:v>8.8000000000000007</c:v>
                </c:pt>
                <c:pt idx="8">
                  <c:v>9.5</c:v>
                </c:pt>
                <c:pt idx="9">
                  <c:v>10.475</c:v>
                </c:pt>
                <c:pt idx="10">
                  <c:v>10.7</c:v>
                </c:pt>
                <c:pt idx="11">
                  <c:v>9.9</c:v>
                </c:pt>
                <c:pt idx="12">
                  <c:v>10.133333333333333</c:v>
                </c:pt>
                <c:pt idx="13">
                  <c:v>9.5583333333333318</c:v>
                </c:pt>
                <c:pt idx="14">
                  <c:v>9.9</c:v>
                </c:pt>
                <c:pt idx="15">
                  <c:v>9.6</c:v>
                </c:pt>
                <c:pt idx="16">
                  <c:v>9.4</c:v>
                </c:pt>
                <c:pt idx="17">
                  <c:v>11.4</c:v>
                </c:pt>
                <c:pt idx="18">
                  <c:v>10.766666666666666</c:v>
                </c:pt>
                <c:pt idx="19">
                  <c:v>10.475</c:v>
                </c:pt>
                <c:pt idx="20">
                  <c:v>9.8333333333333321</c:v>
                </c:pt>
                <c:pt idx="21">
                  <c:v>9.8000000000000025</c:v>
                </c:pt>
                <c:pt idx="22">
                  <c:v>10.216666666666667</c:v>
                </c:pt>
                <c:pt idx="23">
                  <c:v>10.383333333333335</c:v>
                </c:pt>
                <c:pt idx="24">
                  <c:v>10.091666666666667</c:v>
                </c:pt>
                <c:pt idx="25">
                  <c:v>11.174999999999999</c:v>
                </c:pt>
                <c:pt idx="26">
                  <c:v>10.65</c:v>
                </c:pt>
                <c:pt idx="27">
                  <c:v>10.583333333333332</c:v>
                </c:pt>
                <c:pt idx="28">
                  <c:v>10.324999999999998</c:v>
                </c:pt>
                <c:pt idx="29">
                  <c:v>11.25</c:v>
                </c:pt>
                <c:pt idx="30">
                  <c:v>11.666666666666666</c:v>
                </c:pt>
                <c:pt idx="31">
                  <c:v>9.5833333333333321</c:v>
                </c:pt>
                <c:pt idx="32">
                  <c:v>10.85</c:v>
                </c:pt>
                <c:pt idx="33">
                  <c:v>11.79166666666667</c:v>
                </c:pt>
                <c:pt idx="34">
                  <c:v>12.274999999999997</c:v>
                </c:pt>
              </c:numCache>
            </c:numRef>
          </c:yVal>
          <c:smooth val="0"/>
          <c:extLst>
            <c:ext xmlns:c16="http://schemas.microsoft.com/office/drawing/2014/chart" uri="{C3380CC4-5D6E-409C-BE32-E72D297353CC}">
              <c16:uniqueId val="{00000003-B89B-4008-8503-F0C512B9B3CE}"/>
            </c:ext>
          </c:extLst>
        </c:ser>
        <c:ser>
          <c:idx val="2"/>
          <c:order val="2"/>
          <c:tx>
            <c:strRef>
              <c:f>date_generale!$D$1:$D$2</c:f>
              <c:strCache>
                <c:ptCount val="2"/>
                <c:pt idx="0">
                  <c:v>Temperatura medie anuală a aerului (°С)</c:v>
                </c:pt>
                <c:pt idx="1">
                  <c:v>Cahul</c:v>
                </c:pt>
              </c:strCache>
            </c:strRef>
          </c:tx>
          <c:spPr>
            <a:ln w="9525" cap="rnd">
              <a:solidFill>
                <a:schemeClr val="accent3"/>
              </a:solidFill>
              <a:round/>
            </a:ln>
            <a:effectLst>
              <a:outerShdw blurRad="40000" dist="23000" dir="5400000" rotWithShape="0">
                <a:srgbClr val="000000">
                  <a:alpha val="35000"/>
                </a:srgbClr>
              </a:outerShdw>
            </a:effectLst>
          </c:spPr>
          <c:marker>
            <c:symbol val="circle"/>
            <c:size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a:solidFill>
                  <a:schemeClr val="accent3"/>
                </a:solidFill>
                <a:round/>
              </a:ln>
              <a:effectLst>
                <a:outerShdw blurRad="40000" dist="23000" dir="5400000" rotWithShape="0">
                  <a:srgbClr val="000000">
                    <a:alpha val="35000"/>
                  </a:srgbClr>
                </a:outerShdw>
              </a:effectLst>
            </c:spPr>
          </c:marker>
          <c:trendline>
            <c:spPr>
              <a:ln w="9525" cap="rnd">
                <a:solidFill>
                  <a:schemeClr val="accent3"/>
                </a:solidFill>
                <a:prstDash val="sysDash"/>
              </a:ln>
              <a:effectLst/>
            </c:spPr>
            <c:trendlineType val="linear"/>
            <c:dispRSqr val="0"/>
            <c:dispEq val="0"/>
          </c:trendline>
          <c:xVal>
            <c:numRef>
              <c:f>date_generale!$A$3:$A$37</c:f>
              <c:numCache>
                <c:formatCode>General</c:formatCod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numCache>
            </c:numRef>
          </c:xVal>
          <c:yVal>
            <c:numRef>
              <c:f>date_generale!$D$3:$D$37</c:f>
              <c:numCache>
                <c:formatCode>0.0</c:formatCode>
                <c:ptCount val="35"/>
                <c:pt idx="0">
                  <c:v>11.399999999999999</c:v>
                </c:pt>
                <c:pt idx="1">
                  <c:v>9.2923076923076913</c:v>
                </c:pt>
                <c:pt idx="2">
                  <c:v>10.153846153846199</c:v>
                </c:pt>
                <c:pt idx="3">
                  <c:v>9.3769230769230774</c:v>
                </c:pt>
                <c:pt idx="4">
                  <c:v>11.330769230769231</c:v>
                </c:pt>
                <c:pt idx="5">
                  <c:v>10.053846153846154</c:v>
                </c:pt>
                <c:pt idx="6">
                  <c:v>9.0999999999999979</c:v>
                </c:pt>
                <c:pt idx="7">
                  <c:v>9.069230769230769</c:v>
                </c:pt>
                <c:pt idx="8">
                  <c:v>10.069230769230769</c:v>
                </c:pt>
                <c:pt idx="9">
                  <c:v>10.866666666666667</c:v>
                </c:pt>
                <c:pt idx="10">
                  <c:v>11.2</c:v>
                </c:pt>
                <c:pt idx="11">
                  <c:v>10.483333333333333</c:v>
                </c:pt>
                <c:pt idx="12">
                  <c:v>11</c:v>
                </c:pt>
                <c:pt idx="13">
                  <c:v>10.266666666666667</c:v>
                </c:pt>
                <c:pt idx="14">
                  <c:v>10.891666666666664</c:v>
                </c:pt>
                <c:pt idx="15">
                  <c:v>10.749999999999998</c:v>
                </c:pt>
                <c:pt idx="16">
                  <c:v>10.75</c:v>
                </c:pt>
                <c:pt idx="17">
                  <c:v>12.258333333333333</c:v>
                </c:pt>
                <c:pt idx="18">
                  <c:v>11.816666666666665</c:v>
                </c:pt>
                <c:pt idx="19">
                  <c:v>11.816666666666666</c:v>
                </c:pt>
                <c:pt idx="20">
                  <c:v>11.2</c:v>
                </c:pt>
                <c:pt idx="21">
                  <c:v>10.633333333333333</c:v>
                </c:pt>
                <c:pt idx="22">
                  <c:v>11.683333333333335</c:v>
                </c:pt>
                <c:pt idx="23">
                  <c:v>11.54166666666667</c:v>
                </c:pt>
                <c:pt idx="24">
                  <c:v>11.283333333333333</c:v>
                </c:pt>
                <c:pt idx="25">
                  <c:v>12.091666666666667</c:v>
                </c:pt>
                <c:pt idx="26">
                  <c:v>11.816666666666665</c:v>
                </c:pt>
                <c:pt idx="27">
                  <c:v>11.541666666666664</c:v>
                </c:pt>
                <c:pt idx="28">
                  <c:v>11.741666666666667</c:v>
                </c:pt>
                <c:pt idx="29">
                  <c:v>12.54166666666667</c:v>
                </c:pt>
                <c:pt idx="30">
                  <c:v>13.1</c:v>
                </c:pt>
                <c:pt idx="31">
                  <c:v>11.424999999999999</c:v>
                </c:pt>
                <c:pt idx="32">
                  <c:v>12.491666666666667</c:v>
                </c:pt>
                <c:pt idx="33">
                  <c:v>13.333333333333336</c:v>
                </c:pt>
                <c:pt idx="34">
                  <c:v>13.691666666666665</c:v>
                </c:pt>
              </c:numCache>
            </c:numRef>
          </c:yVal>
          <c:smooth val="0"/>
          <c:extLst>
            <c:ext xmlns:c16="http://schemas.microsoft.com/office/drawing/2014/chart" uri="{C3380CC4-5D6E-409C-BE32-E72D297353CC}">
              <c16:uniqueId val="{00000005-B89B-4008-8503-F0C512B9B3CE}"/>
            </c:ext>
          </c:extLst>
        </c:ser>
        <c:dLbls>
          <c:showLegendKey val="0"/>
          <c:showVal val="0"/>
          <c:showCatName val="0"/>
          <c:showSerName val="0"/>
          <c:showPercent val="0"/>
          <c:showBubbleSize val="0"/>
        </c:dLbls>
        <c:axId val="1978262463"/>
        <c:axId val="1978264175"/>
      </c:scatterChart>
      <c:valAx>
        <c:axId val="1978262463"/>
        <c:scaling>
          <c:orientation val="minMax"/>
          <c:max val="2025"/>
          <c:min val="1990"/>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78264175"/>
        <c:crosses val="autoZero"/>
        <c:crossBetween val="midCat"/>
      </c:valAx>
      <c:valAx>
        <c:axId val="1978264175"/>
        <c:scaling>
          <c:orientation val="minMax"/>
          <c:min val="8"/>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7826246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'SE Naturale'!$A$57</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 Naturale'!$B$56:$D$56</c:f>
              <c:strCache>
                <c:ptCount val="3"/>
                <c:pt idx="0">
                  <c:v>Grau</c:v>
                </c:pt>
                <c:pt idx="1">
                  <c:v>Floarea soarelui</c:v>
                </c:pt>
                <c:pt idx="2">
                  <c:v>Porumb</c:v>
                </c:pt>
              </c:strCache>
            </c:strRef>
          </c:cat>
          <c:val>
            <c:numRef>
              <c:f>'SE Naturale'!$B$57:$D$57</c:f>
              <c:numCache>
                <c:formatCode>_(* #,##0_);_(* \(#,##0\);_(* "-"??_);_(@_)</c:formatCode>
                <c:ptCount val="3"/>
                <c:pt idx="0">
                  <c:v>191347</c:v>
                </c:pt>
                <c:pt idx="1">
                  <c:v>319211</c:v>
                </c:pt>
                <c:pt idx="2">
                  <c:v>236702</c:v>
                </c:pt>
              </c:numCache>
            </c:numRef>
          </c:val>
          <c:extLst>
            <c:ext xmlns:c16="http://schemas.microsoft.com/office/drawing/2014/chart" uri="{C3380CC4-5D6E-409C-BE32-E72D297353CC}">
              <c16:uniqueId val="{00000000-EE90-4644-B403-9C319D6A33BC}"/>
            </c:ext>
          </c:extLst>
        </c:ser>
        <c:ser>
          <c:idx val="1"/>
          <c:order val="1"/>
          <c:tx>
            <c:strRef>
              <c:f>'SE Naturale'!$A$58</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 Naturale'!$B$56:$D$56</c:f>
              <c:strCache>
                <c:ptCount val="3"/>
                <c:pt idx="0">
                  <c:v>Grau</c:v>
                </c:pt>
                <c:pt idx="1">
                  <c:v>Floarea soarelui</c:v>
                </c:pt>
                <c:pt idx="2">
                  <c:v>Porumb</c:v>
                </c:pt>
              </c:strCache>
            </c:strRef>
          </c:cat>
          <c:val>
            <c:numRef>
              <c:f>'SE Naturale'!$B$58:$D$58</c:f>
              <c:numCache>
                <c:formatCode>_(* #,##0_);_(* \(#,##0\);_(* "-"??_);_(@_)</c:formatCode>
                <c:ptCount val="3"/>
                <c:pt idx="0">
                  <c:v>6311</c:v>
                </c:pt>
                <c:pt idx="1">
                  <c:v>217581</c:v>
                </c:pt>
                <c:pt idx="2">
                  <c:v>143195</c:v>
                </c:pt>
              </c:numCache>
            </c:numRef>
          </c:val>
          <c:extLst>
            <c:ext xmlns:c16="http://schemas.microsoft.com/office/drawing/2014/chart" uri="{C3380CC4-5D6E-409C-BE32-E72D297353CC}">
              <c16:uniqueId val="{00000001-EE90-4644-B403-9C319D6A33BC}"/>
            </c:ext>
          </c:extLst>
        </c:ser>
        <c:ser>
          <c:idx val="2"/>
          <c:order val="2"/>
          <c:tx>
            <c:strRef>
              <c:f>'SE Naturale'!$A$59</c:f>
              <c:strCache>
                <c:ptCount val="1"/>
                <c:pt idx="0">
                  <c:v>2024</c:v>
                </c:pt>
              </c:strCache>
            </c:strRef>
          </c:tx>
          <c:spPr>
            <a:solidFill>
              <a:schemeClr val="accent3"/>
            </a:solidFill>
            <a:ln>
              <a:noFill/>
            </a:ln>
            <a:effectLst/>
          </c:spPr>
          <c:invertIfNegative val="0"/>
          <c:dLbls>
            <c:dLbl>
              <c:idx val="0"/>
              <c:layout>
                <c:manualLayout>
                  <c:x val="0.11503152306160823"/>
                  <c:y val="-5.1268905408870464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90-4644-B403-9C319D6A33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 Naturale'!$B$56:$D$56</c:f>
              <c:strCache>
                <c:ptCount val="3"/>
                <c:pt idx="0">
                  <c:v>Grau</c:v>
                </c:pt>
                <c:pt idx="1">
                  <c:v>Floarea soarelui</c:v>
                </c:pt>
                <c:pt idx="2">
                  <c:v>Porumb</c:v>
                </c:pt>
              </c:strCache>
            </c:strRef>
          </c:cat>
          <c:val>
            <c:numRef>
              <c:f>'SE Naturale'!$B$59:$D$59</c:f>
              <c:numCache>
                <c:formatCode>_(* #,##0_);_(* \(#,##0\);_(* "-"??_);_(@_)</c:formatCode>
                <c:ptCount val="3"/>
                <c:pt idx="0">
                  <c:v>39094</c:v>
                </c:pt>
                <c:pt idx="1">
                  <c:v>160978</c:v>
                </c:pt>
                <c:pt idx="2">
                  <c:v>146823</c:v>
                </c:pt>
              </c:numCache>
            </c:numRef>
          </c:val>
          <c:extLst>
            <c:ext xmlns:c16="http://schemas.microsoft.com/office/drawing/2014/chart" uri="{C3380CC4-5D6E-409C-BE32-E72D297353CC}">
              <c16:uniqueId val="{00000003-EE90-4644-B403-9C319D6A33BC}"/>
            </c:ext>
          </c:extLst>
        </c:ser>
        <c:dLbls>
          <c:dLblPos val="ctr"/>
          <c:showLegendKey val="0"/>
          <c:showVal val="1"/>
          <c:showCatName val="0"/>
          <c:showSerName val="0"/>
          <c:showPercent val="0"/>
          <c:showBubbleSize val="0"/>
        </c:dLbls>
        <c:gapWidth val="150"/>
        <c:overlap val="100"/>
        <c:axId val="1287203887"/>
        <c:axId val="1287205599"/>
      </c:barChart>
      <c:catAx>
        <c:axId val="12872038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7205599"/>
        <c:crosses val="autoZero"/>
        <c:auto val="1"/>
        <c:lblAlgn val="ctr"/>
        <c:lblOffset val="100"/>
        <c:noMultiLvlLbl val="0"/>
      </c:catAx>
      <c:valAx>
        <c:axId val="12872055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7203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'Preturi medii'!$A$2</c:f>
              <c:strCache>
                <c:ptCount val="1"/>
                <c:pt idx="0">
                  <c:v>Grau </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'Preturi medii'!$B$1:$L$1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'Preturi medii'!$B$2:$L$2</c:f>
              <c:numCache>
                <c:formatCode>0</c:formatCode>
                <c:ptCount val="11"/>
                <c:pt idx="0">
                  <c:v>1986</c:v>
                </c:pt>
                <c:pt idx="1">
                  <c:v>2430</c:v>
                </c:pt>
                <c:pt idx="2">
                  <c:v>2174</c:v>
                </c:pt>
                <c:pt idx="3">
                  <c:v>2274</c:v>
                </c:pt>
                <c:pt idx="4">
                  <c:v>2507</c:v>
                </c:pt>
                <c:pt idx="5">
                  <c:v>2509</c:v>
                </c:pt>
                <c:pt idx="6">
                  <c:v>3012</c:v>
                </c:pt>
                <c:pt idx="7">
                  <c:v>3309</c:v>
                </c:pt>
                <c:pt idx="8">
                  <c:v>4179</c:v>
                </c:pt>
                <c:pt idx="9">
                  <c:v>2732</c:v>
                </c:pt>
                <c:pt idx="10">
                  <c:v>2905</c:v>
                </c:pt>
              </c:numCache>
            </c:numRef>
          </c:val>
          <c:extLst>
            <c:ext xmlns:c16="http://schemas.microsoft.com/office/drawing/2014/chart" uri="{C3380CC4-5D6E-409C-BE32-E72D297353CC}">
              <c16:uniqueId val="{00000001-33DB-4C82-B205-C277BF4A0B94}"/>
            </c:ext>
          </c:extLst>
        </c:ser>
        <c:ser>
          <c:idx val="1"/>
          <c:order val="1"/>
          <c:tx>
            <c:strRef>
              <c:f>'Preturi medii'!$A$3</c:f>
              <c:strCache>
                <c:ptCount val="1"/>
                <c:pt idx="0">
                  <c:v>Porumb</c:v>
                </c:pt>
              </c:strCache>
            </c:strRef>
          </c:tx>
          <c:spPr>
            <a:solidFill>
              <a:schemeClr val="accent2"/>
            </a:solidFill>
            <a:ln>
              <a:noFill/>
            </a:ln>
            <a:effectLst/>
          </c:spPr>
          <c:invertIfNegative val="0"/>
          <c:trendline>
            <c:spPr>
              <a:ln w="19050" cap="rnd">
                <a:solidFill>
                  <a:schemeClr val="accent2"/>
                </a:solidFill>
                <a:prstDash val="sysDot"/>
              </a:ln>
              <a:effectLst/>
            </c:spPr>
            <c:trendlineType val="linear"/>
            <c:dispRSqr val="0"/>
            <c:dispEq val="0"/>
          </c:trendline>
          <c:cat>
            <c:strRef>
              <c:f>'Preturi medii'!$B$1:$L$1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'Preturi medii'!$B$3:$L$3</c:f>
              <c:numCache>
                <c:formatCode>0</c:formatCode>
                <c:ptCount val="11"/>
                <c:pt idx="0">
                  <c:v>1951</c:v>
                </c:pt>
                <c:pt idx="1">
                  <c:v>2674</c:v>
                </c:pt>
                <c:pt idx="2">
                  <c:v>2585</c:v>
                </c:pt>
                <c:pt idx="3">
                  <c:v>2413</c:v>
                </c:pt>
                <c:pt idx="4">
                  <c:v>2278</c:v>
                </c:pt>
                <c:pt idx="5">
                  <c:v>2220</c:v>
                </c:pt>
                <c:pt idx="6">
                  <c:v>3128</c:v>
                </c:pt>
                <c:pt idx="7">
                  <c:v>3463</c:v>
                </c:pt>
                <c:pt idx="8">
                  <c:v>3855</c:v>
                </c:pt>
                <c:pt idx="9">
                  <c:v>2831</c:v>
                </c:pt>
                <c:pt idx="10">
                  <c:v>2945</c:v>
                </c:pt>
              </c:numCache>
            </c:numRef>
          </c:val>
          <c:extLst>
            <c:ext xmlns:c16="http://schemas.microsoft.com/office/drawing/2014/chart" uri="{C3380CC4-5D6E-409C-BE32-E72D297353CC}">
              <c16:uniqueId val="{00000003-33DB-4C82-B205-C277BF4A0B94}"/>
            </c:ext>
          </c:extLst>
        </c:ser>
        <c:ser>
          <c:idx val="2"/>
          <c:order val="2"/>
          <c:tx>
            <c:strRef>
              <c:f>'Preturi medii'!$A$4</c:f>
              <c:strCache>
                <c:ptCount val="1"/>
                <c:pt idx="0">
                  <c:v>Floarea soarelui</c:v>
                </c:pt>
              </c:strCache>
            </c:strRef>
          </c:tx>
          <c:spPr>
            <a:solidFill>
              <a:schemeClr val="accent3"/>
            </a:solidFill>
            <a:ln>
              <a:noFill/>
            </a:ln>
            <a:effectLst/>
          </c:spPr>
          <c:invertIfNegative val="0"/>
          <c:trendline>
            <c:spPr>
              <a:ln w="19050" cap="rnd">
                <a:solidFill>
                  <a:schemeClr val="accent3"/>
                </a:solidFill>
                <a:prstDash val="sysDot"/>
              </a:ln>
              <a:effectLst/>
            </c:spPr>
            <c:trendlineType val="linear"/>
            <c:dispRSqr val="0"/>
            <c:dispEq val="0"/>
          </c:trendline>
          <c:cat>
            <c:strRef>
              <c:f>'Preturi medii'!$B$1:$L$1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'Preturi medii'!$B$4:$L$4</c:f>
              <c:numCache>
                <c:formatCode>0</c:formatCode>
                <c:ptCount val="11"/>
                <c:pt idx="0">
                  <c:v>4417</c:v>
                </c:pt>
                <c:pt idx="1">
                  <c:v>6532</c:v>
                </c:pt>
                <c:pt idx="2">
                  <c:v>6298</c:v>
                </c:pt>
                <c:pt idx="3">
                  <c:v>5505</c:v>
                </c:pt>
                <c:pt idx="4">
                  <c:v>5050</c:v>
                </c:pt>
                <c:pt idx="5">
                  <c:v>5118</c:v>
                </c:pt>
                <c:pt idx="6">
                  <c:v>7418</c:v>
                </c:pt>
                <c:pt idx="7">
                  <c:v>9287</c:v>
                </c:pt>
                <c:pt idx="8">
                  <c:v>10568</c:v>
                </c:pt>
                <c:pt idx="9">
                  <c:v>6554</c:v>
                </c:pt>
                <c:pt idx="10">
                  <c:v>7916</c:v>
                </c:pt>
              </c:numCache>
            </c:numRef>
          </c:val>
          <c:extLst>
            <c:ext xmlns:c16="http://schemas.microsoft.com/office/drawing/2014/chart" uri="{C3380CC4-5D6E-409C-BE32-E72D297353CC}">
              <c16:uniqueId val="{00000005-33DB-4C82-B205-C277BF4A0B94}"/>
            </c:ext>
          </c:extLst>
        </c:ser>
        <c:dLbls>
          <c:showLegendKey val="0"/>
          <c:showVal val="0"/>
          <c:showCatName val="0"/>
          <c:showSerName val="0"/>
          <c:showPercent val="0"/>
          <c:showBubbleSize val="0"/>
        </c:dLbls>
        <c:gapWidth val="219"/>
        <c:overlap val="-27"/>
        <c:axId val="1383844928"/>
        <c:axId val="1384034640"/>
      </c:barChart>
      <c:catAx>
        <c:axId val="138384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4034640"/>
        <c:crosses val="autoZero"/>
        <c:auto val="1"/>
        <c:lblAlgn val="ctr"/>
        <c:lblOffset val="100"/>
        <c:noMultiLvlLbl val="0"/>
      </c:catAx>
      <c:valAx>
        <c:axId val="1384034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84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'agr030100'!$A$4</c:f>
              <c:strCache>
                <c:ptCount val="1"/>
                <c:pt idx="0">
                  <c:v>Bovine</c:v>
                </c:pt>
              </c:strCache>
            </c:strRef>
          </c:tx>
          <c:spPr>
            <a:solidFill>
              <a:schemeClr val="accent1"/>
            </a:solidFill>
            <a:ln>
              <a:noFill/>
            </a:ln>
            <a:effectLst/>
          </c:spPr>
          <c:invertIfNegative val="0"/>
          <c:cat>
            <c:strRef>
              <c:f>'agr030100'!$B$3:$AT$3</c:f>
              <c:strCach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strCache>
            </c:strRef>
          </c:cat>
          <c:val>
            <c:numRef>
              <c:f>'agr030100'!$B$4:$AT$4</c:f>
              <c:numCache>
                <c:formatCode>0.0</c:formatCode>
                <c:ptCount val="45"/>
                <c:pt idx="0">
                  <c:v>1150</c:v>
                </c:pt>
                <c:pt idx="1">
                  <c:v>1176</c:v>
                </c:pt>
                <c:pt idx="2">
                  <c:v>1224</c:v>
                </c:pt>
                <c:pt idx="3">
                  <c:v>1229</c:v>
                </c:pt>
                <c:pt idx="4">
                  <c:v>1250</c:v>
                </c:pt>
                <c:pt idx="5">
                  <c:v>1254</c:v>
                </c:pt>
                <c:pt idx="6">
                  <c:v>1259</c:v>
                </c:pt>
                <c:pt idx="7">
                  <c:v>1214</c:v>
                </c:pt>
                <c:pt idx="8">
                  <c:v>1162</c:v>
                </c:pt>
                <c:pt idx="9">
                  <c:v>1131</c:v>
                </c:pt>
                <c:pt idx="10">
                  <c:v>1112</c:v>
                </c:pt>
                <c:pt idx="11">
                  <c:v>1061</c:v>
                </c:pt>
                <c:pt idx="12">
                  <c:v>1000</c:v>
                </c:pt>
                <c:pt idx="13">
                  <c:v>970</c:v>
                </c:pt>
                <c:pt idx="14">
                  <c:v>816</c:v>
                </c:pt>
                <c:pt idx="15">
                  <c:v>751</c:v>
                </c:pt>
                <c:pt idx="16">
                  <c:v>644</c:v>
                </c:pt>
                <c:pt idx="17">
                  <c:v>570</c:v>
                </c:pt>
                <c:pt idx="18">
                  <c:v>485</c:v>
                </c:pt>
                <c:pt idx="19">
                  <c:v>469</c:v>
                </c:pt>
                <c:pt idx="20">
                  <c:v>423</c:v>
                </c:pt>
                <c:pt idx="21">
                  <c:v>394</c:v>
                </c:pt>
                <c:pt idx="22">
                  <c:v>405</c:v>
                </c:pt>
                <c:pt idx="23">
                  <c:v>410</c:v>
                </c:pt>
                <c:pt idx="24">
                  <c:v>373</c:v>
                </c:pt>
                <c:pt idx="25">
                  <c:v>331</c:v>
                </c:pt>
                <c:pt idx="26">
                  <c:v>311</c:v>
                </c:pt>
                <c:pt idx="27">
                  <c:v>299</c:v>
                </c:pt>
                <c:pt idx="28">
                  <c:v>231.7</c:v>
                </c:pt>
                <c:pt idx="29">
                  <c:v>217.7</c:v>
                </c:pt>
                <c:pt idx="30">
                  <c:v>221.6</c:v>
                </c:pt>
                <c:pt idx="31">
                  <c:v>216</c:v>
                </c:pt>
                <c:pt idx="32">
                  <c:v>203.9</c:v>
                </c:pt>
                <c:pt idx="33">
                  <c:v>191.2</c:v>
                </c:pt>
                <c:pt idx="34">
                  <c:v>188.9</c:v>
                </c:pt>
                <c:pt idx="35">
                  <c:v>191.2</c:v>
                </c:pt>
                <c:pt idx="36">
                  <c:v>186.1</c:v>
                </c:pt>
                <c:pt idx="37">
                  <c:v>182.3</c:v>
                </c:pt>
                <c:pt idx="38">
                  <c:v>167.4</c:v>
                </c:pt>
                <c:pt idx="39">
                  <c:v>144.80000000000001</c:v>
                </c:pt>
                <c:pt idx="40">
                  <c:v>123.7</c:v>
                </c:pt>
                <c:pt idx="41">
                  <c:v>108.9</c:v>
                </c:pt>
                <c:pt idx="42">
                  <c:v>104.1</c:v>
                </c:pt>
                <c:pt idx="43">
                  <c:v>102.4</c:v>
                </c:pt>
                <c:pt idx="44">
                  <c:v>101</c:v>
                </c:pt>
              </c:numCache>
            </c:numRef>
          </c:val>
          <c:extLst>
            <c:ext xmlns:c16="http://schemas.microsoft.com/office/drawing/2014/chart" uri="{C3380CC4-5D6E-409C-BE32-E72D297353CC}">
              <c16:uniqueId val="{00000000-F7BC-480C-849A-C407DE855E9D}"/>
            </c:ext>
          </c:extLst>
        </c:ser>
        <c:ser>
          <c:idx val="1"/>
          <c:order val="1"/>
          <c:tx>
            <c:strRef>
              <c:f>'agr030100'!$A$5</c:f>
              <c:strCache>
                <c:ptCount val="1"/>
                <c:pt idx="0">
                  <c:v>...vaci pentru lapte</c:v>
                </c:pt>
              </c:strCache>
            </c:strRef>
          </c:tx>
          <c:spPr>
            <a:solidFill>
              <a:schemeClr val="accent2"/>
            </a:solidFill>
            <a:ln>
              <a:noFill/>
            </a:ln>
            <a:effectLst/>
          </c:spPr>
          <c:invertIfNegative val="0"/>
          <c:cat>
            <c:strRef>
              <c:f>'agr030100'!$B$3:$AT$3</c:f>
              <c:strCach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strCache>
            </c:strRef>
          </c:cat>
          <c:val>
            <c:numRef>
              <c:f>'agr030100'!$B$5:$AT$5</c:f>
            </c:numRef>
          </c:val>
          <c:extLst>
            <c:ext xmlns:c16="http://schemas.microsoft.com/office/drawing/2014/chart" uri="{C3380CC4-5D6E-409C-BE32-E72D297353CC}">
              <c16:uniqueId val="{00000001-F7BC-480C-849A-C407DE855E9D}"/>
            </c:ext>
          </c:extLst>
        </c:ser>
        <c:ser>
          <c:idx val="2"/>
          <c:order val="2"/>
          <c:tx>
            <c:strRef>
              <c:f>'agr030100'!$A$6</c:f>
              <c:strCache>
                <c:ptCount val="1"/>
                <c:pt idx="0">
                  <c:v>Porcine</c:v>
                </c:pt>
              </c:strCache>
            </c:strRef>
          </c:tx>
          <c:spPr>
            <a:solidFill>
              <a:schemeClr val="accent3"/>
            </a:solidFill>
            <a:ln>
              <a:noFill/>
            </a:ln>
            <a:effectLst/>
          </c:spPr>
          <c:invertIfNegative val="0"/>
          <c:cat>
            <c:strRef>
              <c:f>'agr030100'!$B$3:$AT$3</c:f>
              <c:strCach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strCache>
            </c:strRef>
          </c:cat>
          <c:val>
            <c:numRef>
              <c:f>'agr030100'!$B$6:$AT$6</c:f>
              <c:numCache>
                <c:formatCode>0.0</c:formatCode>
                <c:ptCount val="45"/>
                <c:pt idx="0">
                  <c:v>2079</c:v>
                </c:pt>
                <c:pt idx="1">
                  <c:v>1971</c:v>
                </c:pt>
                <c:pt idx="2">
                  <c:v>1835</c:v>
                </c:pt>
                <c:pt idx="3">
                  <c:v>1883</c:v>
                </c:pt>
                <c:pt idx="4">
                  <c:v>1910</c:v>
                </c:pt>
                <c:pt idx="5">
                  <c:v>1947</c:v>
                </c:pt>
                <c:pt idx="6">
                  <c:v>1962</c:v>
                </c:pt>
                <c:pt idx="7">
                  <c:v>1892</c:v>
                </c:pt>
                <c:pt idx="8">
                  <c:v>1703</c:v>
                </c:pt>
                <c:pt idx="9">
                  <c:v>1871</c:v>
                </c:pt>
                <c:pt idx="10">
                  <c:v>2045</c:v>
                </c:pt>
                <c:pt idx="11">
                  <c:v>1850</c:v>
                </c:pt>
                <c:pt idx="12">
                  <c:v>1752</c:v>
                </c:pt>
                <c:pt idx="13">
                  <c:v>1487</c:v>
                </c:pt>
                <c:pt idx="14">
                  <c:v>1015</c:v>
                </c:pt>
                <c:pt idx="15">
                  <c:v>946</c:v>
                </c:pt>
                <c:pt idx="16">
                  <c:v>910</c:v>
                </c:pt>
                <c:pt idx="17">
                  <c:v>866</c:v>
                </c:pt>
                <c:pt idx="18">
                  <c:v>724</c:v>
                </c:pt>
                <c:pt idx="19">
                  <c:v>860</c:v>
                </c:pt>
                <c:pt idx="20">
                  <c:v>683</c:v>
                </c:pt>
                <c:pt idx="21">
                  <c:v>447</c:v>
                </c:pt>
                <c:pt idx="22">
                  <c:v>449</c:v>
                </c:pt>
                <c:pt idx="23">
                  <c:v>508</c:v>
                </c:pt>
                <c:pt idx="24">
                  <c:v>446</c:v>
                </c:pt>
                <c:pt idx="25">
                  <c:v>398</c:v>
                </c:pt>
                <c:pt idx="26">
                  <c:v>461</c:v>
                </c:pt>
                <c:pt idx="27">
                  <c:v>532</c:v>
                </c:pt>
                <c:pt idx="28">
                  <c:v>298.7</c:v>
                </c:pt>
                <c:pt idx="29">
                  <c:v>283.5</c:v>
                </c:pt>
                <c:pt idx="30">
                  <c:v>377.1</c:v>
                </c:pt>
                <c:pt idx="31">
                  <c:v>478.5</c:v>
                </c:pt>
                <c:pt idx="32">
                  <c:v>438.6</c:v>
                </c:pt>
                <c:pt idx="33">
                  <c:v>410.4</c:v>
                </c:pt>
                <c:pt idx="34">
                  <c:v>420</c:v>
                </c:pt>
                <c:pt idx="35">
                  <c:v>472.8</c:v>
                </c:pt>
                <c:pt idx="36">
                  <c:v>453.2</c:v>
                </c:pt>
                <c:pt idx="37">
                  <c:v>439</c:v>
                </c:pt>
                <c:pt idx="38">
                  <c:v>406.4</c:v>
                </c:pt>
                <c:pt idx="39">
                  <c:v>397.3</c:v>
                </c:pt>
                <c:pt idx="40">
                  <c:v>396.6</c:v>
                </c:pt>
                <c:pt idx="41">
                  <c:v>339.5</c:v>
                </c:pt>
                <c:pt idx="42">
                  <c:v>347.9</c:v>
                </c:pt>
                <c:pt idx="43">
                  <c:v>340</c:v>
                </c:pt>
                <c:pt idx="44">
                  <c:v>350.7</c:v>
                </c:pt>
              </c:numCache>
            </c:numRef>
          </c:val>
          <c:extLst>
            <c:ext xmlns:c16="http://schemas.microsoft.com/office/drawing/2014/chart" uri="{C3380CC4-5D6E-409C-BE32-E72D297353CC}">
              <c16:uniqueId val="{00000002-F7BC-480C-849A-C407DE855E9D}"/>
            </c:ext>
          </c:extLst>
        </c:ser>
        <c:ser>
          <c:idx val="3"/>
          <c:order val="3"/>
          <c:tx>
            <c:strRef>
              <c:f>'agr030100'!$A$7</c:f>
              <c:strCache>
                <c:ptCount val="1"/>
                <c:pt idx="0">
                  <c:v>Ovine</c:v>
                </c:pt>
              </c:strCache>
            </c:strRef>
          </c:tx>
          <c:spPr>
            <a:solidFill>
              <a:schemeClr val="accent4"/>
            </a:solidFill>
            <a:ln>
              <a:noFill/>
            </a:ln>
            <a:effectLst/>
          </c:spPr>
          <c:invertIfNegative val="0"/>
          <c:cat>
            <c:strRef>
              <c:f>'agr030100'!$B$3:$AT$3</c:f>
              <c:strCach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strCache>
            </c:strRef>
          </c:cat>
          <c:val>
            <c:numRef>
              <c:f>'agr030100'!$B$7:$AT$7</c:f>
              <c:numCache>
                <c:formatCode>0.0</c:formatCode>
                <c:ptCount val="45"/>
                <c:pt idx="0">
                  <c:v>1207</c:v>
                </c:pt>
                <c:pt idx="1">
                  <c:v>1163</c:v>
                </c:pt>
                <c:pt idx="2">
                  <c:v>1141</c:v>
                </c:pt>
                <c:pt idx="3">
                  <c:v>1153</c:v>
                </c:pt>
                <c:pt idx="4">
                  <c:v>1205</c:v>
                </c:pt>
                <c:pt idx="5">
                  <c:v>1238</c:v>
                </c:pt>
                <c:pt idx="6">
                  <c:v>1232</c:v>
                </c:pt>
                <c:pt idx="7">
                  <c:v>1230</c:v>
                </c:pt>
                <c:pt idx="8">
                  <c:v>1233</c:v>
                </c:pt>
                <c:pt idx="9">
                  <c:v>1272</c:v>
                </c:pt>
                <c:pt idx="10">
                  <c:v>1306</c:v>
                </c:pt>
                <c:pt idx="11">
                  <c:v>1245</c:v>
                </c:pt>
                <c:pt idx="12">
                  <c:v>1239</c:v>
                </c:pt>
                <c:pt idx="13">
                  <c:v>1294</c:v>
                </c:pt>
                <c:pt idx="14">
                  <c:v>1346</c:v>
                </c:pt>
                <c:pt idx="15">
                  <c:v>1393</c:v>
                </c:pt>
                <c:pt idx="16">
                  <c:v>1301</c:v>
                </c:pt>
                <c:pt idx="17">
                  <c:v>1248</c:v>
                </c:pt>
                <c:pt idx="18">
                  <c:v>1115</c:v>
                </c:pt>
                <c:pt idx="19">
                  <c:v>1026</c:v>
                </c:pt>
                <c:pt idx="20">
                  <c:v>930</c:v>
                </c:pt>
                <c:pt idx="21">
                  <c:v>830</c:v>
                </c:pt>
                <c:pt idx="22">
                  <c:v>835</c:v>
                </c:pt>
                <c:pt idx="23">
                  <c:v>830</c:v>
                </c:pt>
                <c:pt idx="24">
                  <c:v>817</c:v>
                </c:pt>
                <c:pt idx="25">
                  <c:v>823</c:v>
                </c:pt>
                <c:pt idx="26">
                  <c:v>818</c:v>
                </c:pt>
                <c:pt idx="27">
                  <c:v>835</c:v>
                </c:pt>
                <c:pt idx="28">
                  <c:v>753.9</c:v>
                </c:pt>
                <c:pt idx="29">
                  <c:v>761.9</c:v>
                </c:pt>
                <c:pt idx="30">
                  <c:v>803.7</c:v>
                </c:pt>
                <c:pt idx="31">
                  <c:v>787.9</c:v>
                </c:pt>
                <c:pt idx="32">
                  <c:v>709.9</c:v>
                </c:pt>
                <c:pt idx="33">
                  <c:v>695.1</c:v>
                </c:pt>
                <c:pt idx="34">
                  <c:v>713.7</c:v>
                </c:pt>
                <c:pt idx="35">
                  <c:v>729.8</c:v>
                </c:pt>
                <c:pt idx="36">
                  <c:v>717.8</c:v>
                </c:pt>
                <c:pt idx="37">
                  <c:v>710.6</c:v>
                </c:pt>
                <c:pt idx="38">
                  <c:v>679.1</c:v>
                </c:pt>
                <c:pt idx="39">
                  <c:v>613.4</c:v>
                </c:pt>
                <c:pt idx="40">
                  <c:v>531.1</c:v>
                </c:pt>
                <c:pt idx="41">
                  <c:v>474.4</c:v>
                </c:pt>
                <c:pt idx="42">
                  <c:v>433.8</c:v>
                </c:pt>
                <c:pt idx="43">
                  <c:v>419.3</c:v>
                </c:pt>
                <c:pt idx="44">
                  <c:v>416.9</c:v>
                </c:pt>
              </c:numCache>
            </c:numRef>
          </c:val>
          <c:extLst>
            <c:ext xmlns:c16="http://schemas.microsoft.com/office/drawing/2014/chart" uri="{C3380CC4-5D6E-409C-BE32-E72D297353CC}">
              <c16:uniqueId val="{00000003-F7BC-480C-849A-C407DE855E9D}"/>
            </c:ext>
          </c:extLst>
        </c:ser>
        <c:ser>
          <c:idx val="4"/>
          <c:order val="4"/>
          <c:tx>
            <c:strRef>
              <c:f>'agr030100'!$A$8</c:f>
              <c:strCache>
                <c:ptCount val="1"/>
                <c:pt idx="0">
                  <c:v>Caprine</c:v>
                </c:pt>
              </c:strCache>
            </c:strRef>
          </c:tx>
          <c:spPr>
            <a:solidFill>
              <a:schemeClr val="accent5"/>
            </a:solidFill>
            <a:ln>
              <a:noFill/>
            </a:ln>
            <a:effectLst/>
          </c:spPr>
          <c:invertIfNegative val="0"/>
          <c:cat>
            <c:strRef>
              <c:f>'agr030100'!$B$3:$AT$3</c:f>
              <c:strCach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strCache>
            </c:strRef>
          </c:cat>
          <c:val>
            <c:numRef>
              <c:f>'agr030100'!$B$8:$AT$8</c:f>
              <c:numCache>
                <c:formatCode>0.0</c:formatCode>
                <c:ptCount val="45"/>
                <c:pt idx="0">
                  <c:v>19</c:v>
                </c:pt>
                <c:pt idx="1">
                  <c:v>17</c:v>
                </c:pt>
                <c:pt idx="2">
                  <c:v>16</c:v>
                </c:pt>
                <c:pt idx="3">
                  <c:v>17</c:v>
                </c:pt>
                <c:pt idx="4">
                  <c:v>20</c:v>
                </c:pt>
                <c:pt idx="5">
                  <c:v>20</c:v>
                </c:pt>
                <c:pt idx="6">
                  <c:v>21</c:v>
                </c:pt>
                <c:pt idx="7">
                  <c:v>23</c:v>
                </c:pt>
                <c:pt idx="8">
                  <c:v>25</c:v>
                </c:pt>
                <c:pt idx="9">
                  <c:v>30</c:v>
                </c:pt>
                <c:pt idx="10">
                  <c:v>32</c:v>
                </c:pt>
                <c:pt idx="11">
                  <c:v>37</c:v>
                </c:pt>
                <c:pt idx="12">
                  <c:v>50</c:v>
                </c:pt>
                <c:pt idx="13">
                  <c:v>63</c:v>
                </c:pt>
                <c:pt idx="14">
                  <c:v>74</c:v>
                </c:pt>
                <c:pt idx="15">
                  <c:v>90</c:v>
                </c:pt>
                <c:pt idx="16">
                  <c:v>93</c:v>
                </c:pt>
                <c:pt idx="17">
                  <c:v>97</c:v>
                </c:pt>
                <c:pt idx="18">
                  <c:v>94</c:v>
                </c:pt>
                <c:pt idx="19">
                  <c:v>95</c:v>
                </c:pt>
                <c:pt idx="20">
                  <c:v>100</c:v>
                </c:pt>
                <c:pt idx="21">
                  <c:v>109</c:v>
                </c:pt>
                <c:pt idx="22">
                  <c:v>112</c:v>
                </c:pt>
                <c:pt idx="23">
                  <c:v>126</c:v>
                </c:pt>
                <c:pt idx="24">
                  <c:v>121</c:v>
                </c:pt>
                <c:pt idx="25">
                  <c:v>119</c:v>
                </c:pt>
                <c:pt idx="26">
                  <c:v>119</c:v>
                </c:pt>
                <c:pt idx="27">
                  <c:v>112</c:v>
                </c:pt>
                <c:pt idx="28">
                  <c:v>99.3</c:v>
                </c:pt>
                <c:pt idx="29">
                  <c:v>103.9</c:v>
                </c:pt>
                <c:pt idx="30">
                  <c:v>111.2</c:v>
                </c:pt>
                <c:pt idx="31">
                  <c:v>117.6</c:v>
                </c:pt>
                <c:pt idx="32">
                  <c:v>122.5</c:v>
                </c:pt>
                <c:pt idx="33">
                  <c:v>128.9</c:v>
                </c:pt>
                <c:pt idx="34">
                  <c:v>135.5</c:v>
                </c:pt>
                <c:pt idx="35">
                  <c:v>144.9</c:v>
                </c:pt>
                <c:pt idx="36">
                  <c:v>150.6</c:v>
                </c:pt>
                <c:pt idx="37">
                  <c:v>159.19999999999999</c:v>
                </c:pt>
                <c:pt idx="38">
                  <c:v>162.6</c:v>
                </c:pt>
                <c:pt idx="39">
                  <c:v>155.30000000000001</c:v>
                </c:pt>
                <c:pt idx="40">
                  <c:v>145.19999999999999</c:v>
                </c:pt>
                <c:pt idx="41">
                  <c:v>142</c:v>
                </c:pt>
                <c:pt idx="42">
                  <c:v>139.9</c:v>
                </c:pt>
                <c:pt idx="43">
                  <c:v>139.4</c:v>
                </c:pt>
                <c:pt idx="44">
                  <c:v>133</c:v>
                </c:pt>
              </c:numCache>
            </c:numRef>
          </c:val>
          <c:extLst>
            <c:ext xmlns:c16="http://schemas.microsoft.com/office/drawing/2014/chart" uri="{C3380CC4-5D6E-409C-BE32-E72D297353CC}">
              <c16:uniqueId val="{00000004-F7BC-480C-849A-C407DE855E9D}"/>
            </c:ext>
          </c:extLst>
        </c:ser>
        <c:ser>
          <c:idx val="5"/>
          <c:order val="5"/>
          <c:tx>
            <c:strRef>
              <c:f>'agr030100'!$A$9</c:f>
              <c:strCache>
                <c:ptCount val="1"/>
                <c:pt idx="0">
                  <c:v>Cabaline</c:v>
                </c:pt>
              </c:strCache>
            </c:strRef>
          </c:tx>
          <c:spPr>
            <a:solidFill>
              <a:schemeClr val="accent6"/>
            </a:solidFill>
            <a:ln>
              <a:noFill/>
            </a:ln>
            <a:effectLst/>
          </c:spPr>
          <c:invertIfNegative val="0"/>
          <c:cat>
            <c:strRef>
              <c:f>'agr030100'!$B$3:$AT$3</c:f>
              <c:strCach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strCache>
            </c:strRef>
          </c:cat>
          <c:val>
            <c:numRef>
              <c:f>'agr030100'!$B$9:$AT$9</c:f>
              <c:numCache>
                <c:formatCode>0.0</c:formatCode>
                <c:ptCount val="45"/>
                <c:pt idx="0">
                  <c:v>54</c:v>
                </c:pt>
                <c:pt idx="1">
                  <c:v>51</c:v>
                </c:pt>
                <c:pt idx="2">
                  <c:v>50</c:v>
                </c:pt>
                <c:pt idx="3">
                  <c:v>49</c:v>
                </c:pt>
                <c:pt idx="4">
                  <c:v>49</c:v>
                </c:pt>
                <c:pt idx="5">
                  <c:v>49</c:v>
                </c:pt>
                <c:pt idx="6">
                  <c:v>49</c:v>
                </c:pt>
                <c:pt idx="7">
                  <c:v>49</c:v>
                </c:pt>
                <c:pt idx="8">
                  <c:v>47</c:v>
                </c:pt>
                <c:pt idx="9">
                  <c:v>46</c:v>
                </c:pt>
                <c:pt idx="10">
                  <c:v>46</c:v>
                </c:pt>
                <c:pt idx="11">
                  <c:v>47</c:v>
                </c:pt>
                <c:pt idx="12">
                  <c:v>48</c:v>
                </c:pt>
                <c:pt idx="13">
                  <c:v>51</c:v>
                </c:pt>
                <c:pt idx="14">
                  <c:v>52</c:v>
                </c:pt>
                <c:pt idx="15">
                  <c:v>56</c:v>
                </c:pt>
                <c:pt idx="16">
                  <c:v>57</c:v>
                </c:pt>
                <c:pt idx="17">
                  <c:v>59</c:v>
                </c:pt>
                <c:pt idx="18">
                  <c:v>61</c:v>
                </c:pt>
                <c:pt idx="19">
                  <c:v>64</c:v>
                </c:pt>
                <c:pt idx="20">
                  <c:v>67</c:v>
                </c:pt>
                <c:pt idx="21">
                  <c:v>71</c:v>
                </c:pt>
                <c:pt idx="22">
                  <c:v>77</c:v>
                </c:pt>
                <c:pt idx="23">
                  <c:v>78</c:v>
                </c:pt>
                <c:pt idx="24">
                  <c:v>78</c:v>
                </c:pt>
                <c:pt idx="25">
                  <c:v>73</c:v>
                </c:pt>
                <c:pt idx="26">
                  <c:v>69</c:v>
                </c:pt>
                <c:pt idx="27">
                  <c:v>67</c:v>
                </c:pt>
                <c:pt idx="28">
                  <c:v>58.4</c:v>
                </c:pt>
                <c:pt idx="29">
                  <c:v>55.5</c:v>
                </c:pt>
                <c:pt idx="30">
                  <c:v>54.4</c:v>
                </c:pt>
                <c:pt idx="31">
                  <c:v>52.2</c:v>
                </c:pt>
                <c:pt idx="32">
                  <c:v>49.6</c:v>
                </c:pt>
                <c:pt idx="33">
                  <c:v>46.4</c:v>
                </c:pt>
                <c:pt idx="34">
                  <c:v>45</c:v>
                </c:pt>
                <c:pt idx="35">
                  <c:v>41.9</c:v>
                </c:pt>
                <c:pt idx="36">
                  <c:v>39.4</c:v>
                </c:pt>
                <c:pt idx="37">
                  <c:v>36.799999999999997</c:v>
                </c:pt>
                <c:pt idx="38">
                  <c:v>33.6</c:v>
                </c:pt>
                <c:pt idx="39">
                  <c:v>29.9</c:v>
                </c:pt>
                <c:pt idx="40">
                  <c:v>26</c:v>
                </c:pt>
                <c:pt idx="41">
                  <c:v>22.6</c:v>
                </c:pt>
                <c:pt idx="42">
                  <c:v>19.600000000000001</c:v>
                </c:pt>
                <c:pt idx="43">
                  <c:v>17.7</c:v>
                </c:pt>
                <c:pt idx="44">
                  <c:v>16.3</c:v>
                </c:pt>
              </c:numCache>
            </c:numRef>
          </c:val>
          <c:extLst>
            <c:ext xmlns:c16="http://schemas.microsoft.com/office/drawing/2014/chart" uri="{C3380CC4-5D6E-409C-BE32-E72D297353CC}">
              <c16:uniqueId val="{00000005-F7BC-480C-849A-C407DE855E9D}"/>
            </c:ext>
          </c:extLst>
        </c:ser>
        <c:ser>
          <c:idx val="6"/>
          <c:order val="6"/>
          <c:tx>
            <c:strRef>
              <c:f>'agr030100'!$A$10</c:f>
              <c:strCache>
                <c:ptCount val="1"/>
                <c:pt idx="0">
                  <c:v>Pasari de toate speciile</c:v>
                </c:pt>
              </c:strCache>
            </c:strRef>
          </c:tx>
          <c:spPr>
            <a:solidFill>
              <a:schemeClr val="accent1">
                <a:lumMod val="60000"/>
              </a:schemeClr>
            </a:solidFill>
            <a:ln>
              <a:noFill/>
            </a:ln>
            <a:effectLst/>
          </c:spPr>
          <c:invertIfNegative val="0"/>
          <c:cat>
            <c:strRef>
              <c:f>'agr030100'!$B$3:$AT$3</c:f>
              <c:strCach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strCache>
            </c:strRef>
          </c:cat>
          <c:val>
            <c:numRef>
              <c:f>'agr030100'!$B$10:$AT$10</c:f>
              <c:numCache>
                <c:formatCode>General</c:formatCode>
                <c:ptCount val="4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numCache>
            </c:numRef>
          </c:val>
          <c:extLst>
            <c:ext xmlns:c16="http://schemas.microsoft.com/office/drawing/2014/chart" uri="{C3380CC4-5D6E-409C-BE32-E72D297353CC}">
              <c16:uniqueId val="{00000006-F7BC-480C-849A-C407DE855E9D}"/>
            </c:ext>
          </c:extLst>
        </c:ser>
        <c:ser>
          <c:idx val="7"/>
          <c:order val="7"/>
          <c:tx>
            <c:strRef>
              <c:f>'agr030100'!$A$11</c:f>
              <c:strCache>
                <c:ptCount val="1"/>
                <c:pt idx="0">
                  <c:v>Magari</c:v>
                </c:pt>
              </c:strCache>
            </c:strRef>
          </c:tx>
          <c:spPr>
            <a:solidFill>
              <a:schemeClr val="accent2">
                <a:lumMod val="60000"/>
              </a:schemeClr>
            </a:solidFill>
            <a:ln>
              <a:noFill/>
            </a:ln>
            <a:effectLst/>
          </c:spPr>
          <c:invertIfNegative val="0"/>
          <c:cat>
            <c:strRef>
              <c:f>'agr030100'!$B$3:$AT$3</c:f>
              <c:strCach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strCache>
            </c:strRef>
          </c:cat>
          <c:val>
            <c:numRef>
              <c:f>'agr030100'!$B$11:$AT$11</c:f>
              <c:numCache>
                <c:formatCode>General</c:formatCode>
                <c:ptCount val="45"/>
                <c:pt idx="0">
                  <c:v>0</c:v>
                </c:pt>
                <c:pt idx="1">
                  <c:v>0</c:v>
                </c:pt>
                <c:pt idx="2">
                  <c:v>0</c:v>
                </c:pt>
                <c:pt idx="3">
                  <c:v>0</c:v>
                </c:pt>
                <c:pt idx="4">
                  <c:v>0</c:v>
                </c:pt>
                <c:pt idx="5">
                  <c:v>0</c:v>
                </c:pt>
                <c:pt idx="6">
                  <c:v>0</c:v>
                </c:pt>
                <c:pt idx="7">
                  <c:v>0</c:v>
                </c:pt>
                <c:pt idx="8">
                  <c:v>0</c:v>
                </c:pt>
                <c:pt idx="9">
                  <c:v>0</c:v>
                </c:pt>
                <c:pt idx="10">
                  <c:v>0</c:v>
                </c:pt>
                <c:pt idx="11">
                  <c:v>0</c:v>
                </c:pt>
                <c:pt idx="12" formatCode="0.0">
                  <c:v>2</c:v>
                </c:pt>
                <c:pt idx="13" formatCode="0.0">
                  <c:v>2</c:v>
                </c:pt>
                <c:pt idx="14" formatCode="0.0">
                  <c:v>2</c:v>
                </c:pt>
                <c:pt idx="15" formatCode="0.0">
                  <c:v>3</c:v>
                </c:pt>
                <c:pt idx="16" formatCode="0.0">
                  <c:v>3</c:v>
                </c:pt>
                <c:pt idx="17" formatCode="0.0">
                  <c:v>3</c:v>
                </c:pt>
                <c:pt idx="18" formatCode="0.0">
                  <c:v>3</c:v>
                </c:pt>
                <c:pt idx="19" formatCode="0.0">
                  <c:v>3</c:v>
                </c:pt>
                <c:pt idx="20" formatCode="0.0">
                  <c:v>3</c:v>
                </c:pt>
                <c:pt idx="21" formatCode="0.0">
                  <c:v>4</c:v>
                </c:pt>
                <c:pt idx="22" formatCode="0.0">
                  <c:v>4</c:v>
                </c:pt>
                <c:pt idx="23" formatCode="0.0">
                  <c:v>4</c:v>
                </c:pt>
                <c:pt idx="24" formatCode="0.0">
                  <c:v>4</c:v>
                </c:pt>
                <c:pt idx="25" formatCode="0.0">
                  <c:v>4</c:v>
                </c:pt>
                <c:pt idx="26" formatCode="0.0">
                  <c:v>4</c:v>
                </c:pt>
                <c:pt idx="27" formatCode="0.0">
                  <c:v>4</c:v>
                </c:pt>
                <c:pt idx="28" formatCode="0.0">
                  <c:v>3.1</c:v>
                </c:pt>
                <c:pt idx="29" formatCode="0.0">
                  <c:v>3.2</c:v>
                </c:pt>
                <c:pt idx="30" formatCode="0.0">
                  <c:v>2.9</c:v>
                </c:pt>
                <c:pt idx="31" formatCode="0.0">
                  <c:v>2.8</c:v>
                </c:pt>
                <c:pt idx="32" formatCode="0.0">
                  <c:v>2.5</c:v>
                </c:pt>
                <c:pt idx="33" formatCode="0.0">
                  <c:v>2.4</c:v>
                </c:pt>
                <c:pt idx="34" formatCode="0.0">
                  <c:v>2.1</c:v>
                </c:pt>
                <c:pt idx="35" formatCode="0.0">
                  <c:v>2.2000000000000002</c:v>
                </c:pt>
                <c:pt idx="36" formatCode="0.0">
                  <c:v>2</c:v>
                </c:pt>
                <c:pt idx="37" formatCode="0.0">
                  <c:v>3.1</c:v>
                </c:pt>
                <c:pt idx="38" formatCode="0.0">
                  <c:v>5</c:v>
                </c:pt>
                <c:pt idx="39" formatCode="0.0">
                  <c:v>3.8</c:v>
                </c:pt>
                <c:pt idx="40" formatCode="0.0">
                  <c:v>1.4</c:v>
                </c:pt>
                <c:pt idx="41" formatCode="0.0">
                  <c:v>1.2</c:v>
                </c:pt>
                <c:pt idx="42" formatCode="0.0">
                  <c:v>1.1000000000000001</c:v>
                </c:pt>
                <c:pt idx="43" formatCode="0.0">
                  <c:v>1.6</c:v>
                </c:pt>
                <c:pt idx="44" formatCode="0.0">
                  <c:v>1.6</c:v>
                </c:pt>
              </c:numCache>
            </c:numRef>
          </c:val>
          <c:extLst>
            <c:ext xmlns:c16="http://schemas.microsoft.com/office/drawing/2014/chart" uri="{C3380CC4-5D6E-409C-BE32-E72D297353CC}">
              <c16:uniqueId val="{00000007-F7BC-480C-849A-C407DE855E9D}"/>
            </c:ext>
          </c:extLst>
        </c:ser>
        <c:ser>
          <c:idx val="8"/>
          <c:order val="8"/>
          <c:tx>
            <c:strRef>
              <c:f>'agr030100'!$A$12</c:f>
              <c:strCache>
                <c:ptCount val="1"/>
                <c:pt idx="0">
                  <c:v>Iepuri de casa</c:v>
                </c:pt>
              </c:strCache>
            </c:strRef>
          </c:tx>
          <c:spPr>
            <a:solidFill>
              <a:schemeClr val="accent3">
                <a:lumMod val="60000"/>
              </a:schemeClr>
            </a:solidFill>
            <a:ln>
              <a:noFill/>
            </a:ln>
            <a:effectLst/>
          </c:spPr>
          <c:invertIfNegative val="0"/>
          <c:cat>
            <c:strRef>
              <c:f>'agr030100'!$B$3:$AT$3</c:f>
              <c:strCach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strCache>
            </c:strRef>
          </c:cat>
          <c:val>
            <c:numRef>
              <c:f>'agr030100'!$B$12:$AT$12</c:f>
              <c:numCache>
                <c:formatCode>0.0</c:formatCode>
                <c:ptCount val="45"/>
                <c:pt idx="0">
                  <c:v>365</c:v>
                </c:pt>
                <c:pt idx="1">
                  <c:v>407</c:v>
                </c:pt>
                <c:pt idx="2">
                  <c:v>310</c:v>
                </c:pt>
                <c:pt idx="3">
                  <c:v>356</c:v>
                </c:pt>
                <c:pt idx="4">
                  <c:v>467</c:v>
                </c:pt>
                <c:pt idx="5">
                  <c:v>481</c:v>
                </c:pt>
                <c:pt idx="6">
                  <c:v>520</c:v>
                </c:pt>
                <c:pt idx="7">
                  <c:v>473</c:v>
                </c:pt>
                <c:pt idx="8">
                  <c:v>161</c:v>
                </c:pt>
                <c:pt idx="9">
                  <c:v>285</c:v>
                </c:pt>
                <c:pt idx="10">
                  <c:v>249</c:v>
                </c:pt>
                <c:pt idx="11">
                  <c:v>283</c:v>
                </c:pt>
                <c:pt idx="12">
                  <c:v>251</c:v>
                </c:pt>
                <c:pt idx="13">
                  <c:v>299</c:v>
                </c:pt>
                <c:pt idx="14">
                  <c:v>263</c:v>
                </c:pt>
                <c:pt idx="15">
                  <c:v>237</c:v>
                </c:pt>
                <c:pt idx="16">
                  <c:v>209</c:v>
                </c:pt>
                <c:pt idx="17">
                  <c:v>190</c:v>
                </c:pt>
                <c:pt idx="18">
                  <c:v>177</c:v>
                </c:pt>
                <c:pt idx="19">
                  <c:v>186</c:v>
                </c:pt>
                <c:pt idx="20">
                  <c:v>183</c:v>
                </c:pt>
                <c:pt idx="21">
                  <c:v>161</c:v>
                </c:pt>
                <c:pt idx="22">
                  <c:v>191</c:v>
                </c:pt>
                <c:pt idx="23">
                  <c:v>191</c:v>
                </c:pt>
                <c:pt idx="24">
                  <c:v>205</c:v>
                </c:pt>
                <c:pt idx="25">
                  <c:v>239</c:v>
                </c:pt>
                <c:pt idx="26">
                  <c:v>279</c:v>
                </c:pt>
                <c:pt idx="27">
                  <c:v>326</c:v>
                </c:pt>
                <c:pt idx="28">
                  <c:v>263.39999999999998</c:v>
                </c:pt>
                <c:pt idx="29">
                  <c:v>248.5</c:v>
                </c:pt>
                <c:pt idx="30">
                  <c:v>274.5</c:v>
                </c:pt>
                <c:pt idx="31">
                  <c:v>277</c:v>
                </c:pt>
                <c:pt idx="32">
                  <c:v>277.39999999999998</c:v>
                </c:pt>
                <c:pt idx="33">
                  <c:v>267</c:v>
                </c:pt>
                <c:pt idx="34">
                  <c:v>296.2</c:v>
                </c:pt>
                <c:pt idx="35">
                  <c:v>326.10000000000002</c:v>
                </c:pt>
                <c:pt idx="36">
                  <c:v>350.2</c:v>
                </c:pt>
                <c:pt idx="37">
                  <c:v>366.7</c:v>
                </c:pt>
                <c:pt idx="38">
                  <c:v>376.5</c:v>
                </c:pt>
                <c:pt idx="39">
                  <c:v>351.5</c:v>
                </c:pt>
                <c:pt idx="40">
                  <c:v>329.7</c:v>
                </c:pt>
                <c:pt idx="41">
                  <c:v>319.2</c:v>
                </c:pt>
                <c:pt idx="42">
                  <c:v>384.9</c:v>
                </c:pt>
                <c:pt idx="43">
                  <c:v>303.10000000000002</c:v>
                </c:pt>
                <c:pt idx="44">
                  <c:v>289.10000000000002</c:v>
                </c:pt>
              </c:numCache>
            </c:numRef>
          </c:val>
          <c:extLst>
            <c:ext xmlns:c16="http://schemas.microsoft.com/office/drawing/2014/chart" uri="{C3380CC4-5D6E-409C-BE32-E72D297353CC}">
              <c16:uniqueId val="{00000008-F7BC-480C-849A-C407DE855E9D}"/>
            </c:ext>
          </c:extLst>
        </c:ser>
        <c:ser>
          <c:idx val="9"/>
          <c:order val="9"/>
          <c:tx>
            <c:strRef>
              <c:f>'agr030100'!$A$13</c:f>
              <c:strCache>
                <c:ptCount val="1"/>
                <c:pt idx="0">
                  <c:v>Familii de albini, mii bucati</c:v>
                </c:pt>
              </c:strCache>
            </c:strRef>
          </c:tx>
          <c:spPr>
            <a:solidFill>
              <a:schemeClr val="accent4">
                <a:lumMod val="60000"/>
              </a:schemeClr>
            </a:solidFill>
            <a:ln>
              <a:noFill/>
            </a:ln>
            <a:effectLst/>
          </c:spPr>
          <c:invertIfNegative val="0"/>
          <c:cat>
            <c:strRef>
              <c:f>'agr030100'!$B$3:$AT$3</c:f>
              <c:strCach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strCache>
            </c:strRef>
          </c:cat>
          <c:val>
            <c:numRef>
              <c:f>'agr030100'!$B$13:$AT$13</c:f>
              <c:numCache>
                <c:formatCode>0.0</c:formatCode>
                <c:ptCount val="45"/>
                <c:pt idx="0">
                  <c:v>168</c:v>
                </c:pt>
                <c:pt idx="1">
                  <c:v>161</c:v>
                </c:pt>
                <c:pt idx="2">
                  <c:v>146</c:v>
                </c:pt>
                <c:pt idx="3">
                  <c:v>110</c:v>
                </c:pt>
                <c:pt idx="4">
                  <c:v>145</c:v>
                </c:pt>
                <c:pt idx="5">
                  <c:v>169</c:v>
                </c:pt>
                <c:pt idx="6">
                  <c:v>173</c:v>
                </c:pt>
                <c:pt idx="7">
                  <c:v>166</c:v>
                </c:pt>
                <c:pt idx="8">
                  <c:v>150</c:v>
                </c:pt>
                <c:pt idx="9">
                  <c:v>183</c:v>
                </c:pt>
                <c:pt idx="10">
                  <c:v>388</c:v>
                </c:pt>
                <c:pt idx="11">
                  <c:v>371</c:v>
                </c:pt>
                <c:pt idx="12">
                  <c:v>267</c:v>
                </c:pt>
                <c:pt idx="13">
                  <c:v>232</c:v>
                </c:pt>
                <c:pt idx="14">
                  <c:v>157</c:v>
                </c:pt>
                <c:pt idx="15">
                  <c:v>138</c:v>
                </c:pt>
                <c:pt idx="16">
                  <c:v>114</c:v>
                </c:pt>
                <c:pt idx="17">
                  <c:v>105</c:v>
                </c:pt>
                <c:pt idx="18">
                  <c:v>104</c:v>
                </c:pt>
                <c:pt idx="19">
                  <c:v>82</c:v>
                </c:pt>
                <c:pt idx="20">
                  <c:v>76</c:v>
                </c:pt>
                <c:pt idx="21">
                  <c:v>72</c:v>
                </c:pt>
                <c:pt idx="22">
                  <c:v>79</c:v>
                </c:pt>
                <c:pt idx="23">
                  <c:v>75</c:v>
                </c:pt>
                <c:pt idx="24">
                  <c:v>80</c:v>
                </c:pt>
                <c:pt idx="25">
                  <c:v>87</c:v>
                </c:pt>
                <c:pt idx="26">
                  <c:v>96</c:v>
                </c:pt>
                <c:pt idx="27">
                  <c:v>102</c:v>
                </c:pt>
                <c:pt idx="28">
                  <c:v>98.3</c:v>
                </c:pt>
                <c:pt idx="29">
                  <c:v>98</c:v>
                </c:pt>
                <c:pt idx="30">
                  <c:v>101.5</c:v>
                </c:pt>
                <c:pt idx="31">
                  <c:v>105.2</c:v>
                </c:pt>
                <c:pt idx="32">
                  <c:v>111.7</c:v>
                </c:pt>
                <c:pt idx="33">
                  <c:v>110.6</c:v>
                </c:pt>
                <c:pt idx="34">
                  <c:v>115.9</c:v>
                </c:pt>
                <c:pt idx="35">
                  <c:v>124.3</c:v>
                </c:pt>
                <c:pt idx="36">
                  <c:v>135.9</c:v>
                </c:pt>
                <c:pt idx="37">
                  <c:v>148.1</c:v>
                </c:pt>
                <c:pt idx="38">
                  <c:v>163.6</c:v>
                </c:pt>
                <c:pt idx="39">
                  <c:v>178.7</c:v>
                </c:pt>
                <c:pt idx="40">
                  <c:v>182.1</c:v>
                </c:pt>
                <c:pt idx="41">
                  <c:v>184.9</c:v>
                </c:pt>
                <c:pt idx="42">
                  <c:v>190.9</c:v>
                </c:pt>
                <c:pt idx="43">
                  <c:v>203.3</c:v>
                </c:pt>
                <c:pt idx="44">
                  <c:v>207.1</c:v>
                </c:pt>
              </c:numCache>
            </c:numRef>
          </c:val>
          <c:extLst>
            <c:ext xmlns:c16="http://schemas.microsoft.com/office/drawing/2014/chart" uri="{C3380CC4-5D6E-409C-BE32-E72D297353CC}">
              <c16:uniqueId val="{00000009-F7BC-480C-849A-C407DE855E9D}"/>
            </c:ext>
          </c:extLst>
        </c:ser>
        <c:dLbls>
          <c:showLegendKey val="0"/>
          <c:showVal val="0"/>
          <c:showCatName val="0"/>
          <c:showSerName val="0"/>
          <c:showPercent val="0"/>
          <c:showBubbleSize val="0"/>
        </c:dLbls>
        <c:gapWidth val="150"/>
        <c:overlap val="100"/>
        <c:axId val="1722125104"/>
        <c:axId val="1722126816"/>
      </c:barChart>
      <c:catAx>
        <c:axId val="172212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2126816"/>
        <c:crosses val="autoZero"/>
        <c:auto val="1"/>
        <c:lblAlgn val="ctr"/>
        <c:lblOffset val="100"/>
        <c:noMultiLvlLbl val="0"/>
      </c:catAx>
      <c:valAx>
        <c:axId val="17221268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212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'Paduri total ha_reconstituire'!$A$2</c:f>
              <c:strCache>
                <c:ptCount val="1"/>
                <c:pt idx="0">
                  <c:v>Kha</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'Paduri total ha_reconstituire'!$B$1:$V$1</c:f>
              <c:numCache>
                <c:formatCode>General</c:formatCode>
                <c:ptCount val="21"/>
                <c:pt idx="0">
                  <c:v>1848</c:v>
                </c:pt>
                <c:pt idx="1">
                  <c:v>1918</c:v>
                </c:pt>
                <c:pt idx="2">
                  <c:v>1945</c:v>
                </c:pt>
                <c:pt idx="3">
                  <c:v>1966</c:v>
                </c:pt>
                <c:pt idx="4">
                  <c:v>1973</c:v>
                </c:pt>
                <c:pt idx="5">
                  <c:v>1983</c:v>
                </c:pt>
                <c:pt idx="6">
                  <c:v>1993</c:v>
                </c:pt>
                <c:pt idx="7">
                  <c:v>2003</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'Paduri total ha_reconstituire'!$B$2:$V$2</c:f>
              <c:numCache>
                <c:formatCode>General</c:formatCode>
                <c:ptCount val="21"/>
                <c:pt idx="0">
                  <c:v>366.2</c:v>
                </c:pt>
                <c:pt idx="1">
                  <c:v>230</c:v>
                </c:pt>
                <c:pt idx="2">
                  <c:v>222</c:v>
                </c:pt>
                <c:pt idx="3">
                  <c:v>247.6</c:v>
                </c:pt>
                <c:pt idx="4">
                  <c:v>271.2</c:v>
                </c:pt>
                <c:pt idx="5">
                  <c:v>301.2</c:v>
                </c:pt>
                <c:pt idx="6">
                  <c:v>333.9</c:v>
                </c:pt>
                <c:pt idx="7">
                  <c:v>355.1</c:v>
                </c:pt>
                <c:pt idx="8" formatCode="0.0">
                  <c:v>374.5</c:v>
                </c:pt>
                <c:pt idx="9" formatCode="0.0">
                  <c:v>374.8</c:v>
                </c:pt>
                <c:pt idx="10" formatCode="0.0">
                  <c:v>375.3</c:v>
                </c:pt>
                <c:pt idx="11" formatCode="0.0">
                  <c:v>372.8</c:v>
                </c:pt>
                <c:pt idx="12" formatCode="0.0">
                  <c:v>377.5</c:v>
                </c:pt>
                <c:pt idx="13" formatCode="0.0">
                  <c:v>378.1</c:v>
                </c:pt>
                <c:pt idx="14" formatCode="0.0">
                  <c:v>378.1</c:v>
                </c:pt>
                <c:pt idx="15" formatCode="0.0">
                  <c:v>378.2</c:v>
                </c:pt>
                <c:pt idx="16" formatCode="0.0">
                  <c:v>379.5</c:v>
                </c:pt>
                <c:pt idx="17" formatCode="0.0">
                  <c:v>380.7</c:v>
                </c:pt>
                <c:pt idx="18" formatCode="0.0">
                  <c:v>381.8</c:v>
                </c:pt>
                <c:pt idx="19" formatCode="0.0">
                  <c:v>383</c:v>
                </c:pt>
                <c:pt idx="20" formatCode="0.0">
                  <c:v>370</c:v>
                </c:pt>
              </c:numCache>
            </c:numRef>
          </c:val>
          <c:extLst>
            <c:ext xmlns:c16="http://schemas.microsoft.com/office/drawing/2014/chart" uri="{C3380CC4-5D6E-409C-BE32-E72D297353CC}">
              <c16:uniqueId val="{00000000-B69D-414D-B1E0-D536D09B5B0B}"/>
            </c:ext>
          </c:extLst>
        </c:ser>
        <c:dLbls>
          <c:showLegendKey val="0"/>
          <c:showVal val="1"/>
          <c:showCatName val="0"/>
          <c:showSerName val="0"/>
          <c:showPercent val="0"/>
          <c:showBubbleSize val="0"/>
        </c:dLbls>
        <c:gapWidth val="75"/>
        <c:axId val="1107348816"/>
        <c:axId val="1107509920"/>
      </c:barChart>
      <c:catAx>
        <c:axId val="110734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107509920"/>
        <c:crosses val="autoZero"/>
        <c:auto val="1"/>
        <c:lblAlgn val="ctr"/>
        <c:lblOffset val="100"/>
        <c:noMultiLvlLbl val="0"/>
      </c:catAx>
      <c:valAx>
        <c:axId val="110750992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734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704883030769501E-2"/>
          <c:y val="2.7026508354747146E-2"/>
          <c:w val="0.93729500607373006"/>
          <c:h val="0.85580457028828716"/>
        </c:manualLayout>
      </c:layout>
      <c:barChart>
        <c:barDir val="col"/>
        <c:grouping val="clustered"/>
        <c:varyColors val="0"/>
        <c:ser>
          <c:idx val="0"/>
          <c:order val="0"/>
          <c:tx>
            <c:strRef>
              <c:f>Sheet8!$B$5</c:f>
              <c:strCache>
                <c:ptCount val="1"/>
                <c:pt idx="0">
                  <c:v>7,8</c:v>
                </c:pt>
              </c:strCache>
            </c:strRef>
          </c:tx>
          <c:spPr>
            <a:solidFill>
              <a:srgbClr val="F79646">
                <a:lumMod val="75000"/>
              </a:srgbClr>
            </a:solidFill>
            <a:ln>
              <a:solidFill>
                <a:sysClr val="windowText" lastClr="000000"/>
              </a:solidFill>
            </a:ln>
            <a:scene3d>
              <a:camera prst="orthographicFront"/>
              <a:lightRig rig="threePt" dir="t"/>
            </a:scene3d>
            <a:sp3d>
              <a:bevelT/>
            </a:sp3d>
          </c:spPr>
          <c:invertIfNegative val="0"/>
          <c:dLbls>
            <c:dLbl>
              <c:idx val="0"/>
              <c:layout>
                <c:manualLayout>
                  <c:x val="0"/>
                  <c:y val="2.1464985242822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5F-F64C-8A07-4E2BD09A92A4}"/>
                </c:ext>
              </c:extLst>
            </c:dLbl>
            <c:dLbl>
              <c:idx val="2"/>
              <c:layout>
                <c:manualLayout>
                  <c:x val="0"/>
                  <c:y val="1.0730783237333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5F-F64C-8A07-4E2BD09A92A4}"/>
                </c:ext>
              </c:extLst>
            </c:dLbl>
            <c:dLbl>
              <c:idx val="8"/>
              <c:layout>
                <c:manualLayout>
                  <c:x val="0"/>
                  <c:y val="1.0730783237333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5F-F64C-8A07-4E2BD09A92A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Sheet8!$A$6:$A$16</c:f>
              <c:numCache>
                <c:formatCode>0</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Sheet8!$B$6:$B$16</c:f>
              <c:numCache>
                <c:formatCode>#,##0.0</c:formatCode>
                <c:ptCount val="11"/>
                <c:pt idx="0">
                  <c:v>13.130799999999999</c:v>
                </c:pt>
                <c:pt idx="1">
                  <c:v>8.7414999999999985</c:v>
                </c:pt>
                <c:pt idx="2">
                  <c:v>9.2509999999999994</c:v>
                </c:pt>
                <c:pt idx="3">
                  <c:v>11.685</c:v>
                </c:pt>
                <c:pt idx="4">
                  <c:v>11.679799999999998</c:v>
                </c:pt>
                <c:pt idx="5">
                  <c:v>10.295</c:v>
                </c:pt>
                <c:pt idx="6">
                  <c:v>11.057</c:v>
                </c:pt>
                <c:pt idx="7">
                  <c:v>12.063000000000001</c:v>
                </c:pt>
                <c:pt idx="8">
                  <c:v>11.026</c:v>
                </c:pt>
                <c:pt idx="9">
                  <c:v>9.5679999999999996</c:v>
                </c:pt>
                <c:pt idx="10">
                  <c:v>10.596</c:v>
                </c:pt>
              </c:numCache>
            </c:numRef>
          </c:val>
          <c:extLst>
            <c:ext xmlns:c16="http://schemas.microsoft.com/office/drawing/2014/chart" uri="{C3380CC4-5D6E-409C-BE32-E72D297353CC}">
              <c16:uniqueId val="{00000003-D25F-F64C-8A07-4E2BD09A92A4}"/>
            </c:ext>
          </c:extLst>
        </c:ser>
        <c:dLbls>
          <c:showLegendKey val="0"/>
          <c:showVal val="0"/>
          <c:showCatName val="0"/>
          <c:showSerName val="0"/>
          <c:showPercent val="0"/>
          <c:showBubbleSize val="0"/>
        </c:dLbls>
        <c:gapWidth val="150"/>
        <c:axId val="295078528"/>
        <c:axId val="309506432"/>
      </c:barChart>
      <c:catAx>
        <c:axId val="295078528"/>
        <c:scaling>
          <c:orientation val="minMax"/>
        </c:scaling>
        <c:delete val="0"/>
        <c:axPos val="b"/>
        <c:numFmt formatCode="General" sourceLinked="0"/>
        <c:majorTickMark val="out"/>
        <c:minorTickMark val="none"/>
        <c:tickLblPos val="nextTo"/>
        <c:spPr>
          <a:ln>
            <a:solidFill>
              <a:sysClr val="windowText" lastClr="000000"/>
            </a:solidFill>
          </a:ln>
        </c:spPr>
        <c:txPr>
          <a:bodyPr rot="-5400000" vert="horz"/>
          <a:lstStyle/>
          <a:p>
            <a:pPr>
              <a:defRPr/>
            </a:pPr>
            <a:endParaRPr lang="en-US"/>
          </a:p>
        </c:txPr>
        <c:crossAx val="309506432"/>
        <c:crosses val="autoZero"/>
        <c:auto val="1"/>
        <c:lblAlgn val="ctr"/>
        <c:lblOffset val="100"/>
        <c:noMultiLvlLbl val="0"/>
      </c:catAx>
      <c:valAx>
        <c:axId val="309506432"/>
        <c:scaling>
          <c:orientation val="minMax"/>
        </c:scaling>
        <c:delete val="0"/>
        <c:axPos val="l"/>
        <c:majorGridlines>
          <c:spPr>
            <a:ln w="3175">
              <a:solidFill>
                <a:sysClr val="windowText" lastClr="000000"/>
              </a:solidFill>
            </a:ln>
          </c:spPr>
        </c:majorGridlines>
        <c:numFmt formatCode="#,##0.0" sourceLinked="1"/>
        <c:majorTickMark val="out"/>
        <c:minorTickMark val="none"/>
        <c:tickLblPos val="nextTo"/>
        <c:spPr>
          <a:ln>
            <a:solidFill>
              <a:sysClr val="windowText" lastClr="000000"/>
            </a:solidFill>
          </a:ln>
        </c:spPr>
        <c:crossAx val="295078528"/>
        <c:crosses val="autoZero"/>
        <c:crossBetween val="between"/>
      </c:valAx>
    </c:plotArea>
    <c:plotVisOnly val="1"/>
    <c:dispBlanksAs val="gap"/>
    <c:showDLblsOverMax val="0"/>
  </c:chart>
  <c:spPr>
    <a:ln>
      <a:noFill/>
    </a:ln>
  </c:spPr>
  <c:txPr>
    <a:bodyPr/>
    <a:lstStyle/>
    <a:p>
      <a:pPr>
        <a:defRPr sz="800" b="0" i="0">
          <a:latin typeface="Arial Narrow"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204650438906289E-2"/>
          <c:y val="3.3033033033033031E-2"/>
          <c:w val="0.93961675293800262"/>
          <c:h val="0.86543754549765251"/>
        </c:manualLayout>
      </c:layout>
      <c:lineChart>
        <c:grouping val="standard"/>
        <c:varyColors val="0"/>
        <c:ser>
          <c:idx val="0"/>
          <c:order val="0"/>
          <c:tx>
            <c:strRef>
              <c:f>'Evolutie incendii forest'!$C$2</c:f>
              <c:strCache>
                <c:ptCount val="1"/>
                <c:pt idx="0">
                  <c:v>Suprafata silvică cuprinsă de incendii, ha</c:v>
                </c:pt>
              </c:strCache>
            </c:strRef>
          </c:tx>
          <c:marker>
            <c:spPr>
              <a:solidFill>
                <a:srgbClr val="FF0000"/>
              </a:solidFill>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'Evolutie incendii forest'!$B$3:$B$23</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'Evolutie incendii forest'!$C$3:$C$23</c:f>
              <c:numCache>
                <c:formatCode>General</c:formatCode>
                <c:ptCount val="21"/>
                <c:pt idx="0">
                  <c:v>0.9</c:v>
                </c:pt>
                <c:pt idx="1">
                  <c:v>57</c:v>
                </c:pt>
                <c:pt idx="2">
                  <c:v>30.6</c:v>
                </c:pt>
                <c:pt idx="3">
                  <c:v>33.5</c:v>
                </c:pt>
                <c:pt idx="4">
                  <c:v>88</c:v>
                </c:pt>
                <c:pt idx="5">
                  <c:v>8.4</c:v>
                </c:pt>
                <c:pt idx="6">
                  <c:v>90.800000000000011</c:v>
                </c:pt>
                <c:pt idx="7">
                  <c:v>791.3</c:v>
                </c:pt>
                <c:pt idx="8">
                  <c:v>55</c:v>
                </c:pt>
                <c:pt idx="9">
                  <c:v>134.19999999999999</c:v>
                </c:pt>
                <c:pt idx="10">
                  <c:v>46.9</c:v>
                </c:pt>
                <c:pt idx="11">
                  <c:v>62.8</c:v>
                </c:pt>
                <c:pt idx="12">
                  <c:v>672.4</c:v>
                </c:pt>
                <c:pt idx="13">
                  <c:v>467.1</c:v>
                </c:pt>
                <c:pt idx="14">
                  <c:v>38.4</c:v>
                </c:pt>
                <c:pt idx="15">
                  <c:v>356.2</c:v>
                </c:pt>
                <c:pt idx="16">
                  <c:v>178.8</c:v>
                </c:pt>
                <c:pt idx="17" formatCode="0.0">
                  <c:v>246.8</c:v>
                </c:pt>
                <c:pt idx="18" formatCode="0.0">
                  <c:v>84.9</c:v>
                </c:pt>
                <c:pt idx="19" formatCode="0.0">
                  <c:v>204.08</c:v>
                </c:pt>
                <c:pt idx="20" formatCode="0.0">
                  <c:v>435.4</c:v>
                </c:pt>
              </c:numCache>
            </c:numRef>
          </c:val>
          <c:smooth val="0"/>
          <c:extLst>
            <c:ext xmlns:c16="http://schemas.microsoft.com/office/drawing/2014/chart" uri="{C3380CC4-5D6E-409C-BE32-E72D297353CC}">
              <c16:uniqueId val="{00000000-2329-924F-B2E7-6BCB51A9EBBB}"/>
            </c:ext>
          </c:extLst>
        </c:ser>
        <c:dLbls>
          <c:dLblPos val="t"/>
          <c:showLegendKey val="0"/>
          <c:showVal val="1"/>
          <c:showCatName val="0"/>
          <c:showSerName val="0"/>
          <c:showPercent val="0"/>
          <c:showBubbleSize val="0"/>
        </c:dLbls>
        <c:marker val="1"/>
        <c:smooth val="0"/>
        <c:axId val="352135424"/>
        <c:axId val="352171136"/>
      </c:lineChart>
      <c:catAx>
        <c:axId val="352135424"/>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352171136"/>
        <c:crosses val="autoZero"/>
        <c:auto val="1"/>
        <c:lblAlgn val="ctr"/>
        <c:lblOffset val="100"/>
        <c:noMultiLvlLbl val="0"/>
      </c:catAx>
      <c:valAx>
        <c:axId val="352171136"/>
        <c:scaling>
          <c:orientation val="minMax"/>
        </c:scaling>
        <c:delete val="0"/>
        <c:axPos val="l"/>
        <c:majorGridlines/>
        <c:numFmt formatCode="General" sourceLinked="1"/>
        <c:majorTickMark val="none"/>
        <c:minorTickMark val="none"/>
        <c:tickLblPos val="nextTo"/>
        <c:txPr>
          <a:bodyPr rot="-60000000" vert="horz"/>
          <a:lstStyle/>
          <a:p>
            <a:pPr>
              <a:defRPr/>
            </a:pPr>
            <a:endParaRPr lang="en-US"/>
          </a:p>
        </c:txPr>
        <c:crossAx val="352135424"/>
        <c:crosses val="autoZero"/>
        <c:crossBetween val="between"/>
      </c:valAx>
    </c:plotArea>
    <c:plotVisOnly val="1"/>
    <c:dispBlanksAs val="gap"/>
    <c:showDLblsOverMax val="0"/>
  </c:chart>
  <c:txPr>
    <a:bodyPr/>
    <a:lstStyle/>
    <a:p>
      <a:pPr>
        <a:defRPr sz="800">
          <a:solidFill>
            <a:schemeClr val="tx1"/>
          </a:solidFill>
          <a:latin typeface="Arial Narrow"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'GEO0503'!$A$4</c:f>
              <c:strCache>
                <c:ptCount val="1"/>
                <c:pt idx="0">
                  <c:v>plantari si semanaturi</c:v>
                </c:pt>
              </c:strCache>
            </c:strRef>
          </c:tx>
          <c:spPr>
            <a:solidFill>
              <a:schemeClr val="accent1"/>
            </a:solidFill>
            <a:ln>
              <a:noFill/>
            </a:ln>
            <a:effectLst/>
          </c:spPr>
          <c:invertIfNegative val="0"/>
          <c:cat>
            <c:strRef>
              <c:f>'GEO0503'!$B$3:$N$3</c:f>
              <c:strCach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strCache>
            </c:strRef>
          </c:cat>
          <c:val>
            <c:numRef>
              <c:f>'GEO0503'!$B$4:$N$4</c:f>
              <c:numCache>
                <c:formatCode>_(* #,##0_);_(* \(#,##0\);_(* "-"??_);_(@_)</c:formatCode>
                <c:ptCount val="13"/>
                <c:pt idx="0">
                  <c:v>1255</c:v>
                </c:pt>
                <c:pt idx="1">
                  <c:v>980</c:v>
                </c:pt>
                <c:pt idx="2">
                  <c:v>1175</c:v>
                </c:pt>
                <c:pt idx="3">
                  <c:v>1244</c:v>
                </c:pt>
                <c:pt idx="4">
                  <c:v>1149</c:v>
                </c:pt>
                <c:pt idx="5">
                  <c:v>1582</c:v>
                </c:pt>
                <c:pt idx="6">
                  <c:v>1208</c:v>
                </c:pt>
                <c:pt idx="7">
                  <c:v>978</c:v>
                </c:pt>
                <c:pt idx="8">
                  <c:v>1026</c:v>
                </c:pt>
                <c:pt idx="9">
                  <c:v>1228</c:v>
                </c:pt>
                <c:pt idx="10">
                  <c:v>1076</c:v>
                </c:pt>
                <c:pt idx="11">
                  <c:v>875</c:v>
                </c:pt>
                <c:pt idx="12">
                  <c:v>1255</c:v>
                </c:pt>
              </c:numCache>
            </c:numRef>
          </c:val>
          <c:extLst>
            <c:ext xmlns:c16="http://schemas.microsoft.com/office/drawing/2014/chart" uri="{C3380CC4-5D6E-409C-BE32-E72D297353CC}">
              <c16:uniqueId val="{00000000-BD1D-084B-A4B4-3E0D66D8715A}"/>
            </c:ext>
          </c:extLst>
        </c:ser>
        <c:ser>
          <c:idx val="1"/>
          <c:order val="1"/>
          <c:tx>
            <c:strRef>
              <c:f>'GEO0503'!$A$5</c:f>
              <c:strCache>
                <c:ptCount val="1"/>
                <c:pt idx="0">
                  <c:v>ajutorarea regenerarii naturale a padurilor</c:v>
                </c:pt>
              </c:strCache>
            </c:strRef>
          </c:tx>
          <c:spPr>
            <a:solidFill>
              <a:schemeClr val="accent2"/>
            </a:solidFill>
            <a:ln>
              <a:noFill/>
            </a:ln>
            <a:effectLst/>
          </c:spPr>
          <c:invertIfNegative val="0"/>
          <c:cat>
            <c:strRef>
              <c:f>'GEO0503'!$B$3:$N$3</c:f>
              <c:strCach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strCache>
            </c:strRef>
          </c:cat>
          <c:val>
            <c:numRef>
              <c:f>'GEO0503'!$B$5:$N$5</c:f>
              <c:numCache>
                <c:formatCode>_(* #,##0_);_(* \(#,##0\);_(* "-"??_);_(@_)</c:formatCode>
                <c:ptCount val="13"/>
                <c:pt idx="0">
                  <c:v>2125</c:v>
                </c:pt>
                <c:pt idx="1">
                  <c:v>2765</c:v>
                </c:pt>
                <c:pt idx="2">
                  <c:v>3676</c:v>
                </c:pt>
                <c:pt idx="3">
                  <c:v>3376</c:v>
                </c:pt>
                <c:pt idx="4">
                  <c:v>3618</c:v>
                </c:pt>
                <c:pt idx="5">
                  <c:v>2674</c:v>
                </c:pt>
                <c:pt idx="6">
                  <c:v>2596</c:v>
                </c:pt>
                <c:pt idx="7">
                  <c:v>2955</c:v>
                </c:pt>
                <c:pt idx="8">
                  <c:v>3410</c:v>
                </c:pt>
                <c:pt idx="9">
                  <c:v>3110</c:v>
                </c:pt>
                <c:pt idx="10">
                  <c:v>2899</c:v>
                </c:pt>
                <c:pt idx="11">
                  <c:v>2184</c:v>
                </c:pt>
                <c:pt idx="12">
                  <c:v>2125</c:v>
                </c:pt>
              </c:numCache>
            </c:numRef>
          </c:val>
          <c:extLst>
            <c:ext xmlns:c16="http://schemas.microsoft.com/office/drawing/2014/chart" uri="{C3380CC4-5D6E-409C-BE32-E72D297353CC}">
              <c16:uniqueId val="{00000001-BD1D-084B-A4B4-3E0D66D8715A}"/>
            </c:ext>
          </c:extLst>
        </c:ser>
        <c:ser>
          <c:idx val="2"/>
          <c:order val="2"/>
          <c:tx>
            <c:strRef>
              <c:f>'GEO0503'!$A$6</c:f>
              <c:strCache>
                <c:ptCount val="1"/>
                <c:pt idx="0">
                  <c:v>regenerarea naturala</c:v>
                </c:pt>
              </c:strCache>
            </c:strRef>
          </c:tx>
          <c:spPr>
            <a:solidFill>
              <a:schemeClr val="accent3"/>
            </a:solidFill>
            <a:ln>
              <a:noFill/>
            </a:ln>
            <a:effectLst/>
          </c:spPr>
          <c:invertIfNegative val="0"/>
          <c:cat>
            <c:strRef>
              <c:f>'GEO0503'!$B$3:$N$3</c:f>
              <c:strCach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strCache>
            </c:strRef>
          </c:cat>
          <c:val>
            <c:numRef>
              <c:f>'GEO0503'!$B$6:$N$6</c:f>
              <c:numCache>
                <c:formatCode>_(* #,##0_);_(* \(#,##0\);_(* "-"??_);_(@_)</c:formatCode>
                <c:ptCount val="13"/>
                <c:pt idx="0">
                  <c:v>313</c:v>
                </c:pt>
                <c:pt idx="1">
                  <c:v>616</c:v>
                </c:pt>
                <c:pt idx="2">
                  <c:v>197</c:v>
                </c:pt>
                <c:pt idx="3">
                  <c:v>239</c:v>
                </c:pt>
                <c:pt idx="4">
                  <c:v>472</c:v>
                </c:pt>
                <c:pt idx="5">
                  <c:v>425</c:v>
                </c:pt>
                <c:pt idx="6">
                  <c:v>386</c:v>
                </c:pt>
                <c:pt idx="7">
                  <c:v>706</c:v>
                </c:pt>
                <c:pt idx="8">
                  <c:v>417</c:v>
                </c:pt>
                <c:pt idx="9">
                  <c:v>364</c:v>
                </c:pt>
                <c:pt idx="10">
                  <c:v>396</c:v>
                </c:pt>
                <c:pt idx="11">
                  <c:v>295</c:v>
                </c:pt>
                <c:pt idx="12">
                  <c:v>313</c:v>
                </c:pt>
              </c:numCache>
            </c:numRef>
          </c:val>
          <c:extLst>
            <c:ext xmlns:c16="http://schemas.microsoft.com/office/drawing/2014/chart" uri="{C3380CC4-5D6E-409C-BE32-E72D297353CC}">
              <c16:uniqueId val="{00000002-BD1D-084B-A4B4-3E0D66D8715A}"/>
            </c:ext>
          </c:extLst>
        </c:ser>
        <c:dLbls>
          <c:showLegendKey val="0"/>
          <c:showVal val="0"/>
          <c:showCatName val="0"/>
          <c:showSerName val="0"/>
          <c:showPercent val="0"/>
          <c:showBubbleSize val="0"/>
        </c:dLbls>
        <c:gapWidth val="150"/>
        <c:overlap val="100"/>
        <c:axId val="2097332911"/>
        <c:axId val="2097322175"/>
      </c:barChart>
      <c:catAx>
        <c:axId val="2097332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7322175"/>
        <c:crossesAt val="0"/>
        <c:auto val="1"/>
        <c:lblAlgn val="ctr"/>
        <c:lblOffset val="100"/>
        <c:noMultiLvlLbl val="0"/>
      </c:catAx>
      <c:valAx>
        <c:axId val="20973221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7332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GEO0206_en_t!$A$6</c:f>
              <c:strCache>
                <c:ptCount val="1"/>
                <c:pt idx="0">
                  <c:v>Nord</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GEO0206_en_t!$B$3:$Q$3</c:f>
              <c:strCach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strCache>
            </c:strRef>
          </c:cat>
          <c:val>
            <c:numRef>
              <c:f>GEO0206_en_t!$B$6:$Q$6</c:f>
              <c:numCache>
                <c:formatCode>0.0</c:formatCode>
                <c:ptCount val="16"/>
                <c:pt idx="0">
                  <c:v>24.9</c:v>
                </c:pt>
                <c:pt idx="1">
                  <c:v>27.3</c:v>
                </c:pt>
                <c:pt idx="2">
                  <c:v>24</c:v>
                </c:pt>
                <c:pt idx="3">
                  <c:v>24.5</c:v>
                </c:pt>
                <c:pt idx="4">
                  <c:v>25.2</c:v>
                </c:pt>
                <c:pt idx="5">
                  <c:v>24.2</c:v>
                </c:pt>
                <c:pt idx="6">
                  <c:v>23.5</c:v>
                </c:pt>
                <c:pt idx="7">
                  <c:v>23.6</c:v>
                </c:pt>
                <c:pt idx="8">
                  <c:v>23</c:v>
                </c:pt>
                <c:pt idx="9">
                  <c:v>22.8</c:v>
                </c:pt>
                <c:pt idx="10">
                  <c:v>23</c:v>
                </c:pt>
                <c:pt idx="11">
                  <c:v>22.8</c:v>
                </c:pt>
                <c:pt idx="12">
                  <c:v>23.9</c:v>
                </c:pt>
                <c:pt idx="13">
                  <c:v>24.3</c:v>
                </c:pt>
                <c:pt idx="14">
                  <c:v>23.5</c:v>
                </c:pt>
                <c:pt idx="15">
                  <c:v>23.6</c:v>
                </c:pt>
              </c:numCache>
            </c:numRef>
          </c:val>
          <c:extLst>
            <c:ext xmlns:c16="http://schemas.microsoft.com/office/drawing/2014/chart" uri="{C3380CC4-5D6E-409C-BE32-E72D297353CC}">
              <c16:uniqueId val="{00000000-3954-434E-ABAA-8E70620714C3}"/>
            </c:ext>
          </c:extLst>
        </c:ser>
        <c:ser>
          <c:idx val="2"/>
          <c:order val="2"/>
          <c:tx>
            <c:strRef>
              <c:f>GEO0206_en_t!$A$7</c:f>
              <c:strCache>
                <c:ptCount val="1"/>
                <c:pt idx="0">
                  <c:v>Centru</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GEO0206_en_t!$B$3:$Q$3</c:f>
              <c:strCach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strCache>
            </c:strRef>
          </c:cat>
          <c:val>
            <c:numRef>
              <c:f>GEO0206_en_t!$B$7:$Q$7</c:f>
              <c:numCache>
                <c:formatCode>0.0</c:formatCode>
                <c:ptCount val="16"/>
                <c:pt idx="0">
                  <c:v>22.9</c:v>
                </c:pt>
                <c:pt idx="1">
                  <c:v>24.6</c:v>
                </c:pt>
                <c:pt idx="2">
                  <c:v>22</c:v>
                </c:pt>
                <c:pt idx="3">
                  <c:v>23.3</c:v>
                </c:pt>
                <c:pt idx="4">
                  <c:v>24.9</c:v>
                </c:pt>
                <c:pt idx="5">
                  <c:v>22.2</c:v>
                </c:pt>
                <c:pt idx="6">
                  <c:v>22.4</c:v>
                </c:pt>
                <c:pt idx="7">
                  <c:v>23.6</c:v>
                </c:pt>
                <c:pt idx="8">
                  <c:v>23.6</c:v>
                </c:pt>
                <c:pt idx="9">
                  <c:v>23.7</c:v>
                </c:pt>
                <c:pt idx="10">
                  <c:v>25</c:v>
                </c:pt>
                <c:pt idx="11">
                  <c:v>25.6</c:v>
                </c:pt>
                <c:pt idx="12">
                  <c:v>31.8</c:v>
                </c:pt>
                <c:pt idx="13">
                  <c:v>26.2</c:v>
                </c:pt>
                <c:pt idx="14">
                  <c:v>33.200000000000003</c:v>
                </c:pt>
                <c:pt idx="15">
                  <c:v>32.4</c:v>
                </c:pt>
              </c:numCache>
            </c:numRef>
          </c:val>
          <c:extLst>
            <c:ext xmlns:c16="http://schemas.microsoft.com/office/drawing/2014/chart" uri="{C3380CC4-5D6E-409C-BE32-E72D297353CC}">
              <c16:uniqueId val="{00000001-3954-434E-ABAA-8E70620714C3}"/>
            </c:ext>
          </c:extLst>
        </c:ser>
        <c:ser>
          <c:idx val="3"/>
          <c:order val="3"/>
          <c:tx>
            <c:strRef>
              <c:f>GEO0206_en_t!$A$8</c:f>
              <c:strCache>
                <c:ptCount val="1"/>
                <c:pt idx="0">
                  <c:v>Sud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GEO0206_en_t!$B$3:$Q$3</c:f>
              <c:strCach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strCache>
            </c:strRef>
          </c:cat>
          <c:val>
            <c:numRef>
              <c:f>GEO0206_en_t!$B$8:$Q$8</c:f>
              <c:numCache>
                <c:formatCode>0.0</c:formatCode>
                <c:ptCount val="16"/>
                <c:pt idx="0">
                  <c:v>14.9</c:v>
                </c:pt>
                <c:pt idx="1">
                  <c:v>16.100000000000001</c:v>
                </c:pt>
                <c:pt idx="2">
                  <c:v>13.4</c:v>
                </c:pt>
                <c:pt idx="3">
                  <c:v>12.4</c:v>
                </c:pt>
                <c:pt idx="4">
                  <c:v>12</c:v>
                </c:pt>
                <c:pt idx="5">
                  <c:v>12.5</c:v>
                </c:pt>
                <c:pt idx="6">
                  <c:v>13.2</c:v>
                </c:pt>
                <c:pt idx="7">
                  <c:v>11.6</c:v>
                </c:pt>
                <c:pt idx="8">
                  <c:v>11.3</c:v>
                </c:pt>
                <c:pt idx="9">
                  <c:v>10.7</c:v>
                </c:pt>
                <c:pt idx="10">
                  <c:v>11.6</c:v>
                </c:pt>
                <c:pt idx="11">
                  <c:v>12.3</c:v>
                </c:pt>
                <c:pt idx="12">
                  <c:v>13.3</c:v>
                </c:pt>
                <c:pt idx="13">
                  <c:v>12.3</c:v>
                </c:pt>
                <c:pt idx="14">
                  <c:v>13.6</c:v>
                </c:pt>
                <c:pt idx="15">
                  <c:v>13.9</c:v>
                </c:pt>
              </c:numCache>
            </c:numRef>
          </c:val>
          <c:extLst>
            <c:ext xmlns:c16="http://schemas.microsoft.com/office/drawing/2014/chart" uri="{C3380CC4-5D6E-409C-BE32-E72D297353CC}">
              <c16:uniqueId val="{00000002-3954-434E-ABAA-8E70620714C3}"/>
            </c:ext>
          </c:extLst>
        </c:ser>
        <c:ser>
          <c:idx val="0"/>
          <c:order val="0"/>
          <c:tx>
            <c:strRef>
              <c:f>GEO0206_en_t!$A$5</c:f>
              <c:strCache>
                <c:ptCount val="1"/>
                <c:pt idx="0">
                  <c:v>Municipiul Chisinau</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GEO0206_en_t!$B$3:$Q$3</c:f>
              <c:strCach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strCache>
            </c:strRef>
          </c:cat>
          <c:val>
            <c:numRef>
              <c:f>GEO0206_en_t!$B$5:$Q$5</c:f>
              <c:numCache>
                <c:formatCode>0.0</c:formatCode>
                <c:ptCount val="16"/>
                <c:pt idx="0">
                  <c:v>58.5</c:v>
                </c:pt>
                <c:pt idx="1">
                  <c:v>54.8</c:v>
                </c:pt>
                <c:pt idx="2">
                  <c:v>53</c:v>
                </c:pt>
                <c:pt idx="3">
                  <c:v>52</c:v>
                </c:pt>
                <c:pt idx="4">
                  <c:v>51.1</c:v>
                </c:pt>
                <c:pt idx="5">
                  <c:v>50.4</c:v>
                </c:pt>
                <c:pt idx="6">
                  <c:v>45.2</c:v>
                </c:pt>
                <c:pt idx="7">
                  <c:v>45.6</c:v>
                </c:pt>
                <c:pt idx="8">
                  <c:v>45.6</c:v>
                </c:pt>
                <c:pt idx="9">
                  <c:v>47.6</c:v>
                </c:pt>
                <c:pt idx="10">
                  <c:v>47.3</c:v>
                </c:pt>
                <c:pt idx="11">
                  <c:v>45.9</c:v>
                </c:pt>
                <c:pt idx="12">
                  <c:v>47.5</c:v>
                </c:pt>
                <c:pt idx="13">
                  <c:v>47.2</c:v>
                </c:pt>
                <c:pt idx="14">
                  <c:v>47.4</c:v>
                </c:pt>
                <c:pt idx="15">
                  <c:v>46.7</c:v>
                </c:pt>
              </c:numCache>
            </c:numRef>
          </c:val>
          <c:extLst>
            <c:ext xmlns:c16="http://schemas.microsoft.com/office/drawing/2014/chart" uri="{C3380CC4-5D6E-409C-BE32-E72D297353CC}">
              <c16:uniqueId val="{00000003-3954-434E-ABAA-8E70620714C3}"/>
            </c:ext>
          </c:extLst>
        </c:ser>
        <c:dLbls>
          <c:dLblPos val="outEnd"/>
          <c:showLegendKey val="0"/>
          <c:showVal val="1"/>
          <c:showCatName val="0"/>
          <c:showSerName val="0"/>
          <c:showPercent val="0"/>
          <c:showBubbleSize val="0"/>
        </c:dLbls>
        <c:gapWidth val="444"/>
        <c:overlap val="-90"/>
        <c:axId val="40736495"/>
        <c:axId val="40247023"/>
      </c:barChart>
      <c:catAx>
        <c:axId val="407364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0247023"/>
        <c:crosses val="autoZero"/>
        <c:auto val="1"/>
        <c:lblAlgn val="ctr"/>
        <c:lblOffset val="100"/>
        <c:noMultiLvlLbl val="0"/>
      </c:catAx>
      <c:valAx>
        <c:axId val="40247023"/>
        <c:scaling>
          <c:orientation val="minMax"/>
        </c:scaling>
        <c:delete val="1"/>
        <c:axPos val="l"/>
        <c:numFmt formatCode="0.0" sourceLinked="1"/>
        <c:majorTickMark val="none"/>
        <c:minorTickMark val="none"/>
        <c:tickLblPos val="nextTo"/>
        <c:crossAx val="407364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'Inundatii_revarsare ape'!$B$1</c:f>
              <c:strCache>
                <c:ptCount val="1"/>
                <c:pt idx="0">
                  <c:v>Nr. SE Inundatii, nivel înalt al apelor subterane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'Inundatii_revarsare ape'!$A$2:$A$16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'Inundatii_revarsare ape'!$B$2:$B$16</c:f>
              <c:numCache>
                <c:formatCode>_(* #,##0_);_(* \(#,##0\);_(* "-"??_);_(@_)</c:formatCode>
                <c:ptCount val="15"/>
                <c:pt idx="0">
                  <c:v>4</c:v>
                </c:pt>
                <c:pt idx="1">
                  <c:v>0</c:v>
                </c:pt>
                <c:pt idx="2">
                  <c:v>0</c:v>
                </c:pt>
                <c:pt idx="3">
                  <c:v>0</c:v>
                </c:pt>
                <c:pt idx="4">
                  <c:v>0</c:v>
                </c:pt>
                <c:pt idx="5">
                  <c:v>0</c:v>
                </c:pt>
                <c:pt idx="6">
                  <c:v>2</c:v>
                </c:pt>
                <c:pt idx="7">
                  <c:v>0</c:v>
                </c:pt>
                <c:pt idx="8">
                  <c:v>2</c:v>
                </c:pt>
                <c:pt idx="9">
                  <c:v>3</c:v>
                </c:pt>
                <c:pt idx="10">
                  <c:v>4</c:v>
                </c:pt>
                <c:pt idx="11">
                  <c:v>2</c:v>
                </c:pt>
                <c:pt idx="12">
                  <c:v>0</c:v>
                </c:pt>
                <c:pt idx="13">
                  <c:v>0</c:v>
                </c:pt>
                <c:pt idx="14" formatCode="General">
                  <c:v>1</c:v>
                </c:pt>
              </c:numCache>
            </c:numRef>
          </c:val>
          <c:extLst>
            <c:ext xmlns:c16="http://schemas.microsoft.com/office/drawing/2014/chart" uri="{C3380CC4-5D6E-409C-BE32-E72D297353CC}">
              <c16:uniqueId val="{00000000-4353-6944-8F6F-22903123B382}"/>
            </c:ext>
          </c:extLst>
        </c:ser>
        <c:dLbls>
          <c:showLegendKey val="0"/>
          <c:showVal val="0"/>
          <c:showCatName val="0"/>
          <c:showSerName val="0"/>
          <c:showPercent val="0"/>
          <c:showBubbleSize val="0"/>
        </c:dLbls>
        <c:gapWidth val="150"/>
        <c:axId val="1970455263"/>
        <c:axId val="1720748591"/>
      </c:barChart>
      <c:lineChart>
        <c:grouping val="standard"/>
        <c:varyColors val="0"/>
        <c:ser>
          <c:idx val="1"/>
          <c:order val="1"/>
          <c:tx>
            <c:strRef>
              <c:f>'Inundatii_revarsare ape'!$C$1</c:f>
              <c:strCache>
                <c:ptCount val="1"/>
                <c:pt idx="0">
                  <c:v>Paguba mii, lei</c:v>
                </c:pt>
              </c:strCache>
            </c:strRef>
          </c:tx>
          <c:spPr>
            <a:ln w="31750" cap="rnd">
              <a:solidFill>
                <a:schemeClr val="accent2"/>
              </a:solidFill>
              <a:round/>
            </a:ln>
            <a:effectLst/>
          </c:spPr>
          <c:marker>
            <c:symbol val="none"/>
          </c:marker>
          <c:cat>
            <c:numRef>
              <c:f>'Inundatii_revarsare ape'!$A$2:$A$16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'Inundatii_revarsare ape'!$C$2:$C$16</c:f>
              <c:numCache>
                <c:formatCode>_(* #,##0_);_(* \(#,##0\);_(* "-"??_);_(@_)</c:formatCode>
                <c:ptCount val="15"/>
                <c:pt idx="0">
                  <c:v>84442.5</c:v>
                </c:pt>
                <c:pt idx="1">
                  <c:v>0</c:v>
                </c:pt>
                <c:pt idx="2">
                  <c:v>0</c:v>
                </c:pt>
                <c:pt idx="3">
                  <c:v>0</c:v>
                </c:pt>
                <c:pt idx="4">
                  <c:v>0</c:v>
                </c:pt>
                <c:pt idx="5">
                  <c:v>0</c:v>
                </c:pt>
                <c:pt idx="6">
                  <c:v>1991</c:v>
                </c:pt>
                <c:pt idx="7">
                  <c:v>0</c:v>
                </c:pt>
                <c:pt idx="8">
                  <c:v>1191.4000000000001</c:v>
                </c:pt>
                <c:pt idx="9">
                  <c:v>4060.7</c:v>
                </c:pt>
                <c:pt idx="10">
                  <c:v>14931.6</c:v>
                </c:pt>
                <c:pt idx="11">
                  <c:v>7954.7</c:v>
                </c:pt>
                <c:pt idx="12">
                  <c:v>0</c:v>
                </c:pt>
                <c:pt idx="13">
                  <c:v>0</c:v>
                </c:pt>
                <c:pt idx="14" formatCode="General">
                  <c:v>268.8</c:v>
                </c:pt>
              </c:numCache>
            </c:numRef>
          </c:val>
          <c:smooth val="0"/>
          <c:extLst>
            <c:ext xmlns:c16="http://schemas.microsoft.com/office/drawing/2014/chart" uri="{C3380CC4-5D6E-409C-BE32-E72D297353CC}">
              <c16:uniqueId val="{00000001-4353-6944-8F6F-22903123B382}"/>
            </c:ext>
          </c:extLst>
        </c:ser>
        <c:dLbls>
          <c:showLegendKey val="0"/>
          <c:showVal val="0"/>
          <c:showCatName val="0"/>
          <c:showSerName val="0"/>
          <c:showPercent val="0"/>
          <c:showBubbleSize val="0"/>
        </c:dLbls>
        <c:marker val="1"/>
        <c:smooth val="0"/>
        <c:axId val="1596414991"/>
        <c:axId val="1747614639"/>
      </c:lineChart>
      <c:catAx>
        <c:axId val="197045526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20748591"/>
        <c:crossesAt val="0"/>
        <c:auto val="1"/>
        <c:lblAlgn val="ctr"/>
        <c:lblOffset val="100"/>
        <c:noMultiLvlLbl val="0"/>
      </c:catAx>
      <c:valAx>
        <c:axId val="1720748591"/>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70455263"/>
        <c:crosses val="autoZero"/>
        <c:crossBetween val="between"/>
      </c:valAx>
      <c:valAx>
        <c:axId val="1747614639"/>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96414991"/>
        <c:crosses val="max"/>
        <c:crossBetween val="between"/>
      </c:valAx>
      <c:catAx>
        <c:axId val="1596414991"/>
        <c:scaling>
          <c:orientation val="minMax"/>
        </c:scaling>
        <c:delete val="1"/>
        <c:axPos val="b"/>
        <c:numFmt formatCode="General" sourceLinked="1"/>
        <c:majorTickMark val="none"/>
        <c:minorTickMark val="none"/>
        <c:tickLblPos val="nextTo"/>
        <c:crossAx val="1747614639"/>
        <c:crossesAt val="0"/>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num_zile_precip_50mm!$B$1:$B$2</c:f>
              <c:strCache>
                <c:ptCount val="2"/>
                <c:pt idx="0">
                  <c:v>Numărul de zile cu cantitatea de precipitații ≥ 50 mm în decursul 24 de ore</c:v>
                </c:pt>
                <c:pt idx="1">
                  <c:v>Chișinău</c:v>
                </c:pt>
              </c:strCache>
            </c:strRef>
          </c:tx>
          <c:spPr>
            <a:ln w="9525" cap="rnd">
              <a:solidFill>
                <a:schemeClr val="accent1"/>
              </a:solid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xVal>
            <c:numRef>
              <c:f>num_zile_precip_50mm!$A$3:$A$37</c:f>
              <c:numCache>
                <c:formatCode>General</c:formatCod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numCache>
            </c:numRef>
          </c:xVal>
          <c:yVal>
            <c:numRef>
              <c:f>num_zile_precip_50mm!$B$3:$B$37</c:f>
              <c:numCache>
                <c:formatCode>0</c:formatCode>
                <c:ptCount val="35"/>
                <c:pt idx="0">
                  <c:v>0</c:v>
                </c:pt>
                <c:pt idx="1">
                  <c:v>1</c:v>
                </c:pt>
                <c:pt idx="2">
                  <c:v>0</c:v>
                </c:pt>
                <c:pt idx="3">
                  <c:v>0</c:v>
                </c:pt>
                <c:pt idx="4">
                  <c:v>1</c:v>
                </c:pt>
                <c:pt idx="5">
                  <c:v>1</c:v>
                </c:pt>
                <c:pt idx="6">
                  <c:v>1</c:v>
                </c:pt>
                <c:pt idx="7">
                  <c:v>0</c:v>
                </c:pt>
                <c:pt idx="8">
                  <c:v>1</c:v>
                </c:pt>
                <c:pt idx="9">
                  <c:v>0</c:v>
                </c:pt>
                <c:pt idx="10">
                  <c:v>0</c:v>
                </c:pt>
                <c:pt idx="11">
                  <c:v>1</c:v>
                </c:pt>
                <c:pt idx="12">
                  <c:v>0</c:v>
                </c:pt>
                <c:pt idx="13">
                  <c:v>0</c:v>
                </c:pt>
                <c:pt idx="14">
                  <c:v>0</c:v>
                </c:pt>
                <c:pt idx="15">
                  <c:v>2</c:v>
                </c:pt>
                <c:pt idx="16">
                  <c:v>0</c:v>
                </c:pt>
                <c:pt idx="17">
                  <c:v>0</c:v>
                </c:pt>
                <c:pt idx="18">
                  <c:v>0</c:v>
                </c:pt>
                <c:pt idx="19">
                  <c:v>0</c:v>
                </c:pt>
                <c:pt idx="20">
                  <c:v>0</c:v>
                </c:pt>
                <c:pt idx="21">
                  <c:v>0</c:v>
                </c:pt>
                <c:pt idx="22">
                  <c:v>0</c:v>
                </c:pt>
                <c:pt idx="23">
                  <c:v>0</c:v>
                </c:pt>
                <c:pt idx="24">
                  <c:v>1</c:v>
                </c:pt>
                <c:pt idx="25">
                  <c:v>0</c:v>
                </c:pt>
                <c:pt idx="26">
                  <c:v>2</c:v>
                </c:pt>
                <c:pt idx="27">
                  <c:v>0</c:v>
                </c:pt>
                <c:pt idx="28">
                  <c:v>1</c:v>
                </c:pt>
                <c:pt idx="29">
                  <c:v>0</c:v>
                </c:pt>
                <c:pt idx="30">
                  <c:v>1</c:v>
                </c:pt>
                <c:pt idx="31">
                  <c:v>2</c:v>
                </c:pt>
                <c:pt idx="32">
                  <c:v>1</c:v>
                </c:pt>
                <c:pt idx="33">
                  <c:v>0</c:v>
                </c:pt>
                <c:pt idx="34">
                  <c:v>2</c:v>
                </c:pt>
              </c:numCache>
            </c:numRef>
          </c:yVal>
          <c:smooth val="0"/>
          <c:extLst>
            <c:ext xmlns:c16="http://schemas.microsoft.com/office/drawing/2014/chart" uri="{C3380CC4-5D6E-409C-BE32-E72D297353CC}">
              <c16:uniqueId val="{00000000-B0EA-1449-AF49-6E69A5624C9C}"/>
            </c:ext>
          </c:extLst>
        </c:ser>
        <c:ser>
          <c:idx val="1"/>
          <c:order val="1"/>
          <c:tx>
            <c:strRef>
              <c:f>num_zile_precip_50mm!$C$1:$C$2</c:f>
              <c:strCache>
                <c:ptCount val="2"/>
                <c:pt idx="0">
                  <c:v>Numărul de zile cu cantitatea de precipitații ≥ 50 mm în decursul 24 de ore</c:v>
                </c:pt>
                <c:pt idx="1">
                  <c:v>Bălți</c:v>
                </c:pt>
              </c:strCache>
            </c:strRef>
          </c:tx>
          <c:spPr>
            <a:ln w="9525" cap="rnd">
              <a:solidFill>
                <a:schemeClr val="accent2"/>
              </a:solidFill>
              <a:round/>
            </a:ln>
            <a:effectLst>
              <a:outerShdw blurRad="40000" dist="23000" dir="5400000" rotWithShape="0">
                <a:srgbClr val="000000">
                  <a:alpha val="35000"/>
                </a:srgbClr>
              </a:outerShdw>
            </a:effectLst>
          </c:spPr>
          <c:marker>
            <c:symbol val="circle"/>
            <c:size val="5"/>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a:solidFill>
                  <a:schemeClr val="accent2"/>
                </a:solidFill>
                <a:round/>
              </a:ln>
              <a:effectLst>
                <a:outerShdw blurRad="40000" dist="23000" dir="5400000" rotWithShape="0">
                  <a:srgbClr val="000000">
                    <a:alpha val="35000"/>
                  </a:srgbClr>
                </a:outerShdw>
              </a:effectLst>
            </c:spPr>
          </c:marker>
          <c:xVal>
            <c:numRef>
              <c:f>num_zile_precip_50mm!$A$3:$A$37</c:f>
              <c:numCache>
                <c:formatCode>General</c:formatCod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numCache>
            </c:numRef>
          </c:xVal>
          <c:yVal>
            <c:numRef>
              <c:f>num_zile_precip_50mm!$C$3:$C$37</c:f>
              <c:numCache>
                <c:formatCode>#,##0</c:formatCode>
                <c:ptCount val="35"/>
                <c:pt idx="0">
                  <c:v>0</c:v>
                </c:pt>
                <c:pt idx="1">
                  <c:v>0</c:v>
                </c:pt>
                <c:pt idx="2">
                  <c:v>0</c:v>
                </c:pt>
                <c:pt idx="3">
                  <c:v>0</c:v>
                </c:pt>
                <c:pt idx="4">
                  <c:v>1</c:v>
                </c:pt>
                <c:pt idx="5">
                  <c:v>1</c:v>
                </c:pt>
                <c:pt idx="6">
                  <c:v>0</c:v>
                </c:pt>
                <c:pt idx="7">
                  <c:v>0</c:v>
                </c:pt>
                <c:pt idx="8">
                  <c:v>0</c:v>
                </c:pt>
                <c:pt idx="9">
                  <c:v>1</c:v>
                </c:pt>
                <c:pt idx="10">
                  <c:v>0</c:v>
                </c:pt>
                <c:pt idx="11">
                  <c:v>0</c:v>
                </c:pt>
                <c:pt idx="12">
                  <c:v>0</c:v>
                </c:pt>
                <c:pt idx="13">
                  <c:v>0</c:v>
                </c:pt>
                <c:pt idx="14">
                  <c:v>0</c:v>
                </c:pt>
                <c:pt idx="15">
                  <c:v>1</c:v>
                </c:pt>
                <c:pt idx="16">
                  <c:v>0</c:v>
                </c:pt>
                <c:pt idx="17">
                  <c:v>0</c:v>
                </c:pt>
                <c:pt idx="18">
                  <c:v>0</c:v>
                </c:pt>
                <c:pt idx="19">
                  <c:v>0</c:v>
                </c:pt>
                <c:pt idx="20">
                  <c:v>0</c:v>
                </c:pt>
                <c:pt idx="21">
                  <c:v>0</c:v>
                </c:pt>
                <c:pt idx="22">
                  <c:v>0</c:v>
                </c:pt>
                <c:pt idx="23">
                  <c:v>0</c:v>
                </c:pt>
                <c:pt idx="24">
                  <c:v>1</c:v>
                </c:pt>
                <c:pt idx="25">
                  <c:v>0</c:v>
                </c:pt>
                <c:pt idx="26">
                  <c:v>0</c:v>
                </c:pt>
                <c:pt idx="27">
                  <c:v>0</c:v>
                </c:pt>
                <c:pt idx="28">
                  <c:v>0</c:v>
                </c:pt>
                <c:pt idx="29">
                  <c:v>1</c:v>
                </c:pt>
                <c:pt idx="30">
                  <c:v>0</c:v>
                </c:pt>
                <c:pt idx="31">
                  <c:v>0</c:v>
                </c:pt>
                <c:pt idx="32">
                  <c:v>0</c:v>
                </c:pt>
                <c:pt idx="33">
                  <c:v>0</c:v>
                </c:pt>
                <c:pt idx="34">
                  <c:v>0</c:v>
                </c:pt>
              </c:numCache>
            </c:numRef>
          </c:yVal>
          <c:smooth val="0"/>
          <c:extLst>
            <c:ext xmlns:c16="http://schemas.microsoft.com/office/drawing/2014/chart" uri="{C3380CC4-5D6E-409C-BE32-E72D297353CC}">
              <c16:uniqueId val="{00000001-B0EA-1449-AF49-6E69A5624C9C}"/>
            </c:ext>
          </c:extLst>
        </c:ser>
        <c:ser>
          <c:idx val="2"/>
          <c:order val="2"/>
          <c:tx>
            <c:strRef>
              <c:f>num_zile_precip_50mm!$D$1:$D$2</c:f>
              <c:strCache>
                <c:ptCount val="2"/>
                <c:pt idx="0">
                  <c:v>Numărul de zile cu cantitatea de precipitații ≥ 50 mm în decursul 24 de ore</c:v>
                </c:pt>
                <c:pt idx="1">
                  <c:v>Cahul</c:v>
                </c:pt>
              </c:strCache>
            </c:strRef>
          </c:tx>
          <c:spPr>
            <a:ln w="9525" cap="rnd">
              <a:solidFill>
                <a:schemeClr val="accent3"/>
              </a:solidFill>
              <a:round/>
            </a:ln>
            <a:effectLst>
              <a:outerShdw blurRad="40000" dist="23000" dir="5400000" rotWithShape="0">
                <a:srgbClr val="000000">
                  <a:alpha val="35000"/>
                </a:srgbClr>
              </a:outerShdw>
            </a:effectLst>
          </c:spPr>
          <c:marker>
            <c:symbol val="circle"/>
            <c:size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a:solidFill>
                  <a:schemeClr val="accent3"/>
                </a:solidFill>
                <a:round/>
              </a:ln>
              <a:effectLst>
                <a:outerShdw blurRad="40000" dist="23000" dir="5400000" rotWithShape="0">
                  <a:srgbClr val="000000">
                    <a:alpha val="35000"/>
                  </a:srgbClr>
                </a:outerShdw>
              </a:effectLst>
            </c:spPr>
          </c:marker>
          <c:xVal>
            <c:numRef>
              <c:f>num_zile_precip_50mm!$A$3:$A$37</c:f>
              <c:numCache>
                <c:formatCode>General</c:formatCod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numCache>
            </c:numRef>
          </c:xVal>
          <c:yVal>
            <c:numRef>
              <c:f>num_zile_precip_50mm!$D$3:$D$37</c:f>
              <c:numCache>
                <c:formatCode>0</c:formatCode>
                <c:ptCount val="35"/>
                <c:pt idx="0">
                  <c:v>0</c:v>
                </c:pt>
                <c:pt idx="1">
                  <c:v>0</c:v>
                </c:pt>
                <c:pt idx="2">
                  <c:v>0</c:v>
                </c:pt>
                <c:pt idx="3">
                  <c:v>1</c:v>
                </c:pt>
                <c:pt idx="4">
                  <c:v>1</c:v>
                </c:pt>
                <c:pt idx="5">
                  <c:v>0</c:v>
                </c:pt>
                <c:pt idx="6">
                  <c:v>1</c:v>
                </c:pt>
                <c:pt idx="7">
                  <c:v>0</c:v>
                </c:pt>
                <c:pt idx="8">
                  <c:v>1</c:v>
                </c:pt>
                <c:pt idx="9">
                  <c:v>0</c:v>
                </c:pt>
                <c:pt idx="10">
                  <c:v>0</c:v>
                </c:pt>
                <c:pt idx="11">
                  <c:v>3</c:v>
                </c:pt>
                <c:pt idx="12">
                  <c:v>1</c:v>
                </c:pt>
                <c:pt idx="13">
                  <c:v>0</c:v>
                </c:pt>
                <c:pt idx="14">
                  <c:v>0</c:v>
                </c:pt>
                <c:pt idx="15">
                  <c:v>1</c:v>
                </c:pt>
                <c:pt idx="16">
                  <c:v>0</c:v>
                </c:pt>
                <c:pt idx="17">
                  <c:v>1</c:v>
                </c:pt>
                <c:pt idx="18">
                  <c:v>0</c:v>
                </c:pt>
                <c:pt idx="19">
                  <c:v>0</c:v>
                </c:pt>
                <c:pt idx="20">
                  <c:v>0</c:v>
                </c:pt>
                <c:pt idx="21">
                  <c:v>0</c:v>
                </c:pt>
                <c:pt idx="22">
                  <c:v>0</c:v>
                </c:pt>
                <c:pt idx="23">
                  <c:v>3</c:v>
                </c:pt>
                <c:pt idx="24">
                  <c:v>1</c:v>
                </c:pt>
                <c:pt idx="25">
                  <c:v>0</c:v>
                </c:pt>
                <c:pt idx="26">
                  <c:v>1</c:v>
                </c:pt>
                <c:pt idx="27">
                  <c:v>1</c:v>
                </c:pt>
                <c:pt idx="28">
                  <c:v>0</c:v>
                </c:pt>
                <c:pt idx="29">
                  <c:v>1</c:v>
                </c:pt>
                <c:pt idx="30">
                  <c:v>0</c:v>
                </c:pt>
                <c:pt idx="31">
                  <c:v>2</c:v>
                </c:pt>
                <c:pt idx="32">
                  <c:v>0</c:v>
                </c:pt>
                <c:pt idx="33">
                  <c:v>0</c:v>
                </c:pt>
                <c:pt idx="34">
                  <c:v>0</c:v>
                </c:pt>
              </c:numCache>
            </c:numRef>
          </c:yVal>
          <c:smooth val="0"/>
          <c:extLst>
            <c:ext xmlns:c16="http://schemas.microsoft.com/office/drawing/2014/chart" uri="{C3380CC4-5D6E-409C-BE32-E72D297353CC}">
              <c16:uniqueId val="{00000002-B0EA-1449-AF49-6E69A5624C9C}"/>
            </c:ext>
          </c:extLst>
        </c:ser>
        <c:dLbls>
          <c:showLegendKey val="0"/>
          <c:showVal val="0"/>
          <c:showCatName val="0"/>
          <c:showSerName val="0"/>
          <c:showPercent val="0"/>
          <c:showBubbleSize val="0"/>
        </c:dLbls>
        <c:axId val="208880464"/>
        <c:axId val="208882176"/>
      </c:scatterChart>
      <c:valAx>
        <c:axId val="208880464"/>
        <c:scaling>
          <c:orientation val="minMax"/>
          <c:max val="2025"/>
          <c:min val="1990"/>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8882176"/>
        <c:crosses val="autoZero"/>
        <c:crossBetween val="midCat"/>
      </c:valAx>
      <c:valAx>
        <c:axId val="208882176"/>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nr. de zile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0"/>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88804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'3 statii '!$B$2</c:f>
              <c:strCache>
                <c:ptCount val="1"/>
                <c:pt idx="0">
                  <c:v>Briceni (mm)</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'3 statii '!$C$1:$Y$1</c:f>
              <c:strCach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strCache>
            </c:strRef>
          </c:cat>
          <c:val>
            <c:numRef>
              <c:f>'3 statii '!$C$2:$Y$2</c:f>
              <c:numCache>
                <c:formatCode>General</c:formatCode>
                <c:ptCount val="23"/>
                <c:pt idx="0">
                  <c:v>578</c:v>
                </c:pt>
                <c:pt idx="1">
                  <c:v>618</c:v>
                </c:pt>
                <c:pt idx="2">
                  <c:v>515</c:v>
                </c:pt>
                <c:pt idx="3">
                  <c:v>800</c:v>
                </c:pt>
                <c:pt idx="4">
                  <c:v>683</c:v>
                </c:pt>
                <c:pt idx="5">
                  <c:v>618</c:v>
                </c:pt>
                <c:pt idx="6">
                  <c:v>773</c:v>
                </c:pt>
                <c:pt idx="7">
                  <c:v>445</c:v>
                </c:pt>
                <c:pt idx="8">
                  <c:v>960</c:v>
                </c:pt>
                <c:pt idx="9">
                  <c:v>439</c:v>
                </c:pt>
                <c:pt idx="10">
                  <c:v>552</c:v>
                </c:pt>
                <c:pt idx="11">
                  <c:v>639</c:v>
                </c:pt>
                <c:pt idx="12">
                  <c:v>691</c:v>
                </c:pt>
                <c:pt idx="13">
                  <c:v>382</c:v>
                </c:pt>
                <c:pt idx="14">
                  <c:v>602</c:v>
                </c:pt>
                <c:pt idx="15">
                  <c:v>578</c:v>
                </c:pt>
                <c:pt idx="16">
                  <c:v>617</c:v>
                </c:pt>
                <c:pt idx="17">
                  <c:v>596</c:v>
                </c:pt>
                <c:pt idx="18">
                  <c:v>614</c:v>
                </c:pt>
                <c:pt idx="19">
                  <c:v>605</c:v>
                </c:pt>
                <c:pt idx="20">
                  <c:v>402</c:v>
                </c:pt>
                <c:pt idx="21">
                  <c:v>458</c:v>
                </c:pt>
                <c:pt idx="22">
                  <c:v>458</c:v>
                </c:pt>
              </c:numCache>
            </c:numRef>
          </c:val>
          <c:smooth val="0"/>
          <c:extLst>
            <c:ext xmlns:c16="http://schemas.microsoft.com/office/drawing/2014/chart" uri="{C3380CC4-5D6E-409C-BE32-E72D297353CC}">
              <c16:uniqueId val="{00000001-C63E-7641-BF4B-158A2C5C7C6D}"/>
            </c:ext>
          </c:extLst>
        </c:ser>
        <c:ser>
          <c:idx val="1"/>
          <c:order val="1"/>
          <c:tx>
            <c:strRef>
              <c:f>'3 statii '!$B$3</c:f>
              <c:strCache>
                <c:ptCount val="1"/>
                <c:pt idx="0">
                  <c:v>Chisinau (mm)</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19050" cap="rnd">
                <a:solidFill>
                  <a:schemeClr val="accent2"/>
                </a:solidFill>
                <a:prstDash val="sysDash"/>
              </a:ln>
              <a:effectLst/>
            </c:spPr>
            <c:trendlineType val="linear"/>
            <c:dispRSqr val="0"/>
            <c:dispEq val="0"/>
          </c:trendline>
          <c:cat>
            <c:strRef>
              <c:f>'3 statii '!$C$1:$Y$1</c:f>
              <c:strCach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strCache>
            </c:strRef>
          </c:cat>
          <c:val>
            <c:numRef>
              <c:f>'3 statii '!$C$3:$Y$3</c:f>
              <c:numCache>
                <c:formatCode>General</c:formatCode>
                <c:ptCount val="23"/>
                <c:pt idx="0">
                  <c:v>604</c:v>
                </c:pt>
                <c:pt idx="1">
                  <c:v>459</c:v>
                </c:pt>
                <c:pt idx="2">
                  <c:v>591</c:v>
                </c:pt>
                <c:pt idx="3">
                  <c:v>638</c:v>
                </c:pt>
                <c:pt idx="4">
                  <c:v>564</c:v>
                </c:pt>
                <c:pt idx="5">
                  <c:v>480</c:v>
                </c:pt>
                <c:pt idx="6">
                  <c:v>466</c:v>
                </c:pt>
                <c:pt idx="7">
                  <c:v>446</c:v>
                </c:pt>
                <c:pt idx="8">
                  <c:v>734</c:v>
                </c:pt>
                <c:pt idx="9">
                  <c:v>428</c:v>
                </c:pt>
                <c:pt idx="10">
                  <c:v>522</c:v>
                </c:pt>
                <c:pt idx="11">
                  <c:v>531</c:v>
                </c:pt>
                <c:pt idx="12">
                  <c:v>604</c:v>
                </c:pt>
                <c:pt idx="13">
                  <c:v>431</c:v>
                </c:pt>
                <c:pt idx="14">
                  <c:v>644</c:v>
                </c:pt>
                <c:pt idx="15">
                  <c:v>635</c:v>
                </c:pt>
                <c:pt idx="16">
                  <c:v>609</c:v>
                </c:pt>
                <c:pt idx="17">
                  <c:v>403</c:v>
                </c:pt>
                <c:pt idx="18">
                  <c:v>562</c:v>
                </c:pt>
                <c:pt idx="19">
                  <c:v>666</c:v>
                </c:pt>
                <c:pt idx="20">
                  <c:v>444</c:v>
                </c:pt>
                <c:pt idx="21">
                  <c:v>430</c:v>
                </c:pt>
                <c:pt idx="22">
                  <c:v>715</c:v>
                </c:pt>
              </c:numCache>
            </c:numRef>
          </c:val>
          <c:smooth val="0"/>
          <c:extLst>
            <c:ext xmlns:c16="http://schemas.microsoft.com/office/drawing/2014/chart" uri="{C3380CC4-5D6E-409C-BE32-E72D297353CC}">
              <c16:uniqueId val="{00000003-C63E-7641-BF4B-158A2C5C7C6D}"/>
            </c:ext>
          </c:extLst>
        </c:ser>
        <c:ser>
          <c:idx val="2"/>
          <c:order val="2"/>
          <c:tx>
            <c:strRef>
              <c:f>'3 statii '!$B$4</c:f>
              <c:strCache>
                <c:ptCount val="1"/>
                <c:pt idx="0">
                  <c:v>Cahul (mm)</c:v>
                </c:pt>
              </c:strCache>
            </c:strRef>
          </c:tx>
          <c:spPr>
            <a:ln w="31750" cap="rnd">
              <a:solidFill>
                <a:schemeClr val="accent3"/>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19050" cap="rnd">
                <a:solidFill>
                  <a:schemeClr val="accent3"/>
                </a:solidFill>
                <a:prstDash val="sysDash"/>
              </a:ln>
              <a:effectLst/>
            </c:spPr>
            <c:trendlineType val="linear"/>
            <c:dispRSqr val="0"/>
            <c:dispEq val="0"/>
          </c:trendline>
          <c:cat>
            <c:strRef>
              <c:f>'3 statii '!$C$1:$Y$1</c:f>
              <c:strCach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strCache>
            </c:strRef>
          </c:cat>
          <c:val>
            <c:numRef>
              <c:f>'3 statii '!$C$4:$Y$4</c:f>
              <c:numCache>
                <c:formatCode>General</c:formatCode>
                <c:ptCount val="23"/>
                <c:pt idx="0">
                  <c:v>531</c:v>
                </c:pt>
                <c:pt idx="1">
                  <c:v>307</c:v>
                </c:pt>
                <c:pt idx="2">
                  <c:v>470</c:v>
                </c:pt>
                <c:pt idx="3">
                  <c:v>513</c:v>
                </c:pt>
                <c:pt idx="4">
                  <c:v>367</c:v>
                </c:pt>
                <c:pt idx="5">
                  <c:v>517</c:v>
                </c:pt>
                <c:pt idx="6">
                  <c:v>444</c:v>
                </c:pt>
                <c:pt idx="7">
                  <c:v>405</c:v>
                </c:pt>
                <c:pt idx="8">
                  <c:v>699</c:v>
                </c:pt>
                <c:pt idx="9">
                  <c:v>371</c:v>
                </c:pt>
                <c:pt idx="10">
                  <c:v>595</c:v>
                </c:pt>
                <c:pt idx="11">
                  <c:v>716</c:v>
                </c:pt>
                <c:pt idx="12">
                  <c:v>611</c:v>
                </c:pt>
                <c:pt idx="13">
                  <c:v>466</c:v>
                </c:pt>
                <c:pt idx="14">
                  <c:v>633</c:v>
                </c:pt>
                <c:pt idx="15">
                  <c:v>574</c:v>
                </c:pt>
                <c:pt idx="16">
                  <c:v>366</c:v>
                </c:pt>
                <c:pt idx="17">
                  <c:v>448</c:v>
                </c:pt>
                <c:pt idx="18">
                  <c:v>460</c:v>
                </c:pt>
                <c:pt idx="19">
                  <c:v>490</c:v>
                </c:pt>
                <c:pt idx="20">
                  <c:v>352</c:v>
                </c:pt>
                <c:pt idx="21">
                  <c:v>389</c:v>
                </c:pt>
                <c:pt idx="22">
                  <c:v>440</c:v>
                </c:pt>
              </c:numCache>
            </c:numRef>
          </c:val>
          <c:smooth val="0"/>
          <c:extLst>
            <c:ext xmlns:c16="http://schemas.microsoft.com/office/drawing/2014/chart" uri="{C3380CC4-5D6E-409C-BE32-E72D297353CC}">
              <c16:uniqueId val="{00000005-C63E-7641-BF4B-158A2C5C7C6D}"/>
            </c:ext>
          </c:extLst>
        </c:ser>
        <c:dLbls>
          <c:dLblPos val="ctr"/>
          <c:showLegendKey val="0"/>
          <c:showVal val="1"/>
          <c:showCatName val="0"/>
          <c:showSerName val="0"/>
          <c:showPercent val="0"/>
          <c:showBubbleSize val="0"/>
        </c:dLbls>
        <c:smooth val="0"/>
        <c:axId val="1539579008"/>
        <c:axId val="1539400320"/>
      </c:lineChart>
      <c:catAx>
        <c:axId val="153957900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39400320"/>
        <c:crosses val="autoZero"/>
        <c:auto val="1"/>
        <c:lblAlgn val="ctr"/>
        <c:lblOffset val="100"/>
        <c:noMultiLvlLbl val="0"/>
      </c:catAx>
      <c:valAx>
        <c:axId val="1539400320"/>
        <c:scaling>
          <c:orientation val="minMax"/>
          <c:max val="1000"/>
          <c:min val="20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39579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'Ploi torent_grindina_vant '!$B$1</c:f>
              <c:strCache>
                <c:ptCount val="1"/>
                <c:pt idx="0">
                  <c:v>Nr. SE Ploi torentiale cu grindina, cu vant puternic si ploi de lunga durata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'Ploi torent_grindina_vant '!$A$2:$A$16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'Ploi torent_grindina_vant '!$B$2:$B$16</c:f>
              <c:numCache>
                <c:formatCode>_(* #,##0_);_(* \(#,##0\);_(* "-"??_);_(@_)</c:formatCode>
                <c:ptCount val="15"/>
                <c:pt idx="0">
                  <c:v>46</c:v>
                </c:pt>
                <c:pt idx="1">
                  <c:v>32</c:v>
                </c:pt>
                <c:pt idx="2">
                  <c:v>49</c:v>
                </c:pt>
                <c:pt idx="3">
                  <c:v>116</c:v>
                </c:pt>
                <c:pt idx="4">
                  <c:v>70</c:v>
                </c:pt>
                <c:pt idx="5">
                  <c:v>29</c:v>
                </c:pt>
                <c:pt idx="6">
                  <c:v>93</c:v>
                </c:pt>
                <c:pt idx="7">
                  <c:v>44</c:v>
                </c:pt>
                <c:pt idx="8">
                  <c:v>57</c:v>
                </c:pt>
                <c:pt idx="9">
                  <c:v>76</c:v>
                </c:pt>
                <c:pt idx="10">
                  <c:v>63</c:v>
                </c:pt>
                <c:pt idx="11">
                  <c:v>83</c:v>
                </c:pt>
                <c:pt idx="12">
                  <c:v>16</c:v>
                </c:pt>
                <c:pt idx="13">
                  <c:v>34</c:v>
                </c:pt>
                <c:pt idx="14">
                  <c:v>51</c:v>
                </c:pt>
              </c:numCache>
            </c:numRef>
          </c:val>
          <c:extLst>
            <c:ext xmlns:c16="http://schemas.microsoft.com/office/drawing/2014/chart" uri="{C3380CC4-5D6E-409C-BE32-E72D297353CC}">
              <c16:uniqueId val="{00000000-3F26-624E-8A2D-33D0C7C97133}"/>
            </c:ext>
          </c:extLst>
        </c:ser>
        <c:dLbls>
          <c:showLegendKey val="0"/>
          <c:showVal val="0"/>
          <c:showCatName val="0"/>
          <c:showSerName val="0"/>
          <c:showPercent val="0"/>
          <c:showBubbleSize val="0"/>
        </c:dLbls>
        <c:gapWidth val="219"/>
        <c:axId val="705365680"/>
        <c:axId val="1615625503"/>
      </c:barChart>
      <c:lineChart>
        <c:grouping val="standard"/>
        <c:varyColors val="0"/>
        <c:ser>
          <c:idx val="1"/>
          <c:order val="1"/>
          <c:tx>
            <c:strRef>
              <c:f>'Ploi torent_grindina_vant '!$C$1</c:f>
              <c:strCache>
                <c:ptCount val="1"/>
                <c:pt idx="0">
                  <c:v>Paguba mii, lei</c:v>
                </c:pt>
              </c:strCache>
            </c:strRef>
          </c:tx>
          <c:spPr>
            <a:ln w="31750" cap="rnd">
              <a:solidFill>
                <a:schemeClr val="accent2"/>
              </a:solidFill>
              <a:round/>
            </a:ln>
            <a:effectLst/>
          </c:spPr>
          <c:marker>
            <c:symbol val="none"/>
          </c:marker>
          <c:cat>
            <c:numRef>
              <c:f>'Ploi torent_grindina_vant '!$A$2:$A$16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'Ploi torent_grindina_vant '!$C$2:$C$16</c:f>
              <c:numCache>
                <c:formatCode>_(* #,##0_);_(* \(#,##0\);_(* "-"??_);_(@_)</c:formatCode>
                <c:ptCount val="15"/>
                <c:pt idx="0">
                  <c:v>160845</c:v>
                </c:pt>
                <c:pt idx="1">
                  <c:v>76587</c:v>
                </c:pt>
                <c:pt idx="2">
                  <c:v>128840.1</c:v>
                </c:pt>
                <c:pt idx="3">
                  <c:v>495863.5</c:v>
                </c:pt>
                <c:pt idx="4">
                  <c:v>138296.70000000001</c:v>
                </c:pt>
                <c:pt idx="5">
                  <c:v>113546.29999999999</c:v>
                </c:pt>
                <c:pt idx="6">
                  <c:v>301171.3</c:v>
                </c:pt>
                <c:pt idx="7">
                  <c:v>116371</c:v>
                </c:pt>
                <c:pt idx="8">
                  <c:v>224531.1</c:v>
                </c:pt>
                <c:pt idx="9">
                  <c:v>834613.5</c:v>
                </c:pt>
                <c:pt idx="10">
                  <c:v>201141.8</c:v>
                </c:pt>
                <c:pt idx="11">
                  <c:v>631724.6</c:v>
                </c:pt>
                <c:pt idx="12">
                  <c:v>53897.1</c:v>
                </c:pt>
                <c:pt idx="13">
                  <c:v>164869.79999999999</c:v>
                </c:pt>
                <c:pt idx="14">
                  <c:v>461344.49999999994</c:v>
                </c:pt>
              </c:numCache>
            </c:numRef>
          </c:val>
          <c:smooth val="0"/>
          <c:extLst>
            <c:ext xmlns:c16="http://schemas.microsoft.com/office/drawing/2014/chart" uri="{C3380CC4-5D6E-409C-BE32-E72D297353CC}">
              <c16:uniqueId val="{00000001-3F26-624E-8A2D-33D0C7C97133}"/>
            </c:ext>
          </c:extLst>
        </c:ser>
        <c:dLbls>
          <c:showLegendKey val="0"/>
          <c:showVal val="0"/>
          <c:showCatName val="0"/>
          <c:showSerName val="0"/>
          <c:showPercent val="0"/>
          <c:showBubbleSize val="0"/>
        </c:dLbls>
        <c:marker val="1"/>
        <c:smooth val="0"/>
        <c:axId val="1667471023"/>
        <c:axId val="1667468911"/>
      </c:lineChart>
      <c:catAx>
        <c:axId val="7053656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15625503"/>
        <c:crossesAt val="0"/>
        <c:auto val="1"/>
        <c:lblAlgn val="ctr"/>
        <c:lblOffset val="100"/>
        <c:noMultiLvlLbl val="0"/>
      </c:catAx>
      <c:valAx>
        <c:axId val="1615625503"/>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05365680"/>
        <c:crosses val="autoZero"/>
        <c:crossBetween val="between"/>
      </c:valAx>
      <c:valAx>
        <c:axId val="1667468911"/>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67471023"/>
        <c:crosses val="max"/>
        <c:crossBetween val="between"/>
      </c:valAx>
      <c:catAx>
        <c:axId val="1667471023"/>
        <c:scaling>
          <c:orientation val="minMax"/>
        </c:scaling>
        <c:delete val="1"/>
        <c:axPos val="b"/>
        <c:numFmt formatCode="General" sourceLinked="1"/>
        <c:majorTickMark val="none"/>
        <c:minorTickMark val="none"/>
        <c:tickLblPos val="nextTo"/>
        <c:crossAx val="1667468911"/>
        <c:crossesAt val="0"/>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num_zile_temp_35grade!$B$1:$B$2</c:f>
              <c:strCache>
                <c:ptCount val="2"/>
                <c:pt idx="0">
                  <c:v>Numărul de zile cu temperatura maximă a aerului ≥35°C</c:v>
                </c:pt>
                <c:pt idx="1">
                  <c:v>Chișinău</c:v>
                </c:pt>
              </c:strCache>
            </c:strRef>
          </c:tx>
          <c:spPr>
            <a:ln w="9525" cap="rnd">
              <a:solidFill>
                <a:schemeClr val="accent1"/>
              </a:solid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xVal>
            <c:numRef>
              <c:f>num_zile_temp_35grade!$A$3:$A$37</c:f>
              <c:numCache>
                <c:formatCode>General</c:formatCod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numCache>
            </c:numRef>
          </c:xVal>
          <c:yVal>
            <c:numRef>
              <c:f>num_zile_temp_35grade!$B$3:$B$37</c:f>
              <c:numCache>
                <c:formatCode>0</c:formatCode>
                <c:ptCount val="35"/>
                <c:pt idx="0">
                  <c:v>0</c:v>
                </c:pt>
                <c:pt idx="1">
                  <c:v>0</c:v>
                </c:pt>
                <c:pt idx="2">
                  <c:v>0</c:v>
                </c:pt>
                <c:pt idx="3">
                  <c:v>1</c:v>
                </c:pt>
                <c:pt idx="4">
                  <c:v>0</c:v>
                </c:pt>
                <c:pt idx="5">
                  <c:v>0</c:v>
                </c:pt>
                <c:pt idx="6">
                  <c:v>2</c:v>
                </c:pt>
                <c:pt idx="7">
                  <c:v>0</c:v>
                </c:pt>
                <c:pt idx="8">
                  <c:v>1</c:v>
                </c:pt>
                <c:pt idx="9">
                  <c:v>3</c:v>
                </c:pt>
                <c:pt idx="10">
                  <c:v>4</c:v>
                </c:pt>
                <c:pt idx="11">
                  <c:v>1</c:v>
                </c:pt>
                <c:pt idx="12">
                  <c:v>2</c:v>
                </c:pt>
                <c:pt idx="13">
                  <c:v>1</c:v>
                </c:pt>
                <c:pt idx="14">
                  <c:v>0</c:v>
                </c:pt>
                <c:pt idx="15">
                  <c:v>4</c:v>
                </c:pt>
                <c:pt idx="16">
                  <c:v>0</c:v>
                </c:pt>
                <c:pt idx="17">
                  <c:v>14</c:v>
                </c:pt>
                <c:pt idx="18">
                  <c:v>6</c:v>
                </c:pt>
                <c:pt idx="19">
                  <c:v>3</c:v>
                </c:pt>
                <c:pt idx="20">
                  <c:v>6</c:v>
                </c:pt>
                <c:pt idx="21">
                  <c:v>0</c:v>
                </c:pt>
                <c:pt idx="22">
                  <c:v>16</c:v>
                </c:pt>
                <c:pt idx="23">
                  <c:v>0</c:v>
                </c:pt>
                <c:pt idx="24">
                  <c:v>4</c:v>
                </c:pt>
                <c:pt idx="25">
                  <c:v>15</c:v>
                </c:pt>
                <c:pt idx="26">
                  <c:v>1</c:v>
                </c:pt>
                <c:pt idx="27">
                  <c:v>4</c:v>
                </c:pt>
                <c:pt idx="28">
                  <c:v>0</c:v>
                </c:pt>
                <c:pt idx="29">
                  <c:v>0</c:v>
                </c:pt>
                <c:pt idx="30">
                  <c:v>2</c:v>
                </c:pt>
                <c:pt idx="31">
                  <c:v>0</c:v>
                </c:pt>
                <c:pt idx="32">
                  <c:v>0</c:v>
                </c:pt>
                <c:pt idx="33">
                  <c:v>10</c:v>
                </c:pt>
                <c:pt idx="34">
                  <c:v>11</c:v>
                </c:pt>
              </c:numCache>
            </c:numRef>
          </c:yVal>
          <c:smooth val="0"/>
          <c:extLst>
            <c:ext xmlns:c16="http://schemas.microsoft.com/office/drawing/2014/chart" uri="{C3380CC4-5D6E-409C-BE32-E72D297353CC}">
              <c16:uniqueId val="{00000000-BF39-8F45-9F87-B70F74DB8387}"/>
            </c:ext>
          </c:extLst>
        </c:ser>
        <c:ser>
          <c:idx val="1"/>
          <c:order val="1"/>
          <c:tx>
            <c:strRef>
              <c:f>num_zile_temp_35grade!$C$1:$C$2</c:f>
              <c:strCache>
                <c:ptCount val="2"/>
                <c:pt idx="0">
                  <c:v>Numărul de zile cu temperatura maximă a aerului ≥35°C</c:v>
                </c:pt>
                <c:pt idx="1">
                  <c:v>Bălți</c:v>
                </c:pt>
              </c:strCache>
            </c:strRef>
          </c:tx>
          <c:spPr>
            <a:ln w="9525" cap="rnd">
              <a:solidFill>
                <a:schemeClr val="accent2"/>
              </a:solidFill>
              <a:round/>
            </a:ln>
            <a:effectLst>
              <a:outerShdw blurRad="40000" dist="23000" dir="5400000" rotWithShape="0">
                <a:srgbClr val="000000">
                  <a:alpha val="35000"/>
                </a:srgbClr>
              </a:outerShdw>
            </a:effectLst>
          </c:spPr>
          <c:marker>
            <c:symbol val="circle"/>
            <c:size val="5"/>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a:solidFill>
                  <a:schemeClr val="accent2"/>
                </a:solidFill>
                <a:round/>
              </a:ln>
              <a:effectLst>
                <a:outerShdw blurRad="40000" dist="23000" dir="5400000" rotWithShape="0">
                  <a:srgbClr val="000000">
                    <a:alpha val="35000"/>
                  </a:srgbClr>
                </a:outerShdw>
              </a:effectLst>
            </c:spPr>
          </c:marker>
          <c:xVal>
            <c:numRef>
              <c:f>num_zile_temp_35grade!$A$3:$A$37</c:f>
              <c:numCache>
                <c:formatCode>General</c:formatCod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numCache>
            </c:numRef>
          </c:xVal>
          <c:yVal>
            <c:numRef>
              <c:f>num_zile_temp_35grade!$C$3:$C$37</c:f>
              <c:numCache>
                <c:formatCode>#,##0</c:formatCode>
                <c:ptCount val="35"/>
                <c:pt idx="0">
                  <c:v>1</c:v>
                </c:pt>
                <c:pt idx="1">
                  <c:v>0</c:v>
                </c:pt>
                <c:pt idx="2">
                  <c:v>5</c:v>
                </c:pt>
                <c:pt idx="3">
                  <c:v>2</c:v>
                </c:pt>
                <c:pt idx="4">
                  <c:v>2</c:v>
                </c:pt>
                <c:pt idx="5">
                  <c:v>1</c:v>
                </c:pt>
                <c:pt idx="6">
                  <c:v>1</c:v>
                </c:pt>
                <c:pt idx="7">
                  <c:v>0</c:v>
                </c:pt>
                <c:pt idx="8">
                  <c:v>2</c:v>
                </c:pt>
                <c:pt idx="9">
                  <c:v>3</c:v>
                </c:pt>
                <c:pt idx="10">
                  <c:v>6</c:v>
                </c:pt>
                <c:pt idx="11">
                  <c:v>7</c:v>
                </c:pt>
                <c:pt idx="12">
                  <c:v>5</c:v>
                </c:pt>
                <c:pt idx="13">
                  <c:v>2</c:v>
                </c:pt>
                <c:pt idx="14">
                  <c:v>1</c:v>
                </c:pt>
                <c:pt idx="15">
                  <c:v>4</c:v>
                </c:pt>
                <c:pt idx="16">
                  <c:v>0</c:v>
                </c:pt>
                <c:pt idx="17">
                  <c:v>18</c:v>
                </c:pt>
                <c:pt idx="18">
                  <c:v>3</c:v>
                </c:pt>
                <c:pt idx="19">
                  <c:v>4</c:v>
                </c:pt>
                <c:pt idx="20">
                  <c:v>6</c:v>
                </c:pt>
                <c:pt idx="21">
                  <c:v>0</c:v>
                </c:pt>
                <c:pt idx="22">
                  <c:v>23</c:v>
                </c:pt>
                <c:pt idx="23">
                  <c:v>0</c:v>
                </c:pt>
                <c:pt idx="24">
                  <c:v>1</c:v>
                </c:pt>
                <c:pt idx="25">
                  <c:v>11</c:v>
                </c:pt>
                <c:pt idx="26">
                  <c:v>2</c:v>
                </c:pt>
                <c:pt idx="27">
                  <c:v>6</c:v>
                </c:pt>
                <c:pt idx="28">
                  <c:v>0</c:v>
                </c:pt>
                <c:pt idx="29">
                  <c:v>1</c:v>
                </c:pt>
                <c:pt idx="30">
                  <c:v>2</c:v>
                </c:pt>
                <c:pt idx="31">
                  <c:v>0</c:v>
                </c:pt>
                <c:pt idx="32">
                  <c:v>2</c:v>
                </c:pt>
                <c:pt idx="33">
                  <c:v>8</c:v>
                </c:pt>
                <c:pt idx="34">
                  <c:v>16</c:v>
                </c:pt>
              </c:numCache>
            </c:numRef>
          </c:yVal>
          <c:smooth val="0"/>
          <c:extLst>
            <c:ext xmlns:c16="http://schemas.microsoft.com/office/drawing/2014/chart" uri="{C3380CC4-5D6E-409C-BE32-E72D297353CC}">
              <c16:uniqueId val="{00000001-BF39-8F45-9F87-B70F74DB8387}"/>
            </c:ext>
          </c:extLst>
        </c:ser>
        <c:ser>
          <c:idx val="2"/>
          <c:order val="2"/>
          <c:tx>
            <c:strRef>
              <c:f>num_zile_temp_35grade!$D$1:$D$2</c:f>
              <c:strCache>
                <c:ptCount val="2"/>
                <c:pt idx="0">
                  <c:v>Numărul de zile cu temperatura maximă a aerului ≥35°C</c:v>
                </c:pt>
                <c:pt idx="1">
                  <c:v>Cahul</c:v>
                </c:pt>
              </c:strCache>
            </c:strRef>
          </c:tx>
          <c:spPr>
            <a:ln w="9525" cap="rnd">
              <a:solidFill>
                <a:schemeClr val="accent3"/>
              </a:solidFill>
              <a:round/>
            </a:ln>
            <a:effectLst>
              <a:outerShdw blurRad="40000" dist="23000" dir="5400000" rotWithShape="0">
                <a:srgbClr val="000000">
                  <a:alpha val="35000"/>
                </a:srgbClr>
              </a:outerShdw>
            </a:effectLst>
          </c:spPr>
          <c:marker>
            <c:symbol val="circle"/>
            <c:size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a:solidFill>
                  <a:schemeClr val="accent3"/>
                </a:solidFill>
                <a:round/>
              </a:ln>
              <a:effectLst>
                <a:outerShdw blurRad="40000" dist="23000" dir="5400000" rotWithShape="0">
                  <a:srgbClr val="000000">
                    <a:alpha val="35000"/>
                  </a:srgbClr>
                </a:outerShdw>
              </a:effectLst>
            </c:spPr>
          </c:marker>
          <c:xVal>
            <c:numRef>
              <c:f>num_zile_temp_35grade!$A$3:$A$37</c:f>
              <c:numCache>
                <c:formatCode>General</c:formatCod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numCache>
            </c:numRef>
          </c:xVal>
          <c:yVal>
            <c:numRef>
              <c:f>num_zile_temp_35grade!$D$3:$D$37</c:f>
              <c:numCache>
                <c:formatCode>0</c:formatCode>
                <c:ptCount val="35"/>
                <c:pt idx="0">
                  <c:v>0</c:v>
                </c:pt>
                <c:pt idx="1">
                  <c:v>0</c:v>
                </c:pt>
                <c:pt idx="2">
                  <c:v>2</c:v>
                </c:pt>
                <c:pt idx="3">
                  <c:v>0</c:v>
                </c:pt>
                <c:pt idx="4">
                  <c:v>0</c:v>
                </c:pt>
                <c:pt idx="5">
                  <c:v>0</c:v>
                </c:pt>
                <c:pt idx="6">
                  <c:v>1</c:v>
                </c:pt>
                <c:pt idx="7">
                  <c:v>0</c:v>
                </c:pt>
                <c:pt idx="8">
                  <c:v>2</c:v>
                </c:pt>
                <c:pt idx="9">
                  <c:v>0</c:v>
                </c:pt>
                <c:pt idx="10">
                  <c:v>7</c:v>
                </c:pt>
                <c:pt idx="11">
                  <c:v>4</c:v>
                </c:pt>
                <c:pt idx="12">
                  <c:v>5</c:v>
                </c:pt>
                <c:pt idx="13">
                  <c:v>1</c:v>
                </c:pt>
                <c:pt idx="14">
                  <c:v>1</c:v>
                </c:pt>
                <c:pt idx="15">
                  <c:v>2</c:v>
                </c:pt>
                <c:pt idx="16">
                  <c:v>2</c:v>
                </c:pt>
                <c:pt idx="17">
                  <c:v>16</c:v>
                </c:pt>
                <c:pt idx="18">
                  <c:v>7</c:v>
                </c:pt>
                <c:pt idx="19">
                  <c:v>4</c:v>
                </c:pt>
                <c:pt idx="20">
                  <c:v>4</c:v>
                </c:pt>
                <c:pt idx="21">
                  <c:v>0</c:v>
                </c:pt>
                <c:pt idx="22">
                  <c:v>22</c:v>
                </c:pt>
                <c:pt idx="23">
                  <c:v>0</c:v>
                </c:pt>
                <c:pt idx="24">
                  <c:v>1</c:v>
                </c:pt>
                <c:pt idx="25">
                  <c:v>9</c:v>
                </c:pt>
                <c:pt idx="26">
                  <c:v>1</c:v>
                </c:pt>
                <c:pt idx="27">
                  <c:v>5</c:v>
                </c:pt>
                <c:pt idx="28">
                  <c:v>0</c:v>
                </c:pt>
                <c:pt idx="29">
                  <c:v>0</c:v>
                </c:pt>
                <c:pt idx="30">
                  <c:v>3</c:v>
                </c:pt>
                <c:pt idx="31">
                  <c:v>1</c:v>
                </c:pt>
                <c:pt idx="32">
                  <c:v>6</c:v>
                </c:pt>
                <c:pt idx="33">
                  <c:v>12</c:v>
                </c:pt>
                <c:pt idx="34">
                  <c:v>18</c:v>
                </c:pt>
              </c:numCache>
            </c:numRef>
          </c:yVal>
          <c:smooth val="0"/>
          <c:extLst>
            <c:ext xmlns:c16="http://schemas.microsoft.com/office/drawing/2014/chart" uri="{C3380CC4-5D6E-409C-BE32-E72D297353CC}">
              <c16:uniqueId val="{00000002-BF39-8F45-9F87-B70F74DB8387}"/>
            </c:ext>
          </c:extLst>
        </c:ser>
        <c:dLbls>
          <c:showLegendKey val="0"/>
          <c:showVal val="0"/>
          <c:showCatName val="0"/>
          <c:showSerName val="0"/>
          <c:showPercent val="0"/>
          <c:showBubbleSize val="0"/>
        </c:dLbls>
        <c:axId val="1978262463"/>
        <c:axId val="1978264175"/>
      </c:scatterChart>
      <c:valAx>
        <c:axId val="1978262463"/>
        <c:scaling>
          <c:orientation val="minMax"/>
          <c:max val="2025"/>
          <c:min val="1990"/>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78264175"/>
        <c:crosses val="autoZero"/>
        <c:crossBetween val="midCat"/>
      </c:valAx>
      <c:valAx>
        <c:axId val="1978264175"/>
        <c:scaling>
          <c:orientation val="minMax"/>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7826246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max_abs_temp_aer!$B$1</c:f>
              <c:strCache>
                <c:ptCount val="1"/>
                <c:pt idx="0">
                  <c:v>Temperatura maximă absolută a aerului pe teritoriul țării °С</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max_abs_temp_aer!$A$2:$A$36</c:f>
              <c:numCache>
                <c:formatCode>General</c:formatCod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numCache>
            </c:numRef>
          </c:xVal>
          <c:yVal>
            <c:numRef>
              <c:f>max_abs_temp_aer!$B$2:$B$36</c:f>
              <c:numCache>
                <c:formatCode>0.0</c:formatCode>
                <c:ptCount val="35"/>
                <c:pt idx="0">
                  <c:v>35.799999999999997</c:v>
                </c:pt>
                <c:pt idx="1">
                  <c:v>37.700000000000003</c:v>
                </c:pt>
                <c:pt idx="2">
                  <c:v>37.200000000000003</c:v>
                </c:pt>
                <c:pt idx="3">
                  <c:v>37.4</c:v>
                </c:pt>
                <c:pt idx="4">
                  <c:v>36.9</c:v>
                </c:pt>
                <c:pt idx="5">
                  <c:v>35.200000000000003</c:v>
                </c:pt>
                <c:pt idx="6">
                  <c:v>37.799999999999997</c:v>
                </c:pt>
                <c:pt idx="7">
                  <c:v>33</c:v>
                </c:pt>
                <c:pt idx="8">
                  <c:v>38.1</c:v>
                </c:pt>
                <c:pt idx="9">
                  <c:v>38.700000000000003</c:v>
                </c:pt>
                <c:pt idx="10">
                  <c:v>40</c:v>
                </c:pt>
                <c:pt idx="11">
                  <c:v>38</c:v>
                </c:pt>
                <c:pt idx="12">
                  <c:v>40</c:v>
                </c:pt>
                <c:pt idx="13">
                  <c:v>36.6</c:v>
                </c:pt>
                <c:pt idx="14">
                  <c:v>35.299999999999997</c:v>
                </c:pt>
                <c:pt idx="15">
                  <c:v>37.299999999999997</c:v>
                </c:pt>
                <c:pt idx="16">
                  <c:v>36.4</c:v>
                </c:pt>
                <c:pt idx="17">
                  <c:v>41.5</c:v>
                </c:pt>
                <c:pt idx="18">
                  <c:v>39.1</c:v>
                </c:pt>
                <c:pt idx="19">
                  <c:v>38.700000000000003</c:v>
                </c:pt>
                <c:pt idx="20">
                  <c:v>38.9</c:v>
                </c:pt>
                <c:pt idx="21">
                  <c:v>35.799999999999997</c:v>
                </c:pt>
                <c:pt idx="22">
                  <c:v>42.4</c:v>
                </c:pt>
                <c:pt idx="23">
                  <c:v>35.700000000000003</c:v>
                </c:pt>
                <c:pt idx="24">
                  <c:v>38.799999999999997</c:v>
                </c:pt>
                <c:pt idx="25">
                  <c:v>37.9</c:v>
                </c:pt>
                <c:pt idx="26">
                  <c:v>37</c:v>
                </c:pt>
                <c:pt idx="27">
                  <c:v>39.5</c:v>
                </c:pt>
                <c:pt idx="28">
                  <c:v>37.1</c:v>
                </c:pt>
                <c:pt idx="29">
                  <c:v>36.700000000000003</c:v>
                </c:pt>
                <c:pt idx="30">
                  <c:v>37.9</c:v>
                </c:pt>
                <c:pt idx="31">
                  <c:v>36.9</c:v>
                </c:pt>
                <c:pt idx="32">
                  <c:v>37</c:v>
                </c:pt>
                <c:pt idx="33">
                  <c:v>39.5</c:v>
                </c:pt>
                <c:pt idx="34" formatCode="General">
                  <c:v>40.9</c:v>
                </c:pt>
              </c:numCache>
            </c:numRef>
          </c:yVal>
          <c:smooth val="0"/>
          <c:extLst>
            <c:ext xmlns:c16="http://schemas.microsoft.com/office/drawing/2014/chart" uri="{C3380CC4-5D6E-409C-BE32-E72D297353CC}">
              <c16:uniqueId val="{00000001-0BCA-104E-A038-D141F6D6DE8D}"/>
            </c:ext>
          </c:extLst>
        </c:ser>
        <c:dLbls>
          <c:showLegendKey val="0"/>
          <c:showVal val="0"/>
          <c:showCatName val="0"/>
          <c:showSerName val="0"/>
          <c:showPercent val="0"/>
          <c:showBubbleSize val="0"/>
        </c:dLbls>
        <c:axId val="208880464"/>
        <c:axId val="208882176"/>
      </c:scatterChart>
      <c:valAx>
        <c:axId val="208880464"/>
        <c:scaling>
          <c:orientation val="minMax"/>
          <c:max val="2025"/>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882176"/>
        <c:crosses val="autoZero"/>
        <c:crossBetween val="midCat"/>
      </c:valAx>
      <c:valAx>
        <c:axId val="208882176"/>
        <c:scaling>
          <c:orientation val="minMax"/>
          <c:min val="3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8804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'Vant. Puternic_furtuni'!$B$1</c:f>
              <c:strCache>
                <c:ptCount val="1"/>
                <c:pt idx="0">
                  <c:v>Nr. SE Vânturi puternice, vijelii, vartejuri si furtuni cu descărcări electrice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'Vant. Puternic_furtuni'!$A$2:$A$16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'Vant. Puternic_furtuni'!$B$2:$B$16</c:f>
              <c:numCache>
                <c:formatCode>_(* #,##0_);_(* \(#,##0\);_(* "-"??_);_(@_)</c:formatCode>
                <c:ptCount val="15"/>
                <c:pt idx="0">
                  <c:v>7</c:v>
                </c:pt>
                <c:pt idx="1">
                  <c:v>3</c:v>
                </c:pt>
                <c:pt idx="2">
                  <c:v>13</c:v>
                </c:pt>
                <c:pt idx="3">
                  <c:v>11</c:v>
                </c:pt>
                <c:pt idx="4">
                  <c:v>6</c:v>
                </c:pt>
                <c:pt idx="5">
                  <c:v>18</c:v>
                </c:pt>
                <c:pt idx="6">
                  <c:v>6</c:v>
                </c:pt>
                <c:pt idx="7">
                  <c:v>1</c:v>
                </c:pt>
                <c:pt idx="8">
                  <c:v>2</c:v>
                </c:pt>
                <c:pt idx="9">
                  <c:v>13</c:v>
                </c:pt>
                <c:pt idx="10">
                  <c:v>4</c:v>
                </c:pt>
                <c:pt idx="11">
                  <c:v>4</c:v>
                </c:pt>
                <c:pt idx="12">
                  <c:v>3</c:v>
                </c:pt>
                <c:pt idx="13">
                  <c:v>5</c:v>
                </c:pt>
                <c:pt idx="14">
                  <c:v>5</c:v>
                </c:pt>
              </c:numCache>
            </c:numRef>
          </c:val>
          <c:extLst>
            <c:ext xmlns:c16="http://schemas.microsoft.com/office/drawing/2014/chart" uri="{C3380CC4-5D6E-409C-BE32-E72D297353CC}">
              <c16:uniqueId val="{00000000-1241-7142-B234-DB7EC524590C}"/>
            </c:ext>
          </c:extLst>
        </c:ser>
        <c:dLbls>
          <c:showLegendKey val="0"/>
          <c:showVal val="0"/>
          <c:showCatName val="0"/>
          <c:showSerName val="0"/>
          <c:showPercent val="0"/>
          <c:showBubbleSize val="0"/>
        </c:dLbls>
        <c:gapWidth val="150"/>
        <c:axId val="1219761775"/>
        <c:axId val="1548292111"/>
      </c:barChart>
      <c:lineChart>
        <c:grouping val="standard"/>
        <c:varyColors val="0"/>
        <c:ser>
          <c:idx val="1"/>
          <c:order val="1"/>
          <c:tx>
            <c:strRef>
              <c:f>'Vant. Puternic_furtuni'!$C$1</c:f>
              <c:strCache>
                <c:ptCount val="1"/>
                <c:pt idx="0">
                  <c:v>Paguba mii, lei</c:v>
                </c:pt>
              </c:strCache>
            </c:strRef>
          </c:tx>
          <c:spPr>
            <a:ln w="31750" cap="rnd">
              <a:solidFill>
                <a:schemeClr val="accent2"/>
              </a:solidFill>
              <a:round/>
            </a:ln>
            <a:effectLst/>
          </c:spPr>
          <c:marker>
            <c:symbol val="none"/>
          </c:marker>
          <c:cat>
            <c:numRef>
              <c:f>'Vant. Puternic_furtuni'!$A$2:$A$16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'Vant. Puternic_furtuni'!$C$2:$C$16</c:f>
              <c:numCache>
                <c:formatCode>_(* #,##0_);_(* \(#,##0\);_(* "-"??_);_(@_)</c:formatCode>
                <c:ptCount val="15"/>
                <c:pt idx="0">
                  <c:v>491.29999999999995</c:v>
                </c:pt>
                <c:pt idx="1">
                  <c:v>1735.5</c:v>
                </c:pt>
                <c:pt idx="2">
                  <c:v>3730.6</c:v>
                </c:pt>
                <c:pt idx="3">
                  <c:v>1694.4</c:v>
                </c:pt>
                <c:pt idx="4">
                  <c:v>593.6</c:v>
                </c:pt>
                <c:pt idx="5">
                  <c:v>5375.8</c:v>
                </c:pt>
                <c:pt idx="6">
                  <c:v>1964.3</c:v>
                </c:pt>
                <c:pt idx="7">
                  <c:v>67.5</c:v>
                </c:pt>
                <c:pt idx="8">
                  <c:v>21.2</c:v>
                </c:pt>
                <c:pt idx="9">
                  <c:v>30890.6</c:v>
                </c:pt>
                <c:pt idx="10">
                  <c:v>6255</c:v>
                </c:pt>
                <c:pt idx="11">
                  <c:v>4315.7</c:v>
                </c:pt>
                <c:pt idx="12">
                  <c:v>9283</c:v>
                </c:pt>
                <c:pt idx="13">
                  <c:v>82351.3</c:v>
                </c:pt>
                <c:pt idx="14">
                  <c:v>31843.1</c:v>
                </c:pt>
              </c:numCache>
            </c:numRef>
          </c:val>
          <c:smooth val="0"/>
          <c:extLst>
            <c:ext xmlns:c16="http://schemas.microsoft.com/office/drawing/2014/chart" uri="{C3380CC4-5D6E-409C-BE32-E72D297353CC}">
              <c16:uniqueId val="{00000001-1241-7142-B234-DB7EC524590C}"/>
            </c:ext>
          </c:extLst>
        </c:ser>
        <c:dLbls>
          <c:showLegendKey val="0"/>
          <c:showVal val="0"/>
          <c:showCatName val="0"/>
          <c:showSerName val="0"/>
          <c:showPercent val="0"/>
          <c:showBubbleSize val="0"/>
        </c:dLbls>
        <c:marker val="1"/>
        <c:smooth val="0"/>
        <c:axId val="1970354095"/>
        <c:axId val="1970474367"/>
      </c:lineChart>
      <c:catAx>
        <c:axId val="121976177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48292111"/>
        <c:crossesAt val="0"/>
        <c:auto val="1"/>
        <c:lblAlgn val="ctr"/>
        <c:lblOffset val="100"/>
        <c:noMultiLvlLbl val="0"/>
      </c:catAx>
      <c:valAx>
        <c:axId val="1548292111"/>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19761775"/>
        <c:crosses val="autoZero"/>
        <c:crossBetween val="between"/>
      </c:valAx>
      <c:valAx>
        <c:axId val="1970474367"/>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70354095"/>
        <c:crosses val="max"/>
        <c:crossBetween val="between"/>
      </c:valAx>
      <c:catAx>
        <c:axId val="1970354095"/>
        <c:scaling>
          <c:orientation val="minMax"/>
        </c:scaling>
        <c:delete val="1"/>
        <c:axPos val="b"/>
        <c:numFmt formatCode="General" sourceLinked="1"/>
        <c:majorTickMark val="none"/>
        <c:minorTickMark val="none"/>
        <c:tickLblPos val="nextTo"/>
        <c:crossAx val="1970474367"/>
        <c:crossesAt val="0"/>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'Grindina mare'!$B$1</c:f>
              <c:strCache>
                <c:ptCount val="1"/>
                <c:pt idx="0">
                  <c:v>N-rul SE cu grindina mare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'Grindina mare'!$A$2:$A$16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'Grindina mare'!$B$2:$B$16</c:f>
              <c:numCache>
                <c:formatCode>_(* #,##0_);_(* \(#,##0\);_(* "-"??_);_(@_)</c:formatCode>
                <c:ptCount val="15"/>
                <c:pt idx="0">
                  <c:v>7</c:v>
                </c:pt>
                <c:pt idx="1">
                  <c:v>23</c:v>
                </c:pt>
                <c:pt idx="2">
                  <c:v>38</c:v>
                </c:pt>
                <c:pt idx="3">
                  <c:v>37</c:v>
                </c:pt>
                <c:pt idx="4">
                  <c:v>29</c:v>
                </c:pt>
                <c:pt idx="5">
                  <c:v>14</c:v>
                </c:pt>
                <c:pt idx="6">
                  <c:v>10</c:v>
                </c:pt>
                <c:pt idx="7">
                  <c:v>7</c:v>
                </c:pt>
                <c:pt idx="8">
                  <c:v>5</c:v>
                </c:pt>
                <c:pt idx="9">
                  <c:v>14</c:v>
                </c:pt>
                <c:pt idx="10">
                  <c:v>8</c:v>
                </c:pt>
                <c:pt idx="11">
                  <c:v>9</c:v>
                </c:pt>
                <c:pt idx="12">
                  <c:v>6</c:v>
                </c:pt>
                <c:pt idx="13">
                  <c:v>5</c:v>
                </c:pt>
                <c:pt idx="14">
                  <c:v>11</c:v>
                </c:pt>
              </c:numCache>
            </c:numRef>
          </c:val>
          <c:extLst>
            <c:ext xmlns:c16="http://schemas.microsoft.com/office/drawing/2014/chart" uri="{C3380CC4-5D6E-409C-BE32-E72D297353CC}">
              <c16:uniqueId val="{00000000-847B-484D-9140-34115FA3CA54}"/>
            </c:ext>
          </c:extLst>
        </c:ser>
        <c:dLbls>
          <c:showLegendKey val="0"/>
          <c:showVal val="0"/>
          <c:showCatName val="0"/>
          <c:showSerName val="0"/>
          <c:showPercent val="0"/>
          <c:showBubbleSize val="0"/>
        </c:dLbls>
        <c:gapWidth val="150"/>
        <c:axId val="1977733183"/>
        <c:axId val="1628767311"/>
      </c:barChart>
      <c:lineChart>
        <c:grouping val="standard"/>
        <c:varyColors val="0"/>
        <c:ser>
          <c:idx val="1"/>
          <c:order val="1"/>
          <c:tx>
            <c:strRef>
              <c:f>'Grindina mare'!$C$1</c:f>
              <c:strCache>
                <c:ptCount val="1"/>
                <c:pt idx="0">
                  <c:v>Paguba mii, lei</c:v>
                </c:pt>
              </c:strCache>
            </c:strRef>
          </c:tx>
          <c:spPr>
            <a:ln w="31750" cap="rnd">
              <a:solidFill>
                <a:schemeClr val="accent2"/>
              </a:solidFill>
              <a:round/>
            </a:ln>
            <a:effectLst/>
          </c:spPr>
          <c:marker>
            <c:symbol val="none"/>
          </c:marker>
          <c:cat>
            <c:numRef>
              <c:f>'Grindina mare'!$A$2:$A$16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'Grindina mare'!$C$2:$C$16</c:f>
              <c:numCache>
                <c:formatCode>_(* #,##0_);_(* \(#,##0\);_(* "-"??_);_(@_)</c:formatCode>
                <c:ptCount val="15"/>
                <c:pt idx="0">
                  <c:v>29211.599999999999</c:v>
                </c:pt>
                <c:pt idx="1">
                  <c:v>40589.4</c:v>
                </c:pt>
                <c:pt idx="2">
                  <c:v>215257.7</c:v>
                </c:pt>
                <c:pt idx="3">
                  <c:v>211988.5</c:v>
                </c:pt>
                <c:pt idx="4">
                  <c:v>49177.599999999999</c:v>
                </c:pt>
                <c:pt idx="5">
                  <c:v>22942.9</c:v>
                </c:pt>
                <c:pt idx="6">
                  <c:v>5509.8</c:v>
                </c:pt>
                <c:pt idx="7">
                  <c:v>12815</c:v>
                </c:pt>
                <c:pt idx="8">
                  <c:v>70782.899999999994</c:v>
                </c:pt>
                <c:pt idx="9">
                  <c:v>31369.200000000001</c:v>
                </c:pt>
                <c:pt idx="10">
                  <c:v>62475.8</c:v>
                </c:pt>
                <c:pt idx="11">
                  <c:v>31964</c:v>
                </c:pt>
                <c:pt idx="12">
                  <c:v>11532.9</c:v>
                </c:pt>
                <c:pt idx="13">
                  <c:v>21503.200000000001</c:v>
                </c:pt>
                <c:pt idx="14">
                  <c:v>18058</c:v>
                </c:pt>
              </c:numCache>
            </c:numRef>
          </c:val>
          <c:smooth val="0"/>
          <c:extLst>
            <c:ext xmlns:c16="http://schemas.microsoft.com/office/drawing/2014/chart" uri="{C3380CC4-5D6E-409C-BE32-E72D297353CC}">
              <c16:uniqueId val="{00000001-847B-484D-9140-34115FA3CA54}"/>
            </c:ext>
          </c:extLst>
        </c:ser>
        <c:dLbls>
          <c:showLegendKey val="0"/>
          <c:showVal val="0"/>
          <c:showCatName val="0"/>
          <c:showSerName val="0"/>
          <c:showPercent val="0"/>
          <c:showBubbleSize val="0"/>
        </c:dLbls>
        <c:marker val="1"/>
        <c:smooth val="0"/>
        <c:axId val="1548368479"/>
        <c:axId val="1548366367"/>
      </c:lineChart>
      <c:catAx>
        <c:axId val="197773318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28767311"/>
        <c:crossesAt val="0"/>
        <c:auto val="1"/>
        <c:lblAlgn val="ctr"/>
        <c:lblOffset val="100"/>
        <c:noMultiLvlLbl val="0"/>
      </c:catAx>
      <c:valAx>
        <c:axId val="1628767311"/>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77733183"/>
        <c:crosses val="autoZero"/>
        <c:crossBetween val="between"/>
      </c:valAx>
      <c:valAx>
        <c:axId val="1548366367"/>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48368479"/>
        <c:crosses val="max"/>
        <c:crossBetween val="between"/>
      </c:valAx>
      <c:catAx>
        <c:axId val="1548368479"/>
        <c:scaling>
          <c:orientation val="minMax"/>
        </c:scaling>
        <c:delete val="1"/>
        <c:axPos val="b"/>
        <c:numFmt formatCode="General" sourceLinked="1"/>
        <c:majorTickMark val="none"/>
        <c:minorTickMark val="none"/>
        <c:tickLblPos val="nextTo"/>
        <c:crossAx val="1548366367"/>
        <c:crossesAt val="0"/>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'[datele_meteo_1990-2024.xlsx]num_zile_grindină'!$B$1:$B$2</c:f>
              <c:strCache>
                <c:ptCount val="2"/>
                <c:pt idx="0">
                  <c:v>Numărul de zile cu grindină anuale</c:v>
                </c:pt>
                <c:pt idx="1">
                  <c:v>Chișinău</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'[datele_meteo_1990-2024.xlsx]num_zile_grindină'!$A$3:$A$37</c:f>
              <c:numCache>
                <c:formatCode>General</c:formatCod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numCache>
            </c:numRef>
          </c:cat>
          <c:val>
            <c:numRef>
              <c:f>'[datele_meteo_1990-2024.xlsx]num_zile_grindină'!$B$3:$B$37</c:f>
              <c:numCache>
                <c:formatCode>0</c:formatCode>
                <c:ptCount val="35"/>
                <c:pt idx="0">
                  <c:v>1</c:v>
                </c:pt>
                <c:pt idx="1">
                  <c:v>2</c:v>
                </c:pt>
                <c:pt idx="2">
                  <c:v>0</c:v>
                </c:pt>
                <c:pt idx="3">
                  <c:v>2</c:v>
                </c:pt>
                <c:pt idx="4">
                  <c:v>0</c:v>
                </c:pt>
                <c:pt idx="5">
                  <c:v>1</c:v>
                </c:pt>
                <c:pt idx="6">
                  <c:v>1</c:v>
                </c:pt>
                <c:pt idx="7">
                  <c:v>2</c:v>
                </c:pt>
                <c:pt idx="8">
                  <c:v>0</c:v>
                </c:pt>
                <c:pt idx="9">
                  <c:v>0</c:v>
                </c:pt>
                <c:pt idx="10">
                  <c:v>0</c:v>
                </c:pt>
                <c:pt idx="11">
                  <c:v>0</c:v>
                </c:pt>
                <c:pt idx="12">
                  <c:v>0</c:v>
                </c:pt>
                <c:pt idx="13">
                  <c:v>0</c:v>
                </c:pt>
                <c:pt idx="14">
                  <c:v>0</c:v>
                </c:pt>
                <c:pt idx="15">
                  <c:v>2</c:v>
                </c:pt>
                <c:pt idx="16">
                  <c:v>5</c:v>
                </c:pt>
                <c:pt idx="17">
                  <c:v>0</c:v>
                </c:pt>
                <c:pt idx="18">
                  <c:v>3</c:v>
                </c:pt>
                <c:pt idx="19">
                  <c:v>3</c:v>
                </c:pt>
                <c:pt idx="20">
                  <c:v>2</c:v>
                </c:pt>
                <c:pt idx="21">
                  <c:v>4</c:v>
                </c:pt>
                <c:pt idx="22">
                  <c:v>3</c:v>
                </c:pt>
                <c:pt idx="23">
                  <c:v>1</c:v>
                </c:pt>
                <c:pt idx="24">
                  <c:v>0</c:v>
                </c:pt>
                <c:pt idx="25">
                  <c:v>4</c:v>
                </c:pt>
                <c:pt idx="26">
                  <c:v>1</c:v>
                </c:pt>
                <c:pt idx="27">
                  <c:v>1</c:v>
                </c:pt>
                <c:pt idx="28">
                  <c:v>1</c:v>
                </c:pt>
                <c:pt idx="29">
                  <c:v>2</c:v>
                </c:pt>
                <c:pt idx="30">
                  <c:v>2</c:v>
                </c:pt>
                <c:pt idx="31">
                  <c:v>2</c:v>
                </c:pt>
                <c:pt idx="32">
                  <c:v>0</c:v>
                </c:pt>
                <c:pt idx="33">
                  <c:v>2</c:v>
                </c:pt>
                <c:pt idx="34">
                  <c:v>3</c:v>
                </c:pt>
              </c:numCache>
            </c:numRef>
          </c:val>
          <c:extLst>
            <c:ext xmlns:c16="http://schemas.microsoft.com/office/drawing/2014/chart" uri="{C3380CC4-5D6E-409C-BE32-E72D297353CC}">
              <c16:uniqueId val="{00000000-1673-5A4D-9F09-774FDB9093A9}"/>
            </c:ext>
          </c:extLst>
        </c:ser>
        <c:ser>
          <c:idx val="1"/>
          <c:order val="1"/>
          <c:tx>
            <c:strRef>
              <c:f>'[datele_meteo_1990-2024.xlsx]num_zile_grindină'!$C$1:$C$2</c:f>
              <c:strCache>
                <c:ptCount val="2"/>
                <c:pt idx="0">
                  <c:v>Numărul de zile cu grindină anuale</c:v>
                </c:pt>
                <c:pt idx="1">
                  <c:v>Bălți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numRef>
              <c:f>'[datele_meteo_1990-2024.xlsx]num_zile_grindină'!$A$3:$A$37</c:f>
              <c:numCache>
                <c:formatCode>General</c:formatCod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numCache>
            </c:numRef>
          </c:cat>
          <c:val>
            <c:numRef>
              <c:f>'[datele_meteo_1990-2024.xlsx]num_zile_grindină'!$C$3:$C$37</c:f>
              <c:numCache>
                <c:formatCode>#,##0</c:formatCode>
                <c:ptCount val="35"/>
                <c:pt idx="0">
                  <c:v>0</c:v>
                </c:pt>
                <c:pt idx="1">
                  <c:v>0</c:v>
                </c:pt>
                <c:pt idx="2">
                  <c:v>0</c:v>
                </c:pt>
                <c:pt idx="3">
                  <c:v>1</c:v>
                </c:pt>
                <c:pt idx="4">
                  <c:v>0</c:v>
                </c:pt>
                <c:pt idx="5">
                  <c:v>0</c:v>
                </c:pt>
                <c:pt idx="6">
                  <c:v>0</c:v>
                </c:pt>
                <c:pt idx="7">
                  <c:v>0</c:v>
                </c:pt>
                <c:pt idx="8">
                  <c:v>0</c:v>
                </c:pt>
                <c:pt idx="9">
                  <c:v>1</c:v>
                </c:pt>
                <c:pt idx="10">
                  <c:v>0</c:v>
                </c:pt>
                <c:pt idx="11">
                  <c:v>0</c:v>
                </c:pt>
                <c:pt idx="12">
                  <c:v>0</c:v>
                </c:pt>
                <c:pt idx="13">
                  <c:v>1</c:v>
                </c:pt>
                <c:pt idx="14">
                  <c:v>1</c:v>
                </c:pt>
                <c:pt idx="15">
                  <c:v>0</c:v>
                </c:pt>
                <c:pt idx="16">
                  <c:v>0</c:v>
                </c:pt>
                <c:pt idx="17">
                  <c:v>0</c:v>
                </c:pt>
                <c:pt idx="18">
                  <c:v>0</c:v>
                </c:pt>
                <c:pt idx="19">
                  <c:v>0</c:v>
                </c:pt>
                <c:pt idx="20">
                  <c:v>0</c:v>
                </c:pt>
                <c:pt idx="21">
                  <c:v>0</c:v>
                </c:pt>
                <c:pt idx="22">
                  <c:v>0</c:v>
                </c:pt>
                <c:pt idx="23">
                  <c:v>0</c:v>
                </c:pt>
                <c:pt idx="24">
                  <c:v>1</c:v>
                </c:pt>
                <c:pt idx="25">
                  <c:v>0</c:v>
                </c:pt>
                <c:pt idx="26">
                  <c:v>1</c:v>
                </c:pt>
                <c:pt idx="27">
                  <c:v>1</c:v>
                </c:pt>
                <c:pt idx="28">
                  <c:v>0</c:v>
                </c:pt>
                <c:pt idx="29">
                  <c:v>1</c:v>
                </c:pt>
                <c:pt idx="30">
                  <c:v>0</c:v>
                </c:pt>
                <c:pt idx="31">
                  <c:v>2</c:v>
                </c:pt>
                <c:pt idx="32">
                  <c:v>0</c:v>
                </c:pt>
                <c:pt idx="33">
                  <c:v>0</c:v>
                </c:pt>
                <c:pt idx="34">
                  <c:v>0</c:v>
                </c:pt>
              </c:numCache>
            </c:numRef>
          </c:val>
          <c:extLst>
            <c:ext xmlns:c16="http://schemas.microsoft.com/office/drawing/2014/chart" uri="{C3380CC4-5D6E-409C-BE32-E72D297353CC}">
              <c16:uniqueId val="{00000001-1673-5A4D-9F09-774FDB9093A9}"/>
            </c:ext>
          </c:extLst>
        </c:ser>
        <c:ser>
          <c:idx val="2"/>
          <c:order val="2"/>
          <c:tx>
            <c:strRef>
              <c:f>'[datele_meteo_1990-2024.xlsx]num_zile_grindină'!$D$1:$D$2</c:f>
              <c:strCache>
                <c:ptCount val="2"/>
                <c:pt idx="0">
                  <c:v>Numărul de zile cu grindină anuale</c:v>
                </c:pt>
                <c:pt idx="1">
                  <c:v>Cahul</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numRef>
              <c:f>'[datele_meteo_1990-2024.xlsx]num_zile_grindină'!$A$3:$A$37</c:f>
              <c:numCache>
                <c:formatCode>General</c:formatCod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numCache>
            </c:numRef>
          </c:cat>
          <c:val>
            <c:numRef>
              <c:f>'[datele_meteo_1990-2024.xlsx]num_zile_grindină'!$D$3:$D$37</c:f>
              <c:numCache>
                <c:formatCode>0</c:formatCode>
                <c:ptCount val="35"/>
                <c:pt idx="0">
                  <c:v>0</c:v>
                </c:pt>
                <c:pt idx="1">
                  <c:v>3</c:v>
                </c:pt>
                <c:pt idx="2">
                  <c:v>0</c:v>
                </c:pt>
                <c:pt idx="3">
                  <c:v>1</c:v>
                </c:pt>
                <c:pt idx="4">
                  <c:v>3</c:v>
                </c:pt>
                <c:pt idx="5">
                  <c:v>0</c:v>
                </c:pt>
                <c:pt idx="6">
                  <c:v>2</c:v>
                </c:pt>
                <c:pt idx="7">
                  <c:v>0</c:v>
                </c:pt>
                <c:pt idx="8">
                  <c:v>0</c:v>
                </c:pt>
                <c:pt idx="9">
                  <c:v>2</c:v>
                </c:pt>
                <c:pt idx="10">
                  <c:v>1</c:v>
                </c:pt>
                <c:pt idx="11">
                  <c:v>0</c:v>
                </c:pt>
                <c:pt idx="12">
                  <c:v>0</c:v>
                </c:pt>
                <c:pt idx="13">
                  <c:v>0</c:v>
                </c:pt>
                <c:pt idx="14">
                  <c:v>1</c:v>
                </c:pt>
                <c:pt idx="15">
                  <c:v>0</c:v>
                </c:pt>
                <c:pt idx="16">
                  <c:v>1</c:v>
                </c:pt>
                <c:pt idx="17">
                  <c:v>2</c:v>
                </c:pt>
                <c:pt idx="18">
                  <c:v>1</c:v>
                </c:pt>
                <c:pt idx="19">
                  <c:v>1</c:v>
                </c:pt>
                <c:pt idx="20">
                  <c:v>1</c:v>
                </c:pt>
                <c:pt idx="21">
                  <c:v>3</c:v>
                </c:pt>
                <c:pt idx="22">
                  <c:v>3</c:v>
                </c:pt>
                <c:pt idx="23">
                  <c:v>2</c:v>
                </c:pt>
                <c:pt idx="24">
                  <c:v>1</c:v>
                </c:pt>
                <c:pt idx="25">
                  <c:v>0</c:v>
                </c:pt>
                <c:pt idx="26">
                  <c:v>0</c:v>
                </c:pt>
                <c:pt idx="27">
                  <c:v>0</c:v>
                </c:pt>
                <c:pt idx="28">
                  <c:v>0</c:v>
                </c:pt>
                <c:pt idx="29">
                  <c:v>2</c:v>
                </c:pt>
                <c:pt idx="30">
                  <c:v>2</c:v>
                </c:pt>
                <c:pt idx="31">
                  <c:v>1</c:v>
                </c:pt>
                <c:pt idx="32">
                  <c:v>1</c:v>
                </c:pt>
                <c:pt idx="33">
                  <c:v>1</c:v>
                </c:pt>
                <c:pt idx="34">
                  <c:v>0</c:v>
                </c:pt>
              </c:numCache>
            </c:numRef>
          </c:val>
          <c:extLst>
            <c:ext xmlns:c16="http://schemas.microsoft.com/office/drawing/2014/chart" uri="{C3380CC4-5D6E-409C-BE32-E72D297353CC}">
              <c16:uniqueId val="{00000002-1673-5A4D-9F09-774FDB9093A9}"/>
            </c:ext>
          </c:extLst>
        </c:ser>
        <c:dLbls>
          <c:showLegendKey val="0"/>
          <c:showVal val="0"/>
          <c:showCatName val="0"/>
          <c:showSerName val="0"/>
          <c:showPercent val="0"/>
          <c:showBubbleSize val="0"/>
        </c:dLbls>
        <c:gapWidth val="150"/>
        <c:overlap val="100"/>
        <c:axId val="168091312"/>
        <c:axId val="352819776"/>
      </c:barChart>
      <c:dateAx>
        <c:axId val="1680913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52819776"/>
        <c:crosses val="autoZero"/>
        <c:auto val="0"/>
        <c:lblOffset val="100"/>
        <c:baseTimeUnit val="days"/>
      </c:dateAx>
      <c:valAx>
        <c:axId val="35281977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8091312"/>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'[datele_meteo_1990-2024.xlsx]ninsori_abundente'!$B$1</c:f>
              <c:strCache>
                <c:ptCount val="1"/>
                <c:pt idx="0">
                  <c:v>Numărul de cazuri cu ninsori abundente ( ≥20 mm de precipitații / ≤ 12 ore)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'[datele_meteo_1990-2024.xlsx]ninsori_abundente'!$A$2:$A$36</c:f>
              <c:strCache>
                <c:ptCount val="35"/>
                <c:pt idx="0">
                  <c:v>1989-1990</c:v>
                </c:pt>
                <c:pt idx="1">
                  <c:v>1990-1991</c:v>
                </c:pt>
                <c:pt idx="2">
                  <c:v>1991-1992</c:v>
                </c:pt>
                <c:pt idx="3">
                  <c:v>1992-1993</c:v>
                </c:pt>
                <c:pt idx="4">
                  <c:v>1993-1994</c:v>
                </c:pt>
                <c:pt idx="5">
                  <c:v>1994-1995</c:v>
                </c:pt>
                <c:pt idx="6">
                  <c:v>1995-1996</c:v>
                </c:pt>
                <c:pt idx="7">
                  <c:v>1996-1997</c:v>
                </c:pt>
                <c:pt idx="8">
                  <c:v>1997-1998</c:v>
                </c:pt>
                <c:pt idx="9">
                  <c:v>1998-1999</c:v>
                </c:pt>
                <c:pt idx="10">
                  <c:v>1999-2000</c:v>
                </c:pt>
                <c:pt idx="11">
                  <c:v>2000-2001</c:v>
                </c:pt>
                <c:pt idx="12">
                  <c:v>2001-2002</c:v>
                </c:pt>
                <c:pt idx="13">
                  <c:v>2002-2003</c:v>
                </c:pt>
                <c:pt idx="14">
                  <c:v>2003-2004</c:v>
                </c:pt>
                <c:pt idx="15">
                  <c:v>2004-2005</c:v>
                </c:pt>
                <c:pt idx="16">
                  <c:v>2005-2006</c:v>
                </c:pt>
                <c:pt idx="17">
                  <c:v>2006-2007</c:v>
                </c:pt>
                <c:pt idx="18">
                  <c:v>2007-2008</c:v>
                </c:pt>
                <c:pt idx="19">
                  <c:v>2008-2009</c:v>
                </c:pt>
                <c:pt idx="20">
                  <c:v>2009-2010</c:v>
                </c:pt>
                <c:pt idx="21">
                  <c:v>2010-2011</c:v>
                </c:pt>
                <c:pt idx="22">
                  <c:v>2011-2012</c:v>
                </c:pt>
                <c:pt idx="23">
                  <c:v>2012-2013</c:v>
                </c:pt>
                <c:pt idx="24">
                  <c:v>2013-2014</c:v>
                </c:pt>
                <c:pt idx="25">
                  <c:v>2014-2015</c:v>
                </c:pt>
                <c:pt idx="26">
                  <c:v>2015-2016</c:v>
                </c:pt>
                <c:pt idx="27">
                  <c:v>2016-2017</c:v>
                </c:pt>
                <c:pt idx="28">
                  <c:v>2017-2018</c:v>
                </c:pt>
                <c:pt idx="29">
                  <c:v>2018-2019</c:v>
                </c:pt>
                <c:pt idx="30">
                  <c:v>2019-2020</c:v>
                </c:pt>
                <c:pt idx="31">
                  <c:v>2020-2021</c:v>
                </c:pt>
                <c:pt idx="32">
                  <c:v>2021-2022</c:v>
                </c:pt>
                <c:pt idx="33">
                  <c:v>2022-2023</c:v>
                </c:pt>
                <c:pt idx="34">
                  <c:v>2023-2024</c:v>
                </c:pt>
              </c:strCache>
            </c:strRef>
          </c:cat>
          <c:val>
            <c:numRef>
              <c:f>'[datele_meteo_1990-2024.xlsx]ninsori_abundente'!$B$2:$B$36</c:f>
              <c:numCache>
                <c:formatCode>General</c:formatCode>
                <c:ptCount val="35"/>
                <c:pt idx="1">
                  <c:v>3</c:v>
                </c:pt>
                <c:pt idx="2">
                  <c:v>1</c:v>
                </c:pt>
                <c:pt idx="3">
                  <c:v>2</c:v>
                </c:pt>
                <c:pt idx="6">
                  <c:v>5</c:v>
                </c:pt>
                <c:pt idx="9">
                  <c:v>4</c:v>
                </c:pt>
                <c:pt idx="10">
                  <c:v>2</c:v>
                </c:pt>
                <c:pt idx="11">
                  <c:v>1</c:v>
                </c:pt>
                <c:pt idx="12">
                  <c:v>2</c:v>
                </c:pt>
                <c:pt idx="13">
                  <c:v>1</c:v>
                </c:pt>
                <c:pt idx="14">
                  <c:v>1</c:v>
                </c:pt>
                <c:pt idx="15">
                  <c:v>2</c:v>
                </c:pt>
                <c:pt idx="16">
                  <c:v>1</c:v>
                </c:pt>
                <c:pt idx="17">
                  <c:v>1</c:v>
                </c:pt>
                <c:pt idx="18">
                  <c:v>2</c:v>
                </c:pt>
                <c:pt idx="20">
                  <c:v>1</c:v>
                </c:pt>
                <c:pt idx="22">
                  <c:v>2</c:v>
                </c:pt>
                <c:pt idx="23">
                  <c:v>5</c:v>
                </c:pt>
                <c:pt idx="25">
                  <c:v>1</c:v>
                </c:pt>
                <c:pt idx="27">
                  <c:v>1</c:v>
                </c:pt>
                <c:pt idx="28">
                  <c:v>4</c:v>
                </c:pt>
                <c:pt idx="29">
                  <c:v>1</c:v>
                </c:pt>
                <c:pt idx="32">
                  <c:v>2</c:v>
                </c:pt>
                <c:pt idx="34">
                  <c:v>2</c:v>
                </c:pt>
              </c:numCache>
            </c:numRef>
          </c:val>
          <c:extLst>
            <c:ext xmlns:c16="http://schemas.microsoft.com/office/drawing/2014/chart" uri="{C3380CC4-5D6E-409C-BE32-E72D297353CC}">
              <c16:uniqueId val="{00000000-58D0-3443-A1D9-3A0C2D154800}"/>
            </c:ext>
          </c:extLst>
        </c:ser>
        <c:dLbls>
          <c:showLegendKey val="0"/>
          <c:showVal val="0"/>
          <c:showCatName val="0"/>
          <c:showSerName val="0"/>
          <c:showPercent val="0"/>
          <c:showBubbleSize val="0"/>
        </c:dLbls>
        <c:gapWidth val="269"/>
        <c:axId val="1939187791"/>
        <c:axId val="1926012047"/>
      </c:barChart>
      <c:lineChart>
        <c:grouping val="standard"/>
        <c:varyColors val="0"/>
        <c:ser>
          <c:idx val="1"/>
          <c:order val="1"/>
          <c:tx>
            <c:strRef>
              <c:f>'[datele_meteo_1990-2024.xlsx]ninsori_abundente'!$C$1</c:f>
              <c:strCache>
                <c:ptCount val="1"/>
                <c:pt idx="0">
                  <c:v>Cea mai mare grosime a stratului de zăpadă pe teritoriul țării (cm) </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cat>
            <c:strRef>
              <c:f>'[datele_meteo_1990-2024.xlsx]ninsori_abundente'!$A$2:$A$36</c:f>
              <c:strCache>
                <c:ptCount val="35"/>
                <c:pt idx="0">
                  <c:v>1989-1990</c:v>
                </c:pt>
                <c:pt idx="1">
                  <c:v>1990-1991</c:v>
                </c:pt>
                <c:pt idx="2">
                  <c:v>1991-1992</c:v>
                </c:pt>
                <c:pt idx="3">
                  <c:v>1992-1993</c:v>
                </c:pt>
                <c:pt idx="4">
                  <c:v>1993-1994</c:v>
                </c:pt>
                <c:pt idx="5">
                  <c:v>1994-1995</c:v>
                </c:pt>
                <c:pt idx="6">
                  <c:v>1995-1996</c:v>
                </c:pt>
                <c:pt idx="7">
                  <c:v>1996-1997</c:v>
                </c:pt>
                <c:pt idx="8">
                  <c:v>1997-1998</c:v>
                </c:pt>
                <c:pt idx="9">
                  <c:v>1998-1999</c:v>
                </c:pt>
                <c:pt idx="10">
                  <c:v>1999-2000</c:v>
                </c:pt>
                <c:pt idx="11">
                  <c:v>2000-2001</c:v>
                </c:pt>
                <c:pt idx="12">
                  <c:v>2001-2002</c:v>
                </c:pt>
                <c:pt idx="13">
                  <c:v>2002-2003</c:v>
                </c:pt>
                <c:pt idx="14">
                  <c:v>2003-2004</c:v>
                </c:pt>
                <c:pt idx="15">
                  <c:v>2004-2005</c:v>
                </c:pt>
                <c:pt idx="16">
                  <c:v>2005-2006</c:v>
                </c:pt>
                <c:pt idx="17">
                  <c:v>2006-2007</c:v>
                </c:pt>
                <c:pt idx="18">
                  <c:v>2007-2008</c:v>
                </c:pt>
                <c:pt idx="19">
                  <c:v>2008-2009</c:v>
                </c:pt>
                <c:pt idx="20">
                  <c:v>2009-2010</c:v>
                </c:pt>
                <c:pt idx="21">
                  <c:v>2010-2011</c:v>
                </c:pt>
                <c:pt idx="22">
                  <c:v>2011-2012</c:v>
                </c:pt>
                <c:pt idx="23">
                  <c:v>2012-2013</c:v>
                </c:pt>
                <c:pt idx="24">
                  <c:v>2013-2014</c:v>
                </c:pt>
                <c:pt idx="25">
                  <c:v>2014-2015</c:v>
                </c:pt>
                <c:pt idx="26">
                  <c:v>2015-2016</c:v>
                </c:pt>
                <c:pt idx="27">
                  <c:v>2016-2017</c:v>
                </c:pt>
                <c:pt idx="28">
                  <c:v>2017-2018</c:v>
                </c:pt>
                <c:pt idx="29">
                  <c:v>2018-2019</c:v>
                </c:pt>
                <c:pt idx="30">
                  <c:v>2019-2020</c:v>
                </c:pt>
                <c:pt idx="31">
                  <c:v>2020-2021</c:v>
                </c:pt>
                <c:pt idx="32">
                  <c:v>2021-2022</c:v>
                </c:pt>
                <c:pt idx="33">
                  <c:v>2022-2023</c:v>
                </c:pt>
                <c:pt idx="34">
                  <c:v>2023-2024</c:v>
                </c:pt>
              </c:strCache>
            </c:strRef>
          </c:cat>
          <c:val>
            <c:numRef>
              <c:f>'[datele_meteo_1990-2024.xlsx]ninsori_abundente'!$C$2:$C$36</c:f>
              <c:numCache>
                <c:formatCode>General</c:formatCode>
                <c:ptCount val="35"/>
                <c:pt idx="0">
                  <c:v>9</c:v>
                </c:pt>
                <c:pt idx="1">
                  <c:v>20</c:v>
                </c:pt>
                <c:pt idx="2">
                  <c:v>18</c:v>
                </c:pt>
                <c:pt idx="3">
                  <c:v>30</c:v>
                </c:pt>
                <c:pt idx="4">
                  <c:v>16</c:v>
                </c:pt>
                <c:pt idx="5">
                  <c:v>26</c:v>
                </c:pt>
                <c:pt idx="6">
                  <c:v>61</c:v>
                </c:pt>
                <c:pt idx="7">
                  <c:v>39</c:v>
                </c:pt>
                <c:pt idx="8">
                  <c:v>18</c:v>
                </c:pt>
                <c:pt idx="9">
                  <c:v>52</c:v>
                </c:pt>
                <c:pt idx="10">
                  <c:v>45</c:v>
                </c:pt>
                <c:pt idx="11">
                  <c:v>17</c:v>
                </c:pt>
                <c:pt idx="12">
                  <c:v>39</c:v>
                </c:pt>
                <c:pt idx="13">
                  <c:v>30</c:v>
                </c:pt>
                <c:pt idx="14">
                  <c:v>35</c:v>
                </c:pt>
                <c:pt idx="15">
                  <c:v>24</c:v>
                </c:pt>
                <c:pt idx="16">
                  <c:v>35</c:v>
                </c:pt>
                <c:pt idx="17">
                  <c:v>30</c:v>
                </c:pt>
                <c:pt idx="18">
                  <c:v>30</c:v>
                </c:pt>
                <c:pt idx="19">
                  <c:v>17</c:v>
                </c:pt>
                <c:pt idx="20">
                  <c:v>54</c:v>
                </c:pt>
                <c:pt idx="21">
                  <c:v>27</c:v>
                </c:pt>
                <c:pt idx="22">
                  <c:v>51</c:v>
                </c:pt>
                <c:pt idx="23">
                  <c:v>47</c:v>
                </c:pt>
                <c:pt idx="24">
                  <c:v>30</c:v>
                </c:pt>
                <c:pt idx="25">
                  <c:v>31</c:v>
                </c:pt>
                <c:pt idx="26">
                  <c:v>29</c:v>
                </c:pt>
                <c:pt idx="27">
                  <c:v>57</c:v>
                </c:pt>
                <c:pt idx="28">
                  <c:v>37</c:v>
                </c:pt>
                <c:pt idx="29">
                  <c:v>40</c:v>
                </c:pt>
                <c:pt idx="30">
                  <c:v>18</c:v>
                </c:pt>
                <c:pt idx="31">
                  <c:v>23</c:v>
                </c:pt>
                <c:pt idx="32">
                  <c:v>24</c:v>
                </c:pt>
                <c:pt idx="33">
                  <c:v>14</c:v>
                </c:pt>
                <c:pt idx="34">
                  <c:v>32</c:v>
                </c:pt>
              </c:numCache>
            </c:numRef>
          </c:val>
          <c:smooth val="0"/>
          <c:extLst>
            <c:ext xmlns:c16="http://schemas.microsoft.com/office/drawing/2014/chart" uri="{C3380CC4-5D6E-409C-BE32-E72D297353CC}">
              <c16:uniqueId val="{00000001-58D0-3443-A1D9-3A0C2D154800}"/>
            </c:ext>
          </c:extLst>
        </c:ser>
        <c:dLbls>
          <c:showLegendKey val="0"/>
          <c:showVal val="0"/>
          <c:showCatName val="0"/>
          <c:showSerName val="0"/>
          <c:showPercent val="0"/>
          <c:showBubbleSize val="0"/>
        </c:dLbls>
        <c:marker val="1"/>
        <c:smooth val="0"/>
        <c:axId val="351677088"/>
        <c:axId val="208874624"/>
      </c:lineChart>
      <c:catAx>
        <c:axId val="193918779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26012047"/>
        <c:crosses val="autoZero"/>
        <c:auto val="1"/>
        <c:lblAlgn val="ctr"/>
        <c:lblOffset val="100"/>
        <c:noMultiLvlLbl val="0"/>
      </c:catAx>
      <c:valAx>
        <c:axId val="1926012047"/>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39187791"/>
        <c:crosses val="autoZero"/>
        <c:crossBetween val="between"/>
      </c:valAx>
      <c:valAx>
        <c:axId val="20887462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51677088"/>
        <c:crosses val="max"/>
        <c:crossBetween val="between"/>
      </c:valAx>
      <c:catAx>
        <c:axId val="351677088"/>
        <c:scaling>
          <c:orientation val="minMax"/>
        </c:scaling>
        <c:delete val="1"/>
        <c:axPos val="b"/>
        <c:numFmt formatCode="General" sourceLinked="1"/>
        <c:majorTickMark val="none"/>
        <c:minorTickMark val="none"/>
        <c:tickLblPos val="nextTo"/>
        <c:crossAx val="2088746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'[Charts_IGSU DATA.xlsx]Inghet, ger puternic'!$B$1</c:f>
              <c:strCache>
                <c:ptCount val="1"/>
                <c:pt idx="0">
                  <c:v>Nr. SE cu înghet, ger puternic</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'[Charts_IGSU DATA.xlsx]Inghet, ger puternic'!$A$2:$A$16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'[Charts_IGSU DATA.xlsx]Inghet, ger puternic'!$B$2:$B$16</c:f>
              <c:numCache>
                <c:formatCode>_(* #,##0_);_(* \(#,##0\);_(* "-"??_);_(@_)</c:formatCode>
                <c:ptCount val="15"/>
                <c:pt idx="0">
                  <c:v>2</c:v>
                </c:pt>
                <c:pt idx="1">
                  <c:v>0</c:v>
                </c:pt>
                <c:pt idx="2">
                  <c:v>0</c:v>
                </c:pt>
                <c:pt idx="3">
                  <c:v>0</c:v>
                </c:pt>
                <c:pt idx="4">
                  <c:v>5</c:v>
                </c:pt>
                <c:pt idx="5">
                  <c:v>0</c:v>
                </c:pt>
                <c:pt idx="6">
                  <c:v>1</c:v>
                </c:pt>
                <c:pt idx="7">
                  <c:v>23</c:v>
                </c:pt>
                <c:pt idx="8">
                  <c:v>1</c:v>
                </c:pt>
                <c:pt idx="9">
                  <c:v>2</c:v>
                </c:pt>
                <c:pt idx="10">
                  <c:v>2</c:v>
                </c:pt>
                <c:pt idx="11">
                  <c:v>3</c:v>
                </c:pt>
                <c:pt idx="12">
                  <c:v>6</c:v>
                </c:pt>
                <c:pt idx="13">
                  <c:v>4</c:v>
                </c:pt>
                <c:pt idx="14">
                  <c:v>5</c:v>
                </c:pt>
              </c:numCache>
            </c:numRef>
          </c:val>
          <c:extLst>
            <c:ext xmlns:c16="http://schemas.microsoft.com/office/drawing/2014/chart" uri="{C3380CC4-5D6E-409C-BE32-E72D297353CC}">
              <c16:uniqueId val="{00000000-A053-8248-8240-53F5EFB9B92D}"/>
            </c:ext>
          </c:extLst>
        </c:ser>
        <c:dLbls>
          <c:showLegendKey val="0"/>
          <c:showVal val="0"/>
          <c:showCatName val="0"/>
          <c:showSerName val="0"/>
          <c:showPercent val="0"/>
          <c:showBubbleSize val="0"/>
        </c:dLbls>
        <c:gapWidth val="247"/>
        <c:axId val="1721443423"/>
        <c:axId val="1721445135"/>
      </c:barChart>
      <c:lineChart>
        <c:grouping val="standard"/>
        <c:varyColors val="0"/>
        <c:ser>
          <c:idx val="1"/>
          <c:order val="1"/>
          <c:tx>
            <c:strRef>
              <c:f>'[Charts_IGSU DATA.xlsx]Inghet, ger puternic'!$C$1</c:f>
              <c:strCache>
                <c:ptCount val="1"/>
                <c:pt idx="0">
                  <c:v>Paguba mii, lei</c:v>
                </c:pt>
              </c:strCache>
            </c:strRef>
          </c:tx>
          <c:spPr>
            <a:ln w="31750" cap="rnd">
              <a:solidFill>
                <a:schemeClr val="accent2"/>
              </a:solidFill>
              <a:round/>
            </a:ln>
            <a:effectLst/>
          </c:spPr>
          <c:marker>
            <c:symbol val="none"/>
          </c:marker>
          <c:cat>
            <c:numRef>
              <c:f>'[Charts_IGSU DATA.xlsx]Inghet, ger puternic'!$A$2:$A$16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'[Charts_IGSU DATA.xlsx]Inghet, ger puternic'!$C$2:$C$16</c:f>
              <c:numCache>
                <c:formatCode>_(* #,##0_);_(* \(#,##0\);_(* "-"??_);_(@_)</c:formatCode>
                <c:ptCount val="15"/>
                <c:pt idx="0">
                  <c:v>504</c:v>
                </c:pt>
                <c:pt idx="1">
                  <c:v>0</c:v>
                </c:pt>
                <c:pt idx="2">
                  <c:v>0</c:v>
                </c:pt>
                <c:pt idx="3">
                  <c:v>0</c:v>
                </c:pt>
                <c:pt idx="4">
                  <c:v>1660.6</c:v>
                </c:pt>
                <c:pt idx="5">
                  <c:v>0</c:v>
                </c:pt>
                <c:pt idx="6">
                  <c:v>81933.5</c:v>
                </c:pt>
                <c:pt idx="7">
                  <c:v>90091</c:v>
                </c:pt>
                <c:pt idx="8">
                  <c:v>340.7</c:v>
                </c:pt>
                <c:pt idx="9">
                  <c:v>2617.4</c:v>
                </c:pt>
                <c:pt idx="10">
                  <c:v>248255.2</c:v>
                </c:pt>
                <c:pt idx="11">
                  <c:v>6631.9</c:v>
                </c:pt>
                <c:pt idx="12">
                  <c:v>104043.7</c:v>
                </c:pt>
                <c:pt idx="13">
                  <c:v>2444.5</c:v>
                </c:pt>
                <c:pt idx="14">
                  <c:v>76601</c:v>
                </c:pt>
              </c:numCache>
            </c:numRef>
          </c:val>
          <c:smooth val="0"/>
          <c:extLst>
            <c:ext xmlns:c16="http://schemas.microsoft.com/office/drawing/2014/chart" uri="{C3380CC4-5D6E-409C-BE32-E72D297353CC}">
              <c16:uniqueId val="{00000001-A053-8248-8240-53F5EFB9B92D}"/>
            </c:ext>
          </c:extLst>
        </c:ser>
        <c:dLbls>
          <c:showLegendKey val="0"/>
          <c:showVal val="0"/>
          <c:showCatName val="0"/>
          <c:showSerName val="0"/>
          <c:showPercent val="0"/>
          <c:showBubbleSize val="0"/>
        </c:dLbls>
        <c:marker val="1"/>
        <c:smooth val="0"/>
        <c:axId val="205033808"/>
        <c:axId val="205031696"/>
      </c:lineChart>
      <c:catAx>
        <c:axId val="172144342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21445135"/>
        <c:crosses val="autoZero"/>
        <c:auto val="1"/>
        <c:lblAlgn val="ctr"/>
        <c:lblOffset val="100"/>
        <c:noMultiLvlLbl val="0"/>
      </c:catAx>
      <c:valAx>
        <c:axId val="1721445135"/>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21443423"/>
        <c:crosses val="autoZero"/>
        <c:crossBetween val="between"/>
      </c:valAx>
      <c:valAx>
        <c:axId val="205031696"/>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5033808"/>
        <c:crosses val="max"/>
        <c:crossBetween val="between"/>
      </c:valAx>
      <c:catAx>
        <c:axId val="205033808"/>
        <c:scaling>
          <c:orientation val="minMax"/>
        </c:scaling>
        <c:delete val="1"/>
        <c:axPos val="b"/>
        <c:numFmt formatCode="General" sourceLinked="1"/>
        <c:majorTickMark val="none"/>
        <c:minorTickMark val="none"/>
        <c:tickLblPos val="nextTo"/>
        <c:crossAx val="2050316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num_zile_polei!$B$2</c:f>
              <c:strCache>
                <c:ptCount val="1"/>
                <c:pt idx="0">
                  <c:v>Chișinău</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num_zile_polei!$A$3:$A$37</c:f>
              <c:strCache>
                <c:ptCount val="35"/>
                <c:pt idx="0">
                  <c:v>1989-1990</c:v>
                </c:pt>
                <c:pt idx="1">
                  <c:v>1990-1991</c:v>
                </c:pt>
                <c:pt idx="2">
                  <c:v>1991-1992</c:v>
                </c:pt>
                <c:pt idx="3">
                  <c:v>1992-1993</c:v>
                </c:pt>
                <c:pt idx="4">
                  <c:v>1993-1994</c:v>
                </c:pt>
                <c:pt idx="5">
                  <c:v>1994-1995</c:v>
                </c:pt>
                <c:pt idx="6">
                  <c:v>1995-1996</c:v>
                </c:pt>
                <c:pt idx="7">
                  <c:v>1996-1997</c:v>
                </c:pt>
                <c:pt idx="8">
                  <c:v>1997-1998</c:v>
                </c:pt>
                <c:pt idx="9">
                  <c:v>1998-1999</c:v>
                </c:pt>
                <c:pt idx="10">
                  <c:v>1999-2000</c:v>
                </c:pt>
                <c:pt idx="11">
                  <c:v>2000-2001</c:v>
                </c:pt>
                <c:pt idx="12">
                  <c:v>2001-2002</c:v>
                </c:pt>
                <c:pt idx="13">
                  <c:v>2002-2003</c:v>
                </c:pt>
                <c:pt idx="14">
                  <c:v>2003-2004</c:v>
                </c:pt>
                <c:pt idx="15">
                  <c:v>2004-2005</c:v>
                </c:pt>
                <c:pt idx="16">
                  <c:v>2005-2006</c:v>
                </c:pt>
                <c:pt idx="17">
                  <c:v>2006-2007</c:v>
                </c:pt>
                <c:pt idx="18">
                  <c:v>2007-2008</c:v>
                </c:pt>
                <c:pt idx="19">
                  <c:v>2008-2009</c:v>
                </c:pt>
                <c:pt idx="20">
                  <c:v>2009-2010</c:v>
                </c:pt>
                <c:pt idx="21">
                  <c:v>2010-2011</c:v>
                </c:pt>
                <c:pt idx="22">
                  <c:v>2011-2012</c:v>
                </c:pt>
                <c:pt idx="23">
                  <c:v>2012-2013</c:v>
                </c:pt>
                <c:pt idx="24">
                  <c:v>2013-2014</c:v>
                </c:pt>
                <c:pt idx="25">
                  <c:v>2014-2015</c:v>
                </c:pt>
                <c:pt idx="26">
                  <c:v>2015-2016</c:v>
                </c:pt>
                <c:pt idx="27">
                  <c:v>2016-2017</c:v>
                </c:pt>
                <c:pt idx="28">
                  <c:v>2017-2018</c:v>
                </c:pt>
                <c:pt idx="29">
                  <c:v>2018-2019</c:v>
                </c:pt>
                <c:pt idx="30">
                  <c:v>2019-2020</c:v>
                </c:pt>
                <c:pt idx="31">
                  <c:v>2020-2021</c:v>
                </c:pt>
                <c:pt idx="32">
                  <c:v>2021-2022</c:v>
                </c:pt>
                <c:pt idx="33">
                  <c:v>2022-2023</c:v>
                </c:pt>
                <c:pt idx="34">
                  <c:v>2023-2024</c:v>
                </c:pt>
              </c:strCache>
            </c:strRef>
          </c:cat>
          <c:val>
            <c:numRef>
              <c:f>num_zile_polei!$B$3:$B$37</c:f>
              <c:numCache>
                <c:formatCode>0</c:formatCode>
                <c:ptCount val="35"/>
                <c:pt idx="0">
                  <c:v>0</c:v>
                </c:pt>
                <c:pt idx="1">
                  <c:v>2</c:v>
                </c:pt>
                <c:pt idx="2">
                  <c:v>5</c:v>
                </c:pt>
                <c:pt idx="3">
                  <c:v>1</c:v>
                </c:pt>
                <c:pt idx="4">
                  <c:v>2</c:v>
                </c:pt>
                <c:pt idx="5">
                  <c:v>12</c:v>
                </c:pt>
                <c:pt idx="6">
                  <c:v>21</c:v>
                </c:pt>
                <c:pt idx="7">
                  <c:v>6</c:v>
                </c:pt>
                <c:pt idx="8">
                  <c:v>10</c:v>
                </c:pt>
                <c:pt idx="9">
                  <c:v>16</c:v>
                </c:pt>
                <c:pt idx="10">
                  <c:v>5</c:v>
                </c:pt>
                <c:pt idx="11">
                  <c:v>6</c:v>
                </c:pt>
                <c:pt idx="12">
                  <c:v>12</c:v>
                </c:pt>
                <c:pt idx="13">
                  <c:v>19</c:v>
                </c:pt>
                <c:pt idx="14">
                  <c:v>3</c:v>
                </c:pt>
                <c:pt idx="15">
                  <c:v>5</c:v>
                </c:pt>
                <c:pt idx="16">
                  <c:v>12</c:v>
                </c:pt>
                <c:pt idx="17">
                  <c:v>3</c:v>
                </c:pt>
                <c:pt idx="18">
                  <c:v>12</c:v>
                </c:pt>
                <c:pt idx="19">
                  <c:v>9</c:v>
                </c:pt>
                <c:pt idx="20">
                  <c:v>16</c:v>
                </c:pt>
                <c:pt idx="21">
                  <c:v>11</c:v>
                </c:pt>
                <c:pt idx="22">
                  <c:v>9</c:v>
                </c:pt>
                <c:pt idx="23">
                  <c:v>11</c:v>
                </c:pt>
                <c:pt idx="24">
                  <c:v>26</c:v>
                </c:pt>
                <c:pt idx="25">
                  <c:v>16</c:v>
                </c:pt>
                <c:pt idx="26">
                  <c:v>11</c:v>
                </c:pt>
                <c:pt idx="27">
                  <c:v>7</c:v>
                </c:pt>
                <c:pt idx="28">
                  <c:v>14</c:v>
                </c:pt>
                <c:pt idx="29">
                  <c:v>12</c:v>
                </c:pt>
                <c:pt idx="30">
                  <c:v>5</c:v>
                </c:pt>
                <c:pt idx="31">
                  <c:v>15</c:v>
                </c:pt>
                <c:pt idx="32">
                  <c:v>4</c:v>
                </c:pt>
                <c:pt idx="33">
                  <c:v>13</c:v>
                </c:pt>
                <c:pt idx="34">
                  <c:v>7</c:v>
                </c:pt>
              </c:numCache>
            </c:numRef>
          </c:val>
          <c:smooth val="0"/>
          <c:extLst>
            <c:ext xmlns:c16="http://schemas.microsoft.com/office/drawing/2014/chart" uri="{C3380CC4-5D6E-409C-BE32-E72D297353CC}">
              <c16:uniqueId val="{00000000-B833-1C47-89CF-4E2CE5465C34}"/>
            </c:ext>
          </c:extLst>
        </c:ser>
        <c:ser>
          <c:idx val="1"/>
          <c:order val="1"/>
          <c:tx>
            <c:strRef>
              <c:f>num_zile_polei!$C$2</c:f>
              <c:strCache>
                <c:ptCount val="1"/>
                <c:pt idx="0">
                  <c:v>Bălți</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num_zile_polei!$A$3:$A$37</c:f>
              <c:strCache>
                <c:ptCount val="35"/>
                <c:pt idx="0">
                  <c:v>1989-1990</c:v>
                </c:pt>
                <c:pt idx="1">
                  <c:v>1990-1991</c:v>
                </c:pt>
                <c:pt idx="2">
                  <c:v>1991-1992</c:v>
                </c:pt>
                <c:pt idx="3">
                  <c:v>1992-1993</c:v>
                </c:pt>
                <c:pt idx="4">
                  <c:v>1993-1994</c:v>
                </c:pt>
                <c:pt idx="5">
                  <c:v>1994-1995</c:v>
                </c:pt>
                <c:pt idx="6">
                  <c:v>1995-1996</c:v>
                </c:pt>
                <c:pt idx="7">
                  <c:v>1996-1997</c:v>
                </c:pt>
                <c:pt idx="8">
                  <c:v>1997-1998</c:v>
                </c:pt>
                <c:pt idx="9">
                  <c:v>1998-1999</c:v>
                </c:pt>
                <c:pt idx="10">
                  <c:v>1999-2000</c:v>
                </c:pt>
                <c:pt idx="11">
                  <c:v>2000-2001</c:v>
                </c:pt>
                <c:pt idx="12">
                  <c:v>2001-2002</c:v>
                </c:pt>
                <c:pt idx="13">
                  <c:v>2002-2003</c:v>
                </c:pt>
                <c:pt idx="14">
                  <c:v>2003-2004</c:v>
                </c:pt>
                <c:pt idx="15">
                  <c:v>2004-2005</c:v>
                </c:pt>
                <c:pt idx="16">
                  <c:v>2005-2006</c:v>
                </c:pt>
                <c:pt idx="17">
                  <c:v>2006-2007</c:v>
                </c:pt>
                <c:pt idx="18">
                  <c:v>2007-2008</c:v>
                </c:pt>
                <c:pt idx="19">
                  <c:v>2008-2009</c:v>
                </c:pt>
                <c:pt idx="20">
                  <c:v>2009-2010</c:v>
                </c:pt>
                <c:pt idx="21">
                  <c:v>2010-2011</c:v>
                </c:pt>
                <c:pt idx="22">
                  <c:v>2011-2012</c:v>
                </c:pt>
                <c:pt idx="23">
                  <c:v>2012-2013</c:v>
                </c:pt>
                <c:pt idx="24">
                  <c:v>2013-2014</c:v>
                </c:pt>
                <c:pt idx="25">
                  <c:v>2014-2015</c:v>
                </c:pt>
                <c:pt idx="26">
                  <c:v>2015-2016</c:v>
                </c:pt>
                <c:pt idx="27">
                  <c:v>2016-2017</c:v>
                </c:pt>
                <c:pt idx="28">
                  <c:v>2017-2018</c:v>
                </c:pt>
                <c:pt idx="29">
                  <c:v>2018-2019</c:v>
                </c:pt>
                <c:pt idx="30">
                  <c:v>2019-2020</c:v>
                </c:pt>
                <c:pt idx="31">
                  <c:v>2020-2021</c:v>
                </c:pt>
                <c:pt idx="32">
                  <c:v>2021-2022</c:v>
                </c:pt>
                <c:pt idx="33">
                  <c:v>2022-2023</c:v>
                </c:pt>
                <c:pt idx="34">
                  <c:v>2023-2024</c:v>
                </c:pt>
              </c:strCache>
            </c:strRef>
          </c:cat>
          <c:val>
            <c:numRef>
              <c:f>num_zile_polei!$C$3:$C$37</c:f>
              <c:numCache>
                <c:formatCode>#,##0</c:formatCode>
                <c:ptCount val="35"/>
                <c:pt idx="0">
                  <c:v>1</c:v>
                </c:pt>
                <c:pt idx="1">
                  <c:v>0</c:v>
                </c:pt>
                <c:pt idx="2">
                  <c:v>2</c:v>
                </c:pt>
                <c:pt idx="3">
                  <c:v>1</c:v>
                </c:pt>
                <c:pt idx="4">
                  <c:v>0</c:v>
                </c:pt>
                <c:pt idx="5">
                  <c:v>6</c:v>
                </c:pt>
                <c:pt idx="6">
                  <c:v>3</c:v>
                </c:pt>
                <c:pt idx="7">
                  <c:v>0</c:v>
                </c:pt>
                <c:pt idx="8">
                  <c:v>1</c:v>
                </c:pt>
                <c:pt idx="9">
                  <c:v>2</c:v>
                </c:pt>
                <c:pt idx="10">
                  <c:v>0</c:v>
                </c:pt>
                <c:pt idx="11">
                  <c:v>1</c:v>
                </c:pt>
                <c:pt idx="12">
                  <c:v>0</c:v>
                </c:pt>
                <c:pt idx="13">
                  <c:v>3</c:v>
                </c:pt>
                <c:pt idx="14">
                  <c:v>1</c:v>
                </c:pt>
                <c:pt idx="15">
                  <c:v>2</c:v>
                </c:pt>
                <c:pt idx="16">
                  <c:v>3</c:v>
                </c:pt>
                <c:pt idx="17">
                  <c:v>3</c:v>
                </c:pt>
                <c:pt idx="18">
                  <c:v>4</c:v>
                </c:pt>
                <c:pt idx="19">
                  <c:v>0</c:v>
                </c:pt>
                <c:pt idx="20">
                  <c:v>2</c:v>
                </c:pt>
                <c:pt idx="21">
                  <c:v>3</c:v>
                </c:pt>
                <c:pt idx="22">
                  <c:v>1</c:v>
                </c:pt>
                <c:pt idx="23">
                  <c:v>2</c:v>
                </c:pt>
                <c:pt idx="24">
                  <c:v>12</c:v>
                </c:pt>
                <c:pt idx="25">
                  <c:v>9</c:v>
                </c:pt>
                <c:pt idx="26">
                  <c:v>5</c:v>
                </c:pt>
                <c:pt idx="27">
                  <c:v>5</c:v>
                </c:pt>
                <c:pt idx="28">
                  <c:v>3</c:v>
                </c:pt>
                <c:pt idx="29">
                  <c:v>12</c:v>
                </c:pt>
                <c:pt idx="30">
                  <c:v>5</c:v>
                </c:pt>
                <c:pt idx="31">
                  <c:v>8</c:v>
                </c:pt>
                <c:pt idx="32">
                  <c:v>2</c:v>
                </c:pt>
                <c:pt idx="33">
                  <c:v>11</c:v>
                </c:pt>
                <c:pt idx="34">
                  <c:v>5</c:v>
                </c:pt>
              </c:numCache>
            </c:numRef>
          </c:val>
          <c:smooth val="0"/>
          <c:extLst>
            <c:ext xmlns:c16="http://schemas.microsoft.com/office/drawing/2014/chart" uri="{C3380CC4-5D6E-409C-BE32-E72D297353CC}">
              <c16:uniqueId val="{00000001-B833-1C47-89CF-4E2CE5465C34}"/>
            </c:ext>
          </c:extLst>
        </c:ser>
        <c:ser>
          <c:idx val="2"/>
          <c:order val="2"/>
          <c:tx>
            <c:strRef>
              <c:f>num_zile_polei!$D$2</c:f>
              <c:strCache>
                <c:ptCount val="1"/>
                <c:pt idx="0">
                  <c:v>Cahul</c:v>
                </c:pt>
              </c:strCache>
            </c:strRef>
          </c:tx>
          <c:spPr>
            <a:ln w="31750" cap="rnd">
              <a:solidFill>
                <a:schemeClr val="accent3"/>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num_zile_polei!$A$3:$A$37</c:f>
              <c:strCache>
                <c:ptCount val="35"/>
                <c:pt idx="0">
                  <c:v>1989-1990</c:v>
                </c:pt>
                <c:pt idx="1">
                  <c:v>1990-1991</c:v>
                </c:pt>
                <c:pt idx="2">
                  <c:v>1991-1992</c:v>
                </c:pt>
                <c:pt idx="3">
                  <c:v>1992-1993</c:v>
                </c:pt>
                <c:pt idx="4">
                  <c:v>1993-1994</c:v>
                </c:pt>
                <c:pt idx="5">
                  <c:v>1994-1995</c:v>
                </c:pt>
                <c:pt idx="6">
                  <c:v>1995-1996</c:v>
                </c:pt>
                <c:pt idx="7">
                  <c:v>1996-1997</c:v>
                </c:pt>
                <c:pt idx="8">
                  <c:v>1997-1998</c:v>
                </c:pt>
                <c:pt idx="9">
                  <c:v>1998-1999</c:v>
                </c:pt>
                <c:pt idx="10">
                  <c:v>1999-2000</c:v>
                </c:pt>
                <c:pt idx="11">
                  <c:v>2000-2001</c:v>
                </c:pt>
                <c:pt idx="12">
                  <c:v>2001-2002</c:v>
                </c:pt>
                <c:pt idx="13">
                  <c:v>2002-2003</c:v>
                </c:pt>
                <c:pt idx="14">
                  <c:v>2003-2004</c:v>
                </c:pt>
                <c:pt idx="15">
                  <c:v>2004-2005</c:v>
                </c:pt>
                <c:pt idx="16">
                  <c:v>2005-2006</c:v>
                </c:pt>
                <c:pt idx="17">
                  <c:v>2006-2007</c:v>
                </c:pt>
                <c:pt idx="18">
                  <c:v>2007-2008</c:v>
                </c:pt>
                <c:pt idx="19">
                  <c:v>2008-2009</c:v>
                </c:pt>
                <c:pt idx="20">
                  <c:v>2009-2010</c:v>
                </c:pt>
                <c:pt idx="21">
                  <c:v>2010-2011</c:v>
                </c:pt>
                <c:pt idx="22">
                  <c:v>2011-2012</c:v>
                </c:pt>
                <c:pt idx="23">
                  <c:v>2012-2013</c:v>
                </c:pt>
                <c:pt idx="24">
                  <c:v>2013-2014</c:v>
                </c:pt>
                <c:pt idx="25">
                  <c:v>2014-2015</c:v>
                </c:pt>
                <c:pt idx="26">
                  <c:v>2015-2016</c:v>
                </c:pt>
                <c:pt idx="27">
                  <c:v>2016-2017</c:v>
                </c:pt>
                <c:pt idx="28">
                  <c:v>2017-2018</c:v>
                </c:pt>
                <c:pt idx="29">
                  <c:v>2018-2019</c:v>
                </c:pt>
                <c:pt idx="30">
                  <c:v>2019-2020</c:v>
                </c:pt>
                <c:pt idx="31">
                  <c:v>2020-2021</c:v>
                </c:pt>
                <c:pt idx="32">
                  <c:v>2021-2022</c:v>
                </c:pt>
                <c:pt idx="33">
                  <c:v>2022-2023</c:v>
                </c:pt>
                <c:pt idx="34">
                  <c:v>2023-2024</c:v>
                </c:pt>
              </c:strCache>
            </c:strRef>
          </c:cat>
          <c:val>
            <c:numRef>
              <c:f>num_zile_polei!$D$3:$D$37</c:f>
              <c:numCache>
                <c:formatCode>0</c:formatCode>
                <c:ptCount val="35"/>
                <c:pt idx="0">
                  <c:v>8</c:v>
                </c:pt>
                <c:pt idx="1">
                  <c:v>16</c:v>
                </c:pt>
                <c:pt idx="2">
                  <c:v>14</c:v>
                </c:pt>
                <c:pt idx="3">
                  <c:v>4</c:v>
                </c:pt>
                <c:pt idx="4">
                  <c:v>11</c:v>
                </c:pt>
                <c:pt idx="5">
                  <c:v>11</c:v>
                </c:pt>
                <c:pt idx="6">
                  <c:v>26</c:v>
                </c:pt>
                <c:pt idx="7">
                  <c:v>12</c:v>
                </c:pt>
                <c:pt idx="8">
                  <c:v>16</c:v>
                </c:pt>
                <c:pt idx="9">
                  <c:v>26</c:v>
                </c:pt>
                <c:pt idx="10">
                  <c:v>7</c:v>
                </c:pt>
                <c:pt idx="11">
                  <c:v>6</c:v>
                </c:pt>
                <c:pt idx="12">
                  <c:v>7</c:v>
                </c:pt>
                <c:pt idx="13">
                  <c:v>8</c:v>
                </c:pt>
                <c:pt idx="14">
                  <c:v>10</c:v>
                </c:pt>
                <c:pt idx="15">
                  <c:v>4</c:v>
                </c:pt>
                <c:pt idx="16">
                  <c:v>10</c:v>
                </c:pt>
                <c:pt idx="17">
                  <c:v>5</c:v>
                </c:pt>
                <c:pt idx="18">
                  <c:v>11</c:v>
                </c:pt>
                <c:pt idx="19">
                  <c:v>5</c:v>
                </c:pt>
                <c:pt idx="20">
                  <c:v>9</c:v>
                </c:pt>
                <c:pt idx="21">
                  <c:v>4</c:v>
                </c:pt>
                <c:pt idx="22">
                  <c:v>15</c:v>
                </c:pt>
                <c:pt idx="23">
                  <c:v>7</c:v>
                </c:pt>
                <c:pt idx="24">
                  <c:v>15</c:v>
                </c:pt>
                <c:pt idx="25">
                  <c:v>7</c:v>
                </c:pt>
                <c:pt idx="26">
                  <c:v>4</c:v>
                </c:pt>
                <c:pt idx="27">
                  <c:v>12</c:v>
                </c:pt>
                <c:pt idx="28">
                  <c:v>5</c:v>
                </c:pt>
                <c:pt idx="29">
                  <c:v>12</c:v>
                </c:pt>
                <c:pt idx="30">
                  <c:v>5</c:v>
                </c:pt>
                <c:pt idx="31">
                  <c:v>8</c:v>
                </c:pt>
                <c:pt idx="32">
                  <c:v>7</c:v>
                </c:pt>
                <c:pt idx="33">
                  <c:v>7</c:v>
                </c:pt>
                <c:pt idx="34">
                  <c:v>7</c:v>
                </c:pt>
              </c:numCache>
            </c:numRef>
          </c:val>
          <c:smooth val="0"/>
          <c:extLst>
            <c:ext xmlns:c16="http://schemas.microsoft.com/office/drawing/2014/chart" uri="{C3380CC4-5D6E-409C-BE32-E72D297353CC}">
              <c16:uniqueId val="{00000002-B833-1C47-89CF-4E2CE5465C34}"/>
            </c:ext>
          </c:extLst>
        </c:ser>
        <c:dLbls>
          <c:dLblPos val="ctr"/>
          <c:showLegendKey val="0"/>
          <c:showVal val="1"/>
          <c:showCatName val="0"/>
          <c:showSerName val="0"/>
          <c:showPercent val="0"/>
          <c:showBubbleSize val="0"/>
        </c:dLbls>
        <c:smooth val="0"/>
        <c:axId val="201744528"/>
        <c:axId val="201746240"/>
      </c:lineChart>
      <c:catAx>
        <c:axId val="2017445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1746240"/>
        <c:crosses val="autoZero"/>
        <c:auto val="0"/>
        <c:lblAlgn val="ctr"/>
        <c:lblOffset val="100"/>
        <c:noMultiLvlLbl val="0"/>
      </c:catAx>
      <c:valAx>
        <c:axId val="20174624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174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'Alunecari teren'!$B$1</c:f>
              <c:strCache>
                <c:ptCount val="1"/>
                <c:pt idx="0">
                  <c:v>N-rul alunecari teren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'Alunecari teren'!$A$2:$A$16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'Alunecari teren'!$B$2:$B$16</c:f>
              <c:numCache>
                <c:formatCode>General</c:formatCode>
                <c:ptCount val="15"/>
                <c:pt idx="0">
                  <c:v>2</c:v>
                </c:pt>
                <c:pt idx="1">
                  <c:v>0</c:v>
                </c:pt>
                <c:pt idx="2">
                  <c:v>0</c:v>
                </c:pt>
                <c:pt idx="3">
                  <c:v>1</c:v>
                </c:pt>
                <c:pt idx="4">
                  <c:v>0</c:v>
                </c:pt>
                <c:pt idx="5">
                  <c:v>0</c:v>
                </c:pt>
                <c:pt idx="6">
                  <c:v>0</c:v>
                </c:pt>
                <c:pt idx="7">
                  <c:v>0</c:v>
                </c:pt>
                <c:pt idx="8">
                  <c:v>1</c:v>
                </c:pt>
                <c:pt idx="9">
                  <c:v>0</c:v>
                </c:pt>
                <c:pt idx="10">
                  <c:v>0</c:v>
                </c:pt>
                <c:pt idx="11">
                  <c:v>0</c:v>
                </c:pt>
                <c:pt idx="12">
                  <c:v>0</c:v>
                </c:pt>
                <c:pt idx="13">
                  <c:v>2</c:v>
                </c:pt>
                <c:pt idx="14">
                  <c:v>2</c:v>
                </c:pt>
              </c:numCache>
            </c:numRef>
          </c:val>
          <c:extLst>
            <c:ext xmlns:c16="http://schemas.microsoft.com/office/drawing/2014/chart" uri="{C3380CC4-5D6E-409C-BE32-E72D297353CC}">
              <c16:uniqueId val="{00000000-6B67-B54A-A9D1-CDD4390D192F}"/>
            </c:ext>
          </c:extLst>
        </c:ser>
        <c:dLbls>
          <c:showLegendKey val="0"/>
          <c:showVal val="0"/>
          <c:showCatName val="0"/>
          <c:showSerName val="0"/>
          <c:showPercent val="0"/>
          <c:showBubbleSize val="0"/>
        </c:dLbls>
        <c:gapWidth val="269"/>
        <c:axId val="708322064"/>
        <c:axId val="578641808"/>
      </c:barChart>
      <c:lineChart>
        <c:grouping val="standard"/>
        <c:varyColors val="0"/>
        <c:ser>
          <c:idx val="1"/>
          <c:order val="1"/>
          <c:tx>
            <c:strRef>
              <c:f>'Alunecari teren'!$C$1</c:f>
              <c:strCache>
                <c:ptCount val="1"/>
                <c:pt idx="0">
                  <c:v>Paguba mii, lei</c:v>
                </c:pt>
              </c:strCache>
            </c:strRef>
          </c:tx>
          <c:spPr>
            <a:ln w="31750" cap="rnd">
              <a:solidFill>
                <a:schemeClr val="accent2"/>
              </a:solidFill>
              <a:round/>
            </a:ln>
            <a:effectLst/>
          </c:spPr>
          <c:marker>
            <c:symbol val="none"/>
          </c:marker>
          <c:cat>
            <c:numRef>
              <c:f>'Alunecari teren'!$A$2:$A$16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'Alunecari teren'!$C$2:$C$16</c:f>
              <c:numCache>
                <c:formatCode>General</c:formatCode>
                <c:ptCount val="15"/>
                <c:pt idx="0">
                  <c:v>1254</c:v>
                </c:pt>
                <c:pt idx="1">
                  <c:v>0</c:v>
                </c:pt>
                <c:pt idx="2">
                  <c:v>0</c:v>
                </c:pt>
                <c:pt idx="3">
                  <c:v>462</c:v>
                </c:pt>
                <c:pt idx="4">
                  <c:v>0</c:v>
                </c:pt>
                <c:pt idx="5">
                  <c:v>0</c:v>
                </c:pt>
                <c:pt idx="6">
                  <c:v>0</c:v>
                </c:pt>
                <c:pt idx="7">
                  <c:v>0</c:v>
                </c:pt>
                <c:pt idx="8">
                  <c:v>281.5</c:v>
                </c:pt>
                <c:pt idx="9">
                  <c:v>0</c:v>
                </c:pt>
                <c:pt idx="10">
                  <c:v>0</c:v>
                </c:pt>
                <c:pt idx="11">
                  <c:v>0</c:v>
                </c:pt>
                <c:pt idx="12">
                  <c:v>0</c:v>
                </c:pt>
                <c:pt idx="13">
                  <c:v>2293.1</c:v>
                </c:pt>
                <c:pt idx="14" formatCode="0.0">
                  <c:v>280.10000000000002</c:v>
                </c:pt>
              </c:numCache>
            </c:numRef>
          </c:val>
          <c:smooth val="0"/>
          <c:extLst>
            <c:ext xmlns:c16="http://schemas.microsoft.com/office/drawing/2014/chart" uri="{C3380CC4-5D6E-409C-BE32-E72D297353CC}">
              <c16:uniqueId val="{00000001-6B67-B54A-A9D1-CDD4390D192F}"/>
            </c:ext>
          </c:extLst>
        </c:ser>
        <c:dLbls>
          <c:showLegendKey val="0"/>
          <c:showVal val="0"/>
          <c:showCatName val="0"/>
          <c:showSerName val="0"/>
          <c:showPercent val="0"/>
          <c:showBubbleSize val="0"/>
        </c:dLbls>
        <c:marker val="1"/>
        <c:smooth val="0"/>
        <c:axId val="337522720"/>
        <c:axId val="337546240"/>
      </c:lineChart>
      <c:catAx>
        <c:axId val="7083220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78641808"/>
        <c:crosses val="autoZero"/>
        <c:auto val="1"/>
        <c:lblAlgn val="ctr"/>
        <c:lblOffset val="100"/>
        <c:noMultiLvlLbl val="0"/>
      </c:catAx>
      <c:valAx>
        <c:axId val="57864180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08322064"/>
        <c:crosses val="autoZero"/>
        <c:crossBetween val="between"/>
        <c:majorUnit val="1"/>
      </c:valAx>
      <c:valAx>
        <c:axId val="337546240"/>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37522720"/>
        <c:crosses val="max"/>
        <c:crossBetween val="between"/>
      </c:valAx>
      <c:catAx>
        <c:axId val="337522720"/>
        <c:scaling>
          <c:orientation val="minMax"/>
        </c:scaling>
        <c:delete val="1"/>
        <c:axPos val="b"/>
        <c:numFmt formatCode="General" sourceLinked="1"/>
        <c:majorTickMark val="none"/>
        <c:minorTickMark val="none"/>
        <c:tickLblPos val="nextTo"/>
        <c:crossAx val="3375462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'GEO0103'!$A$5</c:f>
              <c:strCache>
                <c:ptCount val="1"/>
                <c:pt idx="0">
                  <c:v>Media anuala Briceni (m/s)</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'GEO0103'!$B$4:$X$4</c:f>
              <c:strCach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strCache>
            </c:strRef>
          </c:cat>
          <c:val>
            <c:numRef>
              <c:f>'GEO0103'!$B$5:$X$5</c:f>
              <c:numCache>
                <c:formatCode>0.0</c:formatCode>
                <c:ptCount val="23"/>
                <c:pt idx="0">
                  <c:v>2.4</c:v>
                </c:pt>
                <c:pt idx="1">
                  <c:v>2.4</c:v>
                </c:pt>
                <c:pt idx="2">
                  <c:v>2.2000000000000002</c:v>
                </c:pt>
                <c:pt idx="3">
                  <c:v>2.2000000000000002</c:v>
                </c:pt>
                <c:pt idx="4">
                  <c:v>2.2000000000000002</c:v>
                </c:pt>
                <c:pt idx="5">
                  <c:v>2.2000000000000002</c:v>
                </c:pt>
                <c:pt idx="6">
                  <c:v>2.2999999999999998</c:v>
                </c:pt>
                <c:pt idx="7">
                  <c:v>2.1</c:v>
                </c:pt>
                <c:pt idx="8">
                  <c:v>2.2999999999999998</c:v>
                </c:pt>
                <c:pt idx="9">
                  <c:v>2.2000000000000002</c:v>
                </c:pt>
                <c:pt idx="10">
                  <c:v>2.2000000000000002</c:v>
                </c:pt>
                <c:pt idx="11">
                  <c:v>2.2999999999999998</c:v>
                </c:pt>
                <c:pt idx="12">
                  <c:v>2.2000000000000002</c:v>
                </c:pt>
                <c:pt idx="13">
                  <c:v>2.1</c:v>
                </c:pt>
                <c:pt idx="14">
                  <c:v>2.2999999999999998</c:v>
                </c:pt>
                <c:pt idx="15">
                  <c:v>2.2999999999999998</c:v>
                </c:pt>
                <c:pt idx="16">
                  <c:v>2.2000000000000002</c:v>
                </c:pt>
                <c:pt idx="17">
                  <c:v>2.2000000000000002</c:v>
                </c:pt>
                <c:pt idx="18">
                  <c:v>2</c:v>
                </c:pt>
                <c:pt idx="19">
                  <c:v>2.2000000000000002</c:v>
                </c:pt>
                <c:pt idx="20">
                  <c:v>2.1</c:v>
                </c:pt>
                <c:pt idx="21">
                  <c:v>2.2000000000000002</c:v>
                </c:pt>
                <c:pt idx="22">
                  <c:v>2.1</c:v>
                </c:pt>
              </c:numCache>
            </c:numRef>
          </c:val>
          <c:smooth val="0"/>
          <c:extLst>
            <c:ext xmlns:c16="http://schemas.microsoft.com/office/drawing/2014/chart" uri="{C3380CC4-5D6E-409C-BE32-E72D297353CC}">
              <c16:uniqueId val="{00000001-1E31-2142-95E3-9C3469227C96}"/>
            </c:ext>
          </c:extLst>
        </c:ser>
        <c:ser>
          <c:idx val="1"/>
          <c:order val="1"/>
          <c:tx>
            <c:strRef>
              <c:f>'GEO0103'!$A$6</c:f>
              <c:strCache>
                <c:ptCount val="1"/>
                <c:pt idx="0">
                  <c:v>Media anuala Chisinau (m/s)</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19050" cap="rnd">
                <a:solidFill>
                  <a:schemeClr val="accent2"/>
                </a:solidFill>
                <a:prstDash val="sysDash"/>
              </a:ln>
              <a:effectLst/>
            </c:spPr>
            <c:trendlineType val="linear"/>
            <c:dispRSqr val="0"/>
            <c:dispEq val="0"/>
          </c:trendline>
          <c:cat>
            <c:strRef>
              <c:f>'GEO0103'!$B$4:$X$4</c:f>
              <c:strCach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strCache>
            </c:strRef>
          </c:cat>
          <c:val>
            <c:numRef>
              <c:f>'GEO0103'!$B$6:$X$6</c:f>
              <c:numCache>
                <c:formatCode>0.0</c:formatCode>
                <c:ptCount val="23"/>
                <c:pt idx="0">
                  <c:v>1.9</c:v>
                </c:pt>
                <c:pt idx="1">
                  <c:v>2</c:v>
                </c:pt>
                <c:pt idx="2">
                  <c:v>1.9</c:v>
                </c:pt>
                <c:pt idx="3">
                  <c:v>1.9</c:v>
                </c:pt>
                <c:pt idx="4">
                  <c:v>1.8</c:v>
                </c:pt>
                <c:pt idx="5">
                  <c:v>1.9</c:v>
                </c:pt>
                <c:pt idx="6">
                  <c:v>2.8</c:v>
                </c:pt>
                <c:pt idx="7">
                  <c:v>3.2</c:v>
                </c:pt>
                <c:pt idx="8">
                  <c:v>3.1</c:v>
                </c:pt>
                <c:pt idx="9">
                  <c:v>2.9</c:v>
                </c:pt>
                <c:pt idx="10">
                  <c:v>3.1</c:v>
                </c:pt>
                <c:pt idx="11">
                  <c:v>3.1</c:v>
                </c:pt>
                <c:pt idx="12">
                  <c:v>2.6</c:v>
                </c:pt>
                <c:pt idx="13">
                  <c:v>2.9</c:v>
                </c:pt>
                <c:pt idx="14">
                  <c:v>2.9</c:v>
                </c:pt>
                <c:pt idx="15">
                  <c:v>2.9</c:v>
                </c:pt>
                <c:pt idx="16">
                  <c:v>2.7</c:v>
                </c:pt>
                <c:pt idx="17">
                  <c:v>2.9</c:v>
                </c:pt>
                <c:pt idx="18">
                  <c:v>2.9</c:v>
                </c:pt>
                <c:pt idx="19">
                  <c:v>2.9</c:v>
                </c:pt>
                <c:pt idx="20">
                  <c:v>2.9</c:v>
                </c:pt>
                <c:pt idx="21">
                  <c:v>3</c:v>
                </c:pt>
                <c:pt idx="22">
                  <c:v>2.7</c:v>
                </c:pt>
              </c:numCache>
            </c:numRef>
          </c:val>
          <c:smooth val="0"/>
          <c:extLst>
            <c:ext xmlns:c16="http://schemas.microsoft.com/office/drawing/2014/chart" uri="{C3380CC4-5D6E-409C-BE32-E72D297353CC}">
              <c16:uniqueId val="{00000003-1E31-2142-95E3-9C3469227C96}"/>
            </c:ext>
          </c:extLst>
        </c:ser>
        <c:ser>
          <c:idx val="2"/>
          <c:order val="2"/>
          <c:tx>
            <c:strRef>
              <c:f>'GEO0103'!$A$7</c:f>
              <c:strCache>
                <c:ptCount val="1"/>
                <c:pt idx="0">
                  <c:v>Media anuala Cahul  (m/s)</c:v>
                </c:pt>
              </c:strCache>
            </c:strRef>
          </c:tx>
          <c:spPr>
            <a:ln w="3175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19050" cap="rnd">
                <a:solidFill>
                  <a:schemeClr val="accent3"/>
                </a:solidFill>
                <a:prstDash val="sysDash"/>
              </a:ln>
              <a:effectLst/>
            </c:spPr>
            <c:trendlineType val="linear"/>
            <c:dispRSqr val="0"/>
            <c:dispEq val="0"/>
          </c:trendline>
          <c:cat>
            <c:strRef>
              <c:f>'GEO0103'!$B$4:$X$4</c:f>
              <c:strCach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strCache>
            </c:strRef>
          </c:cat>
          <c:val>
            <c:numRef>
              <c:f>'GEO0103'!$B$7:$X$7</c:f>
              <c:numCache>
                <c:formatCode>General</c:formatCode>
                <c:ptCount val="23"/>
                <c:pt idx="0">
                  <c:v>3.7</c:v>
                </c:pt>
                <c:pt idx="1">
                  <c:v>3.6</c:v>
                </c:pt>
                <c:pt idx="2">
                  <c:v>3.8</c:v>
                </c:pt>
                <c:pt idx="3">
                  <c:v>3.5</c:v>
                </c:pt>
                <c:pt idx="4">
                  <c:v>3.5</c:v>
                </c:pt>
                <c:pt idx="5">
                  <c:v>3.7</c:v>
                </c:pt>
                <c:pt idx="6">
                  <c:v>3.5</c:v>
                </c:pt>
                <c:pt idx="7">
                  <c:v>3.4</c:v>
                </c:pt>
                <c:pt idx="8">
                  <c:v>3.4</c:v>
                </c:pt>
                <c:pt idx="9">
                  <c:v>3.1</c:v>
                </c:pt>
                <c:pt idx="10">
                  <c:v>3.3</c:v>
                </c:pt>
                <c:pt idx="11">
                  <c:v>3.1</c:v>
                </c:pt>
                <c:pt idx="12">
                  <c:v>3</c:v>
                </c:pt>
                <c:pt idx="13">
                  <c:v>3</c:v>
                </c:pt>
                <c:pt idx="14">
                  <c:v>3</c:v>
                </c:pt>
                <c:pt idx="15">
                  <c:v>3.1</c:v>
                </c:pt>
                <c:pt idx="16">
                  <c:v>3</c:v>
                </c:pt>
                <c:pt idx="17">
                  <c:v>3.3</c:v>
                </c:pt>
                <c:pt idx="18">
                  <c:v>3.3</c:v>
                </c:pt>
                <c:pt idx="19">
                  <c:v>3.1</c:v>
                </c:pt>
                <c:pt idx="20">
                  <c:v>3.2</c:v>
                </c:pt>
                <c:pt idx="21">
                  <c:v>3.4</c:v>
                </c:pt>
                <c:pt idx="22">
                  <c:v>3.3</c:v>
                </c:pt>
              </c:numCache>
            </c:numRef>
          </c:val>
          <c:smooth val="0"/>
          <c:extLst>
            <c:ext xmlns:c16="http://schemas.microsoft.com/office/drawing/2014/chart" uri="{C3380CC4-5D6E-409C-BE32-E72D297353CC}">
              <c16:uniqueId val="{00000005-1E31-2142-95E3-9C3469227C96}"/>
            </c:ext>
          </c:extLst>
        </c:ser>
        <c:dLbls>
          <c:showLegendKey val="0"/>
          <c:showVal val="1"/>
          <c:showCatName val="0"/>
          <c:showSerName val="0"/>
          <c:showPercent val="0"/>
          <c:showBubbleSize val="0"/>
        </c:dLbls>
        <c:smooth val="0"/>
        <c:axId val="1566095952"/>
        <c:axId val="1566097664"/>
      </c:lineChart>
      <c:catAx>
        <c:axId val="156609595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66097664"/>
        <c:crosses val="autoZero"/>
        <c:auto val="1"/>
        <c:lblAlgn val="ctr"/>
        <c:lblOffset val="100"/>
        <c:noMultiLvlLbl val="0"/>
      </c:catAx>
      <c:valAx>
        <c:axId val="1566097664"/>
        <c:scaling>
          <c:orientation val="minMax"/>
          <c:min val="1.5"/>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6609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59543449193543"/>
          <c:y val="3.7768240343347637E-2"/>
          <c:w val="0.75767377416625215"/>
          <c:h val="0.5974467912540975"/>
        </c:manualLayout>
      </c:layout>
      <c:barChart>
        <c:barDir val="col"/>
        <c:grouping val="clustered"/>
        <c:varyColors val="0"/>
        <c:ser>
          <c:idx val="0"/>
          <c:order val="0"/>
          <c:tx>
            <c:strRef>
              <c:f>'E-2'!$A$18:$B$18</c:f>
              <c:strCache>
                <c:ptCount val="2"/>
                <c:pt idx="0">
                  <c:v>Slab afectat</c:v>
                </c:pt>
                <c:pt idx="1">
                  <c:v>ha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'E-2'!$C$17:$K$17</c:f>
              <c:numCache>
                <c:formatCode>General</c:formatCode>
                <c:ptCount val="9"/>
                <c:pt idx="0">
                  <c:v>1965</c:v>
                </c:pt>
                <c:pt idx="1">
                  <c:v>1975</c:v>
                </c:pt>
                <c:pt idx="2">
                  <c:v>1995</c:v>
                </c:pt>
                <c:pt idx="3">
                  <c:v>2001</c:v>
                </c:pt>
                <c:pt idx="4">
                  <c:v>2005</c:v>
                </c:pt>
                <c:pt idx="5">
                  <c:v>2010</c:v>
                </c:pt>
                <c:pt idx="6">
                  <c:v>2018</c:v>
                </c:pt>
                <c:pt idx="7">
                  <c:v>2019</c:v>
                </c:pt>
                <c:pt idx="8">
                  <c:v>2020</c:v>
                </c:pt>
              </c:numCache>
            </c:numRef>
          </c:cat>
          <c:val>
            <c:numRef>
              <c:f>'E-2'!$C$18:$K$18</c:f>
              <c:numCache>
                <c:formatCode>_-* #,##0\ _K_č_-;\-* #,##0\ _K_č_-;_-* "-"??\ _K_č_-;_-@_-</c:formatCode>
                <c:ptCount val="9"/>
                <c:pt idx="0">
                  <c:v>302400</c:v>
                </c:pt>
                <c:pt idx="1">
                  <c:v>341900</c:v>
                </c:pt>
                <c:pt idx="2">
                  <c:v>485300</c:v>
                </c:pt>
                <c:pt idx="3">
                  <c:v>504300</c:v>
                </c:pt>
                <c:pt idx="4">
                  <c:v>504800</c:v>
                </c:pt>
                <c:pt idx="5">
                  <c:v>553433</c:v>
                </c:pt>
                <c:pt idx="6">
                  <c:v>572353</c:v>
                </c:pt>
                <c:pt idx="7">
                  <c:v>572354</c:v>
                </c:pt>
                <c:pt idx="8">
                  <c:v>572355</c:v>
                </c:pt>
              </c:numCache>
            </c:numRef>
          </c:val>
          <c:extLst>
            <c:ext xmlns:c16="http://schemas.microsoft.com/office/drawing/2014/chart" uri="{C3380CC4-5D6E-409C-BE32-E72D297353CC}">
              <c16:uniqueId val="{00000000-C90B-AA42-8A2E-E9A9F6865C6E}"/>
            </c:ext>
          </c:extLst>
        </c:ser>
        <c:ser>
          <c:idx val="1"/>
          <c:order val="1"/>
          <c:tx>
            <c:strRef>
              <c:f>'E-2'!$A$19:$B$19</c:f>
              <c:strCache>
                <c:ptCount val="2"/>
                <c:pt idx="0">
                  <c:v>Moderat</c:v>
                </c:pt>
                <c:pt idx="1">
                  <c:v>ha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numRef>
              <c:f>'E-2'!$C$17:$K$17</c:f>
              <c:numCache>
                <c:formatCode>General</c:formatCode>
                <c:ptCount val="9"/>
                <c:pt idx="0">
                  <c:v>1965</c:v>
                </c:pt>
                <c:pt idx="1">
                  <c:v>1975</c:v>
                </c:pt>
                <c:pt idx="2">
                  <c:v>1995</c:v>
                </c:pt>
                <c:pt idx="3">
                  <c:v>2001</c:v>
                </c:pt>
                <c:pt idx="4">
                  <c:v>2005</c:v>
                </c:pt>
                <c:pt idx="5">
                  <c:v>2010</c:v>
                </c:pt>
                <c:pt idx="6">
                  <c:v>2018</c:v>
                </c:pt>
                <c:pt idx="7">
                  <c:v>2019</c:v>
                </c:pt>
                <c:pt idx="8">
                  <c:v>2020</c:v>
                </c:pt>
              </c:numCache>
            </c:numRef>
          </c:cat>
          <c:val>
            <c:numRef>
              <c:f>'E-2'!$C$19:$K$19</c:f>
              <c:numCache>
                <c:formatCode>_-* #,##0\ _K_č_-;\-* #,##0\ _K_č_-;_-* "-"??\ _K_č_-;_-@_-</c:formatCode>
                <c:ptCount val="9"/>
                <c:pt idx="0">
                  <c:v>195600</c:v>
                </c:pt>
                <c:pt idx="1">
                  <c:v>213000</c:v>
                </c:pt>
                <c:pt idx="2">
                  <c:v>244600</c:v>
                </c:pt>
                <c:pt idx="3">
                  <c:v>252700</c:v>
                </c:pt>
                <c:pt idx="4">
                  <c:v>259300</c:v>
                </c:pt>
                <c:pt idx="5">
                  <c:v>279255</c:v>
                </c:pt>
                <c:pt idx="6">
                  <c:v>300341</c:v>
                </c:pt>
                <c:pt idx="7">
                  <c:v>300342</c:v>
                </c:pt>
                <c:pt idx="8">
                  <c:v>300343</c:v>
                </c:pt>
              </c:numCache>
            </c:numRef>
          </c:val>
          <c:extLst>
            <c:ext xmlns:c16="http://schemas.microsoft.com/office/drawing/2014/chart" uri="{C3380CC4-5D6E-409C-BE32-E72D297353CC}">
              <c16:uniqueId val="{00000001-C90B-AA42-8A2E-E9A9F6865C6E}"/>
            </c:ext>
          </c:extLst>
        </c:ser>
        <c:ser>
          <c:idx val="2"/>
          <c:order val="2"/>
          <c:tx>
            <c:strRef>
              <c:f>'E-2'!$A$20:$B$20</c:f>
              <c:strCache>
                <c:ptCount val="2"/>
                <c:pt idx="0">
                  <c:v>Puternic afectat</c:v>
                </c:pt>
                <c:pt idx="1">
                  <c:v>ha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numRef>
              <c:f>'E-2'!$C$17:$K$17</c:f>
              <c:numCache>
                <c:formatCode>General</c:formatCode>
                <c:ptCount val="9"/>
                <c:pt idx="0">
                  <c:v>1965</c:v>
                </c:pt>
                <c:pt idx="1">
                  <c:v>1975</c:v>
                </c:pt>
                <c:pt idx="2">
                  <c:v>1995</c:v>
                </c:pt>
                <c:pt idx="3">
                  <c:v>2001</c:v>
                </c:pt>
                <c:pt idx="4">
                  <c:v>2005</c:v>
                </c:pt>
                <c:pt idx="5">
                  <c:v>2010</c:v>
                </c:pt>
                <c:pt idx="6">
                  <c:v>2018</c:v>
                </c:pt>
                <c:pt idx="7">
                  <c:v>2019</c:v>
                </c:pt>
                <c:pt idx="8">
                  <c:v>2020</c:v>
                </c:pt>
              </c:numCache>
            </c:numRef>
          </c:cat>
          <c:val>
            <c:numRef>
              <c:f>'E-2'!$C$20:$K$20</c:f>
              <c:numCache>
                <c:formatCode>_-* #,##0\ _K_č_-;\-* #,##0\ _K_č_-;_-* "-"??\ _K_č_-;_-@_-</c:formatCode>
                <c:ptCount val="9"/>
                <c:pt idx="0">
                  <c:v>96200</c:v>
                </c:pt>
                <c:pt idx="1">
                  <c:v>99500</c:v>
                </c:pt>
                <c:pt idx="2">
                  <c:v>94200</c:v>
                </c:pt>
                <c:pt idx="3">
                  <c:v>101700</c:v>
                </c:pt>
                <c:pt idx="4">
                  <c:v>114200</c:v>
                </c:pt>
                <c:pt idx="5">
                  <c:v>116780</c:v>
                </c:pt>
                <c:pt idx="6">
                  <c:v>143204</c:v>
                </c:pt>
                <c:pt idx="7">
                  <c:v>143205</c:v>
                </c:pt>
                <c:pt idx="8">
                  <c:v>143206</c:v>
                </c:pt>
              </c:numCache>
            </c:numRef>
          </c:val>
          <c:extLst>
            <c:ext xmlns:c16="http://schemas.microsoft.com/office/drawing/2014/chart" uri="{C3380CC4-5D6E-409C-BE32-E72D297353CC}">
              <c16:uniqueId val="{00000002-C90B-AA42-8A2E-E9A9F6865C6E}"/>
            </c:ext>
          </c:extLst>
        </c:ser>
        <c:dLbls>
          <c:showLegendKey val="0"/>
          <c:showVal val="0"/>
          <c:showCatName val="0"/>
          <c:showSerName val="0"/>
          <c:showPercent val="0"/>
          <c:showBubbleSize val="0"/>
        </c:dLbls>
        <c:gapWidth val="219"/>
        <c:axId val="2082132911"/>
        <c:axId val="349476416"/>
      </c:barChart>
      <c:lineChart>
        <c:grouping val="standard"/>
        <c:varyColors val="0"/>
        <c:ser>
          <c:idx val="3"/>
          <c:order val="3"/>
          <c:tx>
            <c:strRef>
              <c:f>'E-2'!$A$21:$B$21</c:f>
              <c:strCache>
                <c:ptCount val="2"/>
                <c:pt idx="0">
                  <c:v>Total suprafata agricola afectata de eroziune</c:v>
                </c:pt>
                <c:pt idx="1">
                  <c:v>ha</c:v>
                </c:pt>
              </c:strCache>
            </c:strRef>
          </c:tx>
          <c:spPr>
            <a:ln w="31750" cap="rnd">
              <a:solidFill>
                <a:schemeClr val="accent4"/>
              </a:solidFill>
              <a:round/>
            </a:ln>
            <a:effectLst/>
          </c:spPr>
          <c:marker>
            <c:symbol val="none"/>
          </c:marker>
          <c:cat>
            <c:numRef>
              <c:f>'E-2'!$C$17:$K$17</c:f>
              <c:numCache>
                <c:formatCode>General</c:formatCode>
                <c:ptCount val="9"/>
                <c:pt idx="0">
                  <c:v>1965</c:v>
                </c:pt>
                <c:pt idx="1">
                  <c:v>1975</c:v>
                </c:pt>
                <c:pt idx="2">
                  <c:v>1995</c:v>
                </c:pt>
                <c:pt idx="3">
                  <c:v>2001</c:v>
                </c:pt>
                <c:pt idx="4">
                  <c:v>2005</c:v>
                </c:pt>
                <c:pt idx="5">
                  <c:v>2010</c:v>
                </c:pt>
                <c:pt idx="6">
                  <c:v>2018</c:v>
                </c:pt>
                <c:pt idx="7">
                  <c:v>2019</c:v>
                </c:pt>
                <c:pt idx="8">
                  <c:v>2020</c:v>
                </c:pt>
              </c:numCache>
            </c:numRef>
          </c:cat>
          <c:val>
            <c:numRef>
              <c:f>'E-2'!$C$21:$K$21</c:f>
              <c:numCache>
                <c:formatCode>_-* #,##0\ _K_č_-;\-* #,##0\ _K_č_-;_-* "-"??\ _K_č_-;_-@_-</c:formatCode>
                <c:ptCount val="9"/>
                <c:pt idx="0">
                  <c:v>594200</c:v>
                </c:pt>
                <c:pt idx="1">
                  <c:v>654400</c:v>
                </c:pt>
                <c:pt idx="2">
                  <c:v>824200</c:v>
                </c:pt>
                <c:pt idx="3">
                  <c:v>858600</c:v>
                </c:pt>
                <c:pt idx="4">
                  <c:v>877600</c:v>
                </c:pt>
                <c:pt idx="5">
                  <c:v>949468</c:v>
                </c:pt>
                <c:pt idx="6">
                  <c:v>1015693</c:v>
                </c:pt>
                <c:pt idx="7">
                  <c:v>1015694</c:v>
                </c:pt>
                <c:pt idx="8">
                  <c:v>1015695</c:v>
                </c:pt>
              </c:numCache>
            </c:numRef>
          </c:val>
          <c:smooth val="0"/>
          <c:extLst>
            <c:ext xmlns:c16="http://schemas.microsoft.com/office/drawing/2014/chart" uri="{C3380CC4-5D6E-409C-BE32-E72D297353CC}">
              <c16:uniqueId val="{00000003-C90B-AA42-8A2E-E9A9F6865C6E}"/>
            </c:ext>
          </c:extLst>
        </c:ser>
        <c:ser>
          <c:idx val="4"/>
          <c:order val="4"/>
          <c:tx>
            <c:strRef>
              <c:f>'E-2'!$A$22:$B$22</c:f>
              <c:strCache>
                <c:ptCount val="2"/>
                <c:pt idx="0">
                  <c:v>Suprafață agricolă totală a țării</c:v>
                </c:pt>
                <c:pt idx="1">
                  <c:v>ha</c:v>
                </c:pt>
              </c:strCache>
            </c:strRef>
          </c:tx>
          <c:spPr>
            <a:ln w="31750" cap="rnd">
              <a:solidFill>
                <a:schemeClr val="accent5"/>
              </a:solidFill>
              <a:round/>
            </a:ln>
            <a:effectLst/>
          </c:spPr>
          <c:marker>
            <c:symbol val="none"/>
          </c:marker>
          <c:cat>
            <c:numRef>
              <c:f>'E-2'!$C$17:$K$17</c:f>
              <c:numCache>
                <c:formatCode>General</c:formatCode>
                <c:ptCount val="9"/>
                <c:pt idx="0">
                  <c:v>1965</c:v>
                </c:pt>
                <c:pt idx="1">
                  <c:v>1975</c:v>
                </c:pt>
                <c:pt idx="2">
                  <c:v>1995</c:v>
                </c:pt>
                <c:pt idx="3">
                  <c:v>2001</c:v>
                </c:pt>
                <c:pt idx="4">
                  <c:v>2005</c:v>
                </c:pt>
                <c:pt idx="5">
                  <c:v>2010</c:v>
                </c:pt>
                <c:pt idx="6">
                  <c:v>2018</c:v>
                </c:pt>
                <c:pt idx="7">
                  <c:v>2019</c:v>
                </c:pt>
                <c:pt idx="8">
                  <c:v>2020</c:v>
                </c:pt>
              </c:numCache>
            </c:numRef>
          </c:cat>
          <c:val>
            <c:numRef>
              <c:f>'E-2'!$C$22:$K$22</c:f>
              <c:numCache>
                <c:formatCode>_-* #,##0\ _K_č_-;\-* #,##0\ _K_č_-;_-* "-"??\ _K_č_-;_-@_-</c:formatCode>
                <c:ptCount val="9"/>
                <c:pt idx="0">
                  <c:v>2073022.06</c:v>
                </c:pt>
                <c:pt idx="1">
                  <c:v>2073022.06</c:v>
                </c:pt>
                <c:pt idx="2">
                  <c:v>2073022.06</c:v>
                </c:pt>
                <c:pt idx="3">
                  <c:v>2073022.06</c:v>
                </c:pt>
                <c:pt idx="4">
                  <c:v>2073022.06</c:v>
                </c:pt>
                <c:pt idx="5">
                  <c:v>2073022.06</c:v>
                </c:pt>
                <c:pt idx="6">
                  <c:v>2073022.06</c:v>
                </c:pt>
                <c:pt idx="7">
                  <c:v>2073022.06</c:v>
                </c:pt>
                <c:pt idx="8">
                  <c:v>2073022.06</c:v>
                </c:pt>
              </c:numCache>
            </c:numRef>
          </c:val>
          <c:smooth val="0"/>
          <c:extLst>
            <c:ext xmlns:c16="http://schemas.microsoft.com/office/drawing/2014/chart" uri="{C3380CC4-5D6E-409C-BE32-E72D297353CC}">
              <c16:uniqueId val="{00000004-C90B-AA42-8A2E-E9A9F6865C6E}"/>
            </c:ext>
          </c:extLst>
        </c:ser>
        <c:dLbls>
          <c:showLegendKey val="0"/>
          <c:showVal val="0"/>
          <c:showCatName val="0"/>
          <c:showSerName val="0"/>
          <c:showPercent val="0"/>
          <c:showBubbleSize val="0"/>
        </c:dLbls>
        <c:marker val="1"/>
        <c:smooth val="0"/>
        <c:axId val="1664357791"/>
        <c:axId val="1664606399"/>
      </c:lineChart>
      <c:catAx>
        <c:axId val="208213291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49476416"/>
        <c:crosses val="autoZero"/>
        <c:auto val="1"/>
        <c:lblAlgn val="ctr"/>
        <c:lblOffset val="100"/>
        <c:noMultiLvlLbl val="0"/>
      </c:catAx>
      <c:valAx>
        <c:axId val="349476416"/>
        <c:scaling>
          <c:orientation val="minMax"/>
          <c:max val="60000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82132911"/>
        <c:crosses val="autoZero"/>
        <c:crossBetween val="between"/>
      </c:valAx>
      <c:valAx>
        <c:axId val="1664606399"/>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64357791"/>
        <c:crosses val="max"/>
        <c:crossBetween val="between"/>
      </c:valAx>
      <c:catAx>
        <c:axId val="1664357791"/>
        <c:scaling>
          <c:orientation val="minMax"/>
        </c:scaling>
        <c:delete val="1"/>
        <c:axPos val="b"/>
        <c:numFmt formatCode="General" sourceLinked="1"/>
        <c:majorTickMark val="none"/>
        <c:minorTickMark val="none"/>
        <c:tickLblPos val="nextTo"/>
        <c:crossAx val="1664606399"/>
        <c:crossesAt val="0"/>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87304300896309E-2"/>
          <c:y val="2.05519913378461E-2"/>
          <c:w val="0.90755359355988563"/>
          <c:h val="0.80836634429115439"/>
        </c:manualLayout>
      </c:layout>
      <c:barChart>
        <c:barDir val="col"/>
        <c:grouping val="stacked"/>
        <c:varyColors val="0"/>
        <c:ser>
          <c:idx val="0"/>
          <c:order val="0"/>
          <c:spPr>
            <a:solidFill>
              <a:schemeClr val="accent1"/>
            </a:solidFill>
            <a:ln>
              <a:noFill/>
            </a:ln>
            <a:effectLst/>
          </c:spPr>
          <c:invertIfNegative val="0"/>
          <c:cat>
            <c:multiLvlStrRef>
              <c:f>'/Users/maximelebovics/Downloads/[san020100_20251124-173618.xlsx]san020100'!$A$4:$B$25</c:f>
              <c:multiLvlStrCache>
                <c:ptCount val="22"/>
                <c:lvl>
                  <c:pt idx="0">
                    <c:v>2014</c:v>
                  </c:pt>
                  <c:pt idx="1">
                    <c:v>2015</c:v>
                  </c:pt>
                  <c:pt idx="2">
                    <c:v>2016</c:v>
                  </c:pt>
                  <c:pt idx="3">
                    <c:v>2017</c:v>
                  </c:pt>
                  <c:pt idx="4">
                    <c:v>2018</c:v>
                  </c:pt>
                  <c:pt idx="5">
                    <c:v>2019</c:v>
                  </c:pt>
                  <c:pt idx="6">
                    <c:v>2020</c:v>
                  </c:pt>
                  <c:pt idx="7">
                    <c:v>2021</c:v>
                  </c:pt>
                  <c:pt idx="8">
                    <c:v>2022</c:v>
                  </c:pt>
                  <c:pt idx="9">
                    <c:v>2023</c:v>
                  </c:pt>
                  <c:pt idx="10">
                    <c:v>2024</c:v>
                  </c:pt>
                  <c:pt idx="11">
                    <c:v>2014</c:v>
                  </c:pt>
                  <c:pt idx="12">
                    <c:v>2015</c:v>
                  </c:pt>
                  <c:pt idx="13">
                    <c:v>2016</c:v>
                  </c:pt>
                  <c:pt idx="14">
                    <c:v>2017</c:v>
                  </c:pt>
                  <c:pt idx="15">
                    <c:v>2018</c:v>
                  </c:pt>
                  <c:pt idx="16">
                    <c:v>2019</c:v>
                  </c:pt>
                  <c:pt idx="17">
                    <c:v>2020</c:v>
                  </c:pt>
                  <c:pt idx="18">
                    <c:v>2021</c:v>
                  </c:pt>
                  <c:pt idx="19">
                    <c:v>2022</c:v>
                  </c:pt>
                  <c:pt idx="20">
                    <c:v>2023</c:v>
                  </c:pt>
                  <c:pt idx="21">
                    <c:v>2024</c:v>
                  </c:pt>
                </c:lvl>
                <c:lvl>
                  <c:pt idx="0">
                    <c:v>Prevalenta (total bolnavi inregistrati pe parcursul anului)</c:v>
                  </c:pt>
                  <c:pt idx="11">
                    <c:v>Incidenta (bolnavi aflati in evidenta cu diagnosticul stabilit pentru prima data)</c:v>
                  </c:pt>
                </c:lvl>
              </c:multiLvlStrCache>
            </c:multiLvlStrRef>
          </c:cat>
          <c:val>
            <c:numRef>
              <c:f>'/Users/maximelebovics/Downloads/[san020100_20251124-173618.xlsx]san020100'!$C$4:$C$25</c:f>
              <c:numCache>
                <c:formatCode>General</c:formatCode>
                <c:ptCount val="22"/>
                <c:pt idx="0">
                  <c:v>2745.7</c:v>
                </c:pt>
                <c:pt idx="1">
                  <c:v>2831.4</c:v>
                </c:pt>
                <c:pt idx="2">
                  <c:v>2838</c:v>
                </c:pt>
                <c:pt idx="3">
                  <c:v>2941.4</c:v>
                </c:pt>
                <c:pt idx="4">
                  <c:v>2937.3</c:v>
                </c:pt>
                <c:pt idx="5">
                  <c:v>3022.6</c:v>
                </c:pt>
                <c:pt idx="6">
                  <c:v>2719.2</c:v>
                </c:pt>
                <c:pt idx="7">
                  <c:v>2931.3</c:v>
                </c:pt>
                <c:pt idx="8">
                  <c:v>3024.6</c:v>
                </c:pt>
                <c:pt idx="9">
                  <c:v>2925.9</c:v>
                </c:pt>
                <c:pt idx="10">
                  <c:v>2948.5</c:v>
                </c:pt>
                <c:pt idx="11">
                  <c:v>1127</c:v>
                </c:pt>
                <c:pt idx="12">
                  <c:v>1161.3</c:v>
                </c:pt>
                <c:pt idx="13">
                  <c:v>1152.9000000000001</c:v>
                </c:pt>
                <c:pt idx="14">
                  <c:v>1179.7</c:v>
                </c:pt>
                <c:pt idx="15">
                  <c:v>1126.0999999999999</c:v>
                </c:pt>
                <c:pt idx="16">
                  <c:v>1124</c:v>
                </c:pt>
                <c:pt idx="17">
                  <c:v>920.1</c:v>
                </c:pt>
                <c:pt idx="18">
                  <c:v>1056.7</c:v>
                </c:pt>
                <c:pt idx="19">
                  <c:v>1130.7</c:v>
                </c:pt>
                <c:pt idx="20">
                  <c:v>988.9</c:v>
                </c:pt>
                <c:pt idx="21">
                  <c:v>937</c:v>
                </c:pt>
              </c:numCache>
            </c:numRef>
          </c:val>
          <c:extLst>
            <c:ext xmlns:c16="http://schemas.microsoft.com/office/drawing/2014/chart" uri="{C3380CC4-5D6E-409C-BE32-E72D297353CC}">
              <c16:uniqueId val="{00000000-8489-FD49-A388-2FEA912482CC}"/>
            </c:ext>
          </c:extLst>
        </c:ser>
        <c:dLbls>
          <c:showLegendKey val="0"/>
          <c:showVal val="0"/>
          <c:showCatName val="0"/>
          <c:showSerName val="0"/>
          <c:showPercent val="0"/>
          <c:showBubbleSize val="0"/>
        </c:dLbls>
        <c:gapWidth val="150"/>
        <c:overlap val="100"/>
        <c:axId val="622049167"/>
        <c:axId val="113401487"/>
      </c:barChart>
      <c:catAx>
        <c:axId val="622049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401487"/>
        <c:crosses val="autoZero"/>
        <c:auto val="1"/>
        <c:lblAlgn val="ctr"/>
        <c:lblOffset val="100"/>
        <c:noMultiLvlLbl val="0"/>
      </c:catAx>
      <c:valAx>
        <c:axId val="1134014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04916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'morbiditatea pop._clase boli'!$A$7</c:f>
              <c:strCache>
                <c:ptCount val="1"/>
                <c:pt idx="0">
                  <c:v>Boli infectioase si parazitare</c:v>
                </c:pt>
              </c:strCache>
            </c:strRef>
          </c:tx>
          <c:spPr>
            <a:solidFill>
              <a:schemeClr val="accent2"/>
            </a:solidFill>
            <a:ln>
              <a:noFill/>
            </a:ln>
            <a:effectLst/>
          </c:spPr>
          <c:invertIfNegative val="0"/>
          <c:cat>
            <c:strRef>
              <c:f>'morbiditatea pop._clase boli'!$B$5:$L$5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boli'!$B$7:$L$7</c:f>
              <c:numCache>
                <c:formatCode>_(* #,##0_);_(* \(#,##0\);_(* "-"??_);_(@_)</c:formatCode>
                <c:ptCount val="11"/>
                <c:pt idx="0">
                  <c:v>119.9</c:v>
                </c:pt>
                <c:pt idx="1">
                  <c:v>118</c:v>
                </c:pt>
                <c:pt idx="2">
                  <c:v>116.2</c:v>
                </c:pt>
                <c:pt idx="3">
                  <c:v>116.3</c:v>
                </c:pt>
                <c:pt idx="4">
                  <c:v>115.7</c:v>
                </c:pt>
                <c:pt idx="5">
                  <c:v>116.7</c:v>
                </c:pt>
                <c:pt idx="6">
                  <c:v>92.8</c:v>
                </c:pt>
                <c:pt idx="7">
                  <c:v>116.8</c:v>
                </c:pt>
                <c:pt idx="8">
                  <c:v>102.3</c:v>
                </c:pt>
                <c:pt idx="9">
                  <c:v>104.9</c:v>
                </c:pt>
                <c:pt idx="10">
                  <c:v>102.4</c:v>
                </c:pt>
              </c:numCache>
            </c:numRef>
          </c:val>
          <c:extLst>
            <c:ext xmlns:c16="http://schemas.microsoft.com/office/drawing/2014/chart" uri="{C3380CC4-5D6E-409C-BE32-E72D297353CC}">
              <c16:uniqueId val="{00000000-659B-AE4E-AE95-40DDD0332BD3}"/>
            </c:ext>
          </c:extLst>
        </c:ser>
        <c:ser>
          <c:idx val="2"/>
          <c:order val="2"/>
          <c:tx>
            <c:strRef>
              <c:f>'morbiditatea pop._clase boli'!$A$8</c:f>
              <c:strCache>
                <c:ptCount val="1"/>
                <c:pt idx="0">
                  <c:v>Tumori</c:v>
                </c:pt>
              </c:strCache>
            </c:strRef>
          </c:tx>
          <c:spPr>
            <a:solidFill>
              <a:schemeClr val="accent3"/>
            </a:solidFill>
            <a:ln>
              <a:noFill/>
            </a:ln>
            <a:effectLst/>
          </c:spPr>
          <c:invertIfNegative val="0"/>
          <c:cat>
            <c:strRef>
              <c:f>'morbiditatea pop._clase boli'!$B$5:$L$5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boli'!$B$8:$L$8</c:f>
              <c:numCache>
                <c:formatCode>_(* #,##0_);_(* \(#,##0\);_(* "-"??_);_(@_)</c:formatCode>
                <c:ptCount val="11"/>
                <c:pt idx="0">
                  <c:v>75</c:v>
                </c:pt>
                <c:pt idx="1">
                  <c:v>75.5</c:v>
                </c:pt>
                <c:pt idx="2">
                  <c:v>77.599999999999994</c:v>
                </c:pt>
                <c:pt idx="3">
                  <c:v>81.400000000000006</c:v>
                </c:pt>
                <c:pt idx="4">
                  <c:v>83.7</c:v>
                </c:pt>
                <c:pt idx="5">
                  <c:v>88.6</c:v>
                </c:pt>
                <c:pt idx="6">
                  <c:v>89.9</c:v>
                </c:pt>
                <c:pt idx="7">
                  <c:v>90.1</c:v>
                </c:pt>
                <c:pt idx="8">
                  <c:v>90.5</c:v>
                </c:pt>
                <c:pt idx="9">
                  <c:v>97.1</c:v>
                </c:pt>
                <c:pt idx="10">
                  <c:v>101</c:v>
                </c:pt>
              </c:numCache>
            </c:numRef>
          </c:val>
          <c:extLst>
            <c:ext xmlns:c16="http://schemas.microsoft.com/office/drawing/2014/chart" uri="{C3380CC4-5D6E-409C-BE32-E72D297353CC}">
              <c16:uniqueId val="{00000001-659B-AE4E-AE95-40DDD0332BD3}"/>
            </c:ext>
          </c:extLst>
        </c:ser>
        <c:ser>
          <c:idx val="3"/>
          <c:order val="3"/>
          <c:tx>
            <c:strRef>
              <c:f>'morbiditatea pop._clase boli'!$A$9</c:f>
              <c:strCache>
                <c:ptCount val="1"/>
                <c:pt idx="0">
                  <c:v>Boli endocrine, de nutritie si metabolism</c:v>
                </c:pt>
              </c:strCache>
            </c:strRef>
          </c:tx>
          <c:spPr>
            <a:solidFill>
              <a:schemeClr val="accent4"/>
            </a:solidFill>
            <a:ln>
              <a:noFill/>
            </a:ln>
            <a:effectLst/>
          </c:spPr>
          <c:invertIfNegative val="0"/>
          <c:cat>
            <c:strRef>
              <c:f>'morbiditatea pop._clase boli'!$B$5:$L$5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boli'!$B$9:$L$9</c:f>
              <c:numCache>
                <c:formatCode>_(* #,##0_);_(* \(#,##0\);_(* "-"??_);_(@_)</c:formatCode>
                <c:ptCount val="11"/>
                <c:pt idx="0">
                  <c:v>200.8</c:v>
                </c:pt>
                <c:pt idx="1">
                  <c:v>215.2</c:v>
                </c:pt>
                <c:pt idx="2">
                  <c:v>230.9</c:v>
                </c:pt>
                <c:pt idx="3">
                  <c:v>253.6</c:v>
                </c:pt>
                <c:pt idx="4">
                  <c:v>265.39999999999998</c:v>
                </c:pt>
                <c:pt idx="5">
                  <c:v>277.3</c:v>
                </c:pt>
                <c:pt idx="6">
                  <c:v>259.3</c:v>
                </c:pt>
                <c:pt idx="7">
                  <c:v>283.60000000000002</c:v>
                </c:pt>
                <c:pt idx="8">
                  <c:v>295.7</c:v>
                </c:pt>
                <c:pt idx="9">
                  <c:v>312.60000000000002</c:v>
                </c:pt>
                <c:pt idx="10">
                  <c:v>337.9</c:v>
                </c:pt>
              </c:numCache>
            </c:numRef>
          </c:val>
          <c:extLst>
            <c:ext xmlns:c16="http://schemas.microsoft.com/office/drawing/2014/chart" uri="{C3380CC4-5D6E-409C-BE32-E72D297353CC}">
              <c16:uniqueId val="{00000002-659B-AE4E-AE95-40DDD0332BD3}"/>
            </c:ext>
          </c:extLst>
        </c:ser>
        <c:ser>
          <c:idx val="4"/>
          <c:order val="4"/>
          <c:tx>
            <c:strRef>
              <c:f>'morbiditatea pop._clase boli'!$A$10</c:f>
              <c:strCache>
                <c:ptCount val="1"/>
                <c:pt idx="0">
                  <c:v>Boli ale singelui, organelor hematopoietice si unele tulburari ale mecanismului imunitar</c:v>
                </c:pt>
              </c:strCache>
            </c:strRef>
          </c:tx>
          <c:spPr>
            <a:solidFill>
              <a:schemeClr val="accent5"/>
            </a:solidFill>
            <a:ln>
              <a:noFill/>
            </a:ln>
            <a:effectLst/>
          </c:spPr>
          <c:invertIfNegative val="0"/>
          <c:cat>
            <c:strRef>
              <c:f>'morbiditatea pop._clase boli'!$B$5:$L$5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boli'!$B$10:$L$10</c:f>
              <c:numCache>
                <c:formatCode>_(* #,##0_);_(* \(#,##0\);_(* "-"??_);_(@_)</c:formatCode>
                <c:ptCount val="11"/>
                <c:pt idx="0">
                  <c:v>49.9</c:v>
                </c:pt>
                <c:pt idx="1">
                  <c:v>49.6</c:v>
                </c:pt>
                <c:pt idx="2">
                  <c:v>48.1</c:v>
                </c:pt>
                <c:pt idx="3">
                  <c:v>46.2</c:v>
                </c:pt>
                <c:pt idx="4">
                  <c:v>47.3</c:v>
                </c:pt>
                <c:pt idx="5">
                  <c:v>42.5</c:v>
                </c:pt>
                <c:pt idx="6">
                  <c:v>34.4</c:v>
                </c:pt>
                <c:pt idx="7">
                  <c:v>34.4</c:v>
                </c:pt>
                <c:pt idx="8">
                  <c:v>34.700000000000003</c:v>
                </c:pt>
                <c:pt idx="9">
                  <c:v>36.1</c:v>
                </c:pt>
                <c:pt idx="10">
                  <c:v>36.799999999999997</c:v>
                </c:pt>
              </c:numCache>
            </c:numRef>
          </c:val>
          <c:extLst>
            <c:ext xmlns:c16="http://schemas.microsoft.com/office/drawing/2014/chart" uri="{C3380CC4-5D6E-409C-BE32-E72D297353CC}">
              <c16:uniqueId val="{00000003-659B-AE4E-AE95-40DDD0332BD3}"/>
            </c:ext>
          </c:extLst>
        </c:ser>
        <c:ser>
          <c:idx val="5"/>
          <c:order val="5"/>
          <c:tx>
            <c:strRef>
              <c:f>'morbiditatea pop._clase boli'!$A$11</c:f>
              <c:strCache>
                <c:ptCount val="1"/>
                <c:pt idx="0">
                  <c:v>Tulburari mentale si de comportament</c:v>
                </c:pt>
              </c:strCache>
            </c:strRef>
          </c:tx>
          <c:spPr>
            <a:solidFill>
              <a:schemeClr val="accent6"/>
            </a:solidFill>
            <a:ln>
              <a:noFill/>
            </a:ln>
            <a:effectLst/>
          </c:spPr>
          <c:invertIfNegative val="0"/>
          <c:cat>
            <c:strRef>
              <c:f>'morbiditatea pop._clase boli'!$B$5:$L$5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boli'!$B$11:$L$11</c:f>
              <c:numCache>
                <c:formatCode>_(* #,##0_);_(* \(#,##0\);_(* "-"??_);_(@_)</c:formatCode>
                <c:ptCount val="11"/>
                <c:pt idx="0">
                  <c:v>159.80000000000001</c:v>
                </c:pt>
                <c:pt idx="1">
                  <c:v>150.80000000000001</c:v>
                </c:pt>
                <c:pt idx="2">
                  <c:v>151.5</c:v>
                </c:pt>
                <c:pt idx="3">
                  <c:v>151.69999999999999</c:v>
                </c:pt>
                <c:pt idx="4">
                  <c:v>147</c:v>
                </c:pt>
                <c:pt idx="5">
                  <c:v>143.6</c:v>
                </c:pt>
                <c:pt idx="6">
                  <c:v>142.1</c:v>
                </c:pt>
                <c:pt idx="7">
                  <c:v>142.1</c:v>
                </c:pt>
                <c:pt idx="8">
                  <c:v>139.30000000000001</c:v>
                </c:pt>
                <c:pt idx="9">
                  <c:v>143.30000000000001</c:v>
                </c:pt>
                <c:pt idx="10">
                  <c:v>142.9</c:v>
                </c:pt>
              </c:numCache>
            </c:numRef>
          </c:val>
          <c:extLst>
            <c:ext xmlns:c16="http://schemas.microsoft.com/office/drawing/2014/chart" uri="{C3380CC4-5D6E-409C-BE32-E72D297353CC}">
              <c16:uniqueId val="{00000004-659B-AE4E-AE95-40DDD0332BD3}"/>
            </c:ext>
          </c:extLst>
        </c:ser>
        <c:ser>
          <c:idx val="6"/>
          <c:order val="6"/>
          <c:tx>
            <c:strRef>
              <c:f>'morbiditatea pop._clase boli'!$A$12</c:f>
              <c:strCache>
                <c:ptCount val="1"/>
                <c:pt idx="0">
                  <c:v>Boli ale sistemului nervos si ale organelor de simt</c:v>
                </c:pt>
              </c:strCache>
            </c:strRef>
          </c:tx>
          <c:spPr>
            <a:solidFill>
              <a:schemeClr val="accent1">
                <a:lumMod val="60000"/>
              </a:schemeClr>
            </a:solidFill>
            <a:ln>
              <a:noFill/>
            </a:ln>
            <a:effectLst/>
          </c:spPr>
          <c:invertIfNegative val="0"/>
          <c:cat>
            <c:strRef>
              <c:f>'morbiditatea pop._clase boli'!$B$5:$L$5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boli'!$B$12:$L$12</c:f>
              <c:numCache>
                <c:formatCode>_(* #,##0_);_(* \(#,##0\);_(* "-"??_);_(@_)</c:formatCode>
                <c:ptCount val="11"/>
                <c:pt idx="0">
                  <c:v>182.5</c:v>
                </c:pt>
                <c:pt idx="1">
                  <c:v>182.1</c:v>
                </c:pt>
                <c:pt idx="2">
                  <c:v>180.2</c:v>
                </c:pt>
                <c:pt idx="3">
                  <c:v>179.2</c:v>
                </c:pt>
                <c:pt idx="4">
                  <c:v>180.6</c:v>
                </c:pt>
                <c:pt idx="5">
                  <c:v>199.9</c:v>
                </c:pt>
                <c:pt idx="6">
                  <c:v>162.6</c:v>
                </c:pt>
                <c:pt idx="7">
                  <c:v>182.6</c:v>
                </c:pt>
                <c:pt idx="8">
                  <c:v>198.9</c:v>
                </c:pt>
                <c:pt idx="9">
                  <c:v>197.6</c:v>
                </c:pt>
                <c:pt idx="10">
                  <c:v>69.400000000000006</c:v>
                </c:pt>
              </c:numCache>
            </c:numRef>
          </c:val>
          <c:extLst>
            <c:ext xmlns:c16="http://schemas.microsoft.com/office/drawing/2014/chart" uri="{C3380CC4-5D6E-409C-BE32-E72D297353CC}">
              <c16:uniqueId val="{00000005-659B-AE4E-AE95-40DDD0332BD3}"/>
            </c:ext>
          </c:extLst>
        </c:ser>
        <c:ser>
          <c:idx val="7"/>
          <c:order val="7"/>
          <c:tx>
            <c:strRef>
              <c:f>'morbiditatea pop._clase boli'!$A$13</c:f>
              <c:strCache>
                <c:ptCount val="1"/>
                <c:pt idx="0">
                  <c:v>Boli ale aparatului circulator</c:v>
                </c:pt>
              </c:strCache>
            </c:strRef>
          </c:tx>
          <c:spPr>
            <a:solidFill>
              <a:schemeClr val="accent2">
                <a:lumMod val="60000"/>
              </a:schemeClr>
            </a:solidFill>
            <a:ln>
              <a:noFill/>
            </a:ln>
            <a:effectLst/>
          </c:spPr>
          <c:invertIfNegative val="0"/>
          <c:cat>
            <c:strRef>
              <c:f>'morbiditatea pop._clase boli'!$B$5:$L$5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boli'!$B$13:$L$13</c:f>
              <c:numCache>
                <c:formatCode>_(* #,##0_);_(* \(#,##0\);_(* "-"??_);_(@_)</c:formatCode>
                <c:ptCount val="11"/>
                <c:pt idx="0">
                  <c:v>570.4</c:v>
                </c:pt>
                <c:pt idx="1">
                  <c:v>582.5</c:v>
                </c:pt>
                <c:pt idx="2">
                  <c:v>653</c:v>
                </c:pt>
                <c:pt idx="3">
                  <c:v>680.1</c:v>
                </c:pt>
                <c:pt idx="4">
                  <c:v>707.8</c:v>
                </c:pt>
                <c:pt idx="5">
                  <c:v>757.5</c:v>
                </c:pt>
                <c:pt idx="6">
                  <c:v>711</c:v>
                </c:pt>
                <c:pt idx="7">
                  <c:v>734.7</c:v>
                </c:pt>
                <c:pt idx="8">
                  <c:v>756.4</c:v>
                </c:pt>
                <c:pt idx="9">
                  <c:v>757.2</c:v>
                </c:pt>
                <c:pt idx="10">
                  <c:v>782.8</c:v>
                </c:pt>
              </c:numCache>
            </c:numRef>
          </c:val>
          <c:extLst>
            <c:ext xmlns:c16="http://schemas.microsoft.com/office/drawing/2014/chart" uri="{C3380CC4-5D6E-409C-BE32-E72D297353CC}">
              <c16:uniqueId val="{00000006-659B-AE4E-AE95-40DDD0332BD3}"/>
            </c:ext>
          </c:extLst>
        </c:ser>
        <c:ser>
          <c:idx val="8"/>
          <c:order val="8"/>
          <c:tx>
            <c:strRef>
              <c:f>'morbiditatea pop._clase boli'!$A$14</c:f>
              <c:strCache>
                <c:ptCount val="1"/>
                <c:pt idx="0">
                  <c:v>Boli ale aparatului respirator</c:v>
                </c:pt>
              </c:strCache>
            </c:strRef>
          </c:tx>
          <c:spPr>
            <a:solidFill>
              <a:schemeClr val="accent3">
                <a:lumMod val="60000"/>
              </a:schemeClr>
            </a:solidFill>
            <a:ln>
              <a:noFill/>
            </a:ln>
            <a:effectLst/>
          </c:spPr>
          <c:invertIfNegative val="0"/>
          <c:cat>
            <c:strRef>
              <c:f>'morbiditatea pop._clase boli'!$B$5:$L$5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boli'!$B$14:$L$14</c:f>
              <c:numCache>
                <c:formatCode>_(* #,##0_);_(* \(#,##0\);_(* "-"??_);_(@_)</c:formatCode>
                <c:ptCount val="11"/>
                <c:pt idx="0">
                  <c:v>485.2</c:v>
                </c:pt>
                <c:pt idx="1">
                  <c:v>553.9</c:v>
                </c:pt>
                <c:pt idx="2">
                  <c:v>547.29999999999995</c:v>
                </c:pt>
                <c:pt idx="3">
                  <c:v>587.6</c:v>
                </c:pt>
                <c:pt idx="4">
                  <c:v>590.20000000000005</c:v>
                </c:pt>
                <c:pt idx="5">
                  <c:v>604.1</c:v>
                </c:pt>
                <c:pt idx="6">
                  <c:v>442</c:v>
                </c:pt>
                <c:pt idx="7">
                  <c:v>467.3</c:v>
                </c:pt>
                <c:pt idx="8">
                  <c:v>541</c:v>
                </c:pt>
                <c:pt idx="9">
                  <c:v>541.9</c:v>
                </c:pt>
                <c:pt idx="10">
                  <c:v>498.2</c:v>
                </c:pt>
              </c:numCache>
            </c:numRef>
          </c:val>
          <c:extLst>
            <c:ext xmlns:c16="http://schemas.microsoft.com/office/drawing/2014/chart" uri="{C3380CC4-5D6E-409C-BE32-E72D297353CC}">
              <c16:uniqueId val="{00000007-659B-AE4E-AE95-40DDD0332BD3}"/>
            </c:ext>
          </c:extLst>
        </c:ser>
        <c:ser>
          <c:idx val="9"/>
          <c:order val="9"/>
          <c:tx>
            <c:strRef>
              <c:f>'morbiditatea pop._clase boli'!$A$15</c:f>
              <c:strCache>
                <c:ptCount val="1"/>
                <c:pt idx="0">
                  <c:v>Boli ale aparatului digestiv</c:v>
                </c:pt>
              </c:strCache>
            </c:strRef>
          </c:tx>
          <c:spPr>
            <a:solidFill>
              <a:schemeClr val="accent4">
                <a:lumMod val="60000"/>
              </a:schemeClr>
            </a:solidFill>
            <a:ln>
              <a:noFill/>
            </a:ln>
            <a:effectLst/>
          </c:spPr>
          <c:invertIfNegative val="0"/>
          <c:cat>
            <c:strRef>
              <c:f>'morbiditatea pop._clase boli'!$B$5:$L$5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boli'!$B$15:$L$15</c:f>
              <c:numCache>
                <c:formatCode>_(* #,##0_);_(* \(#,##0\);_(* "-"??_);_(@_)</c:formatCode>
                <c:ptCount val="11"/>
                <c:pt idx="0">
                  <c:v>331.3</c:v>
                </c:pt>
                <c:pt idx="1">
                  <c:v>332.3</c:v>
                </c:pt>
                <c:pt idx="2">
                  <c:v>318.89999999999998</c:v>
                </c:pt>
                <c:pt idx="3">
                  <c:v>310.5</c:v>
                </c:pt>
                <c:pt idx="4">
                  <c:v>300</c:v>
                </c:pt>
                <c:pt idx="5">
                  <c:v>298.5</c:v>
                </c:pt>
                <c:pt idx="6">
                  <c:v>254.7</c:v>
                </c:pt>
                <c:pt idx="7">
                  <c:v>272.8</c:v>
                </c:pt>
                <c:pt idx="8">
                  <c:v>266.8</c:v>
                </c:pt>
                <c:pt idx="9">
                  <c:v>261.3</c:v>
                </c:pt>
                <c:pt idx="10">
                  <c:v>262.2</c:v>
                </c:pt>
              </c:numCache>
            </c:numRef>
          </c:val>
          <c:extLst>
            <c:ext xmlns:c16="http://schemas.microsoft.com/office/drawing/2014/chart" uri="{C3380CC4-5D6E-409C-BE32-E72D297353CC}">
              <c16:uniqueId val="{00000008-659B-AE4E-AE95-40DDD0332BD3}"/>
            </c:ext>
          </c:extLst>
        </c:ser>
        <c:ser>
          <c:idx val="10"/>
          <c:order val="10"/>
          <c:tx>
            <c:strRef>
              <c:f>'morbiditatea pop._clase boli'!$A$16</c:f>
              <c:strCache>
                <c:ptCount val="1"/>
                <c:pt idx="0">
                  <c:v>Boli ale aparatului genito-urinar</c:v>
                </c:pt>
              </c:strCache>
            </c:strRef>
          </c:tx>
          <c:spPr>
            <a:solidFill>
              <a:schemeClr val="accent5">
                <a:lumMod val="60000"/>
              </a:schemeClr>
            </a:solidFill>
            <a:ln>
              <a:noFill/>
            </a:ln>
            <a:effectLst/>
          </c:spPr>
          <c:invertIfNegative val="0"/>
          <c:cat>
            <c:strRef>
              <c:f>'morbiditatea pop._clase boli'!$B$5:$L$5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boli'!$B$16:$L$16</c:f>
              <c:numCache>
                <c:formatCode>_(* #,##0_);_(* \(#,##0\);_(* "-"??_);_(@_)</c:formatCode>
                <c:ptCount val="11"/>
                <c:pt idx="0">
                  <c:v>190.3</c:v>
                </c:pt>
                <c:pt idx="1">
                  <c:v>184.4</c:v>
                </c:pt>
                <c:pt idx="2">
                  <c:v>182.9</c:v>
                </c:pt>
                <c:pt idx="3">
                  <c:v>177.6</c:v>
                </c:pt>
                <c:pt idx="4">
                  <c:v>172.9</c:v>
                </c:pt>
                <c:pt idx="5">
                  <c:v>169.4</c:v>
                </c:pt>
                <c:pt idx="6">
                  <c:v>135.30000000000001</c:v>
                </c:pt>
                <c:pt idx="7">
                  <c:v>146.1</c:v>
                </c:pt>
                <c:pt idx="8">
                  <c:v>147.69999999999999</c:v>
                </c:pt>
                <c:pt idx="9">
                  <c:v>154.4</c:v>
                </c:pt>
                <c:pt idx="10">
                  <c:v>157.19999999999999</c:v>
                </c:pt>
              </c:numCache>
            </c:numRef>
          </c:val>
          <c:extLst>
            <c:ext xmlns:c16="http://schemas.microsoft.com/office/drawing/2014/chart" uri="{C3380CC4-5D6E-409C-BE32-E72D297353CC}">
              <c16:uniqueId val="{00000009-659B-AE4E-AE95-40DDD0332BD3}"/>
            </c:ext>
          </c:extLst>
        </c:ser>
        <c:ser>
          <c:idx val="11"/>
          <c:order val="11"/>
          <c:tx>
            <c:strRef>
              <c:f>'morbiditatea pop._clase boli'!$A$17</c:f>
              <c:strCache>
                <c:ptCount val="1"/>
                <c:pt idx="0">
                  <c:v>Complicatii ale sarcinii, nasterii si lauziei</c:v>
                </c:pt>
              </c:strCache>
            </c:strRef>
          </c:tx>
          <c:spPr>
            <a:solidFill>
              <a:schemeClr val="accent6">
                <a:lumMod val="60000"/>
              </a:schemeClr>
            </a:solidFill>
            <a:ln>
              <a:noFill/>
            </a:ln>
            <a:effectLst/>
          </c:spPr>
          <c:invertIfNegative val="0"/>
          <c:cat>
            <c:strRef>
              <c:f>'morbiditatea pop._clase boli'!$B$5:$L$5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boli'!$B$17:$L$17</c:f>
              <c:numCache>
                <c:formatCode>_(* #,##0_);_(* \(#,##0\);_(* "-"??_);_(@_)</c:formatCode>
                <c:ptCount val="11"/>
                <c:pt idx="0">
                  <c:v>44.5</c:v>
                </c:pt>
                <c:pt idx="1">
                  <c:v>43.5</c:v>
                </c:pt>
                <c:pt idx="2">
                  <c:v>38.700000000000003</c:v>
                </c:pt>
                <c:pt idx="3">
                  <c:v>33.5</c:v>
                </c:pt>
                <c:pt idx="4">
                  <c:v>30.9</c:v>
                </c:pt>
                <c:pt idx="5">
                  <c:v>28.4</c:v>
                </c:pt>
                <c:pt idx="6">
                  <c:v>24.4</c:v>
                </c:pt>
                <c:pt idx="7">
                  <c:v>21.6</c:v>
                </c:pt>
                <c:pt idx="8">
                  <c:v>20.5</c:v>
                </c:pt>
                <c:pt idx="9">
                  <c:v>18.899999999999999</c:v>
                </c:pt>
                <c:pt idx="10">
                  <c:v>20.52</c:v>
                </c:pt>
              </c:numCache>
            </c:numRef>
          </c:val>
          <c:extLst>
            <c:ext xmlns:c16="http://schemas.microsoft.com/office/drawing/2014/chart" uri="{C3380CC4-5D6E-409C-BE32-E72D297353CC}">
              <c16:uniqueId val="{0000000A-659B-AE4E-AE95-40DDD0332BD3}"/>
            </c:ext>
          </c:extLst>
        </c:ser>
        <c:ser>
          <c:idx val="12"/>
          <c:order val="12"/>
          <c:tx>
            <c:strRef>
              <c:f>'morbiditatea pop._clase boli'!$A$18</c:f>
              <c:strCache>
                <c:ptCount val="1"/>
                <c:pt idx="0">
                  <c:v>Boli ale pielii si tesutului celular subcutanat</c:v>
                </c:pt>
              </c:strCache>
            </c:strRef>
          </c:tx>
          <c:spPr>
            <a:solidFill>
              <a:schemeClr val="accent1">
                <a:lumMod val="80000"/>
                <a:lumOff val="20000"/>
              </a:schemeClr>
            </a:solidFill>
            <a:ln>
              <a:noFill/>
            </a:ln>
            <a:effectLst/>
          </c:spPr>
          <c:invertIfNegative val="0"/>
          <c:cat>
            <c:strRef>
              <c:f>'morbiditatea pop._clase boli'!$B$5:$L$5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boli'!$B$18:$L$18</c:f>
              <c:numCache>
                <c:formatCode>_(* #,##0_);_(* \(#,##0\);_(* "-"??_);_(@_)</c:formatCode>
                <c:ptCount val="11"/>
                <c:pt idx="0">
                  <c:v>70.900000000000006</c:v>
                </c:pt>
                <c:pt idx="1">
                  <c:v>70.8</c:v>
                </c:pt>
                <c:pt idx="2">
                  <c:v>69.8</c:v>
                </c:pt>
                <c:pt idx="3">
                  <c:v>66</c:v>
                </c:pt>
                <c:pt idx="4">
                  <c:v>60.9</c:v>
                </c:pt>
                <c:pt idx="5">
                  <c:v>60.2</c:v>
                </c:pt>
                <c:pt idx="6">
                  <c:v>48.8</c:v>
                </c:pt>
                <c:pt idx="7">
                  <c:v>48.5</c:v>
                </c:pt>
                <c:pt idx="8">
                  <c:v>42.1</c:v>
                </c:pt>
                <c:pt idx="9">
                  <c:v>43</c:v>
                </c:pt>
                <c:pt idx="10">
                  <c:v>42.5</c:v>
                </c:pt>
              </c:numCache>
            </c:numRef>
          </c:val>
          <c:extLst>
            <c:ext xmlns:c16="http://schemas.microsoft.com/office/drawing/2014/chart" uri="{C3380CC4-5D6E-409C-BE32-E72D297353CC}">
              <c16:uniqueId val="{0000000B-659B-AE4E-AE95-40DDD0332BD3}"/>
            </c:ext>
          </c:extLst>
        </c:ser>
        <c:ser>
          <c:idx val="13"/>
          <c:order val="13"/>
          <c:tx>
            <c:strRef>
              <c:f>'morbiditatea pop._clase boli'!$A$19</c:f>
              <c:strCache>
                <c:ptCount val="1"/>
                <c:pt idx="0">
                  <c:v>Boli ale sistemului osteo-articular, ale muschilor si tesutului conjunctiv</c:v>
                </c:pt>
              </c:strCache>
            </c:strRef>
          </c:tx>
          <c:spPr>
            <a:solidFill>
              <a:schemeClr val="accent2">
                <a:lumMod val="80000"/>
                <a:lumOff val="20000"/>
              </a:schemeClr>
            </a:solidFill>
            <a:ln>
              <a:noFill/>
            </a:ln>
            <a:effectLst/>
          </c:spPr>
          <c:invertIfNegative val="0"/>
          <c:cat>
            <c:strRef>
              <c:f>'morbiditatea pop._clase boli'!$B$5:$L$5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boli'!$B$19:$L$19</c:f>
              <c:numCache>
                <c:formatCode>_(* #,##0_);_(* \(#,##0\);_(* "-"??_);_(@_)</c:formatCode>
                <c:ptCount val="11"/>
                <c:pt idx="0">
                  <c:v>140.30000000000001</c:v>
                </c:pt>
                <c:pt idx="1">
                  <c:v>145.9</c:v>
                </c:pt>
                <c:pt idx="2">
                  <c:v>145</c:v>
                </c:pt>
                <c:pt idx="3">
                  <c:v>138.69999999999999</c:v>
                </c:pt>
                <c:pt idx="4">
                  <c:v>135.5</c:v>
                </c:pt>
                <c:pt idx="5">
                  <c:v>140.80000000000001</c:v>
                </c:pt>
                <c:pt idx="6">
                  <c:v>118.8</c:v>
                </c:pt>
                <c:pt idx="7">
                  <c:v>129.69999999999999</c:v>
                </c:pt>
                <c:pt idx="8">
                  <c:v>139.1</c:v>
                </c:pt>
                <c:pt idx="9">
                  <c:v>146.4</c:v>
                </c:pt>
                <c:pt idx="10">
                  <c:v>157.19999999999999</c:v>
                </c:pt>
              </c:numCache>
            </c:numRef>
          </c:val>
          <c:extLst>
            <c:ext xmlns:c16="http://schemas.microsoft.com/office/drawing/2014/chart" uri="{C3380CC4-5D6E-409C-BE32-E72D297353CC}">
              <c16:uniqueId val="{0000000C-659B-AE4E-AE95-40DDD0332BD3}"/>
            </c:ext>
          </c:extLst>
        </c:ser>
        <c:ser>
          <c:idx val="14"/>
          <c:order val="14"/>
          <c:tx>
            <c:strRef>
              <c:f>'morbiditatea pop._clase boli'!$A$20</c:f>
              <c:strCache>
                <c:ptCount val="1"/>
                <c:pt idx="0">
                  <c:v>Malformatii congenitale, deformatii si anomalii cromozomiale</c:v>
                </c:pt>
              </c:strCache>
            </c:strRef>
          </c:tx>
          <c:spPr>
            <a:solidFill>
              <a:schemeClr val="accent3">
                <a:lumMod val="80000"/>
                <a:lumOff val="20000"/>
              </a:schemeClr>
            </a:solidFill>
            <a:ln>
              <a:noFill/>
            </a:ln>
            <a:effectLst/>
          </c:spPr>
          <c:invertIfNegative val="0"/>
          <c:cat>
            <c:strRef>
              <c:f>'morbiditatea pop._clase boli'!$B$5:$L$5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boli'!$B$20:$L$20</c:f>
              <c:numCache>
                <c:formatCode>_(* #,##0_);_(* \(#,##0\);_(* "-"??_);_(@_)</c:formatCode>
                <c:ptCount val="11"/>
                <c:pt idx="0">
                  <c:v>14.8</c:v>
                </c:pt>
                <c:pt idx="1">
                  <c:v>14.8</c:v>
                </c:pt>
                <c:pt idx="2">
                  <c:v>15</c:v>
                </c:pt>
                <c:pt idx="3">
                  <c:v>14.3</c:v>
                </c:pt>
                <c:pt idx="4">
                  <c:v>13.7</c:v>
                </c:pt>
                <c:pt idx="5">
                  <c:v>13.4</c:v>
                </c:pt>
                <c:pt idx="6">
                  <c:v>11</c:v>
                </c:pt>
                <c:pt idx="7">
                  <c:v>11.4</c:v>
                </c:pt>
                <c:pt idx="8">
                  <c:v>11.9</c:v>
                </c:pt>
                <c:pt idx="9">
                  <c:v>11.6</c:v>
                </c:pt>
                <c:pt idx="10">
                  <c:v>11.8</c:v>
                </c:pt>
              </c:numCache>
            </c:numRef>
          </c:val>
          <c:extLst>
            <c:ext xmlns:c16="http://schemas.microsoft.com/office/drawing/2014/chart" uri="{C3380CC4-5D6E-409C-BE32-E72D297353CC}">
              <c16:uniqueId val="{0000000D-659B-AE4E-AE95-40DDD0332BD3}"/>
            </c:ext>
          </c:extLst>
        </c:ser>
        <c:ser>
          <c:idx val="15"/>
          <c:order val="15"/>
          <c:tx>
            <c:strRef>
              <c:f>'morbiditatea pop._clase boli'!$A$21</c:f>
              <c:strCache>
                <c:ptCount val="1"/>
                <c:pt idx="0">
                  <c:v>Leziuni traumatice, otraviri si alte consecinte ale cauzelor externe</c:v>
                </c:pt>
              </c:strCache>
            </c:strRef>
          </c:tx>
          <c:spPr>
            <a:solidFill>
              <a:schemeClr val="accent4">
                <a:lumMod val="80000"/>
                <a:lumOff val="20000"/>
              </a:schemeClr>
            </a:solidFill>
            <a:ln>
              <a:noFill/>
            </a:ln>
            <a:effectLst/>
          </c:spPr>
          <c:invertIfNegative val="0"/>
          <c:cat>
            <c:strRef>
              <c:f>'morbiditatea pop._clase boli'!$B$5:$L$5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boli'!$B$21:$L$21</c:f>
              <c:numCache>
                <c:formatCode>_(* #,##0_);_(* \(#,##0\);_(* "-"??_);_(@_)</c:formatCode>
                <c:ptCount val="11"/>
                <c:pt idx="0">
                  <c:v>105.6</c:v>
                </c:pt>
                <c:pt idx="1">
                  <c:v>107.2</c:v>
                </c:pt>
                <c:pt idx="2">
                  <c:v>102.7</c:v>
                </c:pt>
                <c:pt idx="3">
                  <c:v>100.3</c:v>
                </c:pt>
                <c:pt idx="4">
                  <c:v>81.400000000000006</c:v>
                </c:pt>
                <c:pt idx="5">
                  <c:v>77.2</c:v>
                </c:pt>
                <c:pt idx="6">
                  <c:v>57</c:v>
                </c:pt>
                <c:pt idx="7">
                  <c:v>65.7</c:v>
                </c:pt>
                <c:pt idx="8">
                  <c:v>72.2</c:v>
                </c:pt>
                <c:pt idx="9">
                  <c:v>72.7</c:v>
                </c:pt>
                <c:pt idx="10">
                  <c:v>75</c:v>
                </c:pt>
              </c:numCache>
            </c:numRef>
          </c:val>
          <c:extLst>
            <c:ext xmlns:c16="http://schemas.microsoft.com/office/drawing/2014/chart" uri="{C3380CC4-5D6E-409C-BE32-E72D297353CC}">
              <c16:uniqueId val="{0000000E-659B-AE4E-AE95-40DDD0332BD3}"/>
            </c:ext>
          </c:extLst>
        </c:ser>
        <c:dLbls>
          <c:showLegendKey val="0"/>
          <c:showVal val="0"/>
          <c:showCatName val="0"/>
          <c:showSerName val="0"/>
          <c:showPercent val="0"/>
          <c:showBubbleSize val="0"/>
        </c:dLbls>
        <c:gapWidth val="150"/>
        <c:overlap val="100"/>
        <c:axId val="912579311"/>
        <c:axId val="912448543"/>
      </c:barChart>
      <c:lineChart>
        <c:grouping val="standard"/>
        <c:varyColors val="0"/>
        <c:ser>
          <c:idx val="0"/>
          <c:order val="0"/>
          <c:tx>
            <c:strRef>
              <c:f>'morbiditatea pop._clase boli'!$A$6</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'morbiditatea pop._clase boli'!$B$5:$L$5</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boli'!$B$6:$L$6</c:f>
              <c:numCache>
                <c:formatCode>_(* #,##0_);_(* \(#,##0\);_(* "-"??_);_(@_)</c:formatCode>
                <c:ptCount val="11"/>
                <c:pt idx="0">
                  <c:v>2745.8</c:v>
                </c:pt>
                <c:pt idx="1">
                  <c:v>2831.4</c:v>
                </c:pt>
                <c:pt idx="2">
                  <c:v>2838</c:v>
                </c:pt>
                <c:pt idx="3">
                  <c:v>2941.4</c:v>
                </c:pt>
                <c:pt idx="4">
                  <c:v>2937.3</c:v>
                </c:pt>
                <c:pt idx="5">
                  <c:v>3022.6</c:v>
                </c:pt>
                <c:pt idx="6">
                  <c:v>2719.2</c:v>
                </c:pt>
                <c:pt idx="7">
                  <c:v>2931.3</c:v>
                </c:pt>
                <c:pt idx="8">
                  <c:v>3024.6</c:v>
                </c:pt>
                <c:pt idx="9">
                  <c:v>2925.9</c:v>
                </c:pt>
                <c:pt idx="10">
                  <c:v>2797.8199999999993</c:v>
                </c:pt>
              </c:numCache>
            </c:numRef>
          </c:val>
          <c:smooth val="0"/>
          <c:extLst>
            <c:ext xmlns:c16="http://schemas.microsoft.com/office/drawing/2014/chart" uri="{C3380CC4-5D6E-409C-BE32-E72D297353CC}">
              <c16:uniqueId val="{0000000F-659B-AE4E-AE95-40DDD0332BD3}"/>
            </c:ext>
          </c:extLst>
        </c:ser>
        <c:dLbls>
          <c:showLegendKey val="0"/>
          <c:showVal val="0"/>
          <c:showCatName val="0"/>
          <c:showSerName val="0"/>
          <c:showPercent val="0"/>
          <c:showBubbleSize val="0"/>
        </c:dLbls>
        <c:marker val="1"/>
        <c:smooth val="0"/>
        <c:axId val="912579311"/>
        <c:axId val="912448543"/>
      </c:lineChart>
      <c:catAx>
        <c:axId val="912579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448543"/>
        <c:crosses val="autoZero"/>
        <c:auto val="1"/>
        <c:lblAlgn val="ctr"/>
        <c:lblOffset val="100"/>
        <c:noMultiLvlLbl val="0"/>
      </c:catAx>
      <c:valAx>
        <c:axId val="912448543"/>
        <c:scaling>
          <c:orientation val="minMax"/>
          <c:max val="35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579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'morbiditatea pop._clase boli'!$A$63</c:f>
              <c:strCache>
                <c:ptCount val="1"/>
                <c:pt idx="0">
                  <c:v>Boli infectioase si parazitare</c:v>
                </c:pt>
              </c:strCache>
            </c:strRef>
          </c:tx>
          <c:spPr>
            <a:solidFill>
              <a:schemeClr val="accent2"/>
            </a:solidFill>
            <a:ln>
              <a:noFill/>
            </a:ln>
            <a:effectLst/>
          </c:spPr>
          <c:invertIfNegative val="0"/>
          <c:cat>
            <c:strRef>
              <c:f>'morbiditatea pop._clase boli'!$B$61:$L$61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boli'!$B$63:$L$63</c:f>
              <c:numCache>
                <c:formatCode>0.0</c:formatCode>
                <c:ptCount val="11"/>
                <c:pt idx="0" formatCode="0">
                  <c:v>74.2</c:v>
                </c:pt>
                <c:pt idx="1">
                  <c:v>72.8</c:v>
                </c:pt>
                <c:pt idx="2">
                  <c:v>69.3</c:v>
                </c:pt>
                <c:pt idx="3">
                  <c:v>66.099999999999994</c:v>
                </c:pt>
                <c:pt idx="4">
                  <c:v>65.3</c:v>
                </c:pt>
                <c:pt idx="5">
                  <c:v>63.5</c:v>
                </c:pt>
                <c:pt idx="6">
                  <c:v>41.5</c:v>
                </c:pt>
                <c:pt idx="7">
                  <c:v>45.2</c:v>
                </c:pt>
                <c:pt idx="8">
                  <c:v>50.1</c:v>
                </c:pt>
                <c:pt idx="9">
                  <c:v>51.1</c:v>
                </c:pt>
                <c:pt idx="10">
                  <c:v>48.9</c:v>
                </c:pt>
              </c:numCache>
            </c:numRef>
          </c:val>
          <c:extLst>
            <c:ext xmlns:c16="http://schemas.microsoft.com/office/drawing/2014/chart" uri="{C3380CC4-5D6E-409C-BE32-E72D297353CC}">
              <c16:uniqueId val="{00000000-82DB-894B-A0BE-168C034AA427}"/>
            </c:ext>
          </c:extLst>
        </c:ser>
        <c:ser>
          <c:idx val="2"/>
          <c:order val="2"/>
          <c:tx>
            <c:strRef>
              <c:f>'morbiditatea pop._clase boli'!$A$64</c:f>
              <c:strCache>
                <c:ptCount val="1"/>
                <c:pt idx="0">
                  <c:v>Tumori</c:v>
                </c:pt>
              </c:strCache>
            </c:strRef>
          </c:tx>
          <c:spPr>
            <a:solidFill>
              <a:schemeClr val="accent3"/>
            </a:solidFill>
            <a:ln>
              <a:noFill/>
            </a:ln>
            <a:effectLst/>
          </c:spPr>
          <c:invertIfNegative val="0"/>
          <c:cat>
            <c:strRef>
              <c:f>'morbiditatea pop._clase boli'!$B$61:$L$61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boli'!$B$64:$L$64</c:f>
              <c:numCache>
                <c:formatCode>0.0</c:formatCode>
                <c:ptCount val="11"/>
                <c:pt idx="0" formatCode="0">
                  <c:v>15.3</c:v>
                </c:pt>
                <c:pt idx="1">
                  <c:v>14.8</c:v>
                </c:pt>
                <c:pt idx="2">
                  <c:v>15.7</c:v>
                </c:pt>
                <c:pt idx="3">
                  <c:v>15.5</c:v>
                </c:pt>
                <c:pt idx="4">
                  <c:v>15.7</c:v>
                </c:pt>
                <c:pt idx="5">
                  <c:v>16</c:v>
                </c:pt>
                <c:pt idx="6">
                  <c:v>12.5</c:v>
                </c:pt>
                <c:pt idx="7">
                  <c:v>13.9</c:v>
                </c:pt>
                <c:pt idx="8">
                  <c:v>13.9</c:v>
                </c:pt>
                <c:pt idx="9">
                  <c:v>15.5</c:v>
                </c:pt>
                <c:pt idx="10">
                  <c:v>16.7</c:v>
                </c:pt>
              </c:numCache>
            </c:numRef>
          </c:val>
          <c:extLst>
            <c:ext xmlns:c16="http://schemas.microsoft.com/office/drawing/2014/chart" uri="{C3380CC4-5D6E-409C-BE32-E72D297353CC}">
              <c16:uniqueId val="{00000001-82DB-894B-A0BE-168C034AA427}"/>
            </c:ext>
          </c:extLst>
        </c:ser>
        <c:ser>
          <c:idx val="3"/>
          <c:order val="3"/>
          <c:tx>
            <c:strRef>
              <c:f>'morbiditatea pop._clase boli'!$A$65</c:f>
              <c:strCache>
                <c:ptCount val="1"/>
                <c:pt idx="0">
                  <c:v>Boli endocrine, de nutritie si metabolism</c:v>
                </c:pt>
              </c:strCache>
            </c:strRef>
          </c:tx>
          <c:spPr>
            <a:solidFill>
              <a:schemeClr val="accent4"/>
            </a:solidFill>
            <a:ln>
              <a:noFill/>
            </a:ln>
            <a:effectLst/>
          </c:spPr>
          <c:invertIfNegative val="0"/>
          <c:cat>
            <c:strRef>
              <c:f>'morbiditatea pop._clase boli'!$B$61:$L$61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boli'!$B$65:$L$65</c:f>
              <c:numCache>
                <c:formatCode>0.0</c:formatCode>
                <c:ptCount val="11"/>
                <c:pt idx="0" formatCode="0">
                  <c:v>32.6</c:v>
                </c:pt>
                <c:pt idx="1">
                  <c:v>32.5</c:v>
                </c:pt>
                <c:pt idx="2">
                  <c:v>33.6</c:v>
                </c:pt>
                <c:pt idx="3">
                  <c:v>33.799999999999997</c:v>
                </c:pt>
                <c:pt idx="4">
                  <c:v>30.8</c:v>
                </c:pt>
                <c:pt idx="5">
                  <c:v>32.299999999999997</c:v>
                </c:pt>
                <c:pt idx="6">
                  <c:v>23.3</c:v>
                </c:pt>
                <c:pt idx="7">
                  <c:v>31.7</c:v>
                </c:pt>
                <c:pt idx="8">
                  <c:v>31.8</c:v>
                </c:pt>
                <c:pt idx="9">
                  <c:v>33.200000000000003</c:v>
                </c:pt>
                <c:pt idx="10">
                  <c:v>36.4</c:v>
                </c:pt>
              </c:numCache>
            </c:numRef>
          </c:val>
          <c:extLst>
            <c:ext xmlns:c16="http://schemas.microsoft.com/office/drawing/2014/chart" uri="{C3380CC4-5D6E-409C-BE32-E72D297353CC}">
              <c16:uniqueId val="{00000002-82DB-894B-A0BE-168C034AA427}"/>
            </c:ext>
          </c:extLst>
        </c:ser>
        <c:ser>
          <c:idx val="4"/>
          <c:order val="4"/>
          <c:tx>
            <c:strRef>
              <c:f>'morbiditatea pop._clase boli'!$A$66</c:f>
              <c:strCache>
                <c:ptCount val="1"/>
                <c:pt idx="0">
                  <c:v>Boli ale singelui, organelor hematopoietice si unele tulburari ale mecanismului imunitar</c:v>
                </c:pt>
              </c:strCache>
            </c:strRef>
          </c:tx>
          <c:spPr>
            <a:solidFill>
              <a:schemeClr val="accent5"/>
            </a:solidFill>
            <a:ln>
              <a:noFill/>
            </a:ln>
            <a:effectLst/>
          </c:spPr>
          <c:invertIfNegative val="0"/>
          <c:cat>
            <c:strRef>
              <c:f>'morbiditatea pop._clase boli'!$B$61:$L$61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boli'!$B$66:$L$66</c:f>
              <c:numCache>
                <c:formatCode>0.0</c:formatCode>
                <c:ptCount val="11"/>
                <c:pt idx="0" formatCode="0">
                  <c:v>25.6</c:v>
                </c:pt>
                <c:pt idx="1">
                  <c:v>25.5</c:v>
                </c:pt>
                <c:pt idx="2">
                  <c:v>24.3</c:v>
                </c:pt>
                <c:pt idx="3">
                  <c:v>23.2</c:v>
                </c:pt>
                <c:pt idx="4">
                  <c:v>24.5</c:v>
                </c:pt>
                <c:pt idx="5">
                  <c:v>23.9</c:v>
                </c:pt>
                <c:pt idx="6">
                  <c:v>16.5</c:v>
                </c:pt>
                <c:pt idx="7">
                  <c:v>17.100000000000001</c:v>
                </c:pt>
                <c:pt idx="8">
                  <c:v>18.3</c:v>
                </c:pt>
                <c:pt idx="9">
                  <c:v>18.7</c:v>
                </c:pt>
                <c:pt idx="10">
                  <c:v>18.399999999999999</c:v>
                </c:pt>
              </c:numCache>
            </c:numRef>
          </c:val>
          <c:extLst>
            <c:ext xmlns:c16="http://schemas.microsoft.com/office/drawing/2014/chart" uri="{C3380CC4-5D6E-409C-BE32-E72D297353CC}">
              <c16:uniqueId val="{00000003-82DB-894B-A0BE-168C034AA427}"/>
            </c:ext>
          </c:extLst>
        </c:ser>
        <c:ser>
          <c:idx val="5"/>
          <c:order val="5"/>
          <c:tx>
            <c:strRef>
              <c:f>'morbiditatea pop._clase boli'!$A$67</c:f>
              <c:strCache>
                <c:ptCount val="1"/>
                <c:pt idx="0">
                  <c:v>Tulburari mentale si de comportament</c:v>
                </c:pt>
              </c:strCache>
            </c:strRef>
          </c:tx>
          <c:spPr>
            <a:solidFill>
              <a:schemeClr val="accent6"/>
            </a:solidFill>
            <a:ln>
              <a:noFill/>
            </a:ln>
            <a:effectLst/>
          </c:spPr>
          <c:invertIfNegative val="0"/>
          <c:cat>
            <c:strRef>
              <c:f>'morbiditatea pop._clase boli'!$B$61:$L$61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boli'!$B$67:$L$67</c:f>
              <c:numCache>
                <c:formatCode>0.0</c:formatCode>
                <c:ptCount val="11"/>
                <c:pt idx="0" formatCode="0">
                  <c:v>20.3</c:v>
                </c:pt>
                <c:pt idx="1">
                  <c:v>11.2</c:v>
                </c:pt>
                <c:pt idx="2">
                  <c:v>8.9</c:v>
                </c:pt>
                <c:pt idx="3">
                  <c:v>10.1</c:v>
                </c:pt>
                <c:pt idx="4">
                  <c:v>9</c:v>
                </c:pt>
                <c:pt idx="5">
                  <c:v>8.9</c:v>
                </c:pt>
                <c:pt idx="6">
                  <c:v>6.8</c:v>
                </c:pt>
                <c:pt idx="7">
                  <c:v>8.6</c:v>
                </c:pt>
                <c:pt idx="8">
                  <c:v>9.3000000000000007</c:v>
                </c:pt>
                <c:pt idx="9">
                  <c:v>10.199999999999999</c:v>
                </c:pt>
                <c:pt idx="10">
                  <c:v>9.6</c:v>
                </c:pt>
              </c:numCache>
            </c:numRef>
          </c:val>
          <c:extLst>
            <c:ext xmlns:c16="http://schemas.microsoft.com/office/drawing/2014/chart" uri="{C3380CC4-5D6E-409C-BE32-E72D297353CC}">
              <c16:uniqueId val="{00000004-82DB-894B-A0BE-168C034AA427}"/>
            </c:ext>
          </c:extLst>
        </c:ser>
        <c:ser>
          <c:idx val="6"/>
          <c:order val="6"/>
          <c:tx>
            <c:strRef>
              <c:f>'morbiditatea pop._clase boli'!$A$68</c:f>
              <c:strCache>
                <c:ptCount val="1"/>
                <c:pt idx="0">
                  <c:v>Boli ale sistemului nervos si ale organelor de simt</c:v>
                </c:pt>
              </c:strCache>
            </c:strRef>
          </c:tx>
          <c:spPr>
            <a:solidFill>
              <a:schemeClr val="accent1">
                <a:lumMod val="60000"/>
              </a:schemeClr>
            </a:solidFill>
            <a:ln>
              <a:noFill/>
            </a:ln>
            <a:effectLst/>
          </c:spPr>
          <c:invertIfNegative val="0"/>
          <c:cat>
            <c:strRef>
              <c:f>'morbiditatea pop._clase boli'!$B$61:$L$61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boli'!$B$68:$L$68</c:f>
              <c:numCache>
                <c:formatCode>0.0</c:formatCode>
                <c:ptCount val="11"/>
                <c:pt idx="0" formatCode="0">
                  <c:v>72</c:v>
                </c:pt>
                <c:pt idx="1">
                  <c:v>69.7</c:v>
                </c:pt>
                <c:pt idx="2">
                  <c:v>67.099999999999994</c:v>
                </c:pt>
                <c:pt idx="3">
                  <c:v>64.400000000000006</c:v>
                </c:pt>
                <c:pt idx="4">
                  <c:v>64.2</c:v>
                </c:pt>
                <c:pt idx="5">
                  <c:v>71.5</c:v>
                </c:pt>
                <c:pt idx="6">
                  <c:v>48.3</c:v>
                </c:pt>
                <c:pt idx="7">
                  <c:v>56.3</c:v>
                </c:pt>
                <c:pt idx="8">
                  <c:v>62.4</c:v>
                </c:pt>
                <c:pt idx="9">
                  <c:v>57</c:v>
                </c:pt>
                <c:pt idx="10">
                  <c:v>16.899999999999999</c:v>
                </c:pt>
              </c:numCache>
            </c:numRef>
          </c:val>
          <c:extLst>
            <c:ext xmlns:c16="http://schemas.microsoft.com/office/drawing/2014/chart" uri="{C3380CC4-5D6E-409C-BE32-E72D297353CC}">
              <c16:uniqueId val="{00000005-82DB-894B-A0BE-168C034AA427}"/>
            </c:ext>
          </c:extLst>
        </c:ser>
        <c:ser>
          <c:idx val="7"/>
          <c:order val="7"/>
          <c:tx>
            <c:strRef>
              <c:f>'morbiditatea pop._clase boli'!$A$69</c:f>
              <c:strCache>
                <c:ptCount val="1"/>
                <c:pt idx="0">
                  <c:v>Boli ale aparatului circulator</c:v>
                </c:pt>
              </c:strCache>
            </c:strRef>
          </c:tx>
          <c:spPr>
            <a:solidFill>
              <a:schemeClr val="accent2">
                <a:lumMod val="60000"/>
              </a:schemeClr>
            </a:solidFill>
            <a:ln>
              <a:noFill/>
            </a:ln>
            <a:effectLst/>
          </c:spPr>
          <c:invertIfNegative val="0"/>
          <c:cat>
            <c:strRef>
              <c:f>'morbiditatea pop._clase boli'!$B$61:$L$61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boli'!$B$69:$L$69</c:f>
              <c:numCache>
                <c:formatCode>0.0</c:formatCode>
                <c:ptCount val="11"/>
                <c:pt idx="0" formatCode="0">
                  <c:v>67.5</c:v>
                </c:pt>
                <c:pt idx="1">
                  <c:v>64.5</c:v>
                </c:pt>
                <c:pt idx="2">
                  <c:v>61.8</c:v>
                </c:pt>
                <c:pt idx="3">
                  <c:v>76.5</c:v>
                </c:pt>
                <c:pt idx="4">
                  <c:v>58.6</c:v>
                </c:pt>
                <c:pt idx="5">
                  <c:v>54.2</c:v>
                </c:pt>
                <c:pt idx="6">
                  <c:v>38.4</c:v>
                </c:pt>
                <c:pt idx="7">
                  <c:v>43.7</c:v>
                </c:pt>
                <c:pt idx="8">
                  <c:v>50.7</c:v>
                </c:pt>
                <c:pt idx="9">
                  <c:v>50.8</c:v>
                </c:pt>
                <c:pt idx="10">
                  <c:v>50.45</c:v>
                </c:pt>
              </c:numCache>
            </c:numRef>
          </c:val>
          <c:extLst>
            <c:ext xmlns:c16="http://schemas.microsoft.com/office/drawing/2014/chart" uri="{C3380CC4-5D6E-409C-BE32-E72D297353CC}">
              <c16:uniqueId val="{00000006-82DB-894B-A0BE-168C034AA427}"/>
            </c:ext>
          </c:extLst>
        </c:ser>
        <c:ser>
          <c:idx val="8"/>
          <c:order val="8"/>
          <c:tx>
            <c:strRef>
              <c:f>'morbiditatea pop._clase boli'!$A$70</c:f>
              <c:strCache>
                <c:ptCount val="1"/>
                <c:pt idx="0">
                  <c:v>Boli ale aparatului respirator</c:v>
                </c:pt>
              </c:strCache>
            </c:strRef>
          </c:tx>
          <c:spPr>
            <a:solidFill>
              <a:schemeClr val="accent3">
                <a:lumMod val="60000"/>
              </a:schemeClr>
            </a:solidFill>
            <a:ln>
              <a:noFill/>
            </a:ln>
            <a:effectLst/>
          </c:spPr>
          <c:invertIfNegative val="0"/>
          <c:cat>
            <c:strRef>
              <c:f>'morbiditatea pop._clase boli'!$B$61:$L$61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boli'!$B$70:$L$70</c:f>
              <c:numCache>
                <c:formatCode>0.0</c:formatCode>
                <c:ptCount val="11"/>
                <c:pt idx="0" formatCode="0">
                  <c:v>406.7</c:v>
                </c:pt>
                <c:pt idx="1">
                  <c:v>465.4</c:v>
                </c:pt>
                <c:pt idx="2">
                  <c:v>474.9</c:v>
                </c:pt>
                <c:pt idx="3">
                  <c:v>518</c:v>
                </c:pt>
                <c:pt idx="4">
                  <c:v>523.9</c:v>
                </c:pt>
                <c:pt idx="5">
                  <c:v>527.4</c:v>
                </c:pt>
                <c:pt idx="6">
                  <c:v>376.5</c:v>
                </c:pt>
                <c:pt idx="7">
                  <c:v>400.3</c:v>
                </c:pt>
                <c:pt idx="8">
                  <c:v>466.5</c:v>
                </c:pt>
                <c:pt idx="9">
                  <c:v>464.8</c:v>
                </c:pt>
                <c:pt idx="10">
                  <c:v>418.9</c:v>
                </c:pt>
              </c:numCache>
            </c:numRef>
          </c:val>
          <c:extLst>
            <c:ext xmlns:c16="http://schemas.microsoft.com/office/drawing/2014/chart" uri="{C3380CC4-5D6E-409C-BE32-E72D297353CC}">
              <c16:uniqueId val="{00000007-82DB-894B-A0BE-168C034AA427}"/>
            </c:ext>
          </c:extLst>
        </c:ser>
        <c:ser>
          <c:idx val="9"/>
          <c:order val="9"/>
          <c:tx>
            <c:strRef>
              <c:f>'morbiditatea pop._clase boli'!$A$71</c:f>
              <c:strCache>
                <c:ptCount val="1"/>
                <c:pt idx="0">
                  <c:v>Boli ale aparatului digestiv</c:v>
                </c:pt>
              </c:strCache>
            </c:strRef>
          </c:tx>
          <c:spPr>
            <a:solidFill>
              <a:schemeClr val="accent4">
                <a:lumMod val="60000"/>
              </a:schemeClr>
            </a:solidFill>
            <a:ln>
              <a:noFill/>
            </a:ln>
            <a:effectLst/>
          </c:spPr>
          <c:invertIfNegative val="0"/>
          <c:cat>
            <c:strRef>
              <c:f>'morbiditatea pop._clase boli'!$B$61:$L$61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boli'!$B$71:$L$71</c:f>
              <c:numCache>
                <c:formatCode>0.0</c:formatCode>
                <c:ptCount val="11"/>
                <c:pt idx="0" formatCode="0">
                  <c:v>68.7</c:v>
                </c:pt>
                <c:pt idx="1">
                  <c:v>63.9</c:v>
                </c:pt>
                <c:pt idx="2">
                  <c:v>57.2</c:v>
                </c:pt>
                <c:pt idx="3">
                  <c:v>54.9</c:v>
                </c:pt>
                <c:pt idx="4">
                  <c:v>49.5</c:v>
                </c:pt>
                <c:pt idx="5">
                  <c:v>50.5</c:v>
                </c:pt>
                <c:pt idx="6">
                  <c:v>31.9</c:v>
                </c:pt>
                <c:pt idx="7">
                  <c:v>40.299999999999997</c:v>
                </c:pt>
                <c:pt idx="8">
                  <c:v>43.1</c:v>
                </c:pt>
                <c:pt idx="9">
                  <c:v>41</c:v>
                </c:pt>
                <c:pt idx="10">
                  <c:v>40.04</c:v>
                </c:pt>
              </c:numCache>
            </c:numRef>
          </c:val>
          <c:extLst>
            <c:ext xmlns:c16="http://schemas.microsoft.com/office/drawing/2014/chart" uri="{C3380CC4-5D6E-409C-BE32-E72D297353CC}">
              <c16:uniqueId val="{00000008-82DB-894B-A0BE-168C034AA427}"/>
            </c:ext>
          </c:extLst>
        </c:ser>
        <c:ser>
          <c:idx val="10"/>
          <c:order val="10"/>
          <c:tx>
            <c:strRef>
              <c:f>'morbiditatea pop._clase boli'!$A$72</c:f>
              <c:strCache>
                <c:ptCount val="1"/>
                <c:pt idx="0">
                  <c:v>Boli ale aparatului genito-urinar</c:v>
                </c:pt>
              </c:strCache>
            </c:strRef>
          </c:tx>
          <c:spPr>
            <a:solidFill>
              <a:schemeClr val="accent5">
                <a:lumMod val="60000"/>
              </a:schemeClr>
            </a:solidFill>
            <a:ln>
              <a:noFill/>
            </a:ln>
            <a:effectLst/>
          </c:spPr>
          <c:invertIfNegative val="0"/>
          <c:cat>
            <c:strRef>
              <c:f>'morbiditatea pop._clase boli'!$B$61:$L$61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boli'!$B$72:$L$72</c:f>
              <c:numCache>
                <c:formatCode>0.0</c:formatCode>
                <c:ptCount val="11"/>
                <c:pt idx="0" formatCode="0">
                  <c:v>72.099999999999994</c:v>
                </c:pt>
                <c:pt idx="1">
                  <c:v>68.8</c:v>
                </c:pt>
                <c:pt idx="2">
                  <c:v>70.3</c:v>
                </c:pt>
                <c:pt idx="3">
                  <c:v>70.8</c:v>
                </c:pt>
                <c:pt idx="4">
                  <c:v>67.099999999999994</c:v>
                </c:pt>
                <c:pt idx="5">
                  <c:v>64.7</c:v>
                </c:pt>
                <c:pt idx="6">
                  <c:v>39.9</c:v>
                </c:pt>
                <c:pt idx="7">
                  <c:v>47.1</c:v>
                </c:pt>
                <c:pt idx="8">
                  <c:v>47.4</c:v>
                </c:pt>
                <c:pt idx="9">
                  <c:v>50.2</c:v>
                </c:pt>
                <c:pt idx="10">
                  <c:v>49.8</c:v>
                </c:pt>
              </c:numCache>
            </c:numRef>
          </c:val>
          <c:extLst>
            <c:ext xmlns:c16="http://schemas.microsoft.com/office/drawing/2014/chart" uri="{C3380CC4-5D6E-409C-BE32-E72D297353CC}">
              <c16:uniqueId val="{00000009-82DB-894B-A0BE-168C034AA427}"/>
            </c:ext>
          </c:extLst>
        </c:ser>
        <c:ser>
          <c:idx val="11"/>
          <c:order val="11"/>
          <c:tx>
            <c:strRef>
              <c:f>'morbiditatea pop._clase boli'!$A$73</c:f>
              <c:strCache>
                <c:ptCount val="1"/>
                <c:pt idx="0">
                  <c:v>Complicatii ale sarcinii, nasterii si lauziei</c:v>
                </c:pt>
              </c:strCache>
            </c:strRef>
          </c:tx>
          <c:spPr>
            <a:solidFill>
              <a:schemeClr val="accent6">
                <a:lumMod val="60000"/>
              </a:schemeClr>
            </a:solidFill>
            <a:ln>
              <a:noFill/>
            </a:ln>
            <a:effectLst/>
          </c:spPr>
          <c:invertIfNegative val="0"/>
          <c:cat>
            <c:strRef>
              <c:f>'morbiditatea pop._clase boli'!$B$61:$L$61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boli'!$B$73:$L$73</c:f>
              <c:numCache>
                <c:formatCode>0.0</c:formatCode>
                <c:ptCount val="11"/>
                <c:pt idx="0" formatCode="0">
                  <c:v>44.5</c:v>
                </c:pt>
                <c:pt idx="1">
                  <c:v>43.5</c:v>
                </c:pt>
                <c:pt idx="2">
                  <c:v>38.700000000000003</c:v>
                </c:pt>
                <c:pt idx="3">
                  <c:v>33.5</c:v>
                </c:pt>
                <c:pt idx="4">
                  <c:v>30.9</c:v>
                </c:pt>
                <c:pt idx="5">
                  <c:v>28.4</c:v>
                </c:pt>
                <c:pt idx="6">
                  <c:v>24.4</c:v>
                </c:pt>
                <c:pt idx="7">
                  <c:v>21.6</c:v>
                </c:pt>
                <c:pt idx="8">
                  <c:v>20.5</c:v>
                </c:pt>
                <c:pt idx="9">
                  <c:v>18.899999999999999</c:v>
                </c:pt>
                <c:pt idx="10">
                  <c:v>20.48</c:v>
                </c:pt>
              </c:numCache>
            </c:numRef>
          </c:val>
          <c:extLst>
            <c:ext xmlns:c16="http://schemas.microsoft.com/office/drawing/2014/chart" uri="{C3380CC4-5D6E-409C-BE32-E72D297353CC}">
              <c16:uniqueId val="{0000000A-82DB-894B-A0BE-168C034AA427}"/>
            </c:ext>
          </c:extLst>
        </c:ser>
        <c:ser>
          <c:idx val="12"/>
          <c:order val="12"/>
          <c:tx>
            <c:strRef>
              <c:f>'morbiditatea pop._clase boli'!$A$74</c:f>
              <c:strCache>
                <c:ptCount val="1"/>
                <c:pt idx="0">
                  <c:v>Boli ale pielii si tesutului celular subcutanat</c:v>
                </c:pt>
              </c:strCache>
            </c:strRef>
          </c:tx>
          <c:spPr>
            <a:solidFill>
              <a:schemeClr val="accent1">
                <a:lumMod val="80000"/>
                <a:lumOff val="20000"/>
              </a:schemeClr>
            </a:solidFill>
            <a:ln>
              <a:noFill/>
            </a:ln>
            <a:effectLst/>
          </c:spPr>
          <c:invertIfNegative val="0"/>
          <c:cat>
            <c:strRef>
              <c:f>'morbiditatea pop._clase boli'!$B$61:$L$61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boli'!$B$74:$L$74</c:f>
              <c:numCache>
                <c:formatCode>0.0</c:formatCode>
                <c:ptCount val="11"/>
                <c:pt idx="0" formatCode="0">
                  <c:v>60.8</c:v>
                </c:pt>
                <c:pt idx="1">
                  <c:v>61</c:v>
                </c:pt>
                <c:pt idx="2">
                  <c:v>60.5</c:v>
                </c:pt>
                <c:pt idx="3">
                  <c:v>56</c:v>
                </c:pt>
                <c:pt idx="4">
                  <c:v>52</c:v>
                </c:pt>
                <c:pt idx="5">
                  <c:v>50.9</c:v>
                </c:pt>
                <c:pt idx="6">
                  <c:v>33.700000000000003</c:v>
                </c:pt>
                <c:pt idx="7">
                  <c:v>39.4</c:v>
                </c:pt>
                <c:pt idx="8">
                  <c:v>32.4</c:v>
                </c:pt>
                <c:pt idx="9">
                  <c:v>33.1</c:v>
                </c:pt>
                <c:pt idx="10">
                  <c:v>31.9</c:v>
                </c:pt>
              </c:numCache>
            </c:numRef>
          </c:val>
          <c:extLst>
            <c:ext xmlns:c16="http://schemas.microsoft.com/office/drawing/2014/chart" uri="{C3380CC4-5D6E-409C-BE32-E72D297353CC}">
              <c16:uniqueId val="{0000000B-82DB-894B-A0BE-168C034AA427}"/>
            </c:ext>
          </c:extLst>
        </c:ser>
        <c:ser>
          <c:idx val="13"/>
          <c:order val="13"/>
          <c:tx>
            <c:strRef>
              <c:f>'morbiditatea pop._clase boli'!$A$75</c:f>
              <c:strCache>
                <c:ptCount val="1"/>
                <c:pt idx="0">
                  <c:v>Boli ale sistemului osteo-articular, ale muschilor si tesutului conjunctiv</c:v>
                </c:pt>
              </c:strCache>
            </c:strRef>
          </c:tx>
          <c:spPr>
            <a:solidFill>
              <a:schemeClr val="accent2">
                <a:lumMod val="80000"/>
                <a:lumOff val="20000"/>
              </a:schemeClr>
            </a:solidFill>
            <a:ln>
              <a:noFill/>
            </a:ln>
            <a:effectLst/>
          </c:spPr>
          <c:invertIfNegative val="0"/>
          <c:cat>
            <c:strRef>
              <c:f>'morbiditatea pop._clase boli'!$B$61:$L$61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boli'!$B$75:$L$75</c:f>
              <c:numCache>
                <c:formatCode>0.0</c:formatCode>
                <c:ptCount val="11"/>
                <c:pt idx="0" formatCode="0">
                  <c:v>53.6</c:v>
                </c:pt>
                <c:pt idx="1">
                  <c:v>53.3</c:v>
                </c:pt>
                <c:pt idx="2">
                  <c:v>59.6</c:v>
                </c:pt>
                <c:pt idx="3">
                  <c:v>49.7</c:v>
                </c:pt>
                <c:pt idx="4">
                  <c:v>46.9</c:v>
                </c:pt>
                <c:pt idx="5">
                  <c:v>47.9</c:v>
                </c:pt>
                <c:pt idx="6">
                  <c:v>33.6</c:v>
                </c:pt>
                <c:pt idx="7">
                  <c:v>41.3</c:v>
                </c:pt>
                <c:pt idx="8">
                  <c:v>45.4</c:v>
                </c:pt>
                <c:pt idx="9">
                  <c:v>44.4</c:v>
                </c:pt>
                <c:pt idx="10">
                  <c:v>42.9</c:v>
                </c:pt>
              </c:numCache>
            </c:numRef>
          </c:val>
          <c:extLst>
            <c:ext xmlns:c16="http://schemas.microsoft.com/office/drawing/2014/chart" uri="{C3380CC4-5D6E-409C-BE32-E72D297353CC}">
              <c16:uniqueId val="{0000000C-82DB-894B-A0BE-168C034AA427}"/>
            </c:ext>
          </c:extLst>
        </c:ser>
        <c:ser>
          <c:idx val="14"/>
          <c:order val="14"/>
          <c:tx>
            <c:strRef>
              <c:f>'morbiditatea pop._clase boli'!$A$76</c:f>
              <c:strCache>
                <c:ptCount val="1"/>
                <c:pt idx="0">
                  <c:v>Malformatii congenitale, deformatii si anomalii cromozomiale</c:v>
                </c:pt>
              </c:strCache>
            </c:strRef>
          </c:tx>
          <c:spPr>
            <a:solidFill>
              <a:schemeClr val="accent3">
                <a:lumMod val="80000"/>
                <a:lumOff val="20000"/>
              </a:schemeClr>
            </a:solidFill>
            <a:ln>
              <a:noFill/>
            </a:ln>
            <a:effectLst/>
          </c:spPr>
          <c:invertIfNegative val="0"/>
          <c:cat>
            <c:strRef>
              <c:f>'morbiditatea pop._clase boli'!$B$61:$L$61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boli'!$B$76:$L$76</c:f>
              <c:numCache>
                <c:formatCode>0.0</c:formatCode>
                <c:ptCount val="11"/>
                <c:pt idx="0" formatCode="0">
                  <c:v>3.8</c:v>
                </c:pt>
                <c:pt idx="1">
                  <c:v>3.8</c:v>
                </c:pt>
                <c:pt idx="2">
                  <c:v>4</c:v>
                </c:pt>
                <c:pt idx="3">
                  <c:v>3.4</c:v>
                </c:pt>
                <c:pt idx="4">
                  <c:v>3.3</c:v>
                </c:pt>
                <c:pt idx="5">
                  <c:v>3.1</c:v>
                </c:pt>
                <c:pt idx="6">
                  <c:v>1.6</c:v>
                </c:pt>
                <c:pt idx="7">
                  <c:v>1.8</c:v>
                </c:pt>
                <c:pt idx="8">
                  <c:v>2.2000000000000002</c:v>
                </c:pt>
                <c:pt idx="9">
                  <c:v>1.8</c:v>
                </c:pt>
                <c:pt idx="10">
                  <c:v>2.0259999999999998</c:v>
                </c:pt>
              </c:numCache>
            </c:numRef>
          </c:val>
          <c:extLst>
            <c:ext xmlns:c16="http://schemas.microsoft.com/office/drawing/2014/chart" uri="{C3380CC4-5D6E-409C-BE32-E72D297353CC}">
              <c16:uniqueId val="{0000000D-82DB-894B-A0BE-168C034AA427}"/>
            </c:ext>
          </c:extLst>
        </c:ser>
        <c:ser>
          <c:idx val="15"/>
          <c:order val="15"/>
          <c:tx>
            <c:strRef>
              <c:f>'morbiditatea pop._clase boli'!$A$77</c:f>
              <c:strCache>
                <c:ptCount val="1"/>
                <c:pt idx="0">
                  <c:v>Leziuni traumatice, otraviri si alte consecinte ale cauzelor externe</c:v>
                </c:pt>
              </c:strCache>
            </c:strRef>
          </c:tx>
          <c:spPr>
            <a:solidFill>
              <a:schemeClr val="accent4">
                <a:lumMod val="80000"/>
                <a:lumOff val="20000"/>
              </a:schemeClr>
            </a:solidFill>
            <a:ln>
              <a:noFill/>
            </a:ln>
            <a:effectLst/>
          </c:spPr>
          <c:invertIfNegative val="0"/>
          <c:cat>
            <c:strRef>
              <c:f>'morbiditatea pop._clase boli'!$B$61:$L$61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boli'!$B$77:$L$77</c:f>
              <c:numCache>
                <c:formatCode>0.0</c:formatCode>
                <c:ptCount val="11"/>
                <c:pt idx="0" formatCode="0">
                  <c:v>105.3</c:v>
                </c:pt>
                <c:pt idx="1">
                  <c:v>106.3</c:v>
                </c:pt>
                <c:pt idx="2">
                  <c:v>102.6</c:v>
                </c:pt>
                <c:pt idx="3">
                  <c:v>100</c:v>
                </c:pt>
                <c:pt idx="4">
                  <c:v>80.900000000000006</c:v>
                </c:pt>
                <c:pt idx="5">
                  <c:v>77</c:v>
                </c:pt>
                <c:pt idx="6">
                  <c:v>56.7</c:v>
                </c:pt>
                <c:pt idx="7">
                  <c:v>65.5</c:v>
                </c:pt>
                <c:pt idx="8">
                  <c:v>72</c:v>
                </c:pt>
                <c:pt idx="9">
                  <c:v>72.5</c:v>
                </c:pt>
                <c:pt idx="10">
                  <c:v>74.774000000000001</c:v>
                </c:pt>
              </c:numCache>
            </c:numRef>
          </c:val>
          <c:extLst>
            <c:ext xmlns:c16="http://schemas.microsoft.com/office/drawing/2014/chart" uri="{C3380CC4-5D6E-409C-BE32-E72D297353CC}">
              <c16:uniqueId val="{0000000E-82DB-894B-A0BE-168C034AA427}"/>
            </c:ext>
          </c:extLst>
        </c:ser>
        <c:dLbls>
          <c:showLegendKey val="0"/>
          <c:showVal val="0"/>
          <c:showCatName val="0"/>
          <c:showSerName val="0"/>
          <c:showPercent val="0"/>
          <c:showBubbleSize val="0"/>
        </c:dLbls>
        <c:gapWidth val="150"/>
        <c:overlap val="100"/>
        <c:axId val="1094393263"/>
        <c:axId val="834692287"/>
      </c:barChart>
      <c:lineChart>
        <c:grouping val="standard"/>
        <c:varyColors val="0"/>
        <c:ser>
          <c:idx val="0"/>
          <c:order val="0"/>
          <c:tx>
            <c:strRef>
              <c:f>'morbiditatea pop._clase boli'!$A$62</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'morbiditatea pop._clase boli'!$B$61:$L$61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'morbiditatea pop._clase boli'!$B$62:$L$62</c:f>
              <c:numCache>
                <c:formatCode>0.0</c:formatCode>
                <c:ptCount val="11"/>
                <c:pt idx="0">
                  <c:v>1127</c:v>
                </c:pt>
                <c:pt idx="1">
                  <c:v>1161.3</c:v>
                </c:pt>
                <c:pt idx="2">
                  <c:v>1152.9000000000001</c:v>
                </c:pt>
                <c:pt idx="3">
                  <c:v>1179.7</c:v>
                </c:pt>
                <c:pt idx="4">
                  <c:v>1126.0999999999999</c:v>
                </c:pt>
                <c:pt idx="5">
                  <c:v>1124</c:v>
                </c:pt>
                <c:pt idx="6">
                  <c:v>920.1</c:v>
                </c:pt>
                <c:pt idx="7">
                  <c:v>1056.7</c:v>
                </c:pt>
                <c:pt idx="8">
                  <c:v>1130.7</c:v>
                </c:pt>
                <c:pt idx="9">
                  <c:v>988.9</c:v>
                </c:pt>
                <c:pt idx="10">
                  <c:v>878.16999999999985</c:v>
                </c:pt>
              </c:numCache>
            </c:numRef>
          </c:val>
          <c:smooth val="0"/>
          <c:extLst>
            <c:ext xmlns:c16="http://schemas.microsoft.com/office/drawing/2014/chart" uri="{C3380CC4-5D6E-409C-BE32-E72D297353CC}">
              <c16:uniqueId val="{0000000F-82DB-894B-A0BE-168C034AA427}"/>
            </c:ext>
          </c:extLst>
        </c:ser>
        <c:dLbls>
          <c:showLegendKey val="0"/>
          <c:showVal val="0"/>
          <c:showCatName val="0"/>
          <c:showSerName val="0"/>
          <c:showPercent val="0"/>
          <c:showBubbleSize val="0"/>
        </c:dLbls>
        <c:marker val="1"/>
        <c:smooth val="0"/>
        <c:axId val="1094393263"/>
        <c:axId val="834692287"/>
      </c:lineChart>
      <c:catAx>
        <c:axId val="1094393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692287"/>
        <c:crosses val="autoZero"/>
        <c:auto val="1"/>
        <c:lblAlgn val="ctr"/>
        <c:lblOffset val="100"/>
        <c:noMultiLvlLbl val="0"/>
      </c:catAx>
      <c:valAx>
        <c:axId val="834692287"/>
        <c:scaling>
          <c:orientation val="minMax"/>
          <c:max val="12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393263"/>
        <c:crosses val="autoZero"/>
        <c:crossBetween val="between"/>
      </c:valAx>
      <c:spPr>
        <a:noFill/>
        <a:ln>
          <a:noFill/>
        </a:ln>
        <a:effectLst/>
      </c:spPr>
    </c:plotArea>
    <c:legend>
      <c:legendPos val="b"/>
      <c:layout>
        <c:manualLayout>
          <c:xMode val="edge"/>
          <c:yMode val="edge"/>
          <c:x val="0.14578267963031719"/>
          <c:y val="0.46935648605494001"/>
          <c:w val="0.77691423623895961"/>
          <c:h val="0.519044828462748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'Morbid. Boli infectioase'!$A$5</c:f>
              <c:strCache>
                <c:ptCount val="1"/>
                <c:pt idx="0">
                  <c:v>Infectii salmonelozice</c:v>
                </c:pt>
              </c:strCache>
            </c:strRef>
          </c:tx>
          <c:spPr>
            <a:solidFill>
              <a:schemeClr val="accent1"/>
            </a:solidFill>
            <a:ln>
              <a:noFill/>
            </a:ln>
            <a:effectLst/>
          </c:spPr>
          <c:invertIfNegative val="0"/>
          <c:cat>
            <c:strRef>
              <c:f>'Morbid. Boli infectioase'!$B$4:$L$4</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 Boli infectioase'!$B$5:$L$5</c:f>
              <c:numCache>
                <c:formatCode>_(* #,##0_);_(* \(#,##0\);_(* "-"??_);_(@_)</c:formatCode>
                <c:ptCount val="11"/>
                <c:pt idx="0">
                  <c:v>1886</c:v>
                </c:pt>
                <c:pt idx="1">
                  <c:v>1275</c:v>
                </c:pt>
                <c:pt idx="2">
                  <c:v>988</c:v>
                </c:pt>
                <c:pt idx="3">
                  <c:v>911</c:v>
                </c:pt>
                <c:pt idx="4">
                  <c:v>818</c:v>
                </c:pt>
                <c:pt idx="5">
                  <c:v>1057</c:v>
                </c:pt>
                <c:pt idx="6">
                  <c:v>230</c:v>
                </c:pt>
                <c:pt idx="7">
                  <c:v>259</c:v>
                </c:pt>
                <c:pt idx="8">
                  <c:v>414</c:v>
                </c:pt>
                <c:pt idx="9">
                  <c:v>487</c:v>
                </c:pt>
                <c:pt idx="10">
                  <c:v>603</c:v>
                </c:pt>
              </c:numCache>
            </c:numRef>
          </c:val>
          <c:extLst>
            <c:ext xmlns:c16="http://schemas.microsoft.com/office/drawing/2014/chart" uri="{C3380CC4-5D6E-409C-BE32-E72D297353CC}">
              <c16:uniqueId val="{00000000-7F81-734E-9E58-F15AE9C1092E}"/>
            </c:ext>
          </c:extLst>
        </c:ser>
        <c:ser>
          <c:idx val="1"/>
          <c:order val="1"/>
          <c:tx>
            <c:strRef>
              <c:f>'Morbid. Boli infectioase'!$A$6</c:f>
              <c:strCache>
                <c:ptCount val="1"/>
                <c:pt idx="0">
                  <c:v>Boli infectioase intestinale</c:v>
                </c:pt>
              </c:strCache>
            </c:strRef>
          </c:tx>
          <c:spPr>
            <a:solidFill>
              <a:schemeClr val="accent2"/>
            </a:solidFill>
            <a:ln>
              <a:noFill/>
            </a:ln>
            <a:effectLst/>
          </c:spPr>
          <c:invertIfNegative val="0"/>
          <c:cat>
            <c:strRef>
              <c:f>'Morbid. Boli infectioase'!$B$4:$L$4</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 Boli infectioase'!$B$6:$L$6</c:f>
              <c:numCache>
                <c:formatCode>_(* #,##0_);_(* \(#,##0\);_(* "-"??_);_(@_)</c:formatCode>
                <c:ptCount val="11"/>
                <c:pt idx="0">
                  <c:v>17357</c:v>
                </c:pt>
                <c:pt idx="1">
                  <c:v>16489</c:v>
                </c:pt>
                <c:pt idx="2">
                  <c:v>15095</c:v>
                </c:pt>
                <c:pt idx="3">
                  <c:v>16504</c:v>
                </c:pt>
                <c:pt idx="4">
                  <c:v>16599</c:v>
                </c:pt>
                <c:pt idx="5">
                  <c:v>18257</c:v>
                </c:pt>
                <c:pt idx="6">
                  <c:v>4020</c:v>
                </c:pt>
                <c:pt idx="7">
                  <c:v>6057</c:v>
                </c:pt>
                <c:pt idx="8">
                  <c:v>11964</c:v>
                </c:pt>
                <c:pt idx="9">
                  <c:v>6173</c:v>
                </c:pt>
                <c:pt idx="10">
                  <c:v>6213</c:v>
                </c:pt>
              </c:numCache>
            </c:numRef>
          </c:val>
          <c:extLst>
            <c:ext xmlns:c16="http://schemas.microsoft.com/office/drawing/2014/chart" uri="{C3380CC4-5D6E-409C-BE32-E72D297353CC}">
              <c16:uniqueId val="{00000001-7F81-734E-9E58-F15AE9C1092E}"/>
            </c:ext>
          </c:extLst>
        </c:ser>
        <c:ser>
          <c:idx val="2"/>
          <c:order val="2"/>
          <c:tx>
            <c:strRef>
              <c:f>'Morbid. Boli infectioase'!$A$7</c:f>
              <c:strCache>
                <c:ptCount val="1"/>
                <c:pt idx="0">
                  <c:v>Hepatite virale</c:v>
                </c:pt>
              </c:strCache>
            </c:strRef>
          </c:tx>
          <c:spPr>
            <a:solidFill>
              <a:schemeClr val="accent3"/>
            </a:solidFill>
            <a:ln>
              <a:noFill/>
            </a:ln>
            <a:effectLst/>
          </c:spPr>
          <c:invertIfNegative val="0"/>
          <c:cat>
            <c:strRef>
              <c:f>'Morbid. Boli infectioase'!$B$4:$L$4</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 Boli infectioase'!$B$7:$L$7</c:f>
              <c:numCache>
                <c:formatCode>_(* #,##0_);_(* \(#,##0\);_(* "-"??_);_(@_)</c:formatCode>
                <c:ptCount val="11"/>
                <c:pt idx="0">
                  <c:v>627</c:v>
                </c:pt>
                <c:pt idx="1">
                  <c:v>379</c:v>
                </c:pt>
                <c:pt idx="2">
                  <c:v>837</c:v>
                </c:pt>
                <c:pt idx="3">
                  <c:v>667</c:v>
                </c:pt>
                <c:pt idx="4">
                  <c:v>720</c:v>
                </c:pt>
                <c:pt idx="5">
                  <c:v>127</c:v>
                </c:pt>
                <c:pt idx="6">
                  <c:v>28</c:v>
                </c:pt>
                <c:pt idx="7">
                  <c:v>39</c:v>
                </c:pt>
                <c:pt idx="8">
                  <c:v>29</c:v>
                </c:pt>
                <c:pt idx="9">
                  <c:v>58</c:v>
                </c:pt>
                <c:pt idx="10">
                  <c:v>71</c:v>
                </c:pt>
              </c:numCache>
            </c:numRef>
          </c:val>
          <c:extLst>
            <c:ext xmlns:c16="http://schemas.microsoft.com/office/drawing/2014/chart" uri="{C3380CC4-5D6E-409C-BE32-E72D297353CC}">
              <c16:uniqueId val="{00000002-7F81-734E-9E58-F15AE9C1092E}"/>
            </c:ext>
          </c:extLst>
        </c:ser>
        <c:ser>
          <c:idx val="3"/>
          <c:order val="3"/>
          <c:tx>
            <c:strRef>
              <c:f>'Morbid. Boli infectioase'!$A$8</c:f>
              <c:strCache>
                <c:ptCount val="1"/>
                <c:pt idx="0">
                  <c:v>Tuse convulsiva</c:v>
                </c:pt>
              </c:strCache>
            </c:strRef>
          </c:tx>
          <c:spPr>
            <a:solidFill>
              <a:schemeClr val="accent4"/>
            </a:solidFill>
            <a:ln>
              <a:noFill/>
            </a:ln>
            <a:effectLst/>
          </c:spPr>
          <c:invertIfNegative val="0"/>
          <c:cat>
            <c:strRef>
              <c:f>'Morbid. Boli infectioase'!$B$4:$L$4</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 Boli infectioase'!$B$8:$L$8</c:f>
              <c:numCache>
                <c:formatCode>_(* #,##0_);_(* \(#,##0\);_(* "-"??_);_(@_)</c:formatCode>
                <c:ptCount val="11"/>
                <c:pt idx="0">
                  <c:v>156</c:v>
                </c:pt>
                <c:pt idx="1">
                  <c:v>42</c:v>
                </c:pt>
                <c:pt idx="2">
                  <c:v>280</c:v>
                </c:pt>
                <c:pt idx="3">
                  <c:v>347</c:v>
                </c:pt>
                <c:pt idx="4">
                  <c:v>184</c:v>
                </c:pt>
                <c:pt idx="5">
                  <c:v>155</c:v>
                </c:pt>
                <c:pt idx="6">
                  <c:v>59</c:v>
                </c:pt>
                <c:pt idx="7">
                  <c:v>5</c:v>
                </c:pt>
                <c:pt idx="8">
                  <c:v>6</c:v>
                </c:pt>
                <c:pt idx="9">
                  <c:v>372</c:v>
                </c:pt>
                <c:pt idx="10">
                  <c:v>1039</c:v>
                </c:pt>
              </c:numCache>
            </c:numRef>
          </c:val>
          <c:extLst>
            <c:ext xmlns:c16="http://schemas.microsoft.com/office/drawing/2014/chart" uri="{C3380CC4-5D6E-409C-BE32-E72D297353CC}">
              <c16:uniqueId val="{00000003-7F81-734E-9E58-F15AE9C1092E}"/>
            </c:ext>
          </c:extLst>
        </c:ser>
        <c:ser>
          <c:idx val="4"/>
          <c:order val="4"/>
          <c:tx>
            <c:strRef>
              <c:f>'Morbid. Boli infectioase'!$A$9</c:f>
              <c:strCache>
                <c:ptCount val="1"/>
                <c:pt idx="0">
                  <c:v>Rujeola</c:v>
                </c:pt>
              </c:strCache>
            </c:strRef>
          </c:tx>
          <c:spPr>
            <a:solidFill>
              <a:schemeClr val="accent5"/>
            </a:solidFill>
            <a:ln>
              <a:noFill/>
            </a:ln>
            <a:effectLst/>
          </c:spPr>
          <c:invertIfNegative val="0"/>
          <c:cat>
            <c:strRef>
              <c:f>'Morbid. Boli infectioase'!$B$4:$L$4</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 Boli infectioase'!$B$9:$L$9</c:f>
              <c:numCache>
                <c:formatCode>_(* #,##0_);_(* \(#,##0\);_(* "-"??_);_(@_)</c:formatCode>
                <c:ptCount val="11"/>
                <c:pt idx="0">
                  <c:v>0</c:v>
                </c:pt>
                <c:pt idx="1">
                  <c:v>0</c:v>
                </c:pt>
                <c:pt idx="2">
                  <c:v>0</c:v>
                </c:pt>
                <c:pt idx="3">
                  <c:v>0</c:v>
                </c:pt>
                <c:pt idx="4">
                  <c:v>339</c:v>
                </c:pt>
                <c:pt idx="5">
                  <c:v>90</c:v>
                </c:pt>
                <c:pt idx="6">
                  <c:v>17</c:v>
                </c:pt>
                <c:pt idx="7">
                  <c:v>0</c:v>
                </c:pt>
                <c:pt idx="8">
                  <c:v>0</c:v>
                </c:pt>
                <c:pt idx="9">
                  <c:v>0</c:v>
                </c:pt>
                <c:pt idx="10">
                  <c:v>215</c:v>
                </c:pt>
              </c:numCache>
            </c:numRef>
          </c:val>
          <c:extLst>
            <c:ext xmlns:c16="http://schemas.microsoft.com/office/drawing/2014/chart" uri="{C3380CC4-5D6E-409C-BE32-E72D297353CC}">
              <c16:uniqueId val="{00000004-7F81-734E-9E58-F15AE9C1092E}"/>
            </c:ext>
          </c:extLst>
        </c:ser>
        <c:ser>
          <c:idx val="5"/>
          <c:order val="5"/>
          <c:tx>
            <c:strRef>
              <c:f>'Morbid. Boli infectioase'!$A$10</c:f>
              <c:strCache>
                <c:ptCount val="1"/>
                <c:pt idx="0">
                  <c:v>Scarlatina</c:v>
                </c:pt>
              </c:strCache>
            </c:strRef>
          </c:tx>
          <c:spPr>
            <a:solidFill>
              <a:schemeClr val="accent6"/>
            </a:solidFill>
            <a:ln>
              <a:noFill/>
            </a:ln>
            <a:effectLst/>
          </c:spPr>
          <c:invertIfNegative val="0"/>
          <c:cat>
            <c:strRef>
              <c:f>'Morbid. Boli infectioase'!$B$4:$L$4</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 Boli infectioase'!$B$10:$L$10</c:f>
              <c:numCache>
                <c:formatCode>_(* #,##0_);_(* \(#,##0\);_(* "-"??_);_(@_)</c:formatCode>
                <c:ptCount val="11"/>
                <c:pt idx="0">
                  <c:v>403</c:v>
                </c:pt>
                <c:pt idx="1">
                  <c:v>465</c:v>
                </c:pt>
                <c:pt idx="2">
                  <c:v>441</c:v>
                </c:pt>
                <c:pt idx="3">
                  <c:v>595</c:v>
                </c:pt>
                <c:pt idx="4">
                  <c:v>1954</c:v>
                </c:pt>
                <c:pt idx="5">
                  <c:v>1830</c:v>
                </c:pt>
                <c:pt idx="6">
                  <c:v>597</c:v>
                </c:pt>
                <c:pt idx="7">
                  <c:v>172</c:v>
                </c:pt>
                <c:pt idx="8">
                  <c:v>878</c:v>
                </c:pt>
                <c:pt idx="9">
                  <c:v>1733</c:v>
                </c:pt>
                <c:pt idx="10">
                  <c:v>2386</c:v>
                </c:pt>
              </c:numCache>
            </c:numRef>
          </c:val>
          <c:extLst>
            <c:ext xmlns:c16="http://schemas.microsoft.com/office/drawing/2014/chart" uri="{C3380CC4-5D6E-409C-BE32-E72D297353CC}">
              <c16:uniqueId val="{00000005-7F81-734E-9E58-F15AE9C1092E}"/>
            </c:ext>
          </c:extLst>
        </c:ser>
        <c:ser>
          <c:idx val="6"/>
          <c:order val="6"/>
          <c:tx>
            <c:strRef>
              <c:f>'Morbid. Boli infectioase'!$A$11</c:f>
              <c:strCache>
                <c:ptCount val="1"/>
                <c:pt idx="0">
                  <c:v>Parotidita epidemica</c:v>
                </c:pt>
              </c:strCache>
            </c:strRef>
          </c:tx>
          <c:spPr>
            <a:solidFill>
              <a:schemeClr val="accent1">
                <a:lumMod val="60000"/>
              </a:schemeClr>
            </a:solidFill>
            <a:ln>
              <a:noFill/>
            </a:ln>
            <a:effectLst/>
          </c:spPr>
          <c:invertIfNegative val="0"/>
          <c:cat>
            <c:strRef>
              <c:f>'Morbid. Boli infectioase'!$B$4:$L$4</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 Boli infectioase'!$B$11:$L$11</c:f>
              <c:numCache>
                <c:formatCode>_(* #,##0_);_(* \(#,##0\);_(* "-"??_);_(@_)</c:formatCode>
                <c:ptCount val="11"/>
                <c:pt idx="0">
                  <c:v>49</c:v>
                </c:pt>
                <c:pt idx="1">
                  <c:v>66</c:v>
                </c:pt>
                <c:pt idx="2">
                  <c:v>105</c:v>
                </c:pt>
                <c:pt idx="3">
                  <c:v>72</c:v>
                </c:pt>
                <c:pt idx="4">
                  <c:v>118</c:v>
                </c:pt>
                <c:pt idx="5">
                  <c:v>105</c:v>
                </c:pt>
                <c:pt idx="6">
                  <c:v>29</c:v>
                </c:pt>
                <c:pt idx="7">
                  <c:v>38</c:v>
                </c:pt>
                <c:pt idx="8">
                  <c:v>63</c:v>
                </c:pt>
                <c:pt idx="9">
                  <c:v>56</c:v>
                </c:pt>
                <c:pt idx="10">
                  <c:v>56</c:v>
                </c:pt>
              </c:numCache>
            </c:numRef>
          </c:val>
          <c:extLst>
            <c:ext xmlns:c16="http://schemas.microsoft.com/office/drawing/2014/chart" uri="{C3380CC4-5D6E-409C-BE32-E72D297353CC}">
              <c16:uniqueId val="{00000006-7F81-734E-9E58-F15AE9C1092E}"/>
            </c:ext>
          </c:extLst>
        </c:ser>
        <c:ser>
          <c:idx val="7"/>
          <c:order val="7"/>
          <c:tx>
            <c:strRef>
              <c:f>'Morbid. Boli infectioase'!$A$12</c:f>
              <c:strCache>
                <c:ptCount val="1"/>
                <c:pt idx="0">
                  <c:v>Infectie meningococica</c:v>
                </c:pt>
              </c:strCache>
            </c:strRef>
          </c:tx>
          <c:spPr>
            <a:solidFill>
              <a:schemeClr val="accent2">
                <a:lumMod val="60000"/>
              </a:schemeClr>
            </a:solidFill>
            <a:ln>
              <a:noFill/>
            </a:ln>
            <a:effectLst/>
          </c:spPr>
          <c:invertIfNegative val="0"/>
          <c:cat>
            <c:strRef>
              <c:f>'Morbid. Boli infectioase'!$B$4:$L$4</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 Boli infectioase'!$B$12:$L$12</c:f>
              <c:numCache>
                <c:formatCode>_(* #,##0_);_(* \(#,##0\);_(* "-"??_);_(@_)</c:formatCode>
                <c:ptCount val="11"/>
                <c:pt idx="0">
                  <c:v>37</c:v>
                </c:pt>
                <c:pt idx="1">
                  <c:v>36</c:v>
                </c:pt>
                <c:pt idx="2">
                  <c:v>27</c:v>
                </c:pt>
                <c:pt idx="3">
                  <c:v>20</c:v>
                </c:pt>
                <c:pt idx="4">
                  <c:v>18</c:v>
                </c:pt>
                <c:pt idx="5">
                  <c:v>14</c:v>
                </c:pt>
                <c:pt idx="6">
                  <c:v>19</c:v>
                </c:pt>
                <c:pt idx="7">
                  <c:v>7</c:v>
                </c:pt>
                <c:pt idx="8">
                  <c:v>9</c:v>
                </c:pt>
                <c:pt idx="9">
                  <c:v>11</c:v>
                </c:pt>
                <c:pt idx="10">
                  <c:v>12</c:v>
                </c:pt>
              </c:numCache>
            </c:numRef>
          </c:val>
          <c:extLst>
            <c:ext xmlns:c16="http://schemas.microsoft.com/office/drawing/2014/chart" uri="{C3380CC4-5D6E-409C-BE32-E72D297353CC}">
              <c16:uniqueId val="{00000007-7F81-734E-9E58-F15AE9C1092E}"/>
            </c:ext>
          </c:extLst>
        </c:ser>
        <c:ser>
          <c:idx val="8"/>
          <c:order val="8"/>
          <c:tx>
            <c:strRef>
              <c:f>'Morbid. Boli infectioase'!$A$13</c:f>
              <c:strCache>
                <c:ptCount val="1"/>
                <c:pt idx="0">
                  <c:v>Gripa si infectii acute ale cailor 
respiratorii superioare, mii</c:v>
                </c:pt>
              </c:strCache>
            </c:strRef>
          </c:tx>
          <c:spPr>
            <a:solidFill>
              <a:schemeClr val="accent3">
                <a:lumMod val="60000"/>
              </a:schemeClr>
            </a:solidFill>
            <a:ln>
              <a:noFill/>
            </a:ln>
            <a:effectLst/>
          </c:spPr>
          <c:invertIfNegative val="0"/>
          <c:cat>
            <c:strRef>
              <c:f>'Morbid. Boli infectioase'!$B$4:$L$4</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 Boli infectioase'!$B$13:$L$13</c:f>
              <c:numCache>
                <c:formatCode>_(* #,##0_);_(* \(#,##0\);_(* "-"??_);_(@_)</c:formatCode>
                <c:ptCount val="11"/>
                <c:pt idx="0">
                  <c:v>240</c:v>
                </c:pt>
                <c:pt idx="1">
                  <c:v>289</c:v>
                </c:pt>
                <c:pt idx="2">
                  <c:v>283</c:v>
                </c:pt>
                <c:pt idx="3">
                  <c:v>296</c:v>
                </c:pt>
                <c:pt idx="4">
                  <c:v>329</c:v>
                </c:pt>
                <c:pt idx="5">
                  <c:v>335</c:v>
                </c:pt>
                <c:pt idx="6">
                  <c:v>237</c:v>
                </c:pt>
                <c:pt idx="7">
                  <c:v>222</c:v>
                </c:pt>
                <c:pt idx="8">
                  <c:v>299</c:v>
                </c:pt>
                <c:pt idx="9">
                  <c:v>296</c:v>
                </c:pt>
                <c:pt idx="10">
                  <c:v>245</c:v>
                </c:pt>
              </c:numCache>
            </c:numRef>
          </c:val>
          <c:extLst>
            <c:ext xmlns:c16="http://schemas.microsoft.com/office/drawing/2014/chart" uri="{C3380CC4-5D6E-409C-BE32-E72D297353CC}">
              <c16:uniqueId val="{00000008-7F81-734E-9E58-F15AE9C1092E}"/>
            </c:ext>
          </c:extLst>
        </c:ser>
        <c:ser>
          <c:idx val="9"/>
          <c:order val="9"/>
          <c:tx>
            <c:strRef>
              <c:f>'Morbid. Boli infectioase'!$A$14</c:f>
              <c:strCache>
                <c:ptCount val="1"/>
                <c:pt idx="0">
                  <c:v>Infectia HIV(SIDA)</c:v>
                </c:pt>
              </c:strCache>
            </c:strRef>
          </c:tx>
          <c:spPr>
            <a:solidFill>
              <a:schemeClr val="accent4">
                <a:lumMod val="60000"/>
              </a:schemeClr>
            </a:solidFill>
            <a:ln>
              <a:noFill/>
            </a:ln>
            <a:effectLst/>
          </c:spPr>
          <c:invertIfNegative val="0"/>
          <c:cat>
            <c:strRef>
              <c:f>'Morbid. Boli infectioase'!$B$4:$L$4</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 Boli infectioase'!$B$14:$L$14</c:f>
              <c:numCache>
                <c:formatCode>_(* #,##0_);_(* \(#,##0\);_(* "-"??_);_(@_)</c:formatCode>
                <c:ptCount val="11"/>
                <c:pt idx="0">
                  <c:v>88</c:v>
                </c:pt>
                <c:pt idx="1">
                  <c:v>131</c:v>
                </c:pt>
                <c:pt idx="2">
                  <c:v>241</c:v>
                </c:pt>
                <c:pt idx="3">
                  <c:v>182</c:v>
                </c:pt>
                <c:pt idx="4">
                  <c:v>292</c:v>
                </c:pt>
                <c:pt idx="5">
                  <c:v>241</c:v>
                </c:pt>
                <c:pt idx="6">
                  <c:v>157</c:v>
                </c:pt>
                <c:pt idx="7">
                  <c:v>139</c:v>
                </c:pt>
                <c:pt idx="8">
                  <c:v>182</c:v>
                </c:pt>
                <c:pt idx="9">
                  <c:v>222</c:v>
                </c:pt>
                <c:pt idx="10">
                  <c:v>276</c:v>
                </c:pt>
              </c:numCache>
            </c:numRef>
          </c:val>
          <c:extLst>
            <c:ext xmlns:c16="http://schemas.microsoft.com/office/drawing/2014/chart" uri="{C3380CC4-5D6E-409C-BE32-E72D297353CC}">
              <c16:uniqueId val="{00000009-7F81-734E-9E58-F15AE9C1092E}"/>
            </c:ext>
          </c:extLst>
        </c:ser>
        <c:ser>
          <c:idx val="10"/>
          <c:order val="10"/>
          <c:tx>
            <c:strRef>
              <c:f>'Morbid. Boli infectioase'!$A$15</c:f>
              <c:strCache>
                <c:ptCount val="1"/>
                <c:pt idx="0">
                  <c:v>Purtatori HIV</c:v>
                </c:pt>
              </c:strCache>
            </c:strRef>
          </c:tx>
          <c:spPr>
            <a:solidFill>
              <a:schemeClr val="accent5">
                <a:lumMod val="60000"/>
              </a:schemeClr>
            </a:solidFill>
            <a:ln>
              <a:noFill/>
            </a:ln>
            <a:effectLst/>
          </c:spPr>
          <c:invertIfNegative val="0"/>
          <c:cat>
            <c:strRef>
              <c:f>'Morbid. Boli infectioase'!$B$4:$L$4</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 Boli infectioase'!$B$15:$L$15</c:f>
              <c:numCache>
                <c:formatCode>_(* #,##0_);_(* \(#,##0\);_(* "-"??_);_(@_)</c:formatCode>
                <c:ptCount val="11"/>
                <c:pt idx="0">
                  <c:v>586</c:v>
                </c:pt>
                <c:pt idx="1">
                  <c:v>574</c:v>
                </c:pt>
                <c:pt idx="2">
                  <c:v>603</c:v>
                </c:pt>
                <c:pt idx="3">
                  <c:v>618</c:v>
                </c:pt>
                <c:pt idx="4">
                  <c:v>680</c:v>
                </c:pt>
                <c:pt idx="5">
                  <c:v>701</c:v>
                </c:pt>
                <c:pt idx="6">
                  <c:v>534</c:v>
                </c:pt>
                <c:pt idx="7">
                  <c:v>636</c:v>
                </c:pt>
                <c:pt idx="8">
                  <c:v>764</c:v>
                </c:pt>
                <c:pt idx="9">
                  <c:v>796</c:v>
                </c:pt>
                <c:pt idx="10">
                  <c:v>735</c:v>
                </c:pt>
              </c:numCache>
            </c:numRef>
          </c:val>
          <c:extLst>
            <c:ext xmlns:c16="http://schemas.microsoft.com/office/drawing/2014/chart" uri="{C3380CC4-5D6E-409C-BE32-E72D297353CC}">
              <c16:uniqueId val="{0000000A-7F81-734E-9E58-F15AE9C1092E}"/>
            </c:ext>
          </c:extLst>
        </c:ser>
        <c:ser>
          <c:idx val="11"/>
          <c:order val="11"/>
          <c:tx>
            <c:strRef>
              <c:f>'Morbid. Boli infectioase'!$A$16</c:f>
              <c:strCache>
                <c:ptCount val="1"/>
                <c:pt idx="0">
                  <c:v>Pediculoza</c:v>
                </c:pt>
              </c:strCache>
            </c:strRef>
          </c:tx>
          <c:spPr>
            <a:solidFill>
              <a:schemeClr val="accent6">
                <a:lumMod val="60000"/>
              </a:schemeClr>
            </a:solidFill>
            <a:ln>
              <a:noFill/>
            </a:ln>
            <a:effectLst/>
          </c:spPr>
          <c:invertIfNegative val="0"/>
          <c:cat>
            <c:strRef>
              <c:f>'Morbid. Boli infectioase'!$B$4:$L$4</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 Boli infectioase'!$B$16:$L$16</c:f>
              <c:numCache>
                <c:formatCode>_(* #,##0_);_(* \(#,##0\);_(* "-"??_);_(@_)</c:formatCode>
                <c:ptCount val="11"/>
                <c:pt idx="0">
                  <c:v>3018</c:v>
                </c:pt>
                <c:pt idx="1">
                  <c:v>3140</c:v>
                </c:pt>
                <c:pt idx="2">
                  <c:v>2546</c:v>
                </c:pt>
                <c:pt idx="3">
                  <c:v>2138</c:v>
                </c:pt>
                <c:pt idx="4">
                  <c:v>1240</c:v>
                </c:pt>
                <c:pt idx="5">
                  <c:v>1020</c:v>
                </c:pt>
                <c:pt idx="6">
                  <c:v>536</c:v>
                </c:pt>
                <c:pt idx="7">
                  <c:v>464</c:v>
                </c:pt>
                <c:pt idx="8">
                  <c:v>524</c:v>
                </c:pt>
                <c:pt idx="9">
                  <c:v>505</c:v>
                </c:pt>
                <c:pt idx="10">
                  <c:v>547</c:v>
                </c:pt>
              </c:numCache>
            </c:numRef>
          </c:val>
          <c:extLst>
            <c:ext xmlns:c16="http://schemas.microsoft.com/office/drawing/2014/chart" uri="{C3380CC4-5D6E-409C-BE32-E72D297353CC}">
              <c16:uniqueId val="{0000000B-7F81-734E-9E58-F15AE9C1092E}"/>
            </c:ext>
          </c:extLst>
        </c:ser>
        <c:ser>
          <c:idx val="12"/>
          <c:order val="12"/>
          <c:tx>
            <c:strRef>
              <c:f>'Morbid. Boli infectioase'!$A$17</c:f>
              <c:strCache>
                <c:ptCount val="1"/>
                <c:pt idx="0">
                  <c:v>Scabie</c:v>
                </c:pt>
              </c:strCache>
            </c:strRef>
          </c:tx>
          <c:spPr>
            <a:solidFill>
              <a:schemeClr val="accent1">
                <a:lumMod val="80000"/>
                <a:lumOff val="20000"/>
              </a:schemeClr>
            </a:solidFill>
            <a:ln>
              <a:noFill/>
            </a:ln>
            <a:effectLst/>
          </c:spPr>
          <c:invertIfNegative val="0"/>
          <c:cat>
            <c:strRef>
              <c:f>'Morbid. Boli infectioase'!$B$4:$L$4</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'Morbid. Boli infectioase'!$B$17:$L$17</c:f>
              <c:numCache>
                <c:formatCode>_(* #,##0_);_(* \(#,##0\);_(* "-"??_);_(@_)</c:formatCode>
                <c:ptCount val="11"/>
                <c:pt idx="0">
                  <c:v>1296</c:v>
                </c:pt>
                <c:pt idx="1">
                  <c:v>1127</c:v>
                </c:pt>
                <c:pt idx="2">
                  <c:v>1079</c:v>
                </c:pt>
                <c:pt idx="3">
                  <c:v>1146</c:v>
                </c:pt>
                <c:pt idx="4">
                  <c:v>1502</c:v>
                </c:pt>
                <c:pt idx="5">
                  <c:v>2050</c:v>
                </c:pt>
                <c:pt idx="6">
                  <c:v>1497</c:v>
                </c:pt>
                <c:pt idx="7">
                  <c:v>1631</c:v>
                </c:pt>
                <c:pt idx="8">
                  <c:v>1760</c:v>
                </c:pt>
                <c:pt idx="9">
                  <c:v>1971</c:v>
                </c:pt>
                <c:pt idx="10">
                  <c:v>1692</c:v>
                </c:pt>
              </c:numCache>
            </c:numRef>
          </c:val>
          <c:extLst>
            <c:ext xmlns:c16="http://schemas.microsoft.com/office/drawing/2014/chart" uri="{C3380CC4-5D6E-409C-BE32-E72D297353CC}">
              <c16:uniqueId val="{0000000C-7F81-734E-9E58-F15AE9C1092E}"/>
            </c:ext>
          </c:extLst>
        </c:ser>
        <c:dLbls>
          <c:showLegendKey val="0"/>
          <c:showVal val="0"/>
          <c:showCatName val="0"/>
          <c:showSerName val="0"/>
          <c:showPercent val="0"/>
          <c:showBubbleSize val="0"/>
        </c:dLbls>
        <c:gapWidth val="150"/>
        <c:overlap val="100"/>
        <c:axId val="760512863"/>
        <c:axId val="760514575"/>
      </c:barChart>
      <c:catAx>
        <c:axId val="760512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514575"/>
        <c:crossesAt val="0"/>
        <c:auto val="1"/>
        <c:lblAlgn val="ctr"/>
        <c:lblOffset val="100"/>
        <c:noMultiLvlLbl val="0"/>
      </c:catAx>
      <c:valAx>
        <c:axId val="7605145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512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'Morbid. copii'!$A$53</c:f>
              <c:strCache>
                <c:ptCount val="1"/>
                <c:pt idx="0">
                  <c:v>Infectii cu alte salmonele</c:v>
                </c:pt>
              </c:strCache>
            </c:strRef>
          </c:tx>
          <c:spPr>
            <a:solidFill>
              <a:schemeClr val="accent1"/>
            </a:solidFill>
            <a:ln>
              <a:noFill/>
            </a:ln>
            <a:effectLst/>
          </c:spPr>
          <c:invertIfNegative val="0"/>
          <c:cat>
            <c:strRef>
              <c:f>'Morbid. copii'!$B$52:$K$52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'Morbid. copii'!$B$53:$K$53</c:f>
              <c:numCache>
                <c:formatCode>_(* #,##0_);_(* \(#,##0\);_(* "-"??_);_(@_)</c:formatCode>
                <c:ptCount val="10"/>
                <c:pt idx="0">
                  <c:v>528</c:v>
                </c:pt>
                <c:pt idx="1">
                  <c:v>361</c:v>
                </c:pt>
                <c:pt idx="2">
                  <c:v>408</c:v>
                </c:pt>
                <c:pt idx="3">
                  <c:v>1297</c:v>
                </c:pt>
                <c:pt idx="4">
                  <c:v>364</c:v>
                </c:pt>
                <c:pt idx="5">
                  <c:v>107</c:v>
                </c:pt>
                <c:pt idx="6">
                  <c:v>2176</c:v>
                </c:pt>
                <c:pt idx="7">
                  <c:v>171</c:v>
                </c:pt>
                <c:pt idx="8">
                  <c:v>240</c:v>
                </c:pt>
                <c:pt idx="9">
                  <c:v>250</c:v>
                </c:pt>
              </c:numCache>
            </c:numRef>
          </c:val>
          <c:extLst>
            <c:ext xmlns:c16="http://schemas.microsoft.com/office/drawing/2014/chart" uri="{C3380CC4-5D6E-409C-BE32-E72D297353CC}">
              <c16:uniqueId val="{00000000-9B38-1F4B-8FCC-65E0B201F943}"/>
            </c:ext>
          </c:extLst>
        </c:ser>
        <c:ser>
          <c:idx val="1"/>
          <c:order val="1"/>
          <c:tx>
            <c:strRef>
              <c:f>'Morbid. copii'!$A$54</c:f>
              <c:strCache>
                <c:ptCount val="1"/>
                <c:pt idx="0">
                  <c:v>Dizenteria bacteriana (Shigellosis)</c:v>
                </c:pt>
              </c:strCache>
            </c:strRef>
          </c:tx>
          <c:spPr>
            <a:solidFill>
              <a:schemeClr val="accent2"/>
            </a:solidFill>
            <a:ln>
              <a:noFill/>
            </a:ln>
            <a:effectLst/>
          </c:spPr>
          <c:invertIfNegative val="0"/>
          <c:cat>
            <c:strRef>
              <c:f>'Morbid. copii'!$B$52:$K$52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'Morbid. copii'!$B$54:$K$54</c:f>
              <c:numCache>
                <c:formatCode>_(* #,##0_);_(* \(#,##0\);_(* "-"??_);_(@_)</c:formatCode>
                <c:ptCount val="10"/>
                <c:pt idx="0">
                  <c:v>63</c:v>
                </c:pt>
                <c:pt idx="1">
                  <c:v>56</c:v>
                </c:pt>
                <c:pt idx="2">
                  <c:v>329</c:v>
                </c:pt>
                <c:pt idx="3">
                  <c:v>448</c:v>
                </c:pt>
                <c:pt idx="4">
                  <c:v>18</c:v>
                </c:pt>
                <c:pt idx="5">
                  <c:v>0</c:v>
                </c:pt>
                <c:pt idx="6">
                  <c:v>795</c:v>
                </c:pt>
                <c:pt idx="7">
                  <c:v>0</c:v>
                </c:pt>
                <c:pt idx="8">
                  <c:v>26</c:v>
                </c:pt>
                <c:pt idx="9">
                  <c:v>26</c:v>
                </c:pt>
              </c:numCache>
            </c:numRef>
          </c:val>
          <c:extLst>
            <c:ext xmlns:c16="http://schemas.microsoft.com/office/drawing/2014/chart" uri="{C3380CC4-5D6E-409C-BE32-E72D297353CC}">
              <c16:uniqueId val="{00000001-9B38-1F4B-8FCC-65E0B201F943}"/>
            </c:ext>
          </c:extLst>
        </c:ser>
        <c:ser>
          <c:idx val="2"/>
          <c:order val="2"/>
          <c:tx>
            <c:strRef>
              <c:f>'Morbid. copii'!$A$55</c:f>
              <c:strCache>
                <c:ptCount val="1"/>
                <c:pt idx="0">
                  <c:v>Escherichioze</c:v>
                </c:pt>
              </c:strCache>
            </c:strRef>
          </c:tx>
          <c:spPr>
            <a:solidFill>
              <a:schemeClr val="accent3"/>
            </a:solidFill>
            <a:ln>
              <a:noFill/>
            </a:ln>
            <a:effectLst/>
          </c:spPr>
          <c:invertIfNegative val="0"/>
          <c:cat>
            <c:strRef>
              <c:f>'Morbid. copii'!$B$52:$K$52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'Morbid. copii'!$B$55:$K$55</c:f>
              <c:numCache>
                <c:formatCode>_(* #,##0_);_(* \(#,##0\);_(* "-"??_);_(@_)</c:formatCode>
                <c:ptCount val="10"/>
                <c:pt idx="0">
                  <c:v>471</c:v>
                </c:pt>
                <c:pt idx="1">
                  <c:v>583</c:v>
                </c:pt>
                <c:pt idx="2">
                  <c:v>702</c:v>
                </c:pt>
                <c:pt idx="3">
                  <c:v>1756</c:v>
                </c:pt>
                <c:pt idx="4">
                  <c:v>607</c:v>
                </c:pt>
                <c:pt idx="5">
                  <c:v>156</c:v>
                </c:pt>
                <c:pt idx="6">
                  <c:v>3221</c:v>
                </c:pt>
                <c:pt idx="7">
                  <c:v>542</c:v>
                </c:pt>
                <c:pt idx="8">
                  <c:v>449</c:v>
                </c:pt>
                <c:pt idx="9">
                  <c:v>422</c:v>
                </c:pt>
              </c:numCache>
            </c:numRef>
          </c:val>
          <c:extLst>
            <c:ext xmlns:c16="http://schemas.microsoft.com/office/drawing/2014/chart" uri="{C3380CC4-5D6E-409C-BE32-E72D297353CC}">
              <c16:uniqueId val="{00000002-9B38-1F4B-8FCC-65E0B201F943}"/>
            </c:ext>
          </c:extLst>
        </c:ser>
        <c:ser>
          <c:idx val="3"/>
          <c:order val="3"/>
          <c:tx>
            <c:strRef>
              <c:f>'Morbid. copii'!$A$56</c:f>
              <c:strCache>
                <c:ptCount val="1"/>
                <c:pt idx="0">
                  <c:v>Enterite, colite, gastroenterite provocate de agenti determinati</c:v>
                </c:pt>
              </c:strCache>
            </c:strRef>
          </c:tx>
          <c:spPr>
            <a:solidFill>
              <a:schemeClr val="accent4"/>
            </a:solidFill>
            <a:ln>
              <a:noFill/>
            </a:ln>
            <a:effectLst/>
          </c:spPr>
          <c:invertIfNegative val="0"/>
          <c:cat>
            <c:strRef>
              <c:f>'Morbid. copii'!$B$52:$K$52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'Morbid. copii'!$B$56:$K$56</c:f>
              <c:numCache>
                <c:formatCode>_(* #,##0_);_(* \(#,##0\);_(* "-"??_);_(@_)</c:formatCode>
                <c:ptCount val="10"/>
                <c:pt idx="0">
                  <c:v>3057</c:v>
                </c:pt>
                <c:pt idx="1">
                  <c:v>3059</c:v>
                </c:pt>
                <c:pt idx="2">
                  <c:v>3332</c:v>
                </c:pt>
                <c:pt idx="3">
                  <c:v>9448</c:v>
                </c:pt>
                <c:pt idx="4">
                  <c:v>2282</c:v>
                </c:pt>
                <c:pt idx="5">
                  <c:v>496</c:v>
                </c:pt>
                <c:pt idx="6">
                  <c:v>15558</c:v>
                </c:pt>
                <c:pt idx="7">
                  <c:v>1515</c:v>
                </c:pt>
                <c:pt idx="8">
                  <c:v>1473</c:v>
                </c:pt>
                <c:pt idx="9">
                  <c:v>1629</c:v>
                </c:pt>
              </c:numCache>
            </c:numRef>
          </c:val>
          <c:extLst>
            <c:ext xmlns:c16="http://schemas.microsoft.com/office/drawing/2014/chart" uri="{C3380CC4-5D6E-409C-BE32-E72D297353CC}">
              <c16:uniqueId val="{00000003-9B38-1F4B-8FCC-65E0B201F943}"/>
            </c:ext>
          </c:extLst>
        </c:ser>
        <c:ser>
          <c:idx val="4"/>
          <c:order val="4"/>
          <c:tx>
            <c:strRef>
              <c:f>'Morbid. copii'!$A$57</c:f>
              <c:strCache>
                <c:ptCount val="1"/>
                <c:pt idx="0">
                  <c:v>Intoxicatii si toxicoinfectii alimentare, provocate de agenti determinati</c:v>
                </c:pt>
              </c:strCache>
            </c:strRef>
          </c:tx>
          <c:spPr>
            <a:solidFill>
              <a:schemeClr val="accent5"/>
            </a:solidFill>
            <a:ln>
              <a:noFill/>
            </a:ln>
            <a:effectLst/>
          </c:spPr>
          <c:invertIfNegative val="0"/>
          <c:cat>
            <c:strRef>
              <c:f>'Morbid. copii'!$B$52:$K$52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'Morbid. copii'!$B$57:$K$57</c:f>
              <c:numCache>
                <c:formatCode>_(* #,##0_);_(* \(#,##0\);_(* "-"??_);_(@_)</c:formatCode>
                <c:ptCount val="10"/>
                <c:pt idx="0">
                  <c:v>226</c:v>
                </c:pt>
                <c:pt idx="1">
                  <c:v>235</c:v>
                </c:pt>
                <c:pt idx="2">
                  <c:v>244</c:v>
                </c:pt>
                <c:pt idx="3">
                  <c:v>705</c:v>
                </c:pt>
                <c:pt idx="4">
                  <c:v>148</c:v>
                </c:pt>
                <c:pt idx="5">
                  <c:v>14</c:v>
                </c:pt>
                <c:pt idx="6">
                  <c:v>1111</c:v>
                </c:pt>
                <c:pt idx="7">
                  <c:v>78</c:v>
                </c:pt>
                <c:pt idx="8">
                  <c:v>88</c:v>
                </c:pt>
                <c:pt idx="9">
                  <c:v>65</c:v>
                </c:pt>
              </c:numCache>
            </c:numRef>
          </c:val>
          <c:extLst>
            <c:ext xmlns:c16="http://schemas.microsoft.com/office/drawing/2014/chart" uri="{C3380CC4-5D6E-409C-BE32-E72D297353CC}">
              <c16:uniqueId val="{00000004-9B38-1F4B-8FCC-65E0B201F943}"/>
            </c:ext>
          </c:extLst>
        </c:ser>
        <c:ser>
          <c:idx val="5"/>
          <c:order val="5"/>
          <c:tx>
            <c:strRef>
              <c:f>'Morbid. copii'!$A$58</c:f>
              <c:strCache>
                <c:ptCount val="1"/>
                <c:pt idx="0">
                  <c:v>Intoxicatii si toxicoinfectii alimentare, provocate de agenti nedeterminati</c:v>
                </c:pt>
              </c:strCache>
            </c:strRef>
          </c:tx>
          <c:spPr>
            <a:solidFill>
              <a:schemeClr val="accent6"/>
            </a:solidFill>
            <a:ln>
              <a:noFill/>
            </a:ln>
            <a:effectLst/>
          </c:spPr>
          <c:invertIfNegative val="0"/>
          <c:cat>
            <c:strRef>
              <c:f>'Morbid. copii'!$B$52:$K$52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'Morbid. copii'!$B$58:$K$58</c:f>
              <c:numCache>
                <c:formatCode>_(* #,##0_);_(* \(#,##0\);_(* "-"??_);_(@_)</c:formatCode>
                <c:ptCount val="10"/>
                <c:pt idx="0">
                  <c:v>958</c:v>
                </c:pt>
                <c:pt idx="1">
                  <c:v>1078</c:v>
                </c:pt>
                <c:pt idx="2">
                  <c:v>849</c:v>
                </c:pt>
                <c:pt idx="3">
                  <c:v>2885</c:v>
                </c:pt>
                <c:pt idx="4">
                  <c:v>1182</c:v>
                </c:pt>
                <c:pt idx="5">
                  <c:v>247</c:v>
                </c:pt>
                <c:pt idx="6">
                  <c:v>5163</c:v>
                </c:pt>
                <c:pt idx="7">
                  <c:v>558</c:v>
                </c:pt>
                <c:pt idx="8">
                  <c:v>565</c:v>
                </c:pt>
                <c:pt idx="9">
                  <c:v>477</c:v>
                </c:pt>
              </c:numCache>
            </c:numRef>
          </c:val>
          <c:extLst>
            <c:ext xmlns:c16="http://schemas.microsoft.com/office/drawing/2014/chart" uri="{C3380CC4-5D6E-409C-BE32-E72D297353CC}">
              <c16:uniqueId val="{00000005-9B38-1F4B-8FCC-65E0B201F943}"/>
            </c:ext>
          </c:extLst>
        </c:ser>
        <c:ser>
          <c:idx val="6"/>
          <c:order val="6"/>
          <c:tx>
            <c:strRef>
              <c:f>'Morbid. copii'!$A$59</c:f>
              <c:strCache>
                <c:ptCount val="1"/>
                <c:pt idx="0">
                  <c:v>Infectii intestinale acute provocate de agenti nedeterminati</c:v>
                </c:pt>
              </c:strCache>
            </c:strRef>
          </c:tx>
          <c:spPr>
            <a:solidFill>
              <a:schemeClr val="accent1">
                <a:lumMod val="60000"/>
              </a:schemeClr>
            </a:solidFill>
            <a:ln>
              <a:noFill/>
            </a:ln>
            <a:effectLst/>
          </c:spPr>
          <c:invertIfNegative val="0"/>
          <c:cat>
            <c:strRef>
              <c:f>'Morbid. copii'!$B$52:$K$52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'Morbid. copii'!$B$59:$K$59</c:f>
              <c:numCache>
                <c:formatCode>_(* #,##0_);_(* \(#,##0\);_(* "-"??_);_(@_)</c:formatCode>
                <c:ptCount val="10"/>
                <c:pt idx="0">
                  <c:v>5153</c:v>
                </c:pt>
                <c:pt idx="1">
                  <c:v>4599</c:v>
                </c:pt>
                <c:pt idx="2">
                  <c:v>5513</c:v>
                </c:pt>
                <c:pt idx="3">
                  <c:v>15265</c:v>
                </c:pt>
                <c:pt idx="4">
                  <c:v>6192</c:v>
                </c:pt>
                <c:pt idx="5">
                  <c:v>1483</c:v>
                </c:pt>
                <c:pt idx="6">
                  <c:v>28453</c:v>
                </c:pt>
                <c:pt idx="7">
                  <c:v>5026</c:v>
                </c:pt>
                <c:pt idx="8">
                  <c:v>4113</c:v>
                </c:pt>
                <c:pt idx="9">
                  <c:v>4447</c:v>
                </c:pt>
              </c:numCache>
            </c:numRef>
          </c:val>
          <c:extLst>
            <c:ext xmlns:c16="http://schemas.microsoft.com/office/drawing/2014/chart" uri="{C3380CC4-5D6E-409C-BE32-E72D297353CC}">
              <c16:uniqueId val="{00000006-9B38-1F4B-8FCC-65E0B201F943}"/>
            </c:ext>
          </c:extLst>
        </c:ser>
        <c:ser>
          <c:idx val="7"/>
          <c:order val="7"/>
          <c:tx>
            <c:strRef>
              <c:f>'Morbid. copii'!$A$60</c:f>
              <c:strCache>
                <c:ptCount val="1"/>
                <c:pt idx="0">
                  <c:v>Tuberculoza organelor respiratorii</c:v>
                </c:pt>
              </c:strCache>
            </c:strRef>
          </c:tx>
          <c:spPr>
            <a:solidFill>
              <a:schemeClr val="accent2">
                <a:lumMod val="60000"/>
              </a:schemeClr>
            </a:solidFill>
            <a:ln>
              <a:noFill/>
            </a:ln>
            <a:effectLst/>
          </c:spPr>
          <c:invertIfNegative val="0"/>
          <c:cat>
            <c:strRef>
              <c:f>'Morbid. copii'!$B$52:$K$52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'Morbid. copii'!$B$60:$K$60</c:f>
              <c:numCache>
                <c:formatCode>_(* #,##0_);_(* \(#,##0\);_(* "-"??_);_(@_)</c:formatCode>
                <c:ptCount val="10"/>
                <c:pt idx="0">
                  <c:v>119</c:v>
                </c:pt>
                <c:pt idx="1">
                  <c:v>119</c:v>
                </c:pt>
                <c:pt idx="2">
                  <c:v>138</c:v>
                </c:pt>
                <c:pt idx="3">
                  <c:v>376</c:v>
                </c:pt>
                <c:pt idx="4">
                  <c:v>107</c:v>
                </c:pt>
                <c:pt idx="5">
                  <c:v>40</c:v>
                </c:pt>
                <c:pt idx="6">
                  <c:v>661</c:v>
                </c:pt>
                <c:pt idx="7">
                  <c:v>65</c:v>
                </c:pt>
                <c:pt idx="8">
                  <c:v>96</c:v>
                </c:pt>
                <c:pt idx="9">
                  <c:v>105</c:v>
                </c:pt>
              </c:numCache>
            </c:numRef>
          </c:val>
          <c:extLst>
            <c:ext xmlns:c16="http://schemas.microsoft.com/office/drawing/2014/chart" uri="{C3380CC4-5D6E-409C-BE32-E72D297353CC}">
              <c16:uniqueId val="{00000007-9B38-1F4B-8FCC-65E0B201F943}"/>
            </c:ext>
          </c:extLst>
        </c:ser>
        <c:ser>
          <c:idx val="8"/>
          <c:order val="8"/>
          <c:tx>
            <c:strRef>
              <c:f>'Morbid. copii'!$A$61</c:f>
              <c:strCache>
                <c:ptCount val="1"/>
                <c:pt idx="0">
                  <c:v>Tusea convulsiva</c:v>
                </c:pt>
              </c:strCache>
            </c:strRef>
          </c:tx>
          <c:spPr>
            <a:solidFill>
              <a:schemeClr val="accent3">
                <a:lumMod val="60000"/>
              </a:schemeClr>
            </a:solidFill>
            <a:ln>
              <a:noFill/>
            </a:ln>
            <a:effectLst/>
          </c:spPr>
          <c:invertIfNegative val="0"/>
          <c:cat>
            <c:strRef>
              <c:f>'Morbid. copii'!$B$52:$K$52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'Morbid. copii'!$B$61:$K$61</c:f>
              <c:numCache>
                <c:formatCode>_(* #,##0_);_(* \(#,##0\);_(* "-"??_);_(@_)</c:formatCode>
                <c:ptCount val="10"/>
                <c:pt idx="0">
                  <c:v>38</c:v>
                </c:pt>
                <c:pt idx="1">
                  <c:v>265</c:v>
                </c:pt>
                <c:pt idx="2">
                  <c:v>339</c:v>
                </c:pt>
                <c:pt idx="3">
                  <c:v>642</c:v>
                </c:pt>
                <c:pt idx="4">
                  <c:v>153</c:v>
                </c:pt>
                <c:pt idx="5">
                  <c:v>58</c:v>
                </c:pt>
                <c:pt idx="6">
                  <c:v>1192</c:v>
                </c:pt>
                <c:pt idx="7">
                  <c:v>6</c:v>
                </c:pt>
                <c:pt idx="8">
                  <c:v>359</c:v>
                </c:pt>
                <c:pt idx="9">
                  <c:v>967</c:v>
                </c:pt>
              </c:numCache>
            </c:numRef>
          </c:val>
          <c:extLst>
            <c:ext xmlns:c16="http://schemas.microsoft.com/office/drawing/2014/chart" uri="{C3380CC4-5D6E-409C-BE32-E72D297353CC}">
              <c16:uniqueId val="{00000008-9B38-1F4B-8FCC-65E0B201F943}"/>
            </c:ext>
          </c:extLst>
        </c:ser>
        <c:ser>
          <c:idx val="9"/>
          <c:order val="9"/>
          <c:tx>
            <c:strRef>
              <c:f>'Morbid. copii'!$A$62</c:f>
              <c:strCache>
                <c:ptCount val="1"/>
                <c:pt idx="0">
                  <c:v>Scarlatina</c:v>
                </c:pt>
              </c:strCache>
            </c:strRef>
          </c:tx>
          <c:spPr>
            <a:solidFill>
              <a:schemeClr val="accent4">
                <a:lumMod val="60000"/>
              </a:schemeClr>
            </a:solidFill>
            <a:ln>
              <a:noFill/>
            </a:ln>
            <a:effectLst/>
          </c:spPr>
          <c:invertIfNegative val="0"/>
          <c:cat>
            <c:strRef>
              <c:f>'Morbid. copii'!$B$52:$K$52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'Morbid. copii'!$B$62:$K$62</c:f>
              <c:numCache>
                <c:formatCode>_(* #,##0_);_(* \(#,##0\);_(* "-"??_);_(@_)</c:formatCode>
                <c:ptCount val="10"/>
                <c:pt idx="0">
                  <c:v>455</c:v>
                </c:pt>
                <c:pt idx="1">
                  <c:v>434</c:v>
                </c:pt>
                <c:pt idx="2">
                  <c:v>591</c:v>
                </c:pt>
                <c:pt idx="3">
                  <c:v>1480</c:v>
                </c:pt>
                <c:pt idx="4">
                  <c:v>1815</c:v>
                </c:pt>
                <c:pt idx="5">
                  <c:v>587</c:v>
                </c:pt>
                <c:pt idx="6">
                  <c:v>4473</c:v>
                </c:pt>
                <c:pt idx="7">
                  <c:v>867</c:v>
                </c:pt>
                <c:pt idx="8">
                  <c:v>1722</c:v>
                </c:pt>
                <c:pt idx="9">
                  <c:v>2372</c:v>
                </c:pt>
              </c:numCache>
            </c:numRef>
          </c:val>
          <c:extLst>
            <c:ext xmlns:c16="http://schemas.microsoft.com/office/drawing/2014/chart" uri="{C3380CC4-5D6E-409C-BE32-E72D297353CC}">
              <c16:uniqueId val="{00000009-9B38-1F4B-8FCC-65E0B201F943}"/>
            </c:ext>
          </c:extLst>
        </c:ser>
        <c:ser>
          <c:idx val="10"/>
          <c:order val="10"/>
          <c:tx>
            <c:strRef>
              <c:f>'Morbid. copii'!$A$63</c:f>
              <c:strCache>
                <c:ptCount val="1"/>
                <c:pt idx="0">
                  <c:v>Sifilis</c:v>
                </c:pt>
              </c:strCache>
            </c:strRef>
          </c:tx>
          <c:spPr>
            <a:solidFill>
              <a:schemeClr val="accent5">
                <a:lumMod val="60000"/>
              </a:schemeClr>
            </a:solidFill>
            <a:ln>
              <a:noFill/>
            </a:ln>
            <a:effectLst/>
          </c:spPr>
          <c:invertIfNegative val="0"/>
          <c:cat>
            <c:strRef>
              <c:f>'Morbid. copii'!$B$52:$K$52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'Morbid. copii'!$B$63:$K$63</c:f>
              <c:numCache>
                <c:formatCode>_(* #,##0_);_(* \(#,##0\);_(* "-"??_);_(@_)</c:formatCode>
                <c:ptCount val="10"/>
                <c:pt idx="0">
                  <c:v>100</c:v>
                </c:pt>
                <c:pt idx="1">
                  <c:v>67</c:v>
                </c:pt>
                <c:pt idx="2">
                  <c:v>51</c:v>
                </c:pt>
                <c:pt idx="3">
                  <c:v>218</c:v>
                </c:pt>
                <c:pt idx="4">
                  <c:v>57</c:v>
                </c:pt>
                <c:pt idx="5">
                  <c:v>33</c:v>
                </c:pt>
                <c:pt idx="6">
                  <c:v>359</c:v>
                </c:pt>
                <c:pt idx="7">
                  <c:v>72</c:v>
                </c:pt>
                <c:pt idx="8">
                  <c:v>40</c:v>
                </c:pt>
                <c:pt idx="9">
                  <c:v>32</c:v>
                </c:pt>
              </c:numCache>
            </c:numRef>
          </c:val>
          <c:extLst>
            <c:ext xmlns:c16="http://schemas.microsoft.com/office/drawing/2014/chart" uri="{C3380CC4-5D6E-409C-BE32-E72D297353CC}">
              <c16:uniqueId val="{0000000A-9B38-1F4B-8FCC-65E0B201F943}"/>
            </c:ext>
          </c:extLst>
        </c:ser>
        <c:ser>
          <c:idx val="11"/>
          <c:order val="11"/>
          <c:tx>
            <c:strRef>
              <c:f>'Morbid. copii'!$A$64</c:f>
              <c:strCache>
                <c:ptCount val="1"/>
                <c:pt idx="0">
                  <c:v>Infectie gonococica acuta si cronica</c:v>
                </c:pt>
              </c:strCache>
            </c:strRef>
          </c:tx>
          <c:spPr>
            <a:solidFill>
              <a:schemeClr val="accent6">
                <a:lumMod val="60000"/>
              </a:schemeClr>
            </a:solidFill>
            <a:ln>
              <a:noFill/>
            </a:ln>
            <a:effectLst/>
          </c:spPr>
          <c:invertIfNegative val="0"/>
          <c:cat>
            <c:strRef>
              <c:f>'Morbid. copii'!$B$52:$K$52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'Morbid. copii'!$B$64:$K$64</c:f>
              <c:numCache>
                <c:formatCode>_(* #,##0_);_(* \(#,##0\);_(* "-"??_);_(@_)</c:formatCode>
                <c:ptCount val="10"/>
                <c:pt idx="0">
                  <c:v>25</c:v>
                </c:pt>
                <c:pt idx="1">
                  <c:v>10</c:v>
                </c:pt>
                <c:pt idx="2">
                  <c:v>21</c:v>
                </c:pt>
                <c:pt idx="3">
                  <c:v>56</c:v>
                </c:pt>
                <c:pt idx="4">
                  <c:v>10</c:v>
                </c:pt>
                <c:pt idx="5">
                  <c:v>13</c:v>
                </c:pt>
                <c:pt idx="6">
                  <c:v>100</c:v>
                </c:pt>
                <c:pt idx="7">
                  <c:v>15</c:v>
                </c:pt>
                <c:pt idx="8">
                  <c:v>12</c:v>
                </c:pt>
                <c:pt idx="9">
                  <c:v>5</c:v>
                </c:pt>
              </c:numCache>
            </c:numRef>
          </c:val>
          <c:extLst>
            <c:ext xmlns:c16="http://schemas.microsoft.com/office/drawing/2014/chart" uri="{C3380CC4-5D6E-409C-BE32-E72D297353CC}">
              <c16:uniqueId val="{0000000B-9B38-1F4B-8FCC-65E0B201F943}"/>
            </c:ext>
          </c:extLst>
        </c:ser>
        <c:ser>
          <c:idx val="12"/>
          <c:order val="12"/>
          <c:tx>
            <c:strRef>
              <c:f>'Morbid. copii'!$A$65</c:f>
              <c:strCache>
                <c:ptCount val="1"/>
                <c:pt idx="0">
                  <c:v>Varicela</c:v>
                </c:pt>
              </c:strCache>
            </c:strRef>
          </c:tx>
          <c:spPr>
            <a:solidFill>
              <a:schemeClr val="accent1">
                <a:lumMod val="80000"/>
                <a:lumOff val="20000"/>
              </a:schemeClr>
            </a:solidFill>
            <a:ln>
              <a:noFill/>
            </a:ln>
            <a:effectLst/>
          </c:spPr>
          <c:invertIfNegative val="0"/>
          <c:cat>
            <c:strRef>
              <c:f>'Morbid. copii'!$B$52:$K$52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'Morbid. copii'!$B$65:$K$65</c:f>
              <c:numCache>
                <c:formatCode>_(* #,##0_);_(* \(#,##0\);_(* "-"??_);_(@_)</c:formatCode>
                <c:ptCount val="10"/>
                <c:pt idx="0">
                  <c:v>7183</c:v>
                </c:pt>
                <c:pt idx="1">
                  <c:v>10011</c:v>
                </c:pt>
                <c:pt idx="2">
                  <c:v>6825</c:v>
                </c:pt>
                <c:pt idx="3">
                  <c:v>24019</c:v>
                </c:pt>
                <c:pt idx="4">
                  <c:v>7293</c:v>
                </c:pt>
                <c:pt idx="5">
                  <c:v>3872</c:v>
                </c:pt>
                <c:pt idx="6">
                  <c:v>42009</c:v>
                </c:pt>
                <c:pt idx="7">
                  <c:v>8128</c:v>
                </c:pt>
                <c:pt idx="8">
                  <c:v>7298</c:v>
                </c:pt>
                <c:pt idx="9">
                  <c:v>9209</c:v>
                </c:pt>
              </c:numCache>
            </c:numRef>
          </c:val>
          <c:extLst>
            <c:ext xmlns:c16="http://schemas.microsoft.com/office/drawing/2014/chart" uri="{C3380CC4-5D6E-409C-BE32-E72D297353CC}">
              <c16:uniqueId val="{0000000C-9B38-1F4B-8FCC-65E0B201F943}"/>
            </c:ext>
          </c:extLst>
        </c:ser>
        <c:ser>
          <c:idx val="13"/>
          <c:order val="13"/>
          <c:tx>
            <c:strRef>
              <c:f>'Morbid. copii'!$A$66</c:f>
              <c:strCache>
                <c:ptCount val="1"/>
                <c:pt idx="0">
                  <c:v>Rujeola</c:v>
                </c:pt>
              </c:strCache>
            </c:strRef>
          </c:tx>
          <c:spPr>
            <a:solidFill>
              <a:schemeClr val="accent2">
                <a:lumMod val="80000"/>
                <a:lumOff val="20000"/>
              </a:schemeClr>
            </a:solidFill>
            <a:ln>
              <a:noFill/>
            </a:ln>
            <a:effectLst/>
          </c:spPr>
          <c:invertIfNegative val="0"/>
          <c:cat>
            <c:strRef>
              <c:f>'Morbid. copii'!$B$52:$K$52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'Morbid. copii'!$B$66:$K$66</c:f>
              <c:numCache>
                <c:formatCode>_(* #,##0_);_(* \(#,##0\);_(* "-"??_);_(@_)</c:formatCode>
                <c:ptCount val="10"/>
                <c:pt idx="0">
                  <c:v>0</c:v>
                </c:pt>
                <c:pt idx="1">
                  <c:v>0</c:v>
                </c:pt>
                <c:pt idx="2">
                  <c:v>0</c:v>
                </c:pt>
                <c:pt idx="3">
                  <c:v>0</c:v>
                </c:pt>
                <c:pt idx="4">
                  <c:v>67</c:v>
                </c:pt>
                <c:pt idx="5">
                  <c:v>16</c:v>
                </c:pt>
                <c:pt idx="6">
                  <c:v>83</c:v>
                </c:pt>
                <c:pt idx="7">
                  <c:v>0</c:v>
                </c:pt>
                <c:pt idx="8">
                  <c:v>0</c:v>
                </c:pt>
                <c:pt idx="9">
                  <c:v>176</c:v>
                </c:pt>
              </c:numCache>
            </c:numRef>
          </c:val>
          <c:extLst>
            <c:ext xmlns:c16="http://schemas.microsoft.com/office/drawing/2014/chart" uri="{C3380CC4-5D6E-409C-BE32-E72D297353CC}">
              <c16:uniqueId val="{0000000D-9B38-1F4B-8FCC-65E0B201F943}"/>
            </c:ext>
          </c:extLst>
        </c:ser>
        <c:ser>
          <c:idx val="14"/>
          <c:order val="14"/>
          <c:tx>
            <c:strRef>
              <c:f>'Morbid. copii'!$A$67</c:f>
              <c:strCache>
                <c:ptCount val="1"/>
                <c:pt idx="0">
                  <c:v>Hepatita virala A</c:v>
                </c:pt>
              </c:strCache>
            </c:strRef>
          </c:tx>
          <c:spPr>
            <a:solidFill>
              <a:schemeClr val="accent3">
                <a:lumMod val="80000"/>
                <a:lumOff val="20000"/>
              </a:schemeClr>
            </a:solidFill>
            <a:ln>
              <a:noFill/>
            </a:ln>
            <a:effectLst/>
          </c:spPr>
          <c:invertIfNegative val="0"/>
          <c:cat>
            <c:strRef>
              <c:f>'Morbid. copii'!$B$52:$K$52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'Morbid. copii'!$B$67:$K$67</c:f>
              <c:numCache>
                <c:formatCode>_(* #,##0_);_(* \(#,##0\);_(* "-"??_);_(@_)</c:formatCode>
                <c:ptCount val="10"/>
                <c:pt idx="0">
                  <c:v>216</c:v>
                </c:pt>
                <c:pt idx="1">
                  <c:v>609</c:v>
                </c:pt>
                <c:pt idx="2">
                  <c:v>462</c:v>
                </c:pt>
                <c:pt idx="3">
                  <c:v>1287</c:v>
                </c:pt>
                <c:pt idx="4">
                  <c:v>57</c:v>
                </c:pt>
                <c:pt idx="5">
                  <c:v>0</c:v>
                </c:pt>
                <c:pt idx="6">
                  <c:v>1806</c:v>
                </c:pt>
                <c:pt idx="7">
                  <c:v>0</c:v>
                </c:pt>
                <c:pt idx="8">
                  <c:v>0</c:v>
                </c:pt>
                <c:pt idx="9">
                  <c:v>4</c:v>
                </c:pt>
              </c:numCache>
            </c:numRef>
          </c:val>
          <c:extLst>
            <c:ext xmlns:c16="http://schemas.microsoft.com/office/drawing/2014/chart" uri="{C3380CC4-5D6E-409C-BE32-E72D297353CC}">
              <c16:uniqueId val="{0000000E-9B38-1F4B-8FCC-65E0B201F943}"/>
            </c:ext>
          </c:extLst>
        </c:ser>
        <c:ser>
          <c:idx val="15"/>
          <c:order val="15"/>
          <c:tx>
            <c:strRef>
              <c:f>'Morbid. copii'!$A$68</c:f>
              <c:strCache>
                <c:ptCount val="1"/>
                <c:pt idx="0">
                  <c:v>Oreionul (Parotidita epidemica)</c:v>
                </c:pt>
              </c:strCache>
            </c:strRef>
          </c:tx>
          <c:spPr>
            <a:solidFill>
              <a:schemeClr val="accent4">
                <a:lumMod val="80000"/>
                <a:lumOff val="20000"/>
              </a:schemeClr>
            </a:solidFill>
            <a:ln>
              <a:noFill/>
            </a:ln>
            <a:effectLst/>
          </c:spPr>
          <c:invertIfNegative val="0"/>
          <c:cat>
            <c:strRef>
              <c:f>'Morbid. copii'!$B$52:$K$52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'Morbid. copii'!$B$68:$K$68</c:f>
              <c:numCache>
                <c:formatCode>_(* #,##0_);_(* \(#,##0\);_(* "-"??_);_(@_)</c:formatCode>
                <c:ptCount val="10"/>
                <c:pt idx="0">
                  <c:v>49</c:v>
                </c:pt>
                <c:pt idx="1">
                  <c:v>78</c:v>
                </c:pt>
                <c:pt idx="2">
                  <c:v>60</c:v>
                </c:pt>
                <c:pt idx="3">
                  <c:v>187</c:v>
                </c:pt>
                <c:pt idx="4">
                  <c:v>78</c:v>
                </c:pt>
                <c:pt idx="5">
                  <c:v>17</c:v>
                </c:pt>
                <c:pt idx="6">
                  <c:v>342</c:v>
                </c:pt>
                <c:pt idx="7">
                  <c:v>50</c:v>
                </c:pt>
                <c:pt idx="8">
                  <c:v>46</c:v>
                </c:pt>
                <c:pt idx="9">
                  <c:v>47</c:v>
                </c:pt>
              </c:numCache>
            </c:numRef>
          </c:val>
          <c:extLst>
            <c:ext xmlns:c16="http://schemas.microsoft.com/office/drawing/2014/chart" uri="{C3380CC4-5D6E-409C-BE32-E72D297353CC}">
              <c16:uniqueId val="{0000000F-9B38-1F4B-8FCC-65E0B201F943}"/>
            </c:ext>
          </c:extLst>
        </c:ser>
        <c:ser>
          <c:idx val="16"/>
          <c:order val="16"/>
          <c:tx>
            <c:strRef>
              <c:f>'Morbid. copii'!$A$69</c:f>
              <c:strCache>
                <c:ptCount val="1"/>
                <c:pt idx="0">
                  <c:v>Infectia enterovirala</c:v>
                </c:pt>
              </c:strCache>
            </c:strRef>
          </c:tx>
          <c:spPr>
            <a:solidFill>
              <a:schemeClr val="accent5">
                <a:lumMod val="80000"/>
                <a:lumOff val="20000"/>
              </a:schemeClr>
            </a:solidFill>
            <a:ln>
              <a:noFill/>
            </a:ln>
            <a:effectLst/>
          </c:spPr>
          <c:invertIfNegative val="0"/>
          <c:cat>
            <c:strRef>
              <c:f>'Morbid. copii'!$B$52:$K$52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'Morbid. copii'!$B$69:$K$69</c:f>
              <c:numCache>
                <c:formatCode>_(* #,##0_);_(* \(#,##0\);_(* "-"??_);_(@_)</c:formatCode>
                <c:ptCount val="10"/>
                <c:pt idx="0">
                  <c:v>323</c:v>
                </c:pt>
                <c:pt idx="1">
                  <c:v>1288</c:v>
                </c:pt>
                <c:pt idx="2">
                  <c:v>765</c:v>
                </c:pt>
                <c:pt idx="3">
                  <c:v>2376</c:v>
                </c:pt>
                <c:pt idx="4">
                  <c:v>994</c:v>
                </c:pt>
                <c:pt idx="5">
                  <c:v>130</c:v>
                </c:pt>
                <c:pt idx="6">
                  <c:v>4265</c:v>
                </c:pt>
                <c:pt idx="7">
                  <c:v>750</c:v>
                </c:pt>
                <c:pt idx="8">
                  <c:v>948</c:v>
                </c:pt>
                <c:pt idx="9">
                  <c:v>1759</c:v>
                </c:pt>
              </c:numCache>
            </c:numRef>
          </c:val>
          <c:extLst>
            <c:ext xmlns:c16="http://schemas.microsoft.com/office/drawing/2014/chart" uri="{C3380CC4-5D6E-409C-BE32-E72D297353CC}">
              <c16:uniqueId val="{00000010-9B38-1F4B-8FCC-65E0B201F943}"/>
            </c:ext>
          </c:extLst>
        </c:ser>
        <c:ser>
          <c:idx val="17"/>
          <c:order val="17"/>
          <c:tx>
            <c:strRef>
              <c:f>'Morbid. copii'!$A$70</c:f>
              <c:strCache>
                <c:ptCount val="1"/>
                <c:pt idx="0">
                  <c:v>Pediculoza</c:v>
                </c:pt>
              </c:strCache>
            </c:strRef>
          </c:tx>
          <c:spPr>
            <a:solidFill>
              <a:schemeClr val="accent6">
                <a:lumMod val="80000"/>
                <a:lumOff val="20000"/>
              </a:schemeClr>
            </a:solidFill>
            <a:ln>
              <a:noFill/>
            </a:ln>
            <a:effectLst/>
          </c:spPr>
          <c:invertIfNegative val="0"/>
          <c:cat>
            <c:strRef>
              <c:f>'Morbid. copii'!$B$52:$K$52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'Morbid. copii'!$B$70:$K$70</c:f>
              <c:numCache>
                <c:formatCode>_(* #,##0_);_(* \(#,##0\);_(* "-"??_);_(@_)</c:formatCode>
                <c:ptCount val="10"/>
                <c:pt idx="0">
                  <c:v>1158</c:v>
                </c:pt>
                <c:pt idx="1">
                  <c:v>849</c:v>
                </c:pt>
                <c:pt idx="2">
                  <c:v>785</c:v>
                </c:pt>
                <c:pt idx="3">
                  <c:v>2792</c:v>
                </c:pt>
                <c:pt idx="4">
                  <c:v>510</c:v>
                </c:pt>
                <c:pt idx="5">
                  <c:v>237</c:v>
                </c:pt>
                <c:pt idx="6">
                  <c:v>4324</c:v>
                </c:pt>
                <c:pt idx="7">
                  <c:v>230</c:v>
                </c:pt>
                <c:pt idx="8">
                  <c:v>216</c:v>
                </c:pt>
                <c:pt idx="9">
                  <c:v>178</c:v>
                </c:pt>
              </c:numCache>
            </c:numRef>
          </c:val>
          <c:extLst>
            <c:ext xmlns:c16="http://schemas.microsoft.com/office/drawing/2014/chart" uri="{C3380CC4-5D6E-409C-BE32-E72D297353CC}">
              <c16:uniqueId val="{00000011-9B38-1F4B-8FCC-65E0B201F943}"/>
            </c:ext>
          </c:extLst>
        </c:ser>
        <c:ser>
          <c:idx val="18"/>
          <c:order val="18"/>
          <c:tx>
            <c:strRef>
              <c:f>'Morbid. copii'!$A$71</c:f>
              <c:strCache>
                <c:ptCount val="1"/>
                <c:pt idx="0">
                  <c:v>Scabia</c:v>
                </c:pt>
              </c:strCache>
            </c:strRef>
          </c:tx>
          <c:spPr>
            <a:solidFill>
              <a:schemeClr val="accent1">
                <a:lumMod val="80000"/>
              </a:schemeClr>
            </a:solidFill>
            <a:ln>
              <a:noFill/>
            </a:ln>
            <a:effectLst/>
          </c:spPr>
          <c:invertIfNegative val="0"/>
          <c:cat>
            <c:strRef>
              <c:f>'Morbid. copii'!$B$52:$K$52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'Morbid. copii'!$B$71:$K$71</c:f>
              <c:numCache>
                <c:formatCode>_(* #,##0_);_(* \(#,##0\);_(* "-"??_);_(@_)</c:formatCode>
                <c:ptCount val="10"/>
                <c:pt idx="0">
                  <c:v>531</c:v>
                </c:pt>
                <c:pt idx="1">
                  <c:v>519</c:v>
                </c:pt>
                <c:pt idx="2">
                  <c:v>534</c:v>
                </c:pt>
                <c:pt idx="3">
                  <c:v>1584</c:v>
                </c:pt>
                <c:pt idx="4">
                  <c:v>1058</c:v>
                </c:pt>
                <c:pt idx="5">
                  <c:v>681</c:v>
                </c:pt>
                <c:pt idx="6">
                  <c:v>3857</c:v>
                </c:pt>
                <c:pt idx="7">
                  <c:v>912</c:v>
                </c:pt>
                <c:pt idx="8">
                  <c:v>1056</c:v>
                </c:pt>
                <c:pt idx="9">
                  <c:v>748</c:v>
                </c:pt>
              </c:numCache>
            </c:numRef>
          </c:val>
          <c:extLst>
            <c:ext xmlns:c16="http://schemas.microsoft.com/office/drawing/2014/chart" uri="{C3380CC4-5D6E-409C-BE32-E72D297353CC}">
              <c16:uniqueId val="{00000012-9B38-1F4B-8FCC-65E0B201F943}"/>
            </c:ext>
          </c:extLst>
        </c:ser>
        <c:ser>
          <c:idx val="19"/>
          <c:order val="19"/>
          <c:tx>
            <c:strRef>
              <c:f>'Morbid. copii'!$A$72</c:f>
              <c:strCache>
                <c:ptCount val="1"/>
                <c:pt idx="0">
                  <c:v>Infectia cu Coronavirus de tip nou (COVID-19)</c:v>
                </c:pt>
              </c:strCache>
            </c:strRef>
          </c:tx>
          <c:spPr>
            <a:solidFill>
              <a:schemeClr val="accent2">
                <a:lumMod val="80000"/>
              </a:schemeClr>
            </a:solidFill>
            <a:ln>
              <a:noFill/>
            </a:ln>
            <a:effectLst/>
          </c:spPr>
          <c:invertIfNegative val="0"/>
          <c:cat>
            <c:strRef>
              <c:f>'Morbid. copii'!$B$52:$K$52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'Morbid. copii'!$B$72:$K$72</c:f>
              <c:numCache>
                <c:formatCode>_(* #,##0_);_(* \(#,##0\);_(* "-"??_);_(@_)</c:formatCode>
                <c:ptCount val="10"/>
                <c:pt idx="0">
                  <c:v>0</c:v>
                </c:pt>
                <c:pt idx="1">
                  <c:v>0</c:v>
                </c:pt>
                <c:pt idx="2">
                  <c:v>0</c:v>
                </c:pt>
                <c:pt idx="3">
                  <c:v>0</c:v>
                </c:pt>
                <c:pt idx="4">
                  <c:v>0</c:v>
                </c:pt>
                <c:pt idx="5">
                  <c:v>6191</c:v>
                </c:pt>
                <c:pt idx="6">
                  <c:v>6191</c:v>
                </c:pt>
                <c:pt idx="7">
                  <c:v>20036</c:v>
                </c:pt>
                <c:pt idx="8">
                  <c:v>3010</c:v>
                </c:pt>
                <c:pt idx="9">
                  <c:v>4085</c:v>
                </c:pt>
              </c:numCache>
            </c:numRef>
          </c:val>
          <c:extLst>
            <c:ext xmlns:c16="http://schemas.microsoft.com/office/drawing/2014/chart" uri="{C3380CC4-5D6E-409C-BE32-E72D297353CC}">
              <c16:uniqueId val="{00000013-9B38-1F4B-8FCC-65E0B201F943}"/>
            </c:ext>
          </c:extLst>
        </c:ser>
        <c:ser>
          <c:idx val="20"/>
          <c:order val="20"/>
          <c:tx>
            <c:strRef>
              <c:f>'Morbid. copii'!$A$73</c:f>
              <c:strCache>
                <c:ptCount val="1"/>
                <c:pt idx="0">
                  <c:v>Infectii acute ale cailor respiratorii cu localizari multiple sau nedeterminate</c:v>
                </c:pt>
              </c:strCache>
            </c:strRef>
          </c:tx>
          <c:spPr>
            <a:solidFill>
              <a:schemeClr val="accent3">
                <a:lumMod val="80000"/>
              </a:schemeClr>
            </a:solidFill>
            <a:ln>
              <a:noFill/>
            </a:ln>
            <a:effectLst/>
          </c:spPr>
          <c:invertIfNegative val="0"/>
          <c:cat>
            <c:strRef>
              <c:f>'Morbid. copii'!$B$52:$K$52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'Morbid. copii'!$B$73:$K$73</c:f>
              <c:numCache>
                <c:formatCode>_(* #,##0_);_(* \(#,##0\);_(* "-"??_);_(@_)</c:formatCode>
                <c:ptCount val="10"/>
                <c:pt idx="0">
                  <c:v>178859</c:v>
                </c:pt>
                <c:pt idx="1">
                  <c:v>188367</c:v>
                </c:pt>
                <c:pt idx="2">
                  <c:v>211015</c:v>
                </c:pt>
                <c:pt idx="3">
                  <c:v>578241</c:v>
                </c:pt>
                <c:pt idx="4">
                  <c:v>231402</c:v>
                </c:pt>
                <c:pt idx="5">
                  <c:v>143890</c:v>
                </c:pt>
                <c:pt idx="6">
                  <c:v>1164548</c:v>
                </c:pt>
                <c:pt idx="7">
                  <c:v>188255</c:v>
                </c:pt>
                <c:pt idx="8">
                  <c:v>185508</c:v>
                </c:pt>
                <c:pt idx="9">
                  <c:v>153572</c:v>
                </c:pt>
              </c:numCache>
            </c:numRef>
          </c:val>
          <c:extLst>
            <c:ext xmlns:c16="http://schemas.microsoft.com/office/drawing/2014/chart" uri="{C3380CC4-5D6E-409C-BE32-E72D297353CC}">
              <c16:uniqueId val="{00000014-9B38-1F4B-8FCC-65E0B201F943}"/>
            </c:ext>
          </c:extLst>
        </c:ser>
        <c:ser>
          <c:idx val="21"/>
          <c:order val="21"/>
          <c:tx>
            <c:strRef>
              <c:f>'Morbid. copii'!$A$74</c:f>
              <c:strCache>
                <c:ptCount val="1"/>
                <c:pt idx="0">
                  <c:v>Gripa</c:v>
                </c:pt>
              </c:strCache>
            </c:strRef>
          </c:tx>
          <c:spPr>
            <a:solidFill>
              <a:schemeClr val="accent4">
                <a:lumMod val="80000"/>
              </a:schemeClr>
            </a:solidFill>
            <a:ln>
              <a:noFill/>
            </a:ln>
            <a:effectLst/>
          </c:spPr>
          <c:invertIfNegative val="0"/>
          <c:cat>
            <c:strRef>
              <c:f>'Morbid. copii'!$B$52:$K$52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'Morbid. copii'!$B$74:$K$74</c:f>
              <c:numCache>
                <c:formatCode>_(* #,##0_);_(* \(#,##0\);_(* "-"??_);_(@_)</c:formatCode>
                <c:ptCount val="10"/>
                <c:pt idx="0">
                  <c:v>692</c:v>
                </c:pt>
                <c:pt idx="1">
                  <c:v>546</c:v>
                </c:pt>
                <c:pt idx="2">
                  <c:v>329</c:v>
                </c:pt>
                <c:pt idx="3">
                  <c:v>1567</c:v>
                </c:pt>
                <c:pt idx="4">
                  <c:v>1212</c:v>
                </c:pt>
                <c:pt idx="5">
                  <c:v>2152</c:v>
                </c:pt>
                <c:pt idx="6">
                  <c:v>5260</c:v>
                </c:pt>
                <c:pt idx="7">
                  <c:v>740</c:v>
                </c:pt>
                <c:pt idx="8">
                  <c:v>882</c:v>
                </c:pt>
                <c:pt idx="9">
                  <c:v>1178</c:v>
                </c:pt>
              </c:numCache>
            </c:numRef>
          </c:val>
          <c:extLst>
            <c:ext xmlns:c16="http://schemas.microsoft.com/office/drawing/2014/chart" uri="{C3380CC4-5D6E-409C-BE32-E72D297353CC}">
              <c16:uniqueId val="{00000015-9B38-1F4B-8FCC-65E0B201F943}"/>
            </c:ext>
          </c:extLst>
        </c:ser>
        <c:ser>
          <c:idx val="22"/>
          <c:order val="22"/>
          <c:tx>
            <c:strRef>
              <c:f>'Morbid. copii'!$A$75</c:f>
              <c:strCache>
                <c:ptCount val="1"/>
                <c:pt idx="0">
                  <c:v>Pneumonii, bronhopneumonii acute</c:v>
                </c:pt>
              </c:strCache>
            </c:strRef>
          </c:tx>
          <c:spPr>
            <a:solidFill>
              <a:schemeClr val="accent5">
                <a:lumMod val="80000"/>
              </a:schemeClr>
            </a:solidFill>
            <a:ln>
              <a:noFill/>
            </a:ln>
            <a:effectLst/>
          </c:spPr>
          <c:invertIfNegative val="0"/>
          <c:cat>
            <c:strRef>
              <c:f>'Morbid. copii'!$B$52:$K$52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'Morbid. copii'!$B$75:$K$75</c:f>
              <c:numCache>
                <c:formatCode>_(* #,##0_);_(* \(#,##0\);_(* "-"??_);_(@_)</c:formatCode>
                <c:ptCount val="10"/>
                <c:pt idx="0">
                  <c:v>36799</c:v>
                </c:pt>
                <c:pt idx="1">
                  <c:v>41137</c:v>
                </c:pt>
                <c:pt idx="2">
                  <c:v>44565</c:v>
                </c:pt>
                <c:pt idx="3">
                  <c:v>122501</c:v>
                </c:pt>
                <c:pt idx="4">
                  <c:v>39697</c:v>
                </c:pt>
                <c:pt idx="5">
                  <c:v>19809</c:v>
                </c:pt>
                <c:pt idx="6">
                  <c:v>226572</c:v>
                </c:pt>
                <c:pt idx="7">
                  <c:v>32985</c:v>
                </c:pt>
                <c:pt idx="8">
                  <c:v>28036</c:v>
                </c:pt>
                <c:pt idx="9">
                  <c:v>39003</c:v>
                </c:pt>
              </c:numCache>
            </c:numRef>
          </c:val>
          <c:extLst>
            <c:ext xmlns:c16="http://schemas.microsoft.com/office/drawing/2014/chart" uri="{C3380CC4-5D6E-409C-BE32-E72D297353CC}">
              <c16:uniqueId val="{00000016-9B38-1F4B-8FCC-65E0B201F943}"/>
            </c:ext>
          </c:extLst>
        </c:ser>
        <c:dLbls>
          <c:showLegendKey val="0"/>
          <c:showVal val="0"/>
          <c:showCatName val="0"/>
          <c:showSerName val="0"/>
          <c:showPercent val="0"/>
          <c:showBubbleSize val="0"/>
        </c:dLbls>
        <c:gapWidth val="150"/>
        <c:overlap val="100"/>
        <c:axId val="362005487"/>
        <c:axId val="362007199"/>
      </c:barChart>
      <c:catAx>
        <c:axId val="3620054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007199"/>
        <c:crosses val="autoZero"/>
        <c:auto val="1"/>
        <c:lblAlgn val="ctr"/>
        <c:lblOffset val="100"/>
        <c:noMultiLvlLbl val="0"/>
      </c:catAx>
      <c:valAx>
        <c:axId val="3620071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005487"/>
        <c:crosses val="autoZero"/>
        <c:crossBetween val="between"/>
      </c:valAx>
      <c:spPr>
        <a:noFill/>
        <a:ln>
          <a:noFill/>
        </a:ln>
        <a:effectLst/>
      </c:spPr>
    </c:plotArea>
    <c:legend>
      <c:legendPos val="b"/>
      <c:layout>
        <c:manualLayout>
          <c:xMode val="edge"/>
          <c:yMode val="edge"/>
          <c:x val="3.6704088012160706E-2"/>
          <c:y val="0.4486097785220246"/>
          <c:w val="0.89125960295300688"/>
          <c:h val="0.541214693622467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754997844289639E-2"/>
          <c:y val="7.1076923076923079E-2"/>
          <c:w val="0.94656488688193519"/>
          <c:h val="0.65454239891924837"/>
        </c:manualLayout>
      </c:layout>
      <c:lineChart>
        <c:grouping val="standard"/>
        <c:varyColors val="0"/>
        <c:ser>
          <c:idx val="0"/>
          <c:order val="0"/>
          <c:tx>
            <c:strRef>
              <c:f>'/Users/maximelebovics/Downloads/[san030100_20251110-120232.xlsx]san030100'!$A$4:$B$4</c:f>
              <c:strCache>
                <c:ptCount val="1"/>
                <c:pt idx="0">
                  <c:v>Tuberculoza nou-nascuti (30 zile)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'/Users/maximelebovics/Downloads/[san030100_20251110-120232.xlsx]san030100'!$C$3:$AF$3</c:f>
              <c:strCach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strCache>
            </c:strRef>
          </c:cat>
          <c:val>
            <c:numRef>
              <c:f>'/Users/maximelebovics/Downloads/[san030100_20251110-120232.xlsx]san030100'!$C$4:$AF$4</c:f>
              <c:numCache>
                <c:formatCode>General</c:formatCode>
                <c:ptCount val="30"/>
                <c:pt idx="0">
                  <c:v>97.3</c:v>
                </c:pt>
                <c:pt idx="1">
                  <c:v>98.4</c:v>
                </c:pt>
                <c:pt idx="2">
                  <c:v>99.4</c:v>
                </c:pt>
                <c:pt idx="3">
                  <c:v>99.3</c:v>
                </c:pt>
                <c:pt idx="4">
                  <c:v>98.5</c:v>
                </c:pt>
                <c:pt idx="5">
                  <c:v>99</c:v>
                </c:pt>
                <c:pt idx="6">
                  <c:v>99</c:v>
                </c:pt>
                <c:pt idx="7">
                  <c:v>99.1</c:v>
                </c:pt>
                <c:pt idx="8">
                  <c:v>99.3</c:v>
                </c:pt>
                <c:pt idx="9">
                  <c:v>99.1</c:v>
                </c:pt>
                <c:pt idx="10">
                  <c:v>99.3</c:v>
                </c:pt>
                <c:pt idx="11">
                  <c:v>99.1</c:v>
                </c:pt>
                <c:pt idx="12">
                  <c:v>99.1</c:v>
                </c:pt>
                <c:pt idx="13">
                  <c:v>99.1</c:v>
                </c:pt>
                <c:pt idx="14">
                  <c:v>99.1</c:v>
                </c:pt>
                <c:pt idx="15">
                  <c:v>98.1</c:v>
                </c:pt>
                <c:pt idx="16">
                  <c:v>98.5</c:v>
                </c:pt>
                <c:pt idx="17">
                  <c:v>97.7</c:v>
                </c:pt>
                <c:pt idx="18">
                  <c:v>98</c:v>
                </c:pt>
                <c:pt idx="19">
                  <c:v>97.4</c:v>
                </c:pt>
                <c:pt idx="20">
                  <c:v>97.7</c:v>
                </c:pt>
                <c:pt idx="21">
                  <c:v>97.2</c:v>
                </c:pt>
                <c:pt idx="22">
                  <c:v>96.1</c:v>
                </c:pt>
                <c:pt idx="23">
                  <c:v>96.9</c:v>
                </c:pt>
                <c:pt idx="24">
                  <c:v>96.9</c:v>
                </c:pt>
                <c:pt idx="25">
                  <c:v>96.5</c:v>
                </c:pt>
                <c:pt idx="26">
                  <c:v>96.7</c:v>
                </c:pt>
                <c:pt idx="27">
                  <c:v>96.2</c:v>
                </c:pt>
                <c:pt idx="28">
                  <c:v>95.7</c:v>
                </c:pt>
                <c:pt idx="29">
                  <c:v>96</c:v>
                </c:pt>
              </c:numCache>
            </c:numRef>
          </c:val>
          <c:smooth val="0"/>
          <c:extLst>
            <c:ext xmlns:c16="http://schemas.microsoft.com/office/drawing/2014/chart" uri="{C3380CC4-5D6E-409C-BE32-E72D297353CC}">
              <c16:uniqueId val="{00000000-298D-F947-8011-9557D86236A7}"/>
            </c:ext>
          </c:extLst>
        </c:ser>
        <c:ser>
          <c:idx val="1"/>
          <c:order val="1"/>
          <c:tx>
            <c:strRef>
              <c:f>'/Users/maximelebovics/Downloads/[san030100_20251110-120232.xlsx]san030100'!$A$5:$B$5</c:f>
              <c:strCache>
                <c:ptCount val="1"/>
                <c:pt idx="0">
                  <c:v>Difterie si tetanos 1 an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'/Users/maximelebovics/Downloads/[san030100_20251110-120232.xlsx]san030100'!$C$3:$AF$3</c:f>
              <c:strCach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strCache>
            </c:strRef>
          </c:cat>
          <c:val>
            <c:numRef>
              <c:f>'/Users/maximelebovics/Downloads/[san030100_20251110-120232.xlsx]san030100'!$C$5:$AF$5</c:f>
              <c:numCache>
                <c:formatCode>General</c:formatCode>
                <c:ptCount val="30"/>
                <c:pt idx="0">
                  <c:v>97</c:v>
                </c:pt>
                <c:pt idx="1">
                  <c:v>97.7</c:v>
                </c:pt>
                <c:pt idx="2">
                  <c:v>98</c:v>
                </c:pt>
                <c:pt idx="3">
                  <c:v>97.4</c:v>
                </c:pt>
                <c:pt idx="4">
                  <c:v>97.4</c:v>
                </c:pt>
                <c:pt idx="5">
                  <c:v>97</c:v>
                </c:pt>
                <c:pt idx="6">
                  <c:v>98.6</c:v>
                </c:pt>
                <c:pt idx="7">
                  <c:v>98.2</c:v>
                </c:pt>
                <c:pt idx="8">
                  <c:v>98.3</c:v>
                </c:pt>
                <c:pt idx="9">
                  <c:v>98.1</c:v>
                </c:pt>
                <c:pt idx="10">
                  <c:v>98.3</c:v>
                </c:pt>
                <c:pt idx="11">
                  <c:v>98.1</c:v>
                </c:pt>
                <c:pt idx="12">
                  <c:v>97.5</c:v>
                </c:pt>
                <c:pt idx="13">
                  <c:v>97.3</c:v>
                </c:pt>
                <c:pt idx="14">
                  <c:v>96.3</c:v>
                </c:pt>
                <c:pt idx="15">
                  <c:v>94.3</c:v>
                </c:pt>
                <c:pt idx="16">
                  <c:v>94.4</c:v>
                </c:pt>
                <c:pt idx="17">
                  <c:v>94.4</c:v>
                </c:pt>
                <c:pt idx="18">
                  <c:v>90.2</c:v>
                </c:pt>
                <c:pt idx="19">
                  <c:v>89.7</c:v>
                </c:pt>
                <c:pt idx="20">
                  <c:v>89.3</c:v>
                </c:pt>
                <c:pt idx="21">
                  <c:v>89.6</c:v>
                </c:pt>
                <c:pt idx="22">
                  <c:v>89.1</c:v>
                </c:pt>
                <c:pt idx="23">
                  <c:v>91.8</c:v>
                </c:pt>
                <c:pt idx="24">
                  <c:v>92.2</c:v>
                </c:pt>
                <c:pt idx="25">
                  <c:v>88</c:v>
                </c:pt>
                <c:pt idx="26">
                  <c:v>88.7</c:v>
                </c:pt>
                <c:pt idx="27">
                  <c:v>88.4</c:v>
                </c:pt>
                <c:pt idx="28">
                  <c:v>88.6</c:v>
                </c:pt>
                <c:pt idx="29">
                  <c:v>87.6</c:v>
                </c:pt>
              </c:numCache>
            </c:numRef>
          </c:val>
          <c:smooth val="0"/>
          <c:extLst>
            <c:ext xmlns:c16="http://schemas.microsoft.com/office/drawing/2014/chart" uri="{C3380CC4-5D6E-409C-BE32-E72D297353CC}">
              <c16:uniqueId val="{00000001-298D-F947-8011-9557D86236A7}"/>
            </c:ext>
          </c:extLst>
        </c:ser>
        <c:ser>
          <c:idx val="2"/>
          <c:order val="2"/>
          <c:tx>
            <c:strRef>
              <c:f>'/Users/maximelebovics/Downloads/[san030100_20251110-120232.xlsx]san030100'!$A$6:$B$6</c:f>
              <c:strCache>
                <c:ptCount val="1"/>
                <c:pt idx="0">
                  <c:v>Tusa convulsiva 1 an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'/Users/maximelebovics/Downloads/[san030100_20251110-120232.xlsx]san030100'!$C$3:$AF$3</c:f>
              <c:strCach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strCache>
            </c:strRef>
          </c:cat>
          <c:val>
            <c:numRef>
              <c:f>'/Users/maximelebovics/Downloads/[san030100_20251110-120232.xlsx]san030100'!$C$6:$AF$6</c:f>
              <c:numCache>
                <c:formatCode>General</c:formatCode>
                <c:ptCount val="30"/>
                <c:pt idx="0">
                  <c:v>95.5</c:v>
                </c:pt>
                <c:pt idx="1">
                  <c:v>98.2</c:v>
                </c:pt>
                <c:pt idx="2">
                  <c:v>97.1</c:v>
                </c:pt>
                <c:pt idx="3">
                  <c:v>96.9</c:v>
                </c:pt>
                <c:pt idx="4">
                  <c:v>97</c:v>
                </c:pt>
                <c:pt idx="5">
                  <c:v>95.7</c:v>
                </c:pt>
                <c:pt idx="6">
                  <c:v>98.3</c:v>
                </c:pt>
                <c:pt idx="7">
                  <c:v>98.1</c:v>
                </c:pt>
                <c:pt idx="8">
                  <c:v>98.2</c:v>
                </c:pt>
                <c:pt idx="9">
                  <c:v>97.9</c:v>
                </c:pt>
                <c:pt idx="10">
                  <c:v>98</c:v>
                </c:pt>
                <c:pt idx="11">
                  <c:v>98</c:v>
                </c:pt>
                <c:pt idx="12">
                  <c:v>97.1</c:v>
                </c:pt>
                <c:pt idx="13">
                  <c:v>96.8</c:v>
                </c:pt>
                <c:pt idx="14">
                  <c:v>96</c:v>
                </c:pt>
                <c:pt idx="15">
                  <c:v>94.1</c:v>
                </c:pt>
                <c:pt idx="16">
                  <c:v>94.1</c:v>
                </c:pt>
                <c:pt idx="17">
                  <c:v>94.1</c:v>
                </c:pt>
                <c:pt idx="18">
                  <c:v>90.6</c:v>
                </c:pt>
                <c:pt idx="19">
                  <c:v>90.1</c:v>
                </c:pt>
                <c:pt idx="20">
                  <c:v>89.3</c:v>
                </c:pt>
                <c:pt idx="21">
                  <c:v>88.8</c:v>
                </c:pt>
                <c:pt idx="22">
                  <c:v>88.6</c:v>
                </c:pt>
                <c:pt idx="23">
                  <c:v>91.6</c:v>
                </c:pt>
                <c:pt idx="24">
                  <c:v>91.4</c:v>
                </c:pt>
                <c:pt idx="25">
                  <c:v>88</c:v>
                </c:pt>
                <c:pt idx="26">
                  <c:v>88.5</c:v>
                </c:pt>
                <c:pt idx="27">
                  <c:v>88.3</c:v>
                </c:pt>
                <c:pt idx="28">
                  <c:v>88.3</c:v>
                </c:pt>
                <c:pt idx="29">
                  <c:v>87.4</c:v>
                </c:pt>
              </c:numCache>
            </c:numRef>
          </c:val>
          <c:smooth val="0"/>
          <c:extLst>
            <c:ext xmlns:c16="http://schemas.microsoft.com/office/drawing/2014/chart" uri="{C3380CC4-5D6E-409C-BE32-E72D297353CC}">
              <c16:uniqueId val="{00000002-298D-F947-8011-9557D86236A7}"/>
            </c:ext>
          </c:extLst>
        </c:ser>
        <c:ser>
          <c:idx val="3"/>
          <c:order val="3"/>
          <c:tx>
            <c:strRef>
              <c:f>'/Users/maximelebovics/Downloads/[san030100_20251110-120232.xlsx]san030100'!$A$7:$B$7</c:f>
              <c:strCache>
                <c:ptCount val="1"/>
                <c:pt idx="0">
                  <c:v>Poliomielita 1 an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'/Users/maximelebovics/Downloads/[san030100_20251110-120232.xlsx]san030100'!$C$3:$AF$3</c:f>
              <c:strCach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strCache>
            </c:strRef>
          </c:cat>
          <c:val>
            <c:numRef>
              <c:f>'/Users/maximelebovics/Downloads/[san030100_20251110-120232.xlsx]san030100'!$C$7:$AF$7</c:f>
              <c:numCache>
                <c:formatCode>General</c:formatCode>
                <c:ptCount val="30"/>
                <c:pt idx="0">
                  <c:v>97.1</c:v>
                </c:pt>
                <c:pt idx="1">
                  <c:v>98.6</c:v>
                </c:pt>
                <c:pt idx="2">
                  <c:v>98.4</c:v>
                </c:pt>
                <c:pt idx="3">
                  <c:v>97.6</c:v>
                </c:pt>
                <c:pt idx="4">
                  <c:v>98.2</c:v>
                </c:pt>
                <c:pt idx="5">
                  <c:v>97.6</c:v>
                </c:pt>
                <c:pt idx="6">
                  <c:v>98.4</c:v>
                </c:pt>
                <c:pt idx="7">
                  <c:v>98.5</c:v>
                </c:pt>
                <c:pt idx="8">
                  <c:v>98.6</c:v>
                </c:pt>
                <c:pt idx="9">
                  <c:v>98.3</c:v>
                </c:pt>
                <c:pt idx="10">
                  <c:v>98.7</c:v>
                </c:pt>
                <c:pt idx="11">
                  <c:v>98.6</c:v>
                </c:pt>
                <c:pt idx="12">
                  <c:v>97.8</c:v>
                </c:pt>
                <c:pt idx="13">
                  <c:v>97.7</c:v>
                </c:pt>
                <c:pt idx="14">
                  <c:v>96.9</c:v>
                </c:pt>
                <c:pt idx="15">
                  <c:v>95.7</c:v>
                </c:pt>
                <c:pt idx="16">
                  <c:v>95.7</c:v>
                </c:pt>
                <c:pt idx="17">
                  <c:v>94.8</c:v>
                </c:pt>
                <c:pt idx="18">
                  <c:v>90.6</c:v>
                </c:pt>
                <c:pt idx="19">
                  <c:v>90.2</c:v>
                </c:pt>
                <c:pt idx="20">
                  <c:v>89.3</c:v>
                </c:pt>
                <c:pt idx="21">
                  <c:v>90.1</c:v>
                </c:pt>
                <c:pt idx="22">
                  <c:v>89.6</c:v>
                </c:pt>
                <c:pt idx="23">
                  <c:v>92.1</c:v>
                </c:pt>
                <c:pt idx="24">
                  <c:v>92.1</c:v>
                </c:pt>
                <c:pt idx="25">
                  <c:v>88.6</c:v>
                </c:pt>
                <c:pt idx="26">
                  <c:v>89.1</c:v>
                </c:pt>
                <c:pt idx="27">
                  <c:v>88.8</c:v>
                </c:pt>
                <c:pt idx="28">
                  <c:v>88.5</c:v>
                </c:pt>
                <c:pt idx="29">
                  <c:v>87.8</c:v>
                </c:pt>
              </c:numCache>
            </c:numRef>
          </c:val>
          <c:smooth val="0"/>
          <c:extLst>
            <c:ext xmlns:c16="http://schemas.microsoft.com/office/drawing/2014/chart" uri="{C3380CC4-5D6E-409C-BE32-E72D297353CC}">
              <c16:uniqueId val="{00000003-298D-F947-8011-9557D86236A7}"/>
            </c:ext>
          </c:extLst>
        </c:ser>
        <c:ser>
          <c:idx val="4"/>
          <c:order val="4"/>
          <c:tx>
            <c:strRef>
              <c:f>'/Users/maximelebovics/Downloads/[san030100_20251110-120232.xlsx]san030100'!$A$8:$B$8</c:f>
              <c:strCache>
                <c:ptCount val="1"/>
                <c:pt idx="0">
                  <c:v>Rujeola 2 ani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'/Users/maximelebovics/Downloads/[san030100_20251110-120232.xlsx]san030100'!$C$3:$AF$3</c:f>
              <c:strCach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strCache>
            </c:strRef>
          </c:cat>
          <c:val>
            <c:numRef>
              <c:f>'/Users/maximelebovics/Downloads/[san030100_20251110-120232.xlsx]san030100'!$C$8:$AF$8</c:f>
              <c:numCache>
                <c:formatCode>General</c:formatCode>
                <c:ptCount val="30"/>
                <c:pt idx="0">
                  <c:v>98</c:v>
                </c:pt>
                <c:pt idx="1">
                  <c:v>98.4</c:v>
                </c:pt>
                <c:pt idx="2">
                  <c:v>98.9</c:v>
                </c:pt>
                <c:pt idx="3">
                  <c:v>99.2</c:v>
                </c:pt>
                <c:pt idx="4">
                  <c:v>98.8</c:v>
                </c:pt>
                <c:pt idx="5">
                  <c:v>99.2</c:v>
                </c:pt>
                <c:pt idx="6">
                  <c:v>99.4</c:v>
                </c:pt>
                <c:pt idx="7">
                  <c:v>99.2</c:v>
                </c:pt>
                <c:pt idx="8">
                  <c:v>99.4</c:v>
                </c:pt>
                <c:pt idx="9">
                  <c:v>99.2</c:v>
                </c:pt>
                <c:pt idx="10">
                  <c:v>99.3</c:v>
                </c:pt>
                <c:pt idx="11">
                  <c:v>99.3</c:v>
                </c:pt>
                <c:pt idx="12">
                  <c:v>99.2</c:v>
                </c:pt>
                <c:pt idx="13">
                  <c:v>99.1</c:v>
                </c:pt>
                <c:pt idx="14">
                  <c:v>98.9</c:v>
                </c:pt>
                <c:pt idx="15">
                  <c:v>97.9</c:v>
                </c:pt>
              </c:numCache>
            </c:numRef>
          </c:val>
          <c:smooth val="0"/>
          <c:extLst>
            <c:ext xmlns:c16="http://schemas.microsoft.com/office/drawing/2014/chart" uri="{C3380CC4-5D6E-409C-BE32-E72D297353CC}">
              <c16:uniqueId val="{00000004-298D-F947-8011-9557D86236A7}"/>
            </c:ext>
          </c:extLst>
        </c:ser>
        <c:ser>
          <c:idx val="5"/>
          <c:order val="5"/>
          <c:tx>
            <c:strRef>
              <c:f>'/Users/maximelebovics/Downloads/[san030100_20251110-120232.xlsx]san030100'!$A$9:$B$9</c:f>
              <c:strCache>
                <c:ptCount val="1"/>
                <c:pt idx="0">
                  <c:v>Hepatita B 1 an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'/Users/maximelebovics/Downloads/[san030100_20251110-120232.xlsx]san030100'!$C$3:$AF$3</c:f>
              <c:strCach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strCache>
            </c:strRef>
          </c:cat>
          <c:val>
            <c:numRef>
              <c:f>'/Users/maximelebovics/Downloads/[san030100_20251110-120232.xlsx]san030100'!$C$9:$AF$9</c:f>
              <c:numCache>
                <c:formatCode>General</c:formatCode>
                <c:ptCount val="30"/>
                <c:pt idx="0">
                  <c:v>18.8</c:v>
                </c:pt>
                <c:pt idx="1">
                  <c:v>81</c:v>
                </c:pt>
                <c:pt idx="2">
                  <c:v>97.2</c:v>
                </c:pt>
                <c:pt idx="3">
                  <c:v>94.9</c:v>
                </c:pt>
                <c:pt idx="4">
                  <c:v>94.4</c:v>
                </c:pt>
                <c:pt idx="5">
                  <c:v>98.1</c:v>
                </c:pt>
                <c:pt idx="6">
                  <c:v>98.8</c:v>
                </c:pt>
                <c:pt idx="7">
                  <c:v>99.1</c:v>
                </c:pt>
                <c:pt idx="8">
                  <c:v>99.1</c:v>
                </c:pt>
                <c:pt idx="9">
                  <c:v>99</c:v>
                </c:pt>
                <c:pt idx="10">
                  <c:v>98.9</c:v>
                </c:pt>
                <c:pt idx="11">
                  <c:v>99</c:v>
                </c:pt>
                <c:pt idx="12">
                  <c:v>98.4</c:v>
                </c:pt>
                <c:pt idx="13">
                  <c:v>98.4</c:v>
                </c:pt>
                <c:pt idx="14">
                  <c:v>97.6</c:v>
                </c:pt>
                <c:pt idx="15">
                  <c:v>96.7</c:v>
                </c:pt>
                <c:pt idx="16">
                  <c:v>96.3</c:v>
                </c:pt>
                <c:pt idx="17">
                  <c:v>95.1</c:v>
                </c:pt>
                <c:pt idx="18">
                  <c:v>93.7</c:v>
                </c:pt>
                <c:pt idx="19">
                  <c:v>92.5</c:v>
                </c:pt>
                <c:pt idx="20">
                  <c:v>91.9</c:v>
                </c:pt>
                <c:pt idx="21">
                  <c:v>91.4</c:v>
                </c:pt>
                <c:pt idx="22">
                  <c:v>90.3</c:v>
                </c:pt>
                <c:pt idx="23">
                  <c:v>92.2</c:v>
                </c:pt>
                <c:pt idx="24">
                  <c:v>92.5</c:v>
                </c:pt>
                <c:pt idx="25">
                  <c:v>89.3</c:v>
                </c:pt>
                <c:pt idx="26">
                  <c:v>89.1</c:v>
                </c:pt>
                <c:pt idx="27">
                  <c:v>88.7</c:v>
                </c:pt>
                <c:pt idx="28">
                  <c:v>89</c:v>
                </c:pt>
                <c:pt idx="29">
                  <c:v>88.4</c:v>
                </c:pt>
              </c:numCache>
            </c:numRef>
          </c:val>
          <c:smooth val="0"/>
          <c:extLst>
            <c:ext xmlns:c16="http://schemas.microsoft.com/office/drawing/2014/chart" uri="{C3380CC4-5D6E-409C-BE32-E72D297353CC}">
              <c16:uniqueId val="{00000005-298D-F947-8011-9557D86236A7}"/>
            </c:ext>
          </c:extLst>
        </c:ser>
        <c:ser>
          <c:idx val="6"/>
          <c:order val="6"/>
          <c:tx>
            <c:strRef>
              <c:f>'/Users/maximelebovics/Downloads/[san030100_20251110-120232.xlsx]san030100'!$A$10:$B$10</c:f>
              <c:strCache>
                <c:ptCount val="1"/>
                <c:pt idx="0">
                  <c:v>Parotidita epidemica 2 ani</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'/Users/maximelebovics/Downloads/[san030100_20251110-120232.xlsx]san030100'!$C$3:$AF$3</c:f>
              <c:strCach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strCache>
            </c:strRef>
          </c:cat>
          <c:val>
            <c:numRef>
              <c:f>'/Users/maximelebovics/Downloads/[san030100_20251110-120232.xlsx]san030100'!$C$10:$AF$10</c:f>
              <c:numCache>
                <c:formatCode>General</c:formatCode>
                <c:ptCount val="30"/>
                <c:pt idx="0">
                  <c:v>23</c:v>
                </c:pt>
                <c:pt idx="1">
                  <c:v>0.8</c:v>
                </c:pt>
                <c:pt idx="2">
                  <c:v>80.3</c:v>
                </c:pt>
                <c:pt idx="3">
                  <c:v>78.8</c:v>
                </c:pt>
                <c:pt idx="4">
                  <c:v>94.2</c:v>
                </c:pt>
                <c:pt idx="5">
                  <c:v>99</c:v>
                </c:pt>
                <c:pt idx="6">
                  <c:v>99.4</c:v>
                </c:pt>
                <c:pt idx="7">
                  <c:v>99.3</c:v>
                </c:pt>
                <c:pt idx="8">
                  <c:v>99.4</c:v>
                </c:pt>
                <c:pt idx="9">
                  <c:v>99.2</c:v>
                </c:pt>
                <c:pt idx="10">
                  <c:v>99.3</c:v>
                </c:pt>
                <c:pt idx="11">
                  <c:v>99.3</c:v>
                </c:pt>
                <c:pt idx="12">
                  <c:v>96.1</c:v>
                </c:pt>
                <c:pt idx="13">
                  <c:v>96</c:v>
                </c:pt>
                <c:pt idx="14">
                  <c:v>98.9</c:v>
                </c:pt>
                <c:pt idx="15">
                  <c:v>93.2</c:v>
                </c:pt>
              </c:numCache>
            </c:numRef>
          </c:val>
          <c:smooth val="0"/>
          <c:extLst>
            <c:ext xmlns:c16="http://schemas.microsoft.com/office/drawing/2014/chart" uri="{C3380CC4-5D6E-409C-BE32-E72D297353CC}">
              <c16:uniqueId val="{00000006-298D-F947-8011-9557D86236A7}"/>
            </c:ext>
          </c:extLst>
        </c:ser>
        <c:ser>
          <c:idx val="7"/>
          <c:order val="7"/>
          <c:tx>
            <c:strRef>
              <c:f>'/Users/maximelebovics/Downloads/[san030100_20251110-120232.xlsx]san030100'!$A$11:$B$11</c:f>
              <c:strCache>
                <c:ptCount val="1"/>
                <c:pt idx="0">
                  <c:v>Rubeola 2 ani</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'/Users/maximelebovics/Downloads/[san030100_20251110-120232.xlsx]san030100'!$C$3:$AF$3</c:f>
              <c:strCach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strCache>
            </c:strRef>
          </c:cat>
          <c:val>
            <c:numRef>
              <c:f>'/Users/maximelebovics/Downloads/[san030100_20251110-120232.xlsx]san030100'!$C$11:$AF$11</c:f>
              <c:numCache>
                <c:formatCode>General</c:formatCode>
                <c:ptCount val="30"/>
                <c:pt idx="7">
                  <c:v>2.6</c:v>
                </c:pt>
                <c:pt idx="8">
                  <c:v>97.7</c:v>
                </c:pt>
                <c:pt idx="9">
                  <c:v>99.2</c:v>
                </c:pt>
                <c:pt idx="10">
                  <c:v>99.3</c:v>
                </c:pt>
                <c:pt idx="11">
                  <c:v>99.3</c:v>
                </c:pt>
                <c:pt idx="12">
                  <c:v>99.2</c:v>
                </c:pt>
                <c:pt idx="13">
                  <c:v>99.1</c:v>
                </c:pt>
                <c:pt idx="14">
                  <c:v>98.9</c:v>
                </c:pt>
                <c:pt idx="15">
                  <c:v>97.9</c:v>
                </c:pt>
                <c:pt idx="16">
                  <c:v>92.8</c:v>
                </c:pt>
                <c:pt idx="17">
                  <c:v>92.2</c:v>
                </c:pt>
                <c:pt idx="18">
                  <c:v>91.5</c:v>
                </c:pt>
                <c:pt idx="19">
                  <c:v>90.3</c:v>
                </c:pt>
                <c:pt idx="20">
                  <c:v>89.6</c:v>
                </c:pt>
                <c:pt idx="21">
                  <c:v>88.8</c:v>
                </c:pt>
                <c:pt idx="22">
                  <c:v>88.1</c:v>
                </c:pt>
                <c:pt idx="23">
                  <c:v>90.6</c:v>
                </c:pt>
                <c:pt idx="24">
                  <c:v>88.9</c:v>
                </c:pt>
                <c:pt idx="25">
                  <c:v>84.3</c:v>
                </c:pt>
                <c:pt idx="26">
                  <c:v>84.3</c:v>
                </c:pt>
                <c:pt idx="27">
                  <c:v>84.5</c:v>
                </c:pt>
                <c:pt idx="28">
                  <c:v>85.2</c:v>
                </c:pt>
                <c:pt idx="29">
                  <c:v>84.1</c:v>
                </c:pt>
              </c:numCache>
            </c:numRef>
          </c:val>
          <c:smooth val="0"/>
          <c:extLst>
            <c:ext xmlns:c16="http://schemas.microsoft.com/office/drawing/2014/chart" uri="{C3380CC4-5D6E-409C-BE32-E72D297353CC}">
              <c16:uniqueId val="{00000007-298D-F947-8011-9557D86236A7}"/>
            </c:ext>
          </c:extLst>
        </c:ser>
        <c:dLbls>
          <c:showLegendKey val="0"/>
          <c:showVal val="0"/>
          <c:showCatName val="0"/>
          <c:showSerName val="0"/>
          <c:showPercent val="0"/>
          <c:showBubbleSize val="0"/>
        </c:dLbls>
        <c:marker val="1"/>
        <c:smooth val="0"/>
        <c:axId val="41049759"/>
        <c:axId val="41031791"/>
      </c:lineChart>
      <c:catAx>
        <c:axId val="41049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31791"/>
        <c:crosses val="autoZero"/>
        <c:auto val="1"/>
        <c:lblAlgn val="ctr"/>
        <c:lblOffset val="100"/>
        <c:noMultiLvlLbl val="0"/>
      </c:catAx>
      <c:valAx>
        <c:axId val="41031791"/>
        <c:scaling>
          <c:orientation val="minMax"/>
          <c:max val="100"/>
          <c:min val="7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49759"/>
        <c:crosses val="autoZero"/>
        <c:crossBetween val="between"/>
      </c:valAx>
      <c:spPr>
        <a:noFill/>
        <a:ln>
          <a:noFill/>
        </a:ln>
        <a:effectLst/>
      </c:spPr>
    </c:plotArea>
    <c:legend>
      <c:legendPos val="b"/>
      <c:layout>
        <c:manualLayout>
          <c:xMode val="edge"/>
          <c:yMode val="edge"/>
          <c:x val="0.1364439562932826"/>
          <c:y val="0.82871123186493201"/>
          <c:w val="0.74039755037590327"/>
          <c:h val="0.145803631161236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'Evacuarea apelor reziduale'!$A$5</c:f>
              <c:strCache>
                <c:ptCount val="1"/>
                <c:pt idx="0">
                  <c:v>Ape conventional pure (fara epurare)</c:v>
                </c:pt>
              </c:strCache>
            </c:strRef>
          </c:tx>
          <c:spPr>
            <a:solidFill>
              <a:schemeClr val="accent2"/>
            </a:solidFill>
            <a:ln>
              <a:noFill/>
            </a:ln>
            <a:effectLst/>
          </c:spPr>
          <c:invertIfNegative val="0"/>
          <c:cat>
            <c:strRef>
              <c:f>'Evacuarea apelor reziduale'!$B$3:$Y$3</c:f>
              <c:strCach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strCache>
            </c:strRef>
          </c:cat>
          <c:val>
            <c:numRef>
              <c:f>'Evacuarea apelor reziduale'!$B$5:$Y$5</c:f>
              <c:numCache>
                <c:formatCode>0</c:formatCode>
                <c:ptCount val="24"/>
                <c:pt idx="0">
                  <c:v>557</c:v>
                </c:pt>
                <c:pt idx="1">
                  <c:v>560</c:v>
                </c:pt>
                <c:pt idx="2">
                  <c:v>558</c:v>
                </c:pt>
                <c:pt idx="3">
                  <c:v>561</c:v>
                </c:pt>
                <c:pt idx="4">
                  <c:v>556</c:v>
                </c:pt>
                <c:pt idx="5">
                  <c:v>562</c:v>
                </c:pt>
                <c:pt idx="6">
                  <c:v>551</c:v>
                </c:pt>
                <c:pt idx="7">
                  <c:v>550</c:v>
                </c:pt>
                <c:pt idx="8">
                  <c:v>552</c:v>
                </c:pt>
                <c:pt idx="9">
                  <c:v>556</c:v>
                </c:pt>
                <c:pt idx="10">
                  <c:v>555</c:v>
                </c:pt>
                <c:pt idx="11">
                  <c:v>553</c:v>
                </c:pt>
                <c:pt idx="12">
                  <c:v>551</c:v>
                </c:pt>
                <c:pt idx="13">
                  <c:v>545</c:v>
                </c:pt>
                <c:pt idx="14">
                  <c:v>546</c:v>
                </c:pt>
                <c:pt idx="15">
                  <c:v>544</c:v>
                </c:pt>
                <c:pt idx="16">
                  <c:v>544</c:v>
                </c:pt>
                <c:pt idx="17">
                  <c:v>545</c:v>
                </c:pt>
                <c:pt idx="18">
                  <c:v>546</c:v>
                </c:pt>
                <c:pt idx="19">
                  <c:v>545</c:v>
                </c:pt>
                <c:pt idx="20">
                  <c:v>546</c:v>
                </c:pt>
                <c:pt idx="21">
                  <c:v>545</c:v>
                </c:pt>
                <c:pt idx="22" formatCode="General">
                  <c:v>3</c:v>
                </c:pt>
                <c:pt idx="23" formatCode="General">
                  <c:v>2</c:v>
                </c:pt>
              </c:numCache>
            </c:numRef>
          </c:val>
          <c:extLst>
            <c:ext xmlns:c16="http://schemas.microsoft.com/office/drawing/2014/chart" uri="{C3380CC4-5D6E-409C-BE32-E72D297353CC}">
              <c16:uniqueId val="{00000000-548A-FB48-866A-EF368967010D}"/>
            </c:ext>
          </c:extLst>
        </c:ser>
        <c:ser>
          <c:idx val="2"/>
          <c:order val="2"/>
          <c:tx>
            <c:strRef>
              <c:f>'Evacuarea apelor reziduale'!$A$6</c:f>
              <c:strCache>
                <c:ptCount val="1"/>
                <c:pt idx="0">
                  <c:v>Ape normativ epurate</c:v>
                </c:pt>
              </c:strCache>
            </c:strRef>
          </c:tx>
          <c:spPr>
            <a:solidFill>
              <a:schemeClr val="accent3"/>
            </a:solidFill>
            <a:ln>
              <a:noFill/>
            </a:ln>
            <a:effectLst/>
          </c:spPr>
          <c:invertIfNegative val="0"/>
          <c:cat>
            <c:strRef>
              <c:f>'Evacuarea apelor reziduale'!$B$3:$Y$3</c:f>
              <c:strCach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strCache>
            </c:strRef>
          </c:cat>
          <c:val>
            <c:numRef>
              <c:f>'Evacuarea apelor reziduale'!$B$6:$Y$6</c:f>
              <c:numCache>
                <c:formatCode>0</c:formatCode>
                <c:ptCount val="24"/>
                <c:pt idx="0">
                  <c:v>138</c:v>
                </c:pt>
                <c:pt idx="1">
                  <c:v>116</c:v>
                </c:pt>
                <c:pt idx="2">
                  <c:v>79</c:v>
                </c:pt>
                <c:pt idx="3">
                  <c:v>85</c:v>
                </c:pt>
                <c:pt idx="4">
                  <c:v>124</c:v>
                </c:pt>
                <c:pt idx="5">
                  <c:v>119</c:v>
                </c:pt>
                <c:pt idx="6">
                  <c:v>119</c:v>
                </c:pt>
                <c:pt idx="7">
                  <c:v>115</c:v>
                </c:pt>
                <c:pt idx="8">
                  <c:v>116</c:v>
                </c:pt>
                <c:pt idx="9">
                  <c:v>119</c:v>
                </c:pt>
                <c:pt idx="10">
                  <c:v>115</c:v>
                </c:pt>
                <c:pt idx="11">
                  <c:v>113</c:v>
                </c:pt>
                <c:pt idx="12">
                  <c:v>112</c:v>
                </c:pt>
                <c:pt idx="13">
                  <c:v>109</c:v>
                </c:pt>
                <c:pt idx="14">
                  <c:v>112</c:v>
                </c:pt>
                <c:pt idx="15">
                  <c:v>94</c:v>
                </c:pt>
                <c:pt idx="16">
                  <c:v>115</c:v>
                </c:pt>
                <c:pt idx="17">
                  <c:v>123</c:v>
                </c:pt>
                <c:pt idx="18">
                  <c:v>124</c:v>
                </c:pt>
                <c:pt idx="19">
                  <c:v>120</c:v>
                </c:pt>
                <c:pt idx="20">
                  <c:v>123</c:v>
                </c:pt>
                <c:pt idx="21">
                  <c:v>121</c:v>
                </c:pt>
                <c:pt idx="22" formatCode="General">
                  <c:v>69</c:v>
                </c:pt>
                <c:pt idx="23" formatCode="General">
                  <c:v>71</c:v>
                </c:pt>
              </c:numCache>
            </c:numRef>
          </c:val>
          <c:extLst>
            <c:ext xmlns:c16="http://schemas.microsoft.com/office/drawing/2014/chart" uri="{C3380CC4-5D6E-409C-BE32-E72D297353CC}">
              <c16:uniqueId val="{00000001-548A-FB48-866A-EF368967010D}"/>
            </c:ext>
          </c:extLst>
        </c:ser>
        <c:ser>
          <c:idx val="3"/>
          <c:order val="3"/>
          <c:tx>
            <c:strRef>
              <c:f>'Evacuarea apelor reziduale'!$A$7</c:f>
              <c:strCache>
                <c:ptCount val="1"/>
                <c:pt idx="0">
                  <c:v>Ape poluate (fara epurare sau epurate insuficient)</c:v>
                </c:pt>
              </c:strCache>
            </c:strRef>
          </c:tx>
          <c:spPr>
            <a:solidFill>
              <a:schemeClr val="accent4"/>
            </a:solidFill>
            <a:ln>
              <a:noFill/>
            </a:ln>
            <a:effectLst/>
          </c:spPr>
          <c:invertIfNegative val="0"/>
          <c:cat>
            <c:strRef>
              <c:f>'Evacuarea apelor reziduale'!$B$3:$Y$3</c:f>
              <c:strCach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strCache>
            </c:strRef>
          </c:cat>
          <c:val>
            <c:numRef>
              <c:f>'Evacuarea apelor reziduale'!$B$7:$Y$7</c:f>
              <c:numCache>
                <c:formatCode>0</c:formatCode>
                <c:ptCount val="24"/>
                <c:pt idx="0">
                  <c:v>13</c:v>
                </c:pt>
                <c:pt idx="1">
                  <c:v>19</c:v>
                </c:pt>
                <c:pt idx="2">
                  <c:v>48</c:v>
                </c:pt>
                <c:pt idx="3">
                  <c:v>42</c:v>
                </c:pt>
                <c:pt idx="4">
                  <c:v>9</c:v>
                </c:pt>
                <c:pt idx="5">
                  <c:v>7</c:v>
                </c:pt>
                <c:pt idx="6">
                  <c:v>10</c:v>
                </c:pt>
                <c:pt idx="7">
                  <c:v>14</c:v>
                </c:pt>
                <c:pt idx="8">
                  <c:v>10</c:v>
                </c:pt>
                <c:pt idx="9">
                  <c:v>8</c:v>
                </c:pt>
                <c:pt idx="10">
                  <c:v>8</c:v>
                </c:pt>
                <c:pt idx="11">
                  <c:v>9</c:v>
                </c:pt>
                <c:pt idx="12">
                  <c:v>9</c:v>
                </c:pt>
                <c:pt idx="13">
                  <c:v>10</c:v>
                </c:pt>
                <c:pt idx="14">
                  <c:v>8</c:v>
                </c:pt>
                <c:pt idx="15">
                  <c:v>28</c:v>
                </c:pt>
                <c:pt idx="16">
                  <c:v>8</c:v>
                </c:pt>
                <c:pt idx="17">
                  <c:v>9</c:v>
                </c:pt>
                <c:pt idx="18">
                  <c:v>8</c:v>
                </c:pt>
                <c:pt idx="19">
                  <c:v>8</c:v>
                </c:pt>
                <c:pt idx="20">
                  <c:v>8</c:v>
                </c:pt>
                <c:pt idx="21">
                  <c:v>8</c:v>
                </c:pt>
                <c:pt idx="22" formatCode="General">
                  <c:v>5</c:v>
                </c:pt>
                <c:pt idx="23" formatCode="General">
                  <c:v>5</c:v>
                </c:pt>
              </c:numCache>
            </c:numRef>
          </c:val>
          <c:extLst>
            <c:ext xmlns:c16="http://schemas.microsoft.com/office/drawing/2014/chart" uri="{C3380CC4-5D6E-409C-BE32-E72D297353CC}">
              <c16:uniqueId val="{00000002-548A-FB48-866A-EF368967010D}"/>
            </c:ext>
          </c:extLst>
        </c:ser>
        <c:dLbls>
          <c:showLegendKey val="0"/>
          <c:showVal val="0"/>
          <c:showCatName val="0"/>
          <c:showSerName val="0"/>
          <c:showPercent val="0"/>
          <c:showBubbleSize val="0"/>
        </c:dLbls>
        <c:gapWidth val="150"/>
        <c:overlap val="100"/>
        <c:axId val="526174831"/>
        <c:axId val="526176543"/>
      </c:barChart>
      <c:lineChart>
        <c:grouping val="standard"/>
        <c:varyColors val="0"/>
        <c:ser>
          <c:idx val="0"/>
          <c:order val="0"/>
          <c:tx>
            <c:strRef>
              <c:f>'Evacuarea apelor reziduale'!$A$4</c:f>
              <c:strCache>
                <c:ptCount val="1"/>
                <c:pt idx="0">
                  <c:v>Ape evacuate - 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'Evacuarea apelor reziduale'!$B$3:$Y$3</c:f>
              <c:strCach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strCache>
            </c:strRef>
          </c:cat>
          <c:val>
            <c:numRef>
              <c:f>'Evacuarea apelor reziduale'!$B$4:$Y$4</c:f>
              <c:numCache>
                <c:formatCode>0</c:formatCode>
                <c:ptCount val="24"/>
                <c:pt idx="0">
                  <c:v>708</c:v>
                </c:pt>
                <c:pt idx="1">
                  <c:v>695</c:v>
                </c:pt>
                <c:pt idx="2">
                  <c:v>685</c:v>
                </c:pt>
                <c:pt idx="3">
                  <c:v>688</c:v>
                </c:pt>
                <c:pt idx="4">
                  <c:v>689</c:v>
                </c:pt>
                <c:pt idx="5">
                  <c:v>688</c:v>
                </c:pt>
                <c:pt idx="6">
                  <c:v>680</c:v>
                </c:pt>
                <c:pt idx="7">
                  <c:v>679</c:v>
                </c:pt>
                <c:pt idx="8">
                  <c:v>678</c:v>
                </c:pt>
                <c:pt idx="9">
                  <c:v>683</c:v>
                </c:pt>
                <c:pt idx="10">
                  <c:v>678</c:v>
                </c:pt>
                <c:pt idx="11">
                  <c:v>675</c:v>
                </c:pt>
                <c:pt idx="12">
                  <c:v>672</c:v>
                </c:pt>
                <c:pt idx="13">
                  <c:v>664</c:v>
                </c:pt>
                <c:pt idx="14">
                  <c:v>666</c:v>
                </c:pt>
                <c:pt idx="15">
                  <c:v>666</c:v>
                </c:pt>
                <c:pt idx="16">
                  <c:v>667</c:v>
                </c:pt>
                <c:pt idx="17">
                  <c:v>677</c:v>
                </c:pt>
                <c:pt idx="18">
                  <c:v>678</c:v>
                </c:pt>
                <c:pt idx="19">
                  <c:v>673</c:v>
                </c:pt>
                <c:pt idx="20">
                  <c:v>677</c:v>
                </c:pt>
                <c:pt idx="21">
                  <c:v>675</c:v>
                </c:pt>
                <c:pt idx="22" formatCode="General">
                  <c:v>77</c:v>
                </c:pt>
                <c:pt idx="23" formatCode="General">
                  <c:v>80</c:v>
                </c:pt>
              </c:numCache>
            </c:numRef>
          </c:val>
          <c:smooth val="0"/>
          <c:extLst>
            <c:ext xmlns:c16="http://schemas.microsoft.com/office/drawing/2014/chart" uri="{C3380CC4-5D6E-409C-BE32-E72D297353CC}">
              <c16:uniqueId val="{00000003-548A-FB48-866A-EF368967010D}"/>
            </c:ext>
          </c:extLst>
        </c:ser>
        <c:dLbls>
          <c:showLegendKey val="0"/>
          <c:showVal val="0"/>
          <c:showCatName val="0"/>
          <c:showSerName val="0"/>
          <c:showPercent val="0"/>
          <c:showBubbleSize val="0"/>
        </c:dLbls>
        <c:marker val="1"/>
        <c:smooth val="0"/>
        <c:axId val="526174831"/>
        <c:axId val="526176543"/>
      </c:lineChart>
      <c:catAx>
        <c:axId val="526174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176543"/>
        <c:crosses val="autoZero"/>
        <c:auto val="1"/>
        <c:lblAlgn val="ctr"/>
        <c:lblOffset val="100"/>
        <c:noMultiLvlLbl val="0"/>
      </c:catAx>
      <c:valAx>
        <c:axId val="5261765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174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'Evac. apelor uzate_sist canaliz'!$A$250</c:f>
              <c:strCache>
                <c:ptCount val="1"/>
                <c:pt idx="0">
                  <c:v>Volumul total al apelor uzate evacuate în sistemul public de canalizare, mii metri cubi</c:v>
                </c:pt>
              </c:strCache>
            </c:strRef>
          </c:tx>
          <c:spPr>
            <a:solidFill>
              <a:schemeClr val="accent1"/>
            </a:solidFill>
            <a:ln>
              <a:noFill/>
            </a:ln>
            <a:effectLst/>
          </c:spPr>
          <c:invertIfNegative val="0"/>
          <c:cat>
            <c:strRef>
              <c:f>'Evac. apelor uzate_sist canaliz'!$B$249:$J$249</c:f>
              <c:strCache>
                <c:ptCount val="9"/>
                <c:pt idx="0">
                  <c:v>2016</c:v>
                </c:pt>
                <c:pt idx="1">
                  <c:v>2017</c:v>
                </c:pt>
                <c:pt idx="2">
                  <c:v>2018</c:v>
                </c:pt>
                <c:pt idx="3">
                  <c:v>2019</c:v>
                </c:pt>
                <c:pt idx="4">
                  <c:v>2020</c:v>
                </c:pt>
                <c:pt idx="5">
                  <c:v>2021</c:v>
                </c:pt>
                <c:pt idx="6">
                  <c:v>2022</c:v>
                </c:pt>
                <c:pt idx="7">
                  <c:v>2023</c:v>
                </c:pt>
                <c:pt idx="8">
                  <c:v>2024</c:v>
                </c:pt>
              </c:strCache>
            </c:strRef>
          </c:cat>
          <c:val>
            <c:numRef>
              <c:f>'Evac. apelor uzate_sist canaliz'!$B$250:$J$250</c:f>
              <c:numCache>
                <c:formatCode>0.0</c:formatCode>
                <c:ptCount val="9"/>
                <c:pt idx="0">
                  <c:v>66936.399999999994</c:v>
                </c:pt>
                <c:pt idx="1">
                  <c:v>69731.3</c:v>
                </c:pt>
                <c:pt idx="2">
                  <c:v>69524.100000000006</c:v>
                </c:pt>
                <c:pt idx="3">
                  <c:v>70439</c:v>
                </c:pt>
                <c:pt idx="4">
                  <c:v>66911.199999999997</c:v>
                </c:pt>
                <c:pt idx="5">
                  <c:v>70114.899999999994</c:v>
                </c:pt>
                <c:pt idx="6">
                  <c:v>70942.7</c:v>
                </c:pt>
                <c:pt idx="7">
                  <c:v>68842.5</c:v>
                </c:pt>
                <c:pt idx="8">
                  <c:v>71490.399999999994</c:v>
                </c:pt>
              </c:numCache>
            </c:numRef>
          </c:val>
          <c:extLst>
            <c:ext xmlns:c16="http://schemas.microsoft.com/office/drawing/2014/chart" uri="{C3380CC4-5D6E-409C-BE32-E72D297353CC}">
              <c16:uniqueId val="{00000000-67DE-4F4D-9C01-8270F9229CB0}"/>
            </c:ext>
          </c:extLst>
        </c:ser>
        <c:ser>
          <c:idx val="1"/>
          <c:order val="1"/>
          <c:tx>
            <c:strRef>
              <c:f>'Evac. apelor uzate_sist canaliz'!$A$251</c:f>
              <c:strCache>
                <c:ptCount val="1"/>
                <c:pt idx="0">
                  <c:v>Volumul total al apelor uzate epurate, mii metri cubi</c:v>
                </c:pt>
              </c:strCache>
            </c:strRef>
          </c:tx>
          <c:spPr>
            <a:solidFill>
              <a:schemeClr val="accent2"/>
            </a:solidFill>
            <a:ln>
              <a:noFill/>
            </a:ln>
            <a:effectLst/>
          </c:spPr>
          <c:invertIfNegative val="0"/>
          <c:cat>
            <c:strRef>
              <c:f>'Evac. apelor uzate_sist canaliz'!$B$249:$J$249</c:f>
              <c:strCache>
                <c:ptCount val="9"/>
                <c:pt idx="0">
                  <c:v>2016</c:v>
                </c:pt>
                <c:pt idx="1">
                  <c:v>2017</c:v>
                </c:pt>
                <c:pt idx="2">
                  <c:v>2018</c:v>
                </c:pt>
                <c:pt idx="3">
                  <c:v>2019</c:v>
                </c:pt>
                <c:pt idx="4">
                  <c:v>2020</c:v>
                </c:pt>
                <c:pt idx="5">
                  <c:v>2021</c:v>
                </c:pt>
                <c:pt idx="6">
                  <c:v>2022</c:v>
                </c:pt>
                <c:pt idx="7">
                  <c:v>2023</c:v>
                </c:pt>
                <c:pt idx="8">
                  <c:v>2024</c:v>
                </c:pt>
              </c:strCache>
            </c:strRef>
          </c:cat>
          <c:val>
            <c:numRef>
              <c:f>'Evac. apelor uzate_sist canaliz'!$B$251:$J$251</c:f>
              <c:numCache>
                <c:formatCode>0.0</c:formatCode>
                <c:ptCount val="9"/>
                <c:pt idx="0">
                  <c:v>64323.7</c:v>
                </c:pt>
                <c:pt idx="1">
                  <c:v>67726.100000000006</c:v>
                </c:pt>
                <c:pt idx="2">
                  <c:v>67357.7</c:v>
                </c:pt>
                <c:pt idx="3">
                  <c:v>68369.899999999994</c:v>
                </c:pt>
                <c:pt idx="4">
                  <c:v>64954.7</c:v>
                </c:pt>
                <c:pt idx="5">
                  <c:v>67988</c:v>
                </c:pt>
                <c:pt idx="6">
                  <c:v>68829.100000000006</c:v>
                </c:pt>
                <c:pt idx="7">
                  <c:v>66745.399999999994</c:v>
                </c:pt>
                <c:pt idx="8">
                  <c:v>69186</c:v>
                </c:pt>
              </c:numCache>
            </c:numRef>
          </c:val>
          <c:extLst>
            <c:ext xmlns:c16="http://schemas.microsoft.com/office/drawing/2014/chart" uri="{C3380CC4-5D6E-409C-BE32-E72D297353CC}">
              <c16:uniqueId val="{00000001-67DE-4F4D-9C01-8270F9229CB0}"/>
            </c:ext>
          </c:extLst>
        </c:ser>
        <c:dLbls>
          <c:showLegendKey val="0"/>
          <c:showVal val="0"/>
          <c:showCatName val="0"/>
          <c:showSerName val="0"/>
          <c:showPercent val="0"/>
          <c:showBubbleSize val="0"/>
        </c:dLbls>
        <c:gapWidth val="219"/>
        <c:overlap val="-27"/>
        <c:axId val="392335967"/>
        <c:axId val="393085439"/>
      </c:barChart>
      <c:catAx>
        <c:axId val="392335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085439"/>
        <c:crosses val="autoZero"/>
        <c:auto val="1"/>
        <c:lblAlgn val="ctr"/>
        <c:lblOffset val="100"/>
        <c:noMultiLvlLbl val="0"/>
      </c:catAx>
      <c:valAx>
        <c:axId val="393085439"/>
        <c:scaling>
          <c:orientation val="minMax"/>
          <c:max val="72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2335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'Evac. apelor uzate_sist canaliz'!$A$279</c:f>
              <c:strCache>
                <c:ptCount val="1"/>
                <c:pt idx="0">
                  <c:v>Numarul total al statiilor de epurare a apelor uzate, unitati</c:v>
                </c:pt>
              </c:strCache>
            </c:strRef>
          </c:tx>
          <c:spPr>
            <a:solidFill>
              <a:schemeClr val="accent1"/>
            </a:solidFill>
            <a:ln>
              <a:noFill/>
            </a:ln>
            <a:effectLst/>
          </c:spPr>
          <c:invertIfNegative val="0"/>
          <c:cat>
            <c:strRef>
              <c:f>'Evac. apelor uzate_sist canaliz'!$B$278:$J$278</c:f>
              <c:strCache>
                <c:ptCount val="9"/>
                <c:pt idx="0">
                  <c:v>2016</c:v>
                </c:pt>
                <c:pt idx="1">
                  <c:v>2017</c:v>
                </c:pt>
                <c:pt idx="2">
                  <c:v>2018</c:v>
                </c:pt>
                <c:pt idx="3">
                  <c:v>2019</c:v>
                </c:pt>
                <c:pt idx="4">
                  <c:v>2020</c:v>
                </c:pt>
                <c:pt idx="5">
                  <c:v>2021</c:v>
                </c:pt>
                <c:pt idx="6">
                  <c:v>2022</c:v>
                </c:pt>
                <c:pt idx="7">
                  <c:v>2023</c:v>
                </c:pt>
                <c:pt idx="8">
                  <c:v>2024</c:v>
                </c:pt>
              </c:strCache>
            </c:strRef>
          </c:cat>
          <c:val>
            <c:numRef>
              <c:f>'Evac. apelor uzate_sist canaliz'!$B$279:$J$279</c:f>
              <c:numCache>
                <c:formatCode>0</c:formatCode>
                <c:ptCount val="9"/>
                <c:pt idx="0">
                  <c:v>87</c:v>
                </c:pt>
                <c:pt idx="1">
                  <c:v>83</c:v>
                </c:pt>
                <c:pt idx="2">
                  <c:v>85</c:v>
                </c:pt>
                <c:pt idx="3">
                  <c:v>90</c:v>
                </c:pt>
                <c:pt idx="4">
                  <c:v>92</c:v>
                </c:pt>
                <c:pt idx="5">
                  <c:v>101</c:v>
                </c:pt>
                <c:pt idx="6">
                  <c:v>109</c:v>
                </c:pt>
                <c:pt idx="7">
                  <c:v>118</c:v>
                </c:pt>
                <c:pt idx="8">
                  <c:v>125</c:v>
                </c:pt>
              </c:numCache>
            </c:numRef>
          </c:val>
          <c:extLst>
            <c:ext xmlns:c16="http://schemas.microsoft.com/office/drawing/2014/chart" uri="{C3380CC4-5D6E-409C-BE32-E72D297353CC}">
              <c16:uniqueId val="{00000000-E710-C341-9691-1E4E7DC630BA}"/>
            </c:ext>
          </c:extLst>
        </c:ser>
        <c:ser>
          <c:idx val="1"/>
          <c:order val="1"/>
          <c:tx>
            <c:strRef>
              <c:f>'Evac. apelor uzate_sist canaliz'!$A$280</c:f>
              <c:strCache>
                <c:ptCount val="1"/>
                <c:pt idx="0">
                  <c:v>Numarul statiilor de epurare a apelor uzate in functiune, unitati</c:v>
                </c:pt>
              </c:strCache>
            </c:strRef>
          </c:tx>
          <c:spPr>
            <a:solidFill>
              <a:schemeClr val="accent2"/>
            </a:solidFill>
            <a:ln>
              <a:noFill/>
            </a:ln>
            <a:effectLst/>
          </c:spPr>
          <c:invertIfNegative val="0"/>
          <c:cat>
            <c:strRef>
              <c:f>'Evac. apelor uzate_sist canaliz'!$B$278:$J$278</c:f>
              <c:strCache>
                <c:ptCount val="9"/>
                <c:pt idx="0">
                  <c:v>2016</c:v>
                </c:pt>
                <c:pt idx="1">
                  <c:v>2017</c:v>
                </c:pt>
                <c:pt idx="2">
                  <c:v>2018</c:v>
                </c:pt>
                <c:pt idx="3">
                  <c:v>2019</c:v>
                </c:pt>
                <c:pt idx="4">
                  <c:v>2020</c:v>
                </c:pt>
                <c:pt idx="5">
                  <c:v>2021</c:v>
                </c:pt>
                <c:pt idx="6">
                  <c:v>2022</c:v>
                </c:pt>
                <c:pt idx="7">
                  <c:v>2023</c:v>
                </c:pt>
                <c:pt idx="8">
                  <c:v>2024</c:v>
                </c:pt>
              </c:strCache>
            </c:strRef>
          </c:cat>
          <c:val>
            <c:numRef>
              <c:f>'Evac. apelor uzate_sist canaliz'!$B$280:$J$280</c:f>
              <c:numCache>
                <c:formatCode>0</c:formatCode>
                <c:ptCount val="9"/>
                <c:pt idx="0">
                  <c:v>73</c:v>
                </c:pt>
                <c:pt idx="1">
                  <c:v>70</c:v>
                </c:pt>
                <c:pt idx="2">
                  <c:v>72</c:v>
                </c:pt>
                <c:pt idx="3">
                  <c:v>74</c:v>
                </c:pt>
                <c:pt idx="4">
                  <c:v>81</c:v>
                </c:pt>
                <c:pt idx="5">
                  <c:v>92</c:v>
                </c:pt>
                <c:pt idx="6">
                  <c:v>99</c:v>
                </c:pt>
                <c:pt idx="7">
                  <c:v>107</c:v>
                </c:pt>
                <c:pt idx="8">
                  <c:v>116</c:v>
                </c:pt>
              </c:numCache>
            </c:numRef>
          </c:val>
          <c:extLst>
            <c:ext xmlns:c16="http://schemas.microsoft.com/office/drawing/2014/chart" uri="{C3380CC4-5D6E-409C-BE32-E72D297353CC}">
              <c16:uniqueId val="{00000001-E710-C341-9691-1E4E7DC630BA}"/>
            </c:ext>
          </c:extLst>
        </c:ser>
        <c:dLbls>
          <c:showLegendKey val="0"/>
          <c:showVal val="0"/>
          <c:showCatName val="0"/>
          <c:showSerName val="0"/>
          <c:showPercent val="0"/>
          <c:showBubbleSize val="0"/>
        </c:dLbls>
        <c:gapWidth val="219"/>
        <c:overlap val="-27"/>
        <c:axId val="320898207"/>
        <c:axId val="473653551"/>
      </c:barChart>
      <c:catAx>
        <c:axId val="320898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653551"/>
        <c:crosses val="autoZero"/>
        <c:auto val="1"/>
        <c:lblAlgn val="ctr"/>
        <c:lblOffset val="100"/>
        <c:noMultiLvlLbl val="0"/>
      </c:catAx>
      <c:valAx>
        <c:axId val="4736535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898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07865631009979"/>
          <c:y val="0.16736982292996597"/>
          <c:w val="0.50380565524828447"/>
          <c:h val="0.81584293000832098"/>
        </c:manualLayout>
      </c:layout>
      <c:pieChart>
        <c:varyColors val="1"/>
        <c:ser>
          <c:idx val="0"/>
          <c:order val="0"/>
          <c:tx>
            <c:strRef>
              <c:f>'2010-2024'!$B$84</c:f>
              <c:strCache>
                <c:ptCount val="1"/>
                <c:pt idx="0">
                  <c:v>N-rul de SE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794-4B9D-8376-4307F078B5A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794-4B9D-8376-4307F078B5A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794-4B9D-8376-4307F078B5A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794-4B9D-8376-4307F078B5A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794-4B9D-8376-4307F078B5A1}"/>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9794-4B9D-8376-4307F078B5A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9794-4B9D-8376-4307F078B5A1}"/>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9794-4B9D-8376-4307F078B5A1}"/>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9794-4B9D-8376-4307F078B5A1}"/>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9794-4B9D-8376-4307F078B5A1}"/>
              </c:ext>
            </c:extLst>
          </c:dPt>
          <c:dLbls>
            <c:dLbl>
              <c:idx val="1"/>
              <c:layout>
                <c:manualLayout>
                  <c:x val="0.12047522205419686"/>
                  <c:y val="0.2187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794-4B9D-8376-4307F078B5A1}"/>
                </c:ext>
              </c:extLst>
            </c:dLbl>
            <c:dLbl>
              <c:idx val="6"/>
              <c:layout>
                <c:manualLayout>
                  <c:x val="-0.14671101312335957"/>
                  <c:y val="0.1692250786018124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794-4B9D-8376-4307F078B5A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'2010-2024'!$A$85:$A$94</c:f>
              <c:strCache>
                <c:ptCount val="10"/>
                <c:pt idx="0">
                  <c:v>Alunecari de teren si surpari</c:v>
                </c:pt>
                <c:pt idx="1">
                  <c:v>Vijelii, vîrtejuri, furtuni de praf si cu descarcari electrice</c:v>
                </c:pt>
                <c:pt idx="2">
                  <c:v>Grindina mare </c:v>
                </c:pt>
                <c:pt idx="3">
                  <c:v>Ploi torentiale cu grindina, cu vînt puternic si ploi de lunga durata</c:v>
                </c:pt>
                <c:pt idx="4">
                  <c:v>Ninsoare abundenta si viscol</c:v>
                </c:pt>
                <c:pt idx="5">
                  <c:v>Inghet si ger puternic </c:v>
                </c:pt>
                <c:pt idx="6">
                  <c:v>Depuneri de gheata (polei, lapovita)</c:v>
                </c:pt>
                <c:pt idx="7">
                  <c:v>Arsita puternica, valuri de caldura</c:v>
                </c:pt>
                <c:pt idx="8">
                  <c:v>Seceta</c:v>
                </c:pt>
                <c:pt idx="9">
                  <c:v>Inundatii, nivel inalt al apelor subterane, revarsarea apelor</c:v>
                </c:pt>
              </c:strCache>
            </c:strRef>
          </c:cat>
          <c:val>
            <c:numRef>
              <c:f>'2010-2024'!$B$85:$B$94</c:f>
              <c:numCache>
                <c:formatCode>0</c:formatCode>
                <c:ptCount val="10"/>
                <c:pt idx="0">
                  <c:v>8</c:v>
                </c:pt>
                <c:pt idx="1">
                  <c:v>101</c:v>
                </c:pt>
                <c:pt idx="2">
                  <c:v>223</c:v>
                </c:pt>
                <c:pt idx="3">
                  <c:v>859</c:v>
                </c:pt>
                <c:pt idx="4">
                  <c:v>27</c:v>
                </c:pt>
                <c:pt idx="5">
                  <c:v>54</c:v>
                </c:pt>
                <c:pt idx="6">
                  <c:v>4</c:v>
                </c:pt>
                <c:pt idx="7">
                  <c:v>2</c:v>
                </c:pt>
                <c:pt idx="8">
                  <c:v>12</c:v>
                </c:pt>
                <c:pt idx="9">
                  <c:v>18</c:v>
                </c:pt>
              </c:numCache>
            </c:numRef>
          </c:val>
          <c:extLst>
            <c:ext xmlns:c16="http://schemas.microsoft.com/office/drawing/2014/chart" uri="{C3380CC4-5D6E-409C-BE32-E72D297353CC}">
              <c16:uniqueId val="{00000014-9794-4B9D-8376-4307F078B5A1}"/>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'/Users/maximelebovics/Desktop/IOM application_National DRR Consultant/DATE STATISTICE/RRD socio-biologice/[Evacuarea substantelor poluante cu apele reziduale in obiectivele acvatice de suprafata .xlsx]GEO0203'!$A$4</c:f>
              <c:strCache>
                <c:ptCount val="1"/>
                <c:pt idx="0">
                  <c:v>Suspenzii, mii tone</c:v>
                </c:pt>
              </c:strCache>
            </c:strRef>
          </c:tx>
          <c:spPr>
            <a:solidFill>
              <a:schemeClr val="accent1"/>
            </a:solidFill>
            <a:ln>
              <a:noFill/>
            </a:ln>
            <a:effectLst/>
          </c:spPr>
          <c:invertIfNegative val="0"/>
          <c:cat>
            <c:strRef>
              <c:f>'/Users/maximelebovics/Desktop/IOM application_National DRR Consultant/DATE STATISTICE/RRD socio-biologice/[Evacuarea substantelor poluante cu apele reziduale in obiectivele acvatice de suprafata .xlsx]GEO0203'!$B$3:$S$3</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strCache>
            </c:strRef>
          </c:cat>
          <c:val>
            <c:numRef>
              <c:f>'/Users/maximelebovics/Desktop/IOM application_National DRR Consultant/DATE STATISTICE/RRD socio-biologice/[Evacuarea substantelor poluante cu apele reziduale in obiectivele acvatice de suprafata .xlsx]GEO0203'!$B$4:$S$4</c:f>
              <c:numCache>
                <c:formatCode>General</c:formatCode>
                <c:ptCount val="18"/>
                <c:pt idx="0">
                  <c:v>2.1</c:v>
                </c:pt>
                <c:pt idx="1">
                  <c:v>2.1</c:v>
                </c:pt>
                <c:pt idx="2">
                  <c:v>2.2999999999999998</c:v>
                </c:pt>
                <c:pt idx="3">
                  <c:v>2.8</c:v>
                </c:pt>
                <c:pt idx="4">
                  <c:v>2.6</c:v>
                </c:pt>
                <c:pt idx="5">
                  <c:v>2.7</c:v>
                </c:pt>
                <c:pt idx="6">
                  <c:v>2.4</c:v>
                </c:pt>
                <c:pt idx="7">
                  <c:v>2.4</c:v>
                </c:pt>
                <c:pt idx="8">
                  <c:v>2.4</c:v>
                </c:pt>
                <c:pt idx="9">
                  <c:v>3.1</c:v>
                </c:pt>
                <c:pt idx="10">
                  <c:v>2.6</c:v>
                </c:pt>
                <c:pt idx="11">
                  <c:v>6.5</c:v>
                </c:pt>
                <c:pt idx="12">
                  <c:v>2.5</c:v>
                </c:pt>
                <c:pt idx="13">
                  <c:v>2.9</c:v>
                </c:pt>
                <c:pt idx="14">
                  <c:v>4.7</c:v>
                </c:pt>
                <c:pt idx="15">
                  <c:v>6.4</c:v>
                </c:pt>
                <c:pt idx="16">
                  <c:v>6.7</c:v>
                </c:pt>
                <c:pt idx="17">
                  <c:v>4.8</c:v>
                </c:pt>
              </c:numCache>
            </c:numRef>
          </c:val>
          <c:extLst>
            <c:ext xmlns:c16="http://schemas.microsoft.com/office/drawing/2014/chart" uri="{C3380CC4-5D6E-409C-BE32-E72D297353CC}">
              <c16:uniqueId val="{00000000-AD10-0147-8FED-C94648BAE276}"/>
            </c:ext>
          </c:extLst>
        </c:ser>
        <c:ser>
          <c:idx val="1"/>
          <c:order val="1"/>
          <c:tx>
            <c:strRef>
              <c:f>'/Users/maximelebovics/Desktop/IOM application_National DRR Consultant/DATE STATISTICE/RRD socio-biologice/[Evacuarea substantelor poluante cu apele reziduale in obiectivele acvatice de suprafata .xlsx]GEO0203'!$A$5</c:f>
              <c:strCache>
                <c:ptCount val="1"/>
                <c:pt idx="0">
                  <c:v>Reziduuri, mii tone</c:v>
                </c:pt>
              </c:strCache>
            </c:strRef>
          </c:tx>
          <c:spPr>
            <a:solidFill>
              <a:schemeClr val="accent2"/>
            </a:solidFill>
            <a:ln>
              <a:noFill/>
            </a:ln>
            <a:effectLst/>
          </c:spPr>
          <c:invertIfNegative val="0"/>
          <c:cat>
            <c:strRef>
              <c:f>'/Users/maximelebovics/Desktop/IOM application_National DRR Consultant/DATE STATISTICE/RRD socio-biologice/[Evacuarea substantelor poluante cu apele reziduale in obiectivele acvatice de suprafata .xlsx]GEO0203'!$B$3:$S$3</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strCache>
            </c:strRef>
          </c:cat>
          <c:val>
            <c:numRef>
              <c:f>'/Users/maximelebovics/Desktop/IOM application_National DRR Consultant/DATE STATISTICE/RRD socio-biologice/[Evacuarea substantelor poluante cu apele reziduale in obiectivele acvatice de suprafata .xlsx]GEO0203'!$B$5:$S$5</c:f>
              <c:numCache>
                <c:formatCode>General</c:formatCode>
                <c:ptCount val="18"/>
                <c:pt idx="0">
                  <c:v>115.3</c:v>
                </c:pt>
                <c:pt idx="1">
                  <c:v>113.1</c:v>
                </c:pt>
                <c:pt idx="2">
                  <c:v>103.8</c:v>
                </c:pt>
                <c:pt idx="3">
                  <c:v>102.5</c:v>
                </c:pt>
                <c:pt idx="4">
                  <c:v>100.7</c:v>
                </c:pt>
                <c:pt idx="5">
                  <c:v>100.2</c:v>
                </c:pt>
                <c:pt idx="6">
                  <c:v>98.6</c:v>
                </c:pt>
                <c:pt idx="7">
                  <c:v>96.1</c:v>
                </c:pt>
                <c:pt idx="8">
                  <c:v>100.8</c:v>
                </c:pt>
                <c:pt idx="9">
                  <c:v>104.3</c:v>
                </c:pt>
                <c:pt idx="10">
                  <c:v>99.3</c:v>
                </c:pt>
                <c:pt idx="11">
                  <c:v>99.5</c:v>
                </c:pt>
                <c:pt idx="12">
                  <c:v>100.2</c:v>
                </c:pt>
                <c:pt idx="13">
                  <c:v>98.2</c:v>
                </c:pt>
                <c:pt idx="14">
                  <c:v>101</c:v>
                </c:pt>
                <c:pt idx="15">
                  <c:v>96</c:v>
                </c:pt>
                <c:pt idx="16">
                  <c:v>99</c:v>
                </c:pt>
                <c:pt idx="17">
                  <c:v>95.5</c:v>
                </c:pt>
              </c:numCache>
            </c:numRef>
          </c:val>
          <c:extLst>
            <c:ext xmlns:c16="http://schemas.microsoft.com/office/drawing/2014/chart" uri="{C3380CC4-5D6E-409C-BE32-E72D297353CC}">
              <c16:uniqueId val="{00000001-AD10-0147-8FED-C94648BAE276}"/>
            </c:ext>
          </c:extLst>
        </c:ser>
        <c:ser>
          <c:idx val="2"/>
          <c:order val="2"/>
          <c:tx>
            <c:strRef>
              <c:f>'/Users/maximelebovics/Desktop/IOM application_National DRR Consultant/DATE STATISTICE/RRD socio-biologice/[Evacuarea substantelor poluante cu apele reziduale in obiectivele acvatice de suprafata .xlsx]GEO0203'!$A$6</c:f>
              <c:strCache>
                <c:ptCount val="1"/>
                <c:pt idx="0">
                  <c:v>Sulfati, mii tone</c:v>
                </c:pt>
              </c:strCache>
            </c:strRef>
          </c:tx>
          <c:spPr>
            <a:solidFill>
              <a:schemeClr val="accent3"/>
            </a:solidFill>
            <a:ln>
              <a:noFill/>
            </a:ln>
            <a:effectLst/>
          </c:spPr>
          <c:invertIfNegative val="0"/>
          <c:cat>
            <c:strRef>
              <c:f>'/Users/maximelebovics/Desktop/IOM application_National DRR Consultant/DATE STATISTICE/RRD socio-biologice/[Evacuarea substantelor poluante cu apele reziduale in obiectivele acvatice de suprafata .xlsx]GEO0203'!$B$3:$S$3</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strCache>
            </c:strRef>
          </c:cat>
          <c:val>
            <c:numRef>
              <c:f>'/Users/maximelebovics/Desktop/IOM application_National DRR Consultant/DATE STATISTICE/RRD socio-biologice/[Evacuarea substantelor poluante cu apele reziduale in obiectivele acvatice de suprafata .xlsx]GEO0203'!$B$6:$S$6</c:f>
              <c:numCache>
                <c:formatCode>General</c:formatCode>
                <c:ptCount val="18"/>
                <c:pt idx="0">
                  <c:v>22.1</c:v>
                </c:pt>
                <c:pt idx="1">
                  <c:v>21.5</c:v>
                </c:pt>
                <c:pt idx="2">
                  <c:v>16.8</c:v>
                </c:pt>
                <c:pt idx="3">
                  <c:v>17.8</c:v>
                </c:pt>
                <c:pt idx="4">
                  <c:v>18.2</c:v>
                </c:pt>
                <c:pt idx="5">
                  <c:v>17.5</c:v>
                </c:pt>
                <c:pt idx="6">
                  <c:v>17.5</c:v>
                </c:pt>
                <c:pt idx="7">
                  <c:v>17.8</c:v>
                </c:pt>
                <c:pt idx="8">
                  <c:v>18</c:v>
                </c:pt>
                <c:pt idx="9">
                  <c:v>18</c:v>
                </c:pt>
                <c:pt idx="10">
                  <c:v>18.7</c:v>
                </c:pt>
                <c:pt idx="11">
                  <c:v>35.299999999999997</c:v>
                </c:pt>
                <c:pt idx="12">
                  <c:v>35.5</c:v>
                </c:pt>
                <c:pt idx="13">
                  <c:v>18.100000000000001</c:v>
                </c:pt>
                <c:pt idx="14">
                  <c:v>15.8</c:v>
                </c:pt>
                <c:pt idx="15">
                  <c:v>15.9</c:v>
                </c:pt>
                <c:pt idx="16">
                  <c:v>30</c:v>
                </c:pt>
                <c:pt idx="17">
                  <c:v>17.3</c:v>
                </c:pt>
              </c:numCache>
            </c:numRef>
          </c:val>
          <c:extLst>
            <c:ext xmlns:c16="http://schemas.microsoft.com/office/drawing/2014/chart" uri="{C3380CC4-5D6E-409C-BE32-E72D297353CC}">
              <c16:uniqueId val="{00000002-AD10-0147-8FED-C94648BAE276}"/>
            </c:ext>
          </c:extLst>
        </c:ser>
        <c:ser>
          <c:idx val="3"/>
          <c:order val="3"/>
          <c:tx>
            <c:strRef>
              <c:f>'/Users/maximelebovics/Desktop/IOM application_National DRR Consultant/DATE STATISTICE/RRD socio-biologice/[Evacuarea substantelor poluante cu apele reziduale in obiectivele acvatice de suprafata .xlsx]GEO0203'!$A$7</c:f>
              <c:strCache>
                <c:ptCount val="1"/>
                <c:pt idx="0">
                  <c:v>Cloruri, mii tone</c:v>
                </c:pt>
              </c:strCache>
            </c:strRef>
          </c:tx>
          <c:spPr>
            <a:solidFill>
              <a:schemeClr val="accent4"/>
            </a:solidFill>
            <a:ln>
              <a:noFill/>
            </a:ln>
            <a:effectLst/>
          </c:spPr>
          <c:invertIfNegative val="0"/>
          <c:cat>
            <c:strRef>
              <c:f>'/Users/maximelebovics/Desktop/IOM application_National DRR Consultant/DATE STATISTICE/RRD socio-biologice/[Evacuarea substantelor poluante cu apele reziduale in obiectivele acvatice de suprafata .xlsx]GEO0203'!$B$3:$S$3</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strCache>
            </c:strRef>
          </c:cat>
          <c:val>
            <c:numRef>
              <c:f>'/Users/maximelebovics/Desktop/IOM application_National DRR Consultant/DATE STATISTICE/RRD socio-biologice/[Evacuarea substantelor poluante cu apele reziduale in obiectivele acvatice de suprafata .xlsx]GEO0203'!$B$7:$S$7</c:f>
              <c:numCache>
                <c:formatCode>General</c:formatCode>
                <c:ptCount val="18"/>
                <c:pt idx="0">
                  <c:v>17.899999999999999</c:v>
                </c:pt>
                <c:pt idx="1">
                  <c:v>17</c:v>
                </c:pt>
                <c:pt idx="2">
                  <c:v>15.6</c:v>
                </c:pt>
                <c:pt idx="3">
                  <c:v>14.9</c:v>
                </c:pt>
                <c:pt idx="4">
                  <c:v>15.4</c:v>
                </c:pt>
                <c:pt idx="5">
                  <c:v>15.8</c:v>
                </c:pt>
                <c:pt idx="6">
                  <c:v>15.7</c:v>
                </c:pt>
                <c:pt idx="7">
                  <c:v>15.3</c:v>
                </c:pt>
                <c:pt idx="8">
                  <c:v>15.4</c:v>
                </c:pt>
                <c:pt idx="9">
                  <c:v>62.1</c:v>
                </c:pt>
                <c:pt idx="10">
                  <c:v>56.6</c:v>
                </c:pt>
                <c:pt idx="11">
                  <c:v>92.2</c:v>
                </c:pt>
                <c:pt idx="12">
                  <c:v>18.100000000000001</c:v>
                </c:pt>
                <c:pt idx="13">
                  <c:v>17.600000000000001</c:v>
                </c:pt>
                <c:pt idx="14">
                  <c:v>63.6</c:v>
                </c:pt>
                <c:pt idx="15">
                  <c:v>61.8</c:v>
                </c:pt>
                <c:pt idx="16">
                  <c:v>87.5</c:v>
                </c:pt>
                <c:pt idx="17">
                  <c:v>73.400000000000006</c:v>
                </c:pt>
              </c:numCache>
            </c:numRef>
          </c:val>
          <c:extLst>
            <c:ext xmlns:c16="http://schemas.microsoft.com/office/drawing/2014/chart" uri="{C3380CC4-5D6E-409C-BE32-E72D297353CC}">
              <c16:uniqueId val="{00000003-AD10-0147-8FED-C94648BAE276}"/>
            </c:ext>
          </c:extLst>
        </c:ser>
        <c:ser>
          <c:idx val="4"/>
          <c:order val="4"/>
          <c:tx>
            <c:strRef>
              <c:f>'/Users/maximelebovics/Desktop/IOM application_National DRR Consultant/DATE STATISTICE/RRD socio-biologice/[Evacuarea substantelor poluante cu apele reziduale in obiectivele acvatice de suprafata .xlsx]GEO0203'!$A$8</c:f>
              <c:strCache>
                <c:ptCount val="1"/>
                <c:pt idx="0">
                  <c:v>Azot, mii tone</c:v>
                </c:pt>
              </c:strCache>
            </c:strRef>
          </c:tx>
          <c:spPr>
            <a:solidFill>
              <a:schemeClr val="accent5"/>
            </a:solidFill>
            <a:ln>
              <a:noFill/>
            </a:ln>
            <a:effectLst/>
          </c:spPr>
          <c:invertIfNegative val="0"/>
          <c:cat>
            <c:strRef>
              <c:f>'/Users/maximelebovics/Desktop/IOM application_National DRR Consultant/DATE STATISTICE/RRD socio-biologice/[Evacuarea substantelor poluante cu apele reziduale in obiectivele acvatice de suprafata .xlsx]GEO0203'!$B$3:$S$3</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strCache>
            </c:strRef>
          </c:cat>
          <c:val>
            <c:numRef>
              <c:f>'/Users/maximelebovics/Desktop/IOM application_National DRR Consultant/DATE STATISTICE/RRD socio-biologice/[Evacuarea substantelor poluante cu apele reziduale in obiectivele acvatice de suprafata .xlsx]GEO0203'!$B$8:$S$8</c:f>
              <c:numCache>
                <c:formatCode>General</c:formatCode>
                <c:ptCount val="18"/>
                <c:pt idx="0">
                  <c:v>2</c:v>
                </c:pt>
                <c:pt idx="1">
                  <c:v>1.8</c:v>
                </c:pt>
                <c:pt idx="2">
                  <c:v>1.9</c:v>
                </c:pt>
                <c:pt idx="3">
                  <c:v>2.2000000000000002</c:v>
                </c:pt>
                <c:pt idx="4">
                  <c:v>2.2000000000000002</c:v>
                </c:pt>
                <c:pt idx="5">
                  <c:v>2.4</c:v>
                </c:pt>
                <c:pt idx="6">
                  <c:v>1.9</c:v>
                </c:pt>
                <c:pt idx="7">
                  <c:v>1.9</c:v>
                </c:pt>
                <c:pt idx="8">
                  <c:v>1.9</c:v>
                </c:pt>
                <c:pt idx="9">
                  <c:v>1.9</c:v>
                </c:pt>
                <c:pt idx="10">
                  <c:v>1.9</c:v>
                </c:pt>
                <c:pt idx="11">
                  <c:v>2</c:v>
                </c:pt>
                <c:pt idx="12">
                  <c:v>1.5</c:v>
                </c:pt>
                <c:pt idx="13">
                  <c:v>0.2</c:v>
                </c:pt>
                <c:pt idx="14">
                  <c:v>0.2</c:v>
                </c:pt>
                <c:pt idx="15">
                  <c:v>0.2</c:v>
                </c:pt>
                <c:pt idx="16">
                  <c:v>0.2</c:v>
                </c:pt>
                <c:pt idx="17">
                  <c:v>0.2</c:v>
                </c:pt>
              </c:numCache>
            </c:numRef>
          </c:val>
          <c:extLst>
            <c:ext xmlns:c16="http://schemas.microsoft.com/office/drawing/2014/chart" uri="{C3380CC4-5D6E-409C-BE32-E72D297353CC}">
              <c16:uniqueId val="{00000004-AD10-0147-8FED-C94648BAE276}"/>
            </c:ext>
          </c:extLst>
        </c:ser>
        <c:ser>
          <c:idx val="5"/>
          <c:order val="5"/>
          <c:tx>
            <c:strRef>
              <c:f>'/Users/maximelebovics/Desktop/IOM application_National DRR Consultant/DATE STATISTICE/RRD socio-biologice/[Evacuarea substantelor poluante cu apele reziduale in obiectivele acvatice de suprafata .xlsx]GEO0203'!$A$9</c:f>
              <c:strCache>
                <c:ptCount val="1"/>
                <c:pt idx="0">
                  <c:v>Nitrati, tone</c:v>
                </c:pt>
              </c:strCache>
            </c:strRef>
          </c:tx>
          <c:spPr>
            <a:solidFill>
              <a:schemeClr val="accent6"/>
            </a:solidFill>
            <a:ln>
              <a:noFill/>
            </a:ln>
            <a:effectLst/>
          </c:spPr>
          <c:invertIfNegative val="0"/>
          <c:cat>
            <c:strRef>
              <c:f>'/Users/maximelebovics/Desktop/IOM application_National DRR Consultant/DATE STATISTICE/RRD socio-biologice/[Evacuarea substantelor poluante cu apele reziduale in obiectivele acvatice de suprafata .xlsx]GEO0203'!$B$3:$S$3</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strCache>
            </c:strRef>
          </c:cat>
          <c:val>
            <c:numRef>
              <c:f>'/Users/maximelebovics/Desktop/IOM application_National DRR Consultant/DATE STATISTICE/RRD socio-biologice/[Evacuarea substantelor poluante cu apele reziduale in obiectivele acvatice de suprafata .xlsx]GEO0203'!$B$9:$S$9</c:f>
              <c:numCache>
                <c:formatCode>General</c:formatCode>
                <c:ptCount val="18"/>
                <c:pt idx="0">
                  <c:v>723.5</c:v>
                </c:pt>
                <c:pt idx="1">
                  <c:v>603.1</c:v>
                </c:pt>
                <c:pt idx="2">
                  <c:v>527.79999999999995</c:v>
                </c:pt>
                <c:pt idx="3">
                  <c:v>511.5</c:v>
                </c:pt>
                <c:pt idx="4">
                  <c:v>501.1</c:v>
                </c:pt>
                <c:pt idx="5">
                  <c:v>510.9</c:v>
                </c:pt>
                <c:pt idx="6">
                  <c:v>472.8</c:v>
                </c:pt>
                <c:pt idx="7">
                  <c:v>485</c:v>
                </c:pt>
                <c:pt idx="8">
                  <c:v>479.6</c:v>
                </c:pt>
                <c:pt idx="9">
                  <c:v>487.4</c:v>
                </c:pt>
                <c:pt idx="10">
                  <c:v>328.4</c:v>
                </c:pt>
                <c:pt idx="11">
                  <c:v>274.2</c:v>
                </c:pt>
                <c:pt idx="12">
                  <c:v>312.10000000000002</c:v>
                </c:pt>
                <c:pt idx="13">
                  <c:v>316</c:v>
                </c:pt>
                <c:pt idx="14">
                  <c:v>250.2</c:v>
                </c:pt>
                <c:pt idx="15">
                  <c:v>294.7</c:v>
                </c:pt>
                <c:pt idx="16">
                  <c:v>306.89999999999998</c:v>
                </c:pt>
                <c:pt idx="17">
                  <c:v>281.5</c:v>
                </c:pt>
              </c:numCache>
            </c:numRef>
          </c:val>
          <c:extLst>
            <c:ext xmlns:c16="http://schemas.microsoft.com/office/drawing/2014/chart" uri="{C3380CC4-5D6E-409C-BE32-E72D297353CC}">
              <c16:uniqueId val="{00000005-AD10-0147-8FED-C94648BAE276}"/>
            </c:ext>
          </c:extLst>
        </c:ser>
        <c:ser>
          <c:idx val="6"/>
          <c:order val="6"/>
          <c:tx>
            <c:strRef>
              <c:f>'/Users/maximelebovics/Desktop/IOM application_National DRR Consultant/DATE STATISTICE/RRD socio-biologice/[Evacuarea substantelor poluante cu apele reziduale in obiectivele acvatice de suprafata .xlsx]GEO0203'!$A$10</c:f>
              <c:strCache>
                <c:ptCount val="1"/>
                <c:pt idx="0">
                  <c:v>Fosfor, tone</c:v>
                </c:pt>
              </c:strCache>
            </c:strRef>
          </c:tx>
          <c:spPr>
            <a:solidFill>
              <a:schemeClr val="accent1">
                <a:lumMod val="60000"/>
              </a:schemeClr>
            </a:solidFill>
            <a:ln>
              <a:noFill/>
            </a:ln>
            <a:effectLst/>
          </c:spPr>
          <c:invertIfNegative val="0"/>
          <c:cat>
            <c:strRef>
              <c:f>'/Users/maximelebovics/Desktop/IOM application_National DRR Consultant/DATE STATISTICE/RRD socio-biologice/[Evacuarea substantelor poluante cu apele reziduale in obiectivele acvatice de suprafata .xlsx]GEO0203'!$B$3:$S$3</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strCache>
            </c:strRef>
          </c:cat>
          <c:val>
            <c:numRef>
              <c:f>'/Users/maximelebovics/Desktop/IOM application_National DRR Consultant/DATE STATISTICE/RRD socio-biologice/[Evacuarea substantelor poluante cu apele reziduale in obiectivele acvatice de suprafata .xlsx]GEO0203'!$B$10:$S$10</c:f>
              <c:numCache>
                <c:formatCode>General</c:formatCode>
                <c:ptCount val="18"/>
                <c:pt idx="0">
                  <c:v>107.3</c:v>
                </c:pt>
                <c:pt idx="1">
                  <c:v>106.3</c:v>
                </c:pt>
                <c:pt idx="2">
                  <c:v>109.5</c:v>
                </c:pt>
                <c:pt idx="3">
                  <c:v>109.3</c:v>
                </c:pt>
                <c:pt idx="4">
                  <c:v>107.3</c:v>
                </c:pt>
                <c:pt idx="5">
                  <c:v>106.6</c:v>
                </c:pt>
                <c:pt idx="6">
                  <c:v>108.4</c:v>
                </c:pt>
                <c:pt idx="7">
                  <c:v>109.4</c:v>
                </c:pt>
                <c:pt idx="8">
                  <c:v>109.5</c:v>
                </c:pt>
                <c:pt idx="9">
                  <c:v>109.6</c:v>
                </c:pt>
                <c:pt idx="10">
                  <c:v>111.9</c:v>
                </c:pt>
                <c:pt idx="11">
                  <c:v>114.8</c:v>
                </c:pt>
                <c:pt idx="12">
                  <c:v>441.9</c:v>
                </c:pt>
                <c:pt idx="13">
                  <c:v>315.7</c:v>
                </c:pt>
                <c:pt idx="14">
                  <c:v>723.9</c:v>
                </c:pt>
                <c:pt idx="15">
                  <c:v>528.4</c:v>
                </c:pt>
                <c:pt idx="16">
                  <c:v>882.9</c:v>
                </c:pt>
                <c:pt idx="17">
                  <c:v>815.9</c:v>
                </c:pt>
              </c:numCache>
            </c:numRef>
          </c:val>
          <c:extLst>
            <c:ext xmlns:c16="http://schemas.microsoft.com/office/drawing/2014/chart" uri="{C3380CC4-5D6E-409C-BE32-E72D297353CC}">
              <c16:uniqueId val="{00000006-AD10-0147-8FED-C94648BAE276}"/>
            </c:ext>
          </c:extLst>
        </c:ser>
        <c:ser>
          <c:idx val="7"/>
          <c:order val="7"/>
          <c:tx>
            <c:strRef>
              <c:f>'/Users/maximelebovics/Desktop/IOM application_National DRR Consultant/DATE STATISTICE/RRD socio-biologice/[Evacuarea substantelor poluante cu apele reziduale in obiectivele acvatice de suprafata .xlsx]GEO0203'!$A$11</c:f>
              <c:strCache>
                <c:ptCount val="1"/>
                <c:pt idx="0">
                  <c:v>Produse petroliere, tone</c:v>
                </c:pt>
              </c:strCache>
            </c:strRef>
          </c:tx>
          <c:spPr>
            <a:solidFill>
              <a:schemeClr val="accent2">
                <a:lumMod val="60000"/>
              </a:schemeClr>
            </a:solidFill>
            <a:ln>
              <a:noFill/>
            </a:ln>
            <a:effectLst/>
          </c:spPr>
          <c:invertIfNegative val="0"/>
          <c:cat>
            <c:strRef>
              <c:f>'/Users/maximelebovics/Desktop/IOM application_National DRR Consultant/DATE STATISTICE/RRD socio-biologice/[Evacuarea substantelor poluante cu apele reziduale in obiectivele acvatice de suprafata .xlsx]GEO0203'!$B$3:$S$3</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strCache>
            </c:strRef>
          </c:cat>
          <c:val>
            <c:numRef>
              <c:f>'/Users/maximelebovics/Desktop/IOM application_National DRR Consultant/DATE STATISTICE/RRD socio-biologice/[Evacuarea substantelor poluante cu apele reziduale in obiectivele acvatice de suprafata .xlsx]GEO0203'!$B$11:$S$11</c:f>
              <c:numCache>
                <c:formatCode>General</c:formatCode>
                <c:ptCount val="18"/>
                <c:pt idx="0">
                  <c:v>20</c:v>
                </c:pt>
                <c:pt idx="1">
                  <c:v>20</c:v>
                </c:pt>
                <c:pt idx="2">
                  <c:v>20</c:v>
                </c:pt>
                <c:pt idx="3">
                  <c:v>20</c:v>
                </c:pt>
                <c:pt idx="4">
                  <c:v>20</c:v>
                </c:pt>
                <c:pt idx="5">
                  <c:v>30</c:v>
                </c:pt>
                <c:pt idx="6">
                  <c:v>20</c:v>
                </c:pt>
                <c:pt idx="7">
                  <c:v>20</c:v>
                </c:pt>
                <c:pt idx="8">
                  <c:v>20</c:v>
                </c:pt>
                <c:pt idx="9">
                  <c:v>20</c:v>
                </c:pt>
                <c:pt idx="10">
                  <c:v>20</c:v>
                </c:pt>
                <c:pt idx="11">
                  <c:v>30</c:v>
                </c:pt>
                <c:pt idx="12">
                  <c:v>40</c:v>
                </c:pt>
                <c:pt idx="13">
                  <c:v>40</c:v>
                </c:pt>
                <c:pt idx="14">
                  <c:v>50</c:v>
                </c:pt>
                <c:pt idx="15">
                  <c:v>50</c:v>
                </c:pt>
                <c:pt idx="16">
                  <c:v>40</c:v>
                </c:pt>
                <c:pt idx="17">
                  <c:v>30</c:v>
                </c:pt>
              </c:numCache>
            </c:numRef>
          </c:val>
          <c:extLst>
            <c:ext xmlns:c16="http://schemas.microsoft.com/office/drawing/2014/chart" uri="{C3380CC4-5D6E-409C-BE32-E72D297353CC}">
              <c16:uniqueId val="{00000007-AD10-0147-8FED-C94648BAE276}"/>
            </c:ext>
          </c:extLst>
        </c:ser>
        <c:ser>
          <c:idx val="8"/>
          <c:order val="8"/>
          <c:tx>
            <c:strRef>
              <c:f>'/Users/maximelebovics/Desktop/IOM application_National DRR Consultant/DATE STATISTICE/RRD socio-biologice/[Evacuarea substantelor poluante cu apele reziduale in obiectivele acvatice de suprafata .xlsx]GEO0203'!$A$12</c:f>
              <c:strCache>
                <c:ptCount val="1"/>
                <c:pt idx="0">
                  <c:v>Azotat de amoniu, tone</c:v>
                </c:pt>
              </c:strCache>
            </c:strRef>
          </c:tx>
          <c:spPr>
            <a:solidFill>
              <a:schemeClr val="accent3">
                <a:lumMod val="60000"/>
              </a:schemeClr>
            </a:solidFill>
            <a:ln>
              <a:noFill/>
            </a:ln>
            <a:effectLst/>
          </c:spPr>
          <c:invertIfNegative val="0"/>
          <c:cat>
            <c:strRef>
              <c:f>'/Users/maximelebovics/Desktop/IOM application_National DRR Consultant/DATE STATISTICE/RRD socio-biologice/[Evacuarea substantelor poluante cu apele reziduale in obiectivele acvatice de suprafata .xlsx]GEO0203'!$B$3:$S$3</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strCache>
            </c:strRef>
          </c:cat>
          <c:val>
            <c:numRef>
              <c:f>'/Users/maximelebovics/Desktop/IOM application_National DRR Consultant/DATE STATISTICE/RRD socio-biologice/[Evacuarea substantelor poluante cu apele reziduale in obiectivele acvatice de suprafata .xlsx]GEO0203'!$B$12:$S$12</c:f>
              <c:numCache>
                <c:formatCode>General</c:formatCode>
                <c:ptCount val="18"/>
                <c:pt idx="0">
                  <c:v>216.8</c:v>
                </c:pt>
                <c:pt idx="1">
                  <c:v>189.8</c:v>
                </c:pt>
                <c:pt idx="2">
                  <c:v>211.7</c:v>
                </c:pt>
                <c:pt idx="3">
                  <c:v>207.3</c:v>
                </c:pt>
                <c:pt idx="4">
                  <c:v>238.6</c:v>
                </c:pt>
                <c:pt idx="5">
                  <c:v>299.39999999999998</c:v>
                </c:pt>
                <c:pt idx="6">
                  <c:v>283.3</c:v>
                </c:pt>
                <c:pt idx="7">
                  <c:v>205.6</c:v>
                </c:pt>
                <c:pt idx="8">
                  <c:v>211.2</c:v>
                </c:pt>
                <c:pt idx="9">
                  <c:v>231.5</c:v>
                </c:pt>
                <c:pt idx="10">
                  <c:v>196.8</c:v>
                </c:pt>
                <c:pt idx="11">
                  <c:v>193.9</c:v>
                </c:pt>
                <c:pt idx="12">
                  <c:v>238.3</c:v>
                </c:pt>
                <c:pt idx="13">
                  <c:v>238.3</c:v>
                </c:pt>
                <c:pt idx="14">
                  <c:v>447.3</c:v>
                </c:pt>
                <c:pt idx="15">
                  <c:v>426.8</c:v>
                </c:pt>
                <c:pt idx="16">
                  <c:v>432.3</c:v>
                </c:pt>
                <c:pt idx="17">
                  <c:v>208.7</c:v>
                </c:pt>
              </c:numCache>
            </c:numRef>
          </c:val>
          <c:extLst>
            <c:ext xmlns:c16="http://schemas.microsoft.com/office/drawing/2014/chart" uri="{C3380CC4-5D6E-409C-BE32-E72D297353CC}">
              <c16:uniqueId val="{00000008-AD10-0147-8FED-C94648BAE276}"/>
            </c:ext>
          </c:extLst>
        </c:ser>
        <c:dLbls>
          <c:showLegendKey val="0"/>
          <c:showVal val="0"/>
          <c:showCatName val="0"/>
          <c:showSerName val="0"/>
          <c:showPercent val="0"/>
          <c:showBubbleSize val="0"/>
        </c:dLbls>
        <c:gapWidth val="150"/>
        <c:overlap val="100"/>
        <c:axId val="1244857119"/>
        <c:axId val="1801740543"/>
      </c:barChart>
      <c:catAx>
        <c:axId val="1244857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1740543"/>
        <c:crosses val="autoZero"/>
        <c:auto val="1"/>
        <c:lblAlgn val="ctr"/>
        <c:lblOffset val="100"/>
        <c:noMultiLvlLbl val="0"/>
      </c:catAx>
      <c:valAx>
        <c:axId val="180174054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4857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Parametrii sanitaro-chimici'!$B$4</c:f>
              <c:strCache>
                <c:ptCount val="1"/>
                <c:pt idx="0">
                  <c:v>Numarul probelor cercetate</c:v>
                </c:pt>
              </c:strCache>
            </c:strRef>
          </c:tx>
          <c:spPr>
            <a:solidFill>
              <a:schemeClr val="accent1"/>
            </a:solidFill>
            <a:ln>
              <a:noFill/>
            </a:ln>
            <a:effectLst/>
          </c:spPr>
          <c:invertIfNegative val="0"/>
          <c:cat>
            <c:strRef>
              <c:f>' Parametrii sanitaro-chimici'!$C$3:$V$3</c:f>
              <c:strCach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strCache>
            </c:strRef>
          </c:cat>
          <c:val>
            <c:numRef>
              <c:f>' Parametrii sanitaro-chimici'!$C$4:$V$4</c:f>
              <c:numCache>
                <c:formatCode>0</c:formatCode>
                <c:ptCount val="20"/>
                <c:pt idx="0">
                  <c:v>1594</c:v>
                </c:pt>
                <c:pt idx="1">
                  <c:v>1709</c:v>
                </c:pt>
                <c:pt idx="2">
                  <c:v>1519</c:v>
                </c:pt>
                <c:pt idx="3">
                  <c:v>1655</c:v>
                </c:pt>
                <c:pt idx="4">
                  <c:v>1465</c:v>
                </c:pt>
                <c:pt idx="5">
                  <c:v>1571</c:v>
                </c:pt>
                <c:pt idx="6">
                  <c:v>1704</c:v>
                </c:pt>
                <c:pt idx="7">
                  <c:v>1701</c:v>
                </c:pt>
                <c:pt idx="8">
                  <c:v>1908</c:v>
                </c:pt>
                <c:pt idx="9">
                  <c:v>2070</c:v>
                </c:pt>
                <c:pt idx="10">
                  <c:v>1985</c:v>
                </c:pt>
                <c:pt idx="11">
                  <c:v>1833</c:v>
                </c:pt>
                <c:pt idx="12">
                  <c:v>1470</c:v>
                </c:pt>
                <c:pt idx="13">
                  <c:v>996</c:v>
                </c:pt>
                <c:pt idx="14">
                  <c:v>1238</c:v>
                </c:pt>
                <c:pt idx="15">
                  <c:v>1418</c:v>
                </c:pt>
                <c:pt idx="16">
                  <c:v>1499</c:v>
                </c:pt>
                <c:pt idx="17">
                  <c:v>1457</c:v>
                </c:pt>
                <c:pt idx="18">
                  <c:v>1346</c:v>
                </c:pt>
                <c:pt idx="19">
                  <c:v>1056</c:v>
                </c:pt>
              </c:numCache>
            </c:numRef>
          </c:val>
          <c:extLst>
            <c:ext xmlns:c16="http://schemas.microsoft.com/office/drawing/2014/chart" uri="{C3380CC4-5D6E-409C-BE32-E72D297353CC}">
              <c16:uniqueId val="{00000000-BD51-9546-B9EB-18348CAB63BB}"/>
            </c:ext>
          </c:extLst>
        </c:ser>
        <c:ser>
          <c:idx val="1"/>
          <c:order val="1"/>
          <c:tx>
            <c:strRef>
              <c:f>' Parametrii sanitaro-chimici'!$B$5</c:f>
              <c:strCache>
                <c:ptCount val="1"/>
                <c:pt idx="0">
                  <c:v>Numarul probelor cu abateri de la normele sanitare</c:v>
                </c:pt>
              </c:strCache>
            </c:strRef>
          </c:tx>
          <c:spPr>
            <a:solidFill>
              <a:schemeClr val="accent2"/>
            </a:solidFill>
            <a:ln>
              <a:noFill/>
            </a:ln>
            <a:effectLst/>
          </c:spPr>
          <c:invertIfNegative val="0"/>
          <c:cat>
            <c:strRef>
              <c:f>' Parametrii sanitaro-chimici'!$C$3:$V$3</c:f>
              <c:strCach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strCache>
            </c:strRef>
          </c:cat>
          <c:val>
            <c:numRef>
              <c:f>' Parametrii sanitaro-chimici'!$C$5:$V$5</c:f>
              <c:numCache>
                <c:formatCode>0</c:formatCode>
                <c:ptCount val="20"/>
                <c:pt idx="0">
                  <c:v>829</c:v>
                </c:pt>
                <c:pt idx="1">
                  <c:v>975</c:v>
                </c:pt>
                <c:pt idx="2">
                  <c:v>920</c:v>
                </c:pt>
                <c:pt idx="3">
                  <c:v>952</c:v>
                </c:pt>
                <c:pt idx="4">
                  <c:v>991</c:v>
                </c:pt>
                <c:pt idx="5">
                  <c:v>1023</c:v>
                </c:pt>
                <c:pt idx="6">
                  <c:v>1219</c:v>
                </c:pt>
                <c:pt idx="7">
                  <c:v>1166</c:v>
                </c:pt>
                <c:pt idx="8">
                  <c:v>1283</c:v>
                </c:pt>
                <c:pt idx="9">
                  <c:v>433</c:v>
                </c:pt>
                <c:pt idx="10">
                  <c:v>1183</c:v>
                </c:pt>
                <c:pt idx="11">
                  <c:v>1121</c:v>
                </c:pt>
                <c:pt idx="12">
                  <c:v>798</c:v>
                </c:pt>
                <c:pt idx="13">
                  <c:v>526</c:v>
                </c:pt>
                <c:pt idx="14">
                  <c:v>689</c:v>
                </c:pt>
                <c:pt idx="15">
                  <c:v>823</c:v>
                </c:pt>
                <c:pt idx="16">
                  <c:v>889</c:v>
                </c:pt>
                <c:pt idx="17">
                  <c:v>799</c:v>
                </c:pt>
                <c:pt idx="18">
                  <c:v>677</c:v>
                </c:pt>
                <c:pt idx="19">
                  <c:v>540</c:v>
                </c:pt>
              </c:numCache>
            </c:numRef>
          </c:val>
          <c:extLst>
            <c:ext xmlns:c16="http://schemas.microsoft.com/office/drawing/2014/chart" uri="{C3380CC4-5D6E-409C-BE32-E72D297353CC}">
              <c16:uniqueId val="{00000001-BD51-9546-B9EB-18348CAB63BB}"/>
            </c:ext>
          </c:extLst>
        </c:ser>
        <c:dLbls>
          <c:showLegendKey val="0"/>
          <c:showVal val="0"/>
          <c:showCatName val="0"/>
          <c:showSerName val="0"/>
          <c:showPercent val="0"/>
          <c:showBubbleSize val="0"/>
        </c:dLbls>
        <c:gapWidth val="150"/>
        <c:axId val="1801656159"/>
        <c:axId val="1801798687"/>
      </c:barChart>
      <c:lineChart>
        <c:grouping val="standard"/>
        <c:varyColors val="0"/>
        <c:ser>
          <c:idx val="2"/>
          <c:order val="2"/>
          <c:tx>
            <c:strRef>
              <c:f>' Parametrii sanitaro-chimici'!$B$6</c:f>
              <c:strCache>
                <c:ptCount val="1"/>
                <c:pt idx="0">
                  <c:v>Procentul probelor cu abateri de la normele sanitare (Surse centralizate de alimentare cu apa)</c:v>
                </c:pt>
              </c:strCache>
            </c:strRef>
          </c:tx>
          <c:spPr>
            <a:ln w="28575" cap="rnd">
              <a:solidFill>
                <a:schemeClr val="accent3"/>
              </a:solidFill>
              <a:round/>
            </a:ln>
            <a:effectLst/>
          </c:spPr>
          <c:marker>
            <c:symbol val="none"/>
          </c:marker>
          <c:cat>
            <c:strRef>
              <c:f>' Parametrii sanitaro-chimici'!$C$3:$V$3</c:f>
              <c:strCach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strCache>
            </c:strRef>
          </c:cat>
          <c:val>
            <c:numRef>
              <c:f>' Parametrii sanitaro-chimici'!$C$6:$V$6</c:f>
              <c:numCache>
                <c:formatCode>0</c:formatCode>
                <c:ptCount val="20"/>
                <c:pt idx="0">
                  <c:v>52</c:v>
                </c:pt>
                <c:pt idx="1">
                  <c:v>57</c:v>
                </c:pt>
                <c:pt idx="2">
                  <c:v>61</c:v>
                </c:pt>
                <c:pt idx="3">
                  <c:v>58</c:v>
                </c:pt>
                <c:pt idx="4">
                  <c:v>68</c:v>
                </c:pt>
                <c:pt idx="5">
                  <c:v>65</c:v>
                </c:pt>
                <c:pt idx="6">
                  <c:v>72</c:v>
                </c:pt>
                <c:pt idx="7">
                  <c:v>69</c:v>
                </c:pt>
                <c:pt idx="8">
                  <c:v>67</c:v>
                </c:pt>
                <c:pt idx="9">
                  <c:v>21</c:v>
                </c:pt>
                <c:pt idx="10">
                  <c:v>60</c:v>
                </c:pt>
                <c:pt idx="11">
                  <c:v>61</c:v>
                </c:pt>
                <c:pt idx="12">
                  <c:v>54</c:v>
                </c:pt>
                <c:pt idx="13">
                  <c:v>53</c:v>
                </c:pt>
                <c:pt idx="14">
                  <c:v>56</c:v>
                </c:pt>
                <c:pt idx="15">
                  <c:v>58</c:v>
                </c:pt>
                <c:pt idx="16">
                  <c:v>61</c:v>
                </c:pt>
                <c:pt idx="17">
                  <c:v>55</c:v>
                </c:pt>
                <c:pt idx="18">
                  <c:v>50</c:v>
                </c:pt>
                <c:pt idx="19">
                  <c:v>51</c:v>
                </c:pt>
              </c:numCache>
            </c:numRef>
          </c:val>
          <c:smooth val="0"/>
          <c:extLst>
            <c:ext xmlns:c16="http://schemas.microsoft.com/office/drawing/2014/chart" uri="{C3380CC4-5D6E-409C-BE32-E72D297353CC}">
              <c16:uniqueId val="{00000002-BD51-9546-B9EB-18348CAB63BB}"/>
            </c:ext>
          </c:extLst>
        </c:ser>
        <c:dLbls>
          <c:showLegendKey val="0"/>
          <c:showVal val="0"/>
          <c:showCatName val="0"/>
          <c:showSerName val="0"/>
          <c:showPercent val="0"/>
          <c:showBubbleSize val="0"/>
        </c:dLbls>
        <c:marker val="1"/>
        <c:smooth val="0"/>
        <c:axId val="1250402655"/>
        <c:axId val="1250212319"/>
      </c:lineChart>
      <c:catAx>
        <c:axId val="1801656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1798687"/>
        <c:crosses val="autoZero"/>
        <c:auto val="1"/>
        <c:lblAlgn val="ctr"/>
        <c:lblOffset val="100"/>
        <c:noMultiLvlLbl val="0"/>
      </c:catAx>
      <c:valAx>
        <c:axId val="18017986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1656159"/>
        <c:crosses val="autoZero"/>
        <c:crossBetween val="between"/>
      </c:valAx>
      <c:valAx>
        <c:axId val="1250212319"/>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0402655"/>
        <c:crosses val="max"/>
        <c:crossBetween val="between"/>
      </c:valAx>
      <c:catAx>
        <c:axId val="1250402655"/>
        <c:scaling>
          <c:orientation val="minMax"/>
        </c:scaling>
        <c:delete val="1"/>
        <c:axPos val="b"/>
        <c:numFmt formatCode="General" sourceLinked="1"/>
        <c:majorTickMark val="out"/>
        <c:minorTickMark val="none"/>
        <c:tickLblPos val="nextTo"/>
        <c:crossAx val="125021231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Parametrii sanitaro-chimici'!$B$8</c:f>
              <c:strCache>
                <c:ptCount val="1"/>
                <c:pt idx="0">
                  <c:v>Numarul probelor cercetate</c:v>
                </c:pt>
              </c:strCache>
            </c:strRef>
          </c:tx>
          <c:spPr>
            <a:solidFill>
              <a:schemeClr val="accent1"/>
            </a:solidFill>
            <a:ln>
              <a:noFill/>
            </a:ln>
            <a:effectLst/>
          </c:spPr>
          <c:invertIfNegative val="0"/>
          <c:cat>
            <c:strRef>
              <c:f>' Parametrii sanitaro-chimici'!$C$7:$V$7</c:f>
              <c:strCach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strCache>
            </c:strRef>
          </c:cat>
          <c:val>
            <c:numRef>
              <c:f>' Parametrii sanitaro-chimici'!$C$8:$V$8</c:f>
              <c:numCache>
                <c:formatCode>0</c:formatCode>
                <c:ptCount val="20"/>
                <c:pt idx="0">
                  <c:v>7885</c:v>
                </c:pt>
                <c:pt idx="1">
                  <c:v>8244</c:v>
                </c:pt>
                <c:pt idx="2">
                  <c:v>8160</c:v>
                </c:pt>
                <c:pt idx="3">
                  <c:v>8319</c:v>
                </c:pt>
                <c:pt idx="4">
                  <c:v>5157</c:v>
                </c:pt>
                <c:pt idx="5">
                  <c:v>6000</c:v>
                </c:pt>
                <c:pt idx="6">
                  <c:v>5382</c:v>
                </c:pt>
                <c:pt idx="7">
                  <c:v>5633</c:v>
                </c:pt>
                <c:pt idx="8">
                  <c:v>5507</c:v>
                </c:pt>
                <c:pt idx="9">
                  <c:v>6138</c:v>
                </c:pt>
                <c:pt idx="10">
                  <c:v>6016</c:v>
                </c:pt>
                <c:pt idx="11">
                  <c:v>3653</c:v>
                </c:pt>
                <c:pt idx="12">
                  <c:v>2850</c:v>
                </c:pt>
                <c:pt idx="13">
                  <c:v>1075</c:v>
                </c:pt>
                <c:pt idx="14">
                  <c:v>1112</c:v>
                </c:pt>
                <c:pt idx="15">
                  <c:v>1099</c:v>
                </c:pt>
                <c:pt idx="16">
                  <c:v>1248</c:v>
                </c:pt>
                <c:pt idx="17">
                  <c:v>1059</c:v>
                </c:pt>
                <c:pt idx="18">
                  <c:v>1088</c:v>
                </c:pt>
                <c:pt idx="19">
                  <c:v>889</c:v>
                </c:pt>
              </c:numCache>
            </c:numRef>
          </c:val>
          <c:extLst>
            <c:ext xmlns:c16="http://schemas.microsoft.com/office/drawing/2014/chart" uri="{C3380CC4-5D6E-409C-BE32-E72D297353CC}">
              <c16:uniqueId val="{00000000-F3BF-7746-A520-C6B89BE61FD6}"/>
            </c:ext>
          </c:extLst>
        </c:ser>
        <c:ser>
          <c:idx val="1"/>
          <c:order val="1"/>
          <c:tx>
            <c:strRef>
              <c:f>' Parametrii sanitaro-chimici'!$B$9</c:f>
              <c:strCache>
                <c:ptCount val="1"/>
                <c:pt idx="0">
                  <c:v>Numarul probelor cu abateri de la normele sanitare</c:v>
                </c:pt>
              </c:strCache>
            </c:strRef>
          </c:tx>
          <c:spPr>
            <a:solidFill>
              <a:schemeClr val="accent2"/>
            </a:solidFill>
            <a:ln>
              <a:noFill/>
            </a:ln>
            <a:effectLst/>
          </c:spPr>
          <c:invertIfNegative val="0"/>
          <c:cat>
            <c:strRef>
              <c:f>' Parametrii sanitaro-chimici'!$C$7:$V$7</c:f>
              <c:strCach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strCache>
            </c:strRef>
          </c:cat>
          <c:val>
            <c:numRef>
              <c:f>' Parametrii sanitaro-chimici'!$C$9:$V$9</c:f>
              <c:numCache>
                <c:formatCode>0</c:formatCode>
                <c:ptCount val="20"/>
                <c:pt idx="0">
                  <c:v>6323</c:v>
                </c:pt>
                <c:pt idx="1">
                  <c:v>7111</c:v>
                </c:pt>
                <c:pt idx="2">
                  <c:v>6702</c:v>
                </c:pt>
                <c:pt idx="3">
                  <c:v>7053</c:v>
                </c:pt>
                <c:pt idx="4">
                  <c:v>4165</c:v>
                </c:pt>
                <c:pt idx="5">
                  <c:v>5054</c:v>
                </c:pt>
                <c:pt idx="6">
                  <c:v>4467</c:v>
                </c:pt>
                <c:pt idx="7">
                  <c:v>4652</c:v>
                </c:pt>
                <c:pt idx="8">
                  <c:v>4388</c:v>
                </c:pt>
                <c:pt idx="9">
                  <c:v>4635</c:v>
                </c:pt>
                <c:pt idx="10">
                  <c:v>4933</c:v>
                </c:pt>
                <c:pt idx="11">
                  <c:v>2805</c:v>
                </c:pt>
                <c:pt idx="12">
                  <c:v>2144</c:v>
                </c:pt>
                <c:pt idx="13">
                  <c:v>792</c:v>
                </c:pt>
                <c:pt idx="14">
                  <c:v>811</c:v>
                </c:pt>
                <c:pt idx="15">
                  <c:v>814</c:v>
                </c:pt>
                <c:pt idx="16">
                  <c:v>923</c:v>
                </c:pt>
                <c:pt idx="17">
                  <c:v>823</c:v>
                </c:pt>
                <c:pt idx="18">
                  <c:v>823</c:v>
                </c:pt>
                <c:pt idx="19">
                  <c:v>641</c:v>
                </c:pt>
              </c:numCache>
            </c:numRef>
          </c:val>
          <c:extLst>
            <c:ext xmlns:c16="http://schemas.microsoft.com/office/drawing/2014/chart" uri="{C3380CC4-5D6E-409C-BE32-E72D297353CC}">
              <c16:uniqueId val="{00000001-F3BF-7746-A520-C6B89BE61FD6}"/>
            </c:ext>
          </c:extLst>
        </c:ser>
        <c:dLbls>
          <c:showLegendKey val="0"/>
          <c:showVal val="0"/>
          <c:showCatName val="0"/>
          <c:showSerName val="0"/>
          <c:showPercent val="0"/>
          <c:showBubbleSize val="0"/>
        </c:dLbls>
        <c:gapWidth val="219"/>
        <c:axId val="1494552159"/>
        <c:axId val="1495242079"/>
      </c:barChart>
      <c:lineChart>
        <c:grouping val="standard"/>
        <c:varyColors val="0"/>
        <c:ser>
          <c:idx val="2"/>
          <c:order val="2"/>
          <c:tx>
            <c:strRef>
              <c:f>' Parametrii sanitaro-chimici'!$B$10</c:f>
              <c:strCache>
                <c:ptCount val="1"/>
                <c:pt idx="0">
                  <c:v>Procentul probelor cu abateri de la normele sanitare (Surse descentralizate de alimentare cu apa)</c:v>
                </c:pt>
              </c:strCache>
            </c:strRef>
          </c:tx>
          <c:spPr>
            <a:ln w="28575" cap="rnd">
              <a:solidFill>
                <a:schemeClr val="accent3"/>
              </a:solidFill>
              <a:round/>
            </a:ln>
            <a:effectLst/>
          </c:spPr>
          <c:marker>
            <c:symbol val="none"/>
          </c:marker>
          <c:cat>
            <c:strRef>
              <c:f>' Parametrii sanitaro-chimici'!$C$7:$V$7</c:f>
              <c:strCach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strCache>
            </c:strRef>
          </c:cat>
          <c:val>
            <c:numRef>
              <c:f>' Parametrii sanitaro-chimici'!$C$10:$V$10</c:f>
              <c:numCache>
                <c:formatCode>0</c:formatCode>
                <c:ptCount val="20"/>
                <c:pt idx="0">
                  <c:v>84</c:v>
                </c:pt>
                <c:pt idx="1">
                  <c:v>86</c:v>
                </c:pt>
                <c:pt idx="2">
                  <c:v>82</c:v>
                </c:pt>
                <c:pt idx="3">
                  <c:v>85</c:v>
                </c:pt>
                <c:pt idx="4">
                  <c:v>81</c:v>
                </c:pt>
                <c:pt idx="5">
                  <c:v>84</c:v>
                </c:pt>
                <c:pt idx="6">
                  <c:v>83</c:v>
                </c:pt>
                <c:pt idx="7">
                  <c:v>83</c:v>
                </c:pt>
                <c:pt idx="8">
                  <c:v>80</c:v>
                </c:pt>
                <c:pt idx="9">
                  <c:v>76</c:v>
                </c:pt>
                <c:pt idx="10">
                  <c:v>82</c:v>
                </c:pt>
                <c:pt idx="11">
                  <c:v>77</c:v>
                </c:pt>
                <c:pt idx="12">
                  <c:v>75</c:v>
                </c:pt>
                <c:pt idx="13">
                  <c:v>74</c:v>
                </c:pt>
                <c:pt idx="14">
                  <c:v>73</c:v>
                </c:pt>
                <c:pt idx="15">
                  <c:v>74</c:v>
                </c:pt>
                <c:pt idx="16">
                  <c:v>74</c:v>
                </c:pt>
                <c:pt idx="17">
                  <c:v>78</c:v>
                </c:pt>
                <c:pt idx="18">
                  <c:v>76</c:v>
                </c:pt>
                <c:pt idx="19">
                  <c:v>72</c:v>
                </c:pt>
              </c:numCache>
            </c:numRef>
          </c:val>
          <c:smooth val="0"/>
          <c:extLst>
            <c:ext xmlns:c16="http://schemas.microsoft.com/office/drawing/2014/chart" uri="{C3380CC4-5D6E-409C-BE32-E72D297353CC}">
              <c16:uniqueId val="{00000002-F3BF-7746-A520-C6B89BE61FD6}"/>
            </c:ext>
          </c:extLst>
        </c:ser>
        <c:dLbls>
          <c:showLegendKey val="0"/>
          <c:showVal val="0"/>
          <c:showCatName val="0"/>
          <c:showSerName val="0"/>
          <c:showPercent val="0"/>
          <c:showBubbleSize val="0"/>
        </c:dLbls>
        <c:marker val="1"/>
        <c:smooth val="0"/>
        <c:axId val="1250138943"/>
        <c:axId val="1568224543"/>
      </c:lineChart>
      <c:catAx>
        <c:axId val="1494552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5242079"/>
        <c:crosses val="autoZero"/>
        <c:auto val="1"/>
        <c:lblAlgn val="ctr"/>
        <c:lblOffset val="100"/>
        <c:tickMarkSkip val="1"/>
        <c:noMultiLvlLbl val="0"/>
      </c:catAx>
      <c:valAx>
        <c:axId val="14952420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4552159"/>
        <c:crossesAt val="1"/>
        <c:crossBetween val="between"/>
      </c:valAx>
      <c:valAx>
        <c:axId val="1568224543"/>
        <c:scaling>
          <c:orientation val="minMax"/>
          <c:min val="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0138943"/>
        <c:crosses val="max"/>
        <c:crossBetween val="between"/>
      </c:valAx>
      <c:catAx>
        <c:axId val="1250138943"/>
        <c:scaling>
          <c:orientation val="minMax"/>
        </c:scaling>
        <c:delete val="1"/>
        <c:axPos val="b"/>
        <c:numFmt formatCode="General" sourceLinked="1"/>
        <c:majorTickMark val="out"/>
        <c:minorTickMark val="none"/>
        <c:tickLblPos val="nextTo"/>
        <c:crossAx val="156822454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Parametrii sanitaro-chimici'!$B$12</c:f>
              <c:strCache>
                <c:ptCount val="1"/>
                <c:pt idx="0">
                  <c:v>Numarul probelor cercetate</c:v>
                </c:pt>
              </c:strCache>
            </c:strRef>
          </c:tx>
          <c:spPr>
            <a:solidFill>
              <a:schemeClr val="accent1"/>
            </a:solidFill>
            <a:ln>
              <a:noFill/>
            </a:ln>
            <a:effectLst/>
          </c:spPr>
          <c:invertIfNegative val="0"/>
          <c:cat>
            <c:strRef>
              <c:f>' Parametrii sanitaro-chimici'!$C$11:$V$11</c:f>
              <c:strCach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strCache>
            </c:strRef>
          </c:cat>
          <c:val>
            <c:numRef>
              <c:f>' Parametrii sanitaro-chimici'!$C$12:$V$12</c:f>
              <c:numCache>
                <c:formatCode>0</c:formatCode>
                <c:ptCount val="20"/>
                <c:pt idx="0">
                  <c:v>756</c:v>
                </c:pt>
                <c:pt idx="1">
                  <c:v>734</c:v>
                </c:pt>
                <c:pt idx="2">
                  <c:v>562</c:v>
                </c:pt>
                <c:pt idx="3">
                  <c:v>549</c:v>
                </c:pt>
                <c:pt idx="4">
                  <c:v>591</c:v>
                </c:pt>
                <c:pt idx="5">
                  <c:v>567</c:v>
                </c:pt>
                <c:pt idx="6">
                  <c:v>682</c:v>
                </c:pt>
                <c:pt idx="7">
                  <c:v>759</c:v>
                </c:pt>
                <c:pt idx="8">
                  <c:v>783</c:v>
                </c:pt>
                <c:pt idx="9">
                  <c:v>818</c:v>
                </c:pt>
                <c:pt idx="10">
                  <c:v>669</c:v>
                </c:pt>
                <c:pt idx="11">
                  <c:v>369</c:v>
                </c:pt>
                <c:pt idx="12">
                  <c:v>276</c:v>
                </c:pt>
                <c:pt idx="13">
                  <c:v>58</c:v>
                </c:pt>
                <c:pt idx="14">
                  <c:v>86</c:v>
                </c:pt>
                <c:pt idx="15">
                  <c:v>101</c:v>
                </c:pt>
                <c:pt idx="16">
                  <c:v>81</c:v>
                </c:pt>
                <c:pt idx="17">
                  <c:v>41</c:v>
                </c:pt>
                <c:pt idx="18">
                  <c:v>27</c:v>
                </c:pt>
                <c:pt idx="19" formatCode="General">
                  <c:v>0</c:v>
                </c:pt>
              </c:numCache>
            </c:numRef>
          </c:val>
          <c:extLst>
            <c:ext xmlns:c16="http://schemas.microsoft.com/office/drawing/2014/chart" uri="{C3380CC4-5D6E-409C-BE32-E72D297353CC}">
              <c16:uniqueId val="{00000000-BE8E-5C44-9F85-FAE017C0DE63}"/>
            </c:ext>
          </c:extLst>
        </c:ser>
        <c:ser>
          <c:idx val="1"/>
          <c:order val="1"/>
          <c:tx>
            <c:strRef>
              <c:f>' Parametrii sanitaro-chimici'!$B$13</c:f>
              <c:strCache>
                <c:ptCount val="1"/>
                <c:pt idx="0">
                  <c:v>Numarul probelor cu abateri de la normele sanitare</c:v>
                </c:pt>
              </c:strCache>
            </c:strRef>
          </c:tx>
          <c:spPr>
            <a:solidFill>
              <a:schemeClr val="accent2"/>
            </a:solidFill>
            <a:ln>
              <a:noFill/>
            </a:ln>
            <a:effectLst/>
          </c:spPr>
          <c:invertIfNegative val="0"/>
          <c:cat>
            <c:strRef>
              <c:f>' Parametrii sanitaro-chimici'!$C$11:$V$11</c:f>
              <c:strCach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strCache>
            </c:strRef>
          </c:cat>
          <c:val>
            <c:numRef>
              <c:f>' Parametrii sanitaro-chimici'!$C$13:$V$13</c:f>
              <c:numCache>
                <c:formatCode>0</c:formatCode>
                <c:ptCount val="20"/>
                <c:pt idx="0">
                  <c:v>85</c:v>
                </c:pt>
                <c:pt idx="1">
                  <c:v>51</c:v>
                </c:pt>
                <c:pt idx="2">
                  <c:v>14</c:v>
                </c:pt>
                <c:pt idx="3">
                  <c:v>35</c:v>
                </c:pt>
                <c:pt idx="4">
                  <c:v>42</c:v>
                </c:pt>
                <c:pt idx="5">
                  <c:v>29</c:v>
                </c:pt>
                <c:pt idx="6">
                  <c:v>35</c:v>
                </c:pt>
                <c:pt idx="7">
                  <c:v>42</c:v>
                </c:pt>
                <c:pt idx="8">
                  <c:v>34</c:v>
                </c:pt>
                <c:pt idx="9">
                  <c:v>12</c:v>
                </c:pt>
                <c:pt idx="10">
                  <c:v>20</c:v>
                </c:pt>
                <c:pt idx="11">
                  <c:v>11</c:v>
                </c:pt>
                <c:pt idx="12">
                  <c:v>11</c:v>
                </c:pt>
                <c:pt idx="13">
                  <c:v>1</c:v>
                </c:pt>
                <c:pt idx="14">
                  <c:v>4</c:v>
                </c:pt>
                <c:pt idx="15">
                  <c:v>17</c:v>
                </c:pt>
                <c:pt idx="16">
                  <c:v>1</c:v>
                </c:pt>
                <c:pt idx="17">
                  <c:v>0</c:v>
                </c:pt>
                <c:pt idx="18">
                  <c:v>0</c:v>
                </c:pt>
                <c:pt idx="19" formatCode="General">
                  <c:v>0</c:v>
                </c:pt>
              </c:numCache>
            </c:numRef>
          </c:val>
          <c:extLst>
            <c:ext xmlns:c16="http://schemas.microsoft.com/office/drawing/2014/chart" uri="{C3380CC4-5D6E-409C-BE32-E72D297353CC}">
              <c16:uniqueId val="{00000001-BE8E-5C44-9F85-FAE017C0DE63}"/>
            </c:ext>
          </c:extLst>
        </c:ser>
        <c:dLbls>
          <c:showLegendKey val="0"/>
          <c:showVal val="0"/>
          <c:showCatName val="0"/>
          <c:showSerName val="0"/>
          <c:showPercent val="0"/>
          <c:showBubbleSize val="0"/>
        </c:dLbls>
        <c:gapWidth val="150"/>
        <c:axId val="1249608127"/>
        <c:axId val="1249400991"/>
      </c:barChart>
      <c:lineChart>
        <c:grouping val="standard"/>
        <c:varyColors val="0"/>
        <c:ser>
          <c:idx val="2"/>
          <c:order val="2"/>
          <c:tx>
            <c:strRef>
              <c:f>' Parametrii sanitaro-chimici'!$B$14</c:f>
              <c:strCache>
                <c:ptCount val="1"/>
                <c:pt idx="0">
                  <c:v>Procentul probelor cu abateri de la normele sanitare (Solul)</c:v>
                </c:pt>
              </c:strCache>
            </c:strRef>
          </c:tx>
          <c:spPr>
            <a:ln w="28575" cap="rnd">
              <a:solidFill>
                <a:schemeClr val="accent3"/>
              </a:solidFill>
              <a:round/>
            </a:ln>
            <a:effectLst/>
          </c:spPr>
          <c:marker>
            <c:symbol val="none"/>
          </c:marker>
          <c:cat>
            <c:strRef>
              <c:f>' Parametrii sanitaro-chimici'!$C$11:$V$11</c:f>
              <c:strCach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strCache>
            </c:strRef>
          </c:cat>
          <c:val>
            <c:numRef>
              <c:f>' Parametrii sanitaro-chimici'!$C$14:$V$14</c:f>
              <c:numCache>
                <c:formatCode>0</c:formatCode>
                <c:ptCount val="20"/>
                <c:pt idx="0">
                  <c:v>11</c:v>
                </c:pt>
                <c:pt idx="1">
                  <c:v>7</c:v>
                </c:pt>
                <c:pt idx="2">
                  <c:v>2</c:v>
                </c:pt>
                <c:pt idx="3">
                  <c:v>6</c:v>
                </c:pt>
                <c:pt idx="4">
                  <c:v>7</c:v>
                </c:pt>
                <c:pt idx="5">
                  <c:v>5</c:v>
                </c:pt>
                <c:pt idx="6">
                  <c:v>5</c:v>
                </c:pt>
                <c:pt idx="7">
                  <c:v>6</c:v>
                </c:pt>
                <c:pt idx="8">
                  <c:v>4</c:v>
                </c:pt>
                <c:pt idx="9">
                  <c:v>2</c:v>
                </c:pt>
                <c:pt idx="10">
                  <c:v>3</c:v>
                </c:pt>
                <c:pt idx="11">
                  <c:v>3</c:v>
                </c:pt>
                <c:pt idx="12">
                  <c:v>4</c:v>
                </c:pt>
                <c:pt idx="13">
                  <c:v>2</c:v>
                </c:pt>
                <c:pt idx="14">
                  <c:v>5</c:v>
                </c:pt>
                <c:pt idx="15">
                  <c:v>17</c:v>
                </c:pt>
                <c:pt idx="16">
                  <c:v>1</c:v>
                </c:pt>
                <c:pt idx="17">
                  <c:v>0</c:v>
                </c:pt>
                <c:pt idx="18">
                  <c:v>0</c:v>
                </c:pt>
                <c:pt idx="19" formatCode="General">
                  <c:v>0</c:v>
                </c:pt>
              </c:numCache>
            </c:numRef>
          </c:val>
          <c:smooth val="0"/>
          <c:extLst>
            <c:ext xmlns:c16="http://schemas.microsoft.com/office/drawing/2014/chart" uri="{C3380CC4-5D6E-409C-BE32-E72D297353CC}">
              <c16:uniqueId val="{00000002-BE8E-5C44-9F85-FAE017C0DE63}"/>
            </c:ext>
          </c:extLst>
        </c:ser>
        <c:dLbls>
          <c:showLegendKey val="0"/>
          <c:showVal val="0"/>
          <c:showCatName val="0"/>
          <c:showSerName val="0"/>
          <c:showPercent val="0"/>
          <c:showBubbleSize val="0"/>
        </c:dLbls>
        <c:marker val="1"/>
        <c:smooth val="0"/>
        <c:axId val="1236116207"/>
        <c:axId val="1520315839"/>
      </c:lineChart>
      <c:catAx>
        <c:axId val="1249608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9400991"/>
        <c:crosses val="autoZero"/>
        <c:auto val="1"/>
        <c:lblAlgn val="ctr"/>
        <c:lblOffset val="100"/>
        <c:noMultiLvlLbl val="0"/>
      </c:catAx>
      <c:valAx>
        <c:axId val="12494009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9608127"/>
        <c:crosses val="autoZero"/>
        <c:crossBetween val="between"/>
      </c:valAx>
      <c:valAx>
        <c:axId val="1520315839"/>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116207"/>
        <c:crosses val="max"/>
        <c:crossBetween val="between"/>
      </c:valAx>
      <c:catAx>
        <c:axId val="1236116207"/>
        <c:scaling>
          <c:orientation val="minMax"/>
        </c:scaling>
        <c:delete val="1"/>
        <c:axPos val="b"/>
        <c:numFmt formatCode="General" sourceLinked="1"/>
        <c:majorTickMark val="none"/>
        <c:minorTickMark val="none"/>
        <c:tickLblPos val="nextTo"/>
        <c:crossAx val="152031583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Parametrii sanitaro-chimici'!$B$16</c:f>
              <c:strCache>
                <c:ptCount val="1"/>
                <c:pt idx="0">
                  <c:v>Numarul probelor cercetate</c:v>
                </c:pt>
              </c:strCache>
            </c:strRef>
          </c:tx>
          <c:spPr>
            <a:solidFill>
              <a:schemeClr val="accent1"/>
            </a:solidFill>
            <a:ln>
              <a:noFill/>
            </a:ln>
            <a:effectLst/>
          </c:spPr>
          <c:invertIfNegative val="0"/>
          <c:cat>
            <c:strRef>
              <c:f>' Parametrii sanitaro-chimici'!$C$15:$V$15</c:f>
              <c:strCach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strCache>
            </c:strRef>
          </c:cat>
          <c:val>
            <c:numRef>
              <c:f>' Parametrii sanitaro-chimici'!$C$16:$V$16</c:f>
              <c:numCache>
                <c:formatCode>0</c:formatCode>
                <c:ptCount val="20"/>
                <c:pt idx="0">
                  <c:v>11966</c:v>
                </c:pt>
                <c:pt idx="1">
                  <c:v>8275</c:v>
                </c:pt>
                <c:pt idx="2">
                  <c:v>8262</c:v>
                </c:pt>
                <c:pt idx="3">
                  <c:v>8966</c:v>
                </c:pt>
                <c:pt idx="4">
                  <c:v>8682</c:v>
                </c:pt>
                <c:pt idx="5">
                  <c:v>7025</c:v>
                </c:pt>
                <c:pt idx="6">
                  <c:v>9102</c:v>
                </c:pt>
                <c:pt idx="7">
                  <c:v>9031</c:v>
                </c:pt>
                <c:pt idx="8">
                  <c:v>6528</c:v>
                </c:pt>
                <c:pt idx="9">
                  <c:v>7898</c:v>
                </c:pt>
                <c:pt idx="10">
                  <c:v>7443</c:v>
                </c:pt>
                <c:pt idx="11">
                  <c:v>5983</c:v>
                </c:pt>
                <c:pt idx="12">
                  <c:v>5911</c:v>
                </c:pt>
                <c:pt idx="13">
                  <c:v>2424</c:v>
                </c:pt>
                <c:pt idx="14">
                  <c:v>3690</c:v>
                </c:pt>
                <c:pt idx="15">
                  <c:v>4301</c:v>
                </c:pt>
                <c:pt idx="16">
                  <c:v>5845</c:v>
                </c:pt>
                <c:pt idx="17">
                  <c:v>4793</c:v>
                </c:pt>
                <c:pt idx="18">
                  <c:v>6347</c:v>
                </c:pt>
                <c:pt idx="19">
                  <c:v>3772</c:v>
                </c:pt>
              </c:numCache>
            </c:numRef>
          </c:val>
          <c:extLst>
            <c:ext xmlns:c16="http://schemas.microsoft.com/office/drawing/2014/chart" uri="{C3380CC4-5D6E-409C-BE32-E72D297353CC}">
              <c16:uniqueId val="{00000000-80EC-7B46-BB33-8DC11DED2301}"/>
            </c:ext>
          </c:extLst>
        </c:ser>
        <c:ser>
          <c:idx val="1"/>
          <c:order val="1"/>
          <c:tx>
            <c:strRef>
              <c:f>' Parametrii sanitaro-chimici'!$B$17</c:f>
              <c:strCache>
                <c:ptCount val="1"/>
                <c:pt idx="0">
                  <c:v>Numarul probelor cu abateri de la normele sanitare</c:v>
                </c:pt>
              </c:strCache>
            </c:strRef>
          </c:tx>
          <c:spPr>
            <a:solidFill>
              <a:schemeClr val="accent2"/>
            </a:solidFill>
            <a:ln>
              <a:noFill/>
            </a:ln>
            <a:effectLst/>
          </c:spPr>
          <c:invertIfNegative val="0"/>
          <c:cat>
            <c:strRef>
              <c:f>' Parametrii sanitaro-chimici'!$C$15:$V$15</c:f>
              <c:strCach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strCache>
            </c:strRef>
          </c:cat>
          <c:val>
            <c:numRef>
              <c:f>' Parametrii sanitaro-chimici'!$C$17:$V$17</c:f>
              <c:numCache>
                <c:formatCode>0</c:formatCode>
                <c:ptCount val="20"/>
                <c:pt idx="0">
                  <c:v>1455</c:v>
                </c:pt>
                <c:pt idx="1">
                  <c:v>941</c:v>
                </c:pt>
                <c:pt idx="2">
                  <c:v>1560</c:v>
                </c:pt>
                <c:pt idx="3">
                  <c:v>1061</c:v>
                </c:pt>
                <c:pt idx="4">
                  <c:v>1207</c:v>
                </c:pt>
                <c:pt idx="5">
                  <c:v>1129</c:v>
                </c:pt>
                <c:pt idx="6">
                  <c:v>825</c:v>
                </c:pt>
                <c:pt idx="7">
                  <c:v>1157</c:v>
                </c:pt>
                <c:pt idx="8">
                  <c:v>673</c:v>
                </c:pt>
                <c:pt idx="9">
                  <c:v>846</c:v>
                </c:pt>
                <c:pt idx="10">
                  <c:v>1068</c:v>
                </c:pt>
                <c:pt idx="11">
                  <c:v>630</c:v>
                </c:pt>
                <c:pt idx="12">
                  <c:v>871</c:v>
                </c:pt>
                <c:pt idx="13">
                  <c:v>508</c:v>
                </c:pt>
                <c:pt idx="14">
                  <c:v>522</c:v>
                </c:pt>
                <c:pt idx="15">
                  <c:v>456</c:v>
                </c:pt>
                <c:pt idx="16">
                  <c:v>1225</c:v>
                </c:pt>
                <c:pt idx="17">
                  <c:v>826</c:v>
                </c:pt>
                <c:pt idx="18">
                  <c:v>342</c:v>
                </c:pt>
                <c:pt idx="19">
                  <c:v>572</c:v>
                </c:pt>
              </c:numCache>
            </c:numRef>
          </c:val>
          <c:extLst>
            <c:ext xmlns:c16="http://schemas.microsoft.com/office/drawing/2014/chart" uri="{C3380CC4-5D6E-409C-BE32-E72D297353CC}">
              <c16:uniqueId val="{00000001-80EC-7B46-BB33-8DC11DED2301}"/>
            </c:ext>
          </c:extLst>
        </c:ser>
        <c:dLbls>
          <c:showLegendKey val="0"/>
          <c:showVal val="0"/>
          <c:showCatName val="0"/>
          <c:showSerName val="0"/>
          <c:showPercent val="0"/>
          <c:showBubbleSize val="0"/>
        </c:dLbls>
        <c:gapWidth val="150"/>
        <c:axId val="1251803807"/>
        <c:axId val="915791231"/>
      </c:barChart>
      <c:lineChart>
        <c:grouping val="standard"/>
        <c:varyColors val="0"/>
        <c:ser>
          <c:idx val="2"/>
          <c:order val="2"/>
          <c:tx>
            <c:strRef>
              <c:f>' Parametrii sanitaro-chimici'!$B$18</c:f>
              <c:strCache>
                <c:ptCount val="1"/>
                <c:pt idx="0">
                  <c:v>Procentul probelor cu abateri de la normele sanitare (Aerul atmosferic)</c:v>
                </c:pt>
              </c:strCache>
            </c:strRef>
          </c:tx>
          <c:spPr>
            <a:ln w="28575" cap="rnd">
              <a:solidFill>
                <a:schemeClr val="accent3"/>
              </a:solidFill>
              <a:round/>
            </a:ln>
            <a:effectLst/>
          </c:spPr>
          <c:marker>
            <c:symbol val="none"/>
          </c:marker>
          <c:cat>
            <c:strRef>
              <c:f>' Parametrii sanitaro-chimici'!$C$15:$V$15</c:f>
              <c:strCach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strCache>
            </c:strRef>
          </c:cat>
          <c:val>
            <c:numRef>
              <c:f>' Parametrii sanitaro-chimici'!$C$18:$V$18</c:f>
              <c:numCache>
                <c:formatCode>0</c:formatCode>
                <c:ptCount val="20"/>
                <c:pt idx="0">
                  <c:v>12</c:v>
                </c:pt>
                <c:pt idx="1">
                  <c:v>11</c:v>
                </c:pt>
                <c:pt idx="2">
                  <c:v>19</c:v>
                </c:pt>
                <c:pt idx="3">
                  <c:v>12</c:v>
                </c:pt>
                <c:pt idx="4">
                  <c:v>14</c:v>
                </c:pt>
                <c:pt idx="5">
                  <c:v>16</c:v>
                </c:pt>
                <c:pt idx="6">
                  <c:v>9</c:v>
                </c:pt>
                <c:pt idx="7">
                  <c:v>13</c:v>
                </c:pt>
                <c:pt idx="8">
                  <c:v>10</c:v>
                </c:pt>
                <c:pt idx="9">
                  <c:v>11</c:v>
                </c:pt>
                <c:pt idx="10">
                  <c:v>14</c:v>
                </c:pt>
                <c:pt idx="11">
                  <c:v>11</c:v>
                </c:pt>
                <c:pt idx="12">
                  <c:v>15</c:v>
                </c:pt>
                <c:pt idx="13">
                  <c:v>21</c:v>
                </c:pt>
                <c:pt idx="14">
                  <c:v>14</c:v>
                </c:pt>
                <c:pt idx="15">
                  <c:v>11</c:v>
                </c:pt>
                <c:pt idx="16">
                  <c:v>21</c:v>
                </c:pt>
                <c:pt idx="17">
                  <c:v>17</c:v>
                </c:pt>
                <c:pt idx="18">
                  <c:v>5</c:v>
                </c:pt>
                <c:pt idx="19">
                  <c:v>15</c:v>
                </c:pt>
              </c:numCache>
            </c:numRef>
          </c:val>
          <c:smooth val="0"/>
          <c:extLst>
            <c:ext xmlns:c16="http://schemas.microsoft.com/office/drawing/2014/chart" uri="{C3380CC4-5D6E-409C-BE32-E72D297353CC}">
              <c16:uniqueId val="{00000002-80EC-7B46-BB33-8DC11DED2301}"/>
            </c:ext>
          </c:extLst>
        </c:ser>
        <c:dLbls>
          <c:showLegendKey val="0"/>
          <c:showVal val="0"/>
          <c:showCatName val="0"/>
          <c:showSerName val="0"/>
          <c:showPercent val="0"/>
          <c:showBubbleSize val="0"/>
        </c:dLbls>
        <c:marker val="1"/>
        <c:smooth val="0"/>
        <c:axId val="932689999"/>
        <c:axId val="932287039"/>
      </c:lineChart>
      <c:catAx>
        <c:axId val="1251803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5791231"/>
        <c:crosses val="autoZero"/>
        <c:auto val="1"/>
        <c:lblAlgn val="ctr"/>
        <c:lblOffset val="100"/>
        <c:noMultiLvlLbl val="0"/>
      </c:catAx>
      <c:valAx>
        <c:axId val="9157912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1803807"/>
        <c:crosses val="autoZero"/>
        <c:crossBetween val="between"/>
      </c:valAx>
      <c:valAx>
        <c:axId val="932287039"/>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689999"/>
        <c:crosses val="max"/>
        <c:crossBetween val="between"/>
      </c:valAx>
      <c:catAx>
        <c:axId val="932689999"/>
        <c:scaling>
          <c:orientation val="minMax"/>
        </c:scaling>
        <c:delete val="1"/>
        <c:axPos val="b"/>
        <c:numFmt formatCode="General" sourceLinked="1"/>
        <c:majorTickMark val="none"/>
        <c:minorTickMark val="none"/>
        <c:tickLblPos val="nextTo"/>
        <c:crossAx val="93228703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'Boli zoonotice_trans. om'!$B$1</c:f>
              <c:strCache>
                <c:ptCount val="1"/>
                <c:pt idx="0">
                  <c:v> Rabia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'Boli zoonotice_trans. om'!$A$2:$A$13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xVal>
          <c:yVal>
            <c:numRef>
              <c:f>'Boli zoonotice_trans. om'!$B$2:$B$13</c:f>
              <c:numCache>
                <c:formatCode>General</c:formatCode>
                <c:ptCount val="12"/>
                <c:pt idx="0">
                  <c:v>113</c:v>
                </c:pt>
                <c:pt idx="1">
                  <c:v>138</c:v>
                </c:pt>
                <c:pt idx="2">
                  <c:v>167</c:v>
                </c:pt>
                <c:pt idx="3">
                  <c:v>79</c:v>
                </c:pt>
                <c:pt idx="4">
                  <c:v>59</c:v>
                </c:pt>
                <c:pt idx="5">
                  <c:v>78</c:v>
                </c:pt>
                <c:pt idx="6">
                  <c:v>91</c:v>
                </c:pt>
                <c:pt idx="7">
                  <c:v>70</c:v>
                </c:pt>
                <c:pt idx="8">
                  <c:v>18</c:v>
                </c:pt>
                <c:pt idx="9">
                  <c:v>13</c:v>
                </c:pt>
                <c:pt idx="10">
                  <c:v>23</c:v>
                </c:pt>
                <c:pt idx="11">
                  <c:v>15</c:v>
                </c:pt>
              </c:numCache>
            </c:numRef>
          </c:yVal>
          <c:smooth val="0"/>
          <c:extLst>
            <c:ext xmlns:c16="http://schemas.microsoft.com/office/drawing/2014/chart" uri="{C3380CC4-5D6E-409C-BE32-E72D297353CC}">
              <c16:uniqueId val="{00000000-3672-4447-AB73-F31219FBC6FD}"/>
            </c:ext>
          </c:extLst>
        </c:ser>
        <c:ser>
          <c:idx val="1"/>
          <c:order val="1"/>
          <c:tx>
            <c:strRef>
              <c:f>'Boli zoonotice_trans. om'!$C$1</c:f>
              <c:strCache>
                <c:ptCount val="1"/>
                <c:pt idx="0">
                  <c:v>Antrax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'Boli zoonotice_trans. om'!$A$2:$A$13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xVal>
          <c:yVal>
            <c:numRef>
              <c:f>'Boli zoonotice_trans. om'!$C$2:$C$13</c:f>
              <c:numCache>
                <c:formatCode>General</c:formatCode>
                <c:ptCount val="12"/>
                <c:pt idx="0">
                  <c:v>2</c:v>
                </c:pt>
                <c:pt idx="1">
                  <c:v>3</c:v>
                </c:pt>
                <c:pt idx="2">
                  <c:v>1</c:v>
                </c:pt>
                <c:pt idx="3">
                  <c:v>1</c:v>
                </c:pt>
              </c:numCache>
            </c:numRef>
          </c:yVal>
          <c:smooth val="0"/>
          <c:extLst>
            <c:ext xmlns:c16="http://schemas.microsoft.com/office/drawing/2014/chart" uri="{C3380CC4-5D6E-409C-BE32-E72D297353CC}">
              <c16:uniqueId val="{00000001-3672-4447-AB73-F31219FBC6FD}"/>
            </c:ext>
          </c:extLst>
        </c:ser>
        <c:ser>
          <c:idx val="2"/>
          <c:order val="2"/>
          <c:tx>
            <c:strRef>
              <c:f>'Boli zoonotice_trans. om'!$D$1</c:f>
              <c:strCache>
                <c:ptCount val="1"/>
                <c:pt idx="0">
                  <c:v>Pesta porcină africană</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'Boli zoonotice_trans. om'!$A$2:$A$13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xVal>
          <c:yVal>
            <c:numRef>
              <c:f>'Boli zoonotice_trans. om'!$D$2:$D$13</c:f>
              <c:numCache>
                <c:formatCode>General</c:formatCode>
                <c:ptCount val="12"/>
                <c:pt idx="3">
                  <c:v>5</c:v>
                </c:pt>
                <c:pt idx="4">
                  <c:v>7</c:v>
                </c:pt>
                <c:pt idx="5">
                  <c:v>36</c:v>
                </c:pt>
                <c:pt idx="6">
                  <c:v>36</c:v>
                </c:pt>
                <c:pt idx="7">
                  <c:v>32</c:v>
                </c:pt>
                <c:pt idx="8">
                  <c:v>2</c:v>
                </c:pt>
                <c:pt idx="9">
                  <c:v>18</c:v>
                </c:pt>
                <c:pt idx="10">
                  <c:v>24</c:v>
                </c:pt>
                <c:pt idx="11">
                  <c:v>18</c:v>
                </c:pt>
              </c:numCache>
            </c:numRef>
          </c:yVal>
          <c:smooth val="0"/>
          <c:extLst>
            <c:ext xmlns:c16="http://schemas.microsoft.com/office/drawing/2014/chart" uri="{C3380CC4-5D6E-409C-BE32-E72D297353CC}">
              <c16:uniqueId val="{00000002-3672-4447-AB73-F31219FBC6FD}"/>
            </c:ext>
          </c:extLst>
        </c:ser>
        <c:ser>
          <c:idx val="3"/>
          <c:order val="3"/>
          <c:tx>
            <c:strRef>
              <c:f>'Boli zoonotice_trans. om'!$E$1</c:f>
              <c:strCache>
                <c:ptCount val="1"/>
                <c:pt idx="0">
                  <c:v>Influența aviar</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'Boli zoonotice_trans. om'!$A$2:$A$13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xVal>
          <c:yVal>
            <c:numRef>
              <c:f>'Boli zoonotice_trans. om'!$E$2:$E$13</c:f>
              <c:numCache>
                <c:formatCode>General</c:formatCode>
                <c:ptCount val="12"/>
                <c:pt idx="9">
                  <c:v>5</c:v>
                </c:pt>
                <c:pt idx="10">
                  <c:v>38</c:v>
                </c:pt>
                <c:pt idx="11">
                  <c:v>133</c:v>
                </c:pt>
              </c:numCache>
            </c:numRef>
          </c:yVal>
          <c:smooth val="0"/>
          <c:extLst>
            <c:ext xmlns:c16="http://schemas.microsoft.com/office/drawing/2014/chart" uri="{C3380CC4-5D6E-409C-BE32-E72D297353CC}">
              <c16:uniqueId val="{00000003-3672-4447-AB73-F31219FBC6FD}"/>
            </c:ext>
          </c:extLst>
        </c:ser>
        <c:dLbls>
          <c:showLegendKey val="0"/>
          <c:showVal val="0"/>
          <c:showCatName val="0"/>
          <c:showSerName val="0"/>
          <c:showPercent val="0"/>
          <c:showBubbleSize val="0"/>
        </c:dLbls>
        <c:axId val="1958814928"/>
        <c:axId val="1958816640"/>
      </c:scatterChart>
      <c:valAx>
        <c:axId val="1958814928"/>
        <c:scaling>
          <c:orientation val="minMax"/>
          <c:max val="2024"/>
          <c:min val="2013"/>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8816640"/>
        <c:crosses val="autoZero"/>
        <c:crossBetween val="midCat"/>
        <c:majorUnit val="1"/>
      </c:valAx>
      <c:valAx>
        <c:axId val="1958816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88149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Sacrificii!$C$3:$C$4</c:f>
              <c:strCache>
                <c:ptCount val="2"/>
                <c:pt idx="0">
                  <c:v>Bovine </c:v>
                </c:pt>
                <c:pt idx="1">
                  <c:v>F</c:v>
                </c:pt>
              </c:strCache>
            </c:strRef>
          </c:tx>
          <c:spPr>
            <a:solidFill>
              <a:schemeClr val="accent1"/>
            </a:solidFill>
            <a:ln>
              <a:noFill/>
            </a:ln>
            <a:effectLst/>
          </c:spPr>
          <c:invertIfNegative val="0"/>
          <c:cat>
            <c:strRef>
              <c:f>Sacrificii!$A$5:$A$11</c:f>
              <c:strCache>
                <c:ptCount val="7"/>
                <c:pt idx="0">
                  <c:v>Anenii Noi</c:v>
                </c:pt>
                <c:pt idx="1">
                  <c:v>Basarabeasca</c:v>
                </c:pt>
                <c:pt idx="2">
                  <c:v>Cahul</c:v>
                </c:pt>
                <c:pt idx="3">
                  <c:v>Criuleni</c:v>
                </c:pt>
                <c:pt idx="4">
                  <c:v>Donduseni</c:v>
                </c:pt>
                <c:pt idx="5">
                  <c:v>Hîncesti</c:v>
                </c:pt>
                <c:pt idx="6">
                  <c:v>TOTAL</c:v>
                </c:pt>
              </c:strCache>
              <c:extLst/>
            </c:strRef>
          </c:cat>
          <c:val>
            <c:numRef>
              <c:f>Sacrificii!$C$5:$C$11</c:f>
            </c:numRef>
          </c:val>
          <c:extLst>
            <c:ext xmlns:c16="http://schemas.microsoft.com/office/drawing/2014/chart" uri="{C3380CC4-5D6E-409C-BE32-E72D297353CC}">
              <c16:uniqueId val="{00000000-9EE3-2746-9719-D19CE9AEC2D2}"/>
            </c:ext>
          </c:extLst>
        </c:ser>
        <c:ser>
          <c:idx val="1"/>
          <c:order val="1"/>
          <c:tx>
            <c:strRef>
              <c:f>Sacrificii!$D$3:$D$4</c:f>
              <c:strCache>
                <c:ptCount val="2"/>
                <c:pt idx="0">
                  <c:v>Porcine</c:v>
                </c:pt>
                <c:pt idx="1">
                  <c:v>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Sacrificii!$A$5:$A$11</c:f>
              <c:strCache>
                <c:ptCount val="7"/>
                <c:pt idx="0">
                  <c:v>Anenii Noi</c:v>
                </c:pt>
                <c:pt idx="1">
                  <c:v>Basarabeasca</c:v>
                </c:pt>
                <c:pt idx="2">
                  <c:v>Cahul</c:v>
                </c:pt>
                <c:pt idx="3">
                  <c:v>Criuleni</c:v>
                </c:pt>
                <c:pt idx="4">
                  <c:v>Donduseni</c:v>
                </c:pt>
                <c:pt idx="5">
                  <c:v>Hîncesti</c:v>
                </c:pt>
                <c:pt idx="6">
                  <c:v>TOTAL</c:v>
                </c:pt>
              </c:strCache>
              <c:extLst/>
            </c:strRef>
          </c:cat>
          <c:val>
            <c:numRef>
              <c:f>Sacrificii!$D$5:$D$11</c:f>
              <c:numCache>
                <c:formatCode>General</c:formatCode>
                <c:ptCount val="7"/>
                <c:pt idx="0" formatCode="_(* #,##0_);_(* \(#,##0\);_(* &quot;-&quot;??_);_(@_)">
                  <c:v>38584</c:v>
                </c:pt>
                <c:pt idx="2" formatCode="_(* #,##0_);_(* \(#,##0\);_(* &quot;-&quot;??_);_(@_)">
                  <c:v>43</c:v>
                </c:pt>
                <c:pt idx="3" formatCode="_(* #,##0_);_(* \(#,##0\);_(* &quot;-&quot;??_);_(@_)">
                  <c:v>24449</c:v>
                </c:pt>
                <c:pt idx="4" formatCode="_(* #,##0_);_(* \(#,##0\);_(* &quot;-&quot;??_);_(@_)">
                  <c:v>5</c:v>
                </c:pt>
                <c:pt idx="5" formatCode="_(* #,##0_);_(* \(#,##0\);_(* &quot;-&quot;??_);_(@_)">
                  <c:v>10</c:v>
                </c:pt>
                <c:pt idx="6" formatCode="_(* #,##0_);_(* \(#,##0\);_(* &quot;-&quot;??_);_(@_)">
                  <c:v>63091</c:v>
                </c:pt>
              </c:numCache>
            </c:numRef>
          </c:val>
          <c:extLst>
            <c:ext xmlns:c16="http://schemas.microsoft.com/office/drawing/2014/chart" uri="{C3380CC4-5D6E-409C-BE32-E72D297353CC}">
              <c16:uniqueId val="{00000001-9EE3-2746-9719-D19CE9AEC2D2}"/>
            </c:ext>
          </c:extLst>
        </c:ser>
        <c:ser>
          <c:idx val="2"/>
          <c:order val="2"/>
          <c:tx>
            <c:strRef>
              <c:f>Sacrificii!$E$3:$E$4</c:f>
              <c:strCache>
                <c:ptCount val="2"/>
                <c:pt idx="0">
                  <c:v>Porcine</c:v>
                </c:pt>
                <c:pt idx="1">
                  <c:v>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Sacrificii!$A$5:$A$11</c:f>
              <c:strCache>
                <c:ptCount val="7"/>
                <c:pt idx="0">
                  <c:v>Anenii Noi</c:v>
                </c:pt>
                <c:pt idx="1">
                  <c:v>Basarabeasca</c:v>
                </c:pt>
                <c:pt idx="2">
                  <c:v>Cahul</c:v>
                </c:pt>
                <c:pt idx="3">
                  <c:v>Criuleni</c:v>
                </c:pt>
                <c:pt idx="4">
                  <c:v>Donduseni</c:v>
                </c:pt>
                <c:pt idx="5">
                  <c:v>Hîncesti</c:v>
                </c:pt>
                <c:pt idx="6">
                  <c:v>TOTAL</c:v>
                </c:pt>
              </c:strCache>
              <c:extLst/>
            </c:strRef>
          </c:cat>
          <c:val>
            <c:numRef>
              <c:f>Sacrificii!$E$5:$E$11</c:f>
              <c:numCache>
                <c:formatCode>General</c:formatCode>
                <c:ptCount val="7"/>
                <c:pt idx="0" formatCode="_(* #,##0_);_(* \(#,##0\);_(* &quot;-&quot;??_);_(@_)">
                  <c:v>31753</c:v>
                </c:pt>
                <c:pt idx="2" formatCode="_(* #,##0_);_(* \(#,##0\);_(* &quot;-&quot;??_);_(@_)">
                  <c:v>34</c:v>
                </c:pt>
                <c:pt idx="3" formatCode="_(* #,##0_);_(* \(#,##0\);_(* &quot;-&quot;??_);_(@_)">
                  <c:v>18282</c:v>
                </c:pt>
                <c:pt idx="5" formatCode="_(* #,##0_);_(* \(#,##0\);_(* &quot;-&quot;??_);_(@_)">
                  <c:v>8</c:v>
                </c:pt>
                <c:pt idx="6" formatCode="_(* #,##0_);_(* \(#,##0\);_(* &quot;-&quot;??_);_(@_)">
                  <c:v>50077</c:v>
                </c:pt>
              </c:numCache>
            </c:numRef>
          </c:val>
          <c:extLst>
            <c:ext xmlns:c16="http://schemas.microsoft.com/office/drawing/2014/chart" uri="{C3380CC4-5D6E-409C-BE32-E72D297353CC}">
              <c16:uniqueId val="{00000002-9EE3-2746-9719-D19CE9AEC2D2}"/>
            </c:ext>
          </c:extLst>
        </c:ser>
        <c:ser>
          <c:idx val="3"/>
          <c:order val="3"/>
          <c:tx>
            <c:strRef>
              <c:f>Sacrificii!$F$3:$F$4</c:f>
              <c:strCache>
                <c:ptCount val="2"/>
                <c:pt idx="0">
                  <c:v>Total animale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Sacrificii!$A$5:$A$11</c:f>
              <c:strCache>
                <c:ptCount val="7"/>
                <c:pt idx="0">
                  <c:v>Anenii Noi</c:v>
                </c:pt>
                <c:pt idx="1">
                  <c:v>Basarabeasca</c:v>
                </c:pt>
                <c:pt idx="2">
                  <c:v>Cahul</c:v>
                </c:pt>
                <c:pt idx="3">
                  <c:v>Criuleni</c:v>
                </c:pt>
                <c:pt idx="4">
                  <c:v>Donduseni</c:v>
                </c:pt>
                <c:pt idx="5">
                  <c:v>Hîncesti</c:v>
                </c:pt>
                <c:pt idx="6">
                  <c:v>TOTAL</c:v>
                </c:pt>
              </c:strCache>
              <c:extLst/>
            </c:strRef>
          </c:cat>
          <c:val>
            <c:numRef>
              <c:f>Sacrificii!$F$5:$F$11</c:f>
              <c:numCache>
                <c:formatCode>_(* #,##0_);_(* \(#,##0\);_(* "-"??_);_(@_)</c:formatCode>
                <c:ptCount val="7"/>
                <c:pt idx="0">
                  <c:v>70337</c:v>
                </c:pt>
                <c:pt idx="1">
                  <c:v>1</c:v>
                </c:pt>
                <c:pt idx="2">
                  <c:v>77</c:v>
                </c:pt>
                <c:pt idx="3">
                  <c:v>42732</c:v>
                </c:pt>
                <c:pt idx="4">
                  <c:v>5</c:v>
                </c:pt>
                <c:pt idx="5">
                  <c:v>18</c:v>
                </c:pt>
                <c:pt idx="6">
                  <c:v>113170</c:v>
                </c:pt>
              </c:numCache>
            </c:numRef>
          </c:val>
          <c:extLst>
            <c:ext xmlns:c16="http://schemas.microsoft.com/office/drawing/2014/chart" uri="{C3380CC4-5D6E-409C-BE32-E72D297353CC}">
              <c16:uniqueId val="{00000003-9EE3-2746-9719-D19CE9AEC2D2}"/>
            </c:ext>
          </c:extLst>
        </c:ser>
        <c:dLbls>
          <c:showLegendKey val="0"/>
          <c:showVal val="0"/>
          <c:showCatName val="0"/>
          <c:showSerName val="0"/>
          <c:showPercent val="0"/>
          <c:showBubbleSize val="0"/>
        </c:dLbls>
        <c:gapWidth val="219"/>
        <c:overlap val="-27"/>
        <c:axId val="1812004320"/>
        <c:axId val="1812055872"/>
      </c:barChart>
      <c:catAx>
        <c:axId val="181200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055872"/>
        <c:crosses val="autoZero"/>
        <c:auto val="1"/>
        <c:lblAlgn val="ctr"/>
        <c:lblOffset val="100"/>
        <c:noMultiLvlLbl val="0"/>
      </c:catAx>
      <c:valAx>
        <c:axId val="1812055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00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'Vaccinari efectuate'!$A$3:$A$6</c:f>
              <c:numCache>
                <c:formatCode>General</c:formatCode>
                <c:ptCount val="4"/>
                <c:pt idx="0">
                  <c:v>2022</c:v>
                </c:pt>
                <c:pt idx="1">
                  <c:v>2023</c:v>
                </c:pt>
                <c:pt idx="2">
                  <c:v>2024</c:v>
                </c:pt>
                <c:pt idx="3">
                  <c:v>2025</c:v>
                </c:pt>
              </c:numCache>
            </c:numRef>
          </c:xVal>
          <c:yVal>
            <c:numRef>
              <c:f>'Vaccinari efectuate'!$B$3:$B$6</c:f>
              <c:numCache>
                <c:formatCode>_(* #,##0_);_(* \(#,##0\);_(* "-"??_);_(@_)</c:formatCode>
                <c:ptCount val="4"/>
                <c:pt idx="0">
                  <c:v>661231</c:v>
                </c:pt>
                <c:pt idx="1">
                  <c:v>432883</c:v>
                </c:pt>
                <c:pt idx="2">
                  <c:v>234189</c:v>
                </c:pt>
                <c:pt idx="3">
                  <c:v>184386</c:v>
                </c:pt>
              </c:numCache>
            </c:numRef>
          </c:yVal>
          <c:smooth val="0"/>
          <c:extLst>
            <c:ext xmlns:c16="http://schemas.microsoft.com/office/drawing/2014/chart" uri="{C3380CC4-5D6E-409C-BE32-E72D297353CC}">
              <c16:uniqueId val="{00000000-60F0-5A4E-991B-190AA8F939A0}"/>
            </c:ext>
          </c:extLst>
        </c:ser>
        <c:dLbls>
          <c:showLegendKey val="0"/>
          <c:showVal val="0"/>
          <c:showCatName val="0"/>
          <c:showSerName val="0"/>
          <c:showPercent val="0"/>
          <c:showBubbleSize val="0"/>
        </c:dLbls>
        <c:axId val="1726022352"/>
        <c:axId val="1820637248"/>
      </c:scatterChart>
      <c:valAx>
        <c:axId val="1726022352"/>
        <c:scaling>
          <c:orientation val="minMax"/>
          <c:max val="2025"/>
          <c:min val="2022"/>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0637248"/>
        <c:crosses val="autoZero"/>
        <c:crossBetween val="midCat"/>
        <c:majorUnit val="1"/>
      </c:valAx>
      <c:valAx>
        <c:axId val="1820637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60223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TIA_bolnavi_spitaliz.!$C$1</c:f>
              <c:strCache>
                <c:ptCount val="1"/>
                <c:pt idx="0">
                  <c:v>Bolnavi</c:v>
                </c:pt>
              </c:strCache>
            </c:strRef>
          </c:tx>
          <c:spPr>
            <a:ln w="28575" cap="rnd">
              <a:solidFill>
                <a:schemeClr val="accent2"/>
              </a:solidFill>
              <a:round/>
            </a:ln>
            <a:effectLst/>
          </c:spPr>
          <c:marker>
            <c:symbol val="none"/>
          </c:marker>
          <c:cat>
            <c:numRef>
              <c:f>TIA_bolnavi_spitaliz.!$A$2:$A$10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TIA_bolnavi_spitaliz.!$C$2:$C$10</c:f>
              <c:numCache>
                <c:formatCode>General</c:formatCode>
                <c:ptCount val="9"/>
                <c:pt idx="0">
                  <c:v>120</c:v>
                </c:pt>
                <c:pt idx="1">
                  <c:v>133</c:v>
                </c:pt>
                <c:pt idx="2">
                  <c:v>226</c:v>
                </c:pt>
                <c:pt idx="3">
                  <c:v>205</c:v>
                </c:pt>
                <c:pt idx="4">
                  <c:v>66</c:v>
                </c:pt>
                <c:pt idx="5">
                  <c:v>64</c:v>
                </c:pt>
                <c:pt idx="6">
                  <c:v>36</c:v>
                </c:pt>
                <c:pt idx="7">
                  <c:v>31</c:v>
                </c:pt>
                <c:pt idx="8">
                  <c:v>44</c:v>
                </c:pt>
              </c:numCache>
            </c:numRef>
          </c:val>
          <c:smooth val="0"/>
          <c:extLst>
            <c:ext xmlns:c16="http://schemas.microsoft.com/office/drawing/2014/chart" uri="{C3380CC4-5D6E-409C-BE32-E72D297353CC}">
              <c16:uniqueId val="{00000000-F4A7-0F4C-9903-18A5D33BB961}"/>
            </c:ext>
          </c:extLst>
        </c:ser>
        <c:ser>
          <c:idx val="2"/>
          <c:order val="2"/>
          <c:tx>
            <c:strRef>
              <c:f>TIA_bolnavi_spitaliz.!$D$1</c:f>
              <c:strCache>
                <c:ptCount val="1"/>
                <c:pt idx="0">
                  <c:v>Spitalizati</c:v>
                </c:pt>
              </c:strCache>
            </c:strRef>
          </c:tx>
          <c:spPr>
            <a:ln w="28575" cap="rnd">
              <a:solidFill>
                <a:schemeClr val="accent3"/>
              </a:solidFill>
              <a:round/>
            </a:ln>
            <a:effectLst/>
          </c:spPr>
          <c:marker>
            <c:symbol val="none"/>
          </c:marker>
          <c:cat>
            <c:numRef>
              <c:f>TIA_bolnavi_spitaliz.!$A$2:$A$10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TIA_bolnavi_spitaliz.!$D$2:$D$10</c:f>
              <c:numCache>
                <c:formatCode>General</c:formatCode>
                <c:ptCount val="9"/>
                <c:pt idx="0">
                  <c:v>107</c:v>
                </c:pt>
                <c:pt idx="1">
                  <c:v>92</c:v>
                </c:pt>
                <c:pt idx="2">
                  <c:v>116</c:v>
                </c:pt>
                <c:pt idx="3">
                  <c:v>187</c:v>
                </c:pt>
                <c:pt idx="4">
                  <c:v>62</c:v>
                </c:pt>
                <c:pt idx="5">
                  <c:v>20</c:v>
                </c:pt>
                <c:pt idx="6">
                  <c:v>32</c:v>
                </c:pt>
                <c:pt idx="7">
                  <c:v>27</c:v>
                </c:pt>
                <c:pt idx="8">
                  <c:v>38</c:v>
                </c:pt>
              </c:numCache>
            </c:numRef>
          </c:val>
          <c:smooth val="0"/>
          <c:extLst>
            <c:ext xmlns:c16="http://schemas.microsoft.com/office/drawing/2014/chart" uri="{C3380CC4-5D6E-409C-BE32-E72D297353CC}">
              <c16:uniqueId val="{00000001-F4A7-0F4C-9903-18A5D33BB961}"/>
            </c:ext>
          </c:extLst>
        </c:ser>
        <c:dLbls>
          <c:showLegendKey val="0"/>
          <c:showVal val="0"/>
          <c:showCatName val="0"/>
          <c:showSerName val="0"/>
          <c:showPercent val="0"/>
          <c:showBubbleSize val="0"/>
        </c:dLbls>
        <c:marker val="1"/>
        <c:smooth val="0"/>
        <c:axId val="1812342464"/>
        <c:axId val="1812347712"/>
      </c:lineChart>
      <c:lineChart>
        <c:grouping val="standard"/>
        <c:varyColors val="0"/>
        <c:ser>
          <c:idx val="0"/>
          <c:order val="0"/>
          <c:tx>
            <c:strRef>
              <c:f>TIA_bolnavi_spitaliz.!$B$1</c:f>
              <c:strCache>
                <c:ptCount val="1"/>
                <c:pt idx="0">
                  <c:v>Nr. TIA confirmate </c:v>
                </c:pt>
              </c:strCache>
            </c:strRef>
          </c:tx>
          <c:spPr>
            <a:ln w="28575" cap="rnd">
              <a:solidFill>
                <a:schemeClr val="accent1"/>
              </a:solidFill>
              <a:prstDash val="sysDash"/>
              <a:round/>
            </a:ln>
            <a:effectLst/>
          </c:spPr>
          <c:marker>
            <c:symbol val="none"/>
          </c:marker>
          <c:cat>
            <c:numRef>
              <c:f>TIA_bolnavi_spitaliz.!$A$2:$A$10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TIA_bolnavi_spitaliz.!$B$2:$B$10</c:f>
              <c:numCache>
                <c:formatCode>General</c:formatCode>
                <c:ptCount val="9"/>
                <c:pt idx="0">
                  <c:v>14</c:v>
                </c:pt>
                <c:pt idx="1">
                  <c:v>10</c:v>
                </c:pt>
                <c:pt idx="2">
                  <c:v>15</c:v>
                </c:pt>
                <c:pt idx="3">
                  <c:v>12</c:v>
                </c:pt>
                <c:pt idx="4">
                  <c:v>3</c:v>
                </c:pt>
                <c:pt idx="5">
                  <c:v>11</c:v>
                </c:pt>
                <c:pt idx="6">
                  <c:v>4</c:v>
                </c:pt>
                <c:pt idx="7">
                  <c:v>7</c:v>
                </c:pt>
                <c:pt idx="8">
                  <c:v>6</c:v>
                </c:pt>
              </c:numCache>
            </c:numRef>
          </c:val>
          <c:smooth val="0"/>
          <c:extLst>
            <c:ext xmlns:c16="http://schemas.microsoft.com/office/drawing/2014/chart" uri="{C3380CC4-5D6E-409C-BE32-E72D297353CC}">
              <c16:uniqueId val="{00000002-F4A7-0F4C-9903-18A5D33BB961}"/>
            </c:ext>
          </c:extLst>
        </c:ser>
        <c:dLbls>
          <c:showLegendKey val="0"/>
          <c:showVal val="0"/>
          <c:showCatName val="0"/>
          <c:showSerName val="0"/>
          <c:showPercent val="0"/>
          <c:showBubbleSize val="0"/>
        </c:dLbls>
        <c:marker val="1"/>
        <c:smooth val="0"/>
        <c:axId val="1959476496"/>
        <c:axId val="1875946752"/>
      </c:lineChart>
      <c:catAx>
        <c:axId val="181234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347712"/>
        <c:crosses val="autoZero"/>
        <c:auto val="1"/>
        <c:lblAlgn val="ctr"/>
        <c:lblOffset val="100"/>
        <c:noMultiLvlLbl val="0"/>
      </c:catAx>
      <c:valAx>
        <c:axId val="1812347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342464"/>
        <c:crosses val="autoZero"/>
        <c:crossBetween val="between"/>
      </c:valAx>
      <c:valAx>
        <c:axId val="187594675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9476496"/>
        <c:crosses val="max"/>
        <c:crossBetween val="between"/>
      </c:valAx>
      <c:catAx>
        <c:axId val="1959476496"/>
        <c:scaling>
          <c:orientation val="minMax"/>
        </c:scaling>
        <c:delete val="1"/>
        <c:axPos val="b"/>
        <c:numFmt formatCode="General" sourceLinked="1"/>
        <c:majorTickMark val="out"/>
        <c:minorTickMark val="none"/>
        <c:tickLblPos val="nextTo"/>
        <c:crossAx val="18759467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69496045045928"/>
          <c:y val="0.13534750470268039"/>
          <c:w val="0.60491515847106747"/>
          <c:h val="0.82643519965403012"/>
        </c:manualLayout>
      </c:layout>
      <c:pieChart>
        <c:varyColors val="1"/>
        <c:ser>
          <c:idx val="0"/>
          <c:order val="0"/>
          <c:tx>
            <c:strRef>
              <c:f>'2010-2024'!$G$84</c:f>
              <c:strCache>
                <c:ptCount val="1"/>
                <c:pt idx="0">
                  <c:v>Paguba materială (mii lei)</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258-465F-BB9B-86D88F6E8D1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258-465F-BB9B-86D88F6E8D1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258-465F-BB9B-86D88F6E8D1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258-465F-BB9B-86D88F6E8D1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258-465F-BB9B-86D88F6E8D16}"/>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258-465F-BB9B-86D88F6E8D16}"/>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0258-465F-BB9B-86D88F6E8D16}"/>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0258-465F-BB9B-86D88F6E8D16}"/>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0258-465F-BB9B-86D88F6E8D16}"/>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0258-465F-BB9B-86D88F6E8D16}"/>
              </c:ext>
            </c:extLst>
          </c:dPt>
          <c:dLbls>
            <c:dLbl>
              <c:idx val="0"/>
              <c:layout>
                <c:manualLayout>
                  <c:x val="-0.19623735863948388"/>
                  <c:y val="1.366327614999240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258-465F-BB9B-86D88F6E8D16}"/>
                </c:ext>
              </c:extLst>
            </c:dLbl>
            <c:dLbl>
              <c:idx val="1"/>
              <c:layout>
                <c:manualLayout>
                  <c:x val="9.1468085618003001E-2"/>
                  <c:y val="-4.111694873478690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258-465F-BB9B-86D88F6E8D16}"/>
                </c:ext>
              </c:extLst>
            </c:dLbl>
            <c:dLbl>
              <c:idx val="3"/>
              <c:layout>
                <c:manualLayout>
                  <c:x val="-5.2601439984553446E-2"/>
                  <c:y val="7.39956655258687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258-465F-BB9B-86D88F6E8D16}"/>
                </c:ext>
              </c:extLst>
            </c:dLbl>
            <c:dLbl>
              <c:idx val="4"/>
              <c:layout>
                <c:manualLayout>
                  <c:x val="5.99714077806534E-2"/>
                  <c:y val="-0.1414893643124774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258-465F-BB9B-86D88F6E8D16}"/>
                </c:ext>
              </c:extLst>
            </c:dLbl>
            <c:dLbl>
              <c:idx val="5"/>
              <c:layout>
                <c:manualLayout>
                  <c:x val="5.1271804570636167E-2"/>
                  <c:y val="-3.942087092650346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258-465F-BB9B-86D88F6E8D16}"/>
                </c:ext>
              </c:extLst>
            </c:dLbl>
            <c:dLbl>
              <c:idx val="6"/>
              <c:layout>
                <c:manualLayout>
                  <c:x val="-3.9158983723372853E-3"/>
                  <c:y val="7.12771413077883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258-465F-BB9B-86D88F6E8D16}"/>
                </c:ext>
              </c:extLst>
            </c:dLbl>
            <c:dLbl>
              <c:idx val="7"/>
              <c:layout>
                <c:manualLayout>
                  <c:x val="-2.8687314010463684E-2"/>
                  <c:y val="0.2241183720260259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258-465F-BB9B-86D88F6E8D1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'2010-2024'!$A$85:$A$94</c:f>
              <c:strCache>
                <c:ptCount val="10"/>
                <c:pt idx="0">
                  <c:v>Alunecari de teren si surpari</c:v>
                </c:pt>
                <c:pt idx="1">
                  <c:v>Vijelii, vîrtejuri, furtuni de praf si cu descarcari electrice</c:v>
                </c:pt>
                <c:pt idx="2">
                  <c:v>Grindina mare </c:v>
                </c:pt>
                <c:pt idx="3">
                  <c:v>Ploi torentiale cu grindina, cu vînt puternic si ploi de lunga durata</c:v>
                </c:pt>
                <c:pt idx="4">
                  <c:v>Ninsoare abundenta si viscol</c:v>
                </c:pt>
                <c:pt idx="5">
                  <c:v>Inghet si ger puternic </c:v>
                </c:pt>
                <c:pt idx="6">
                  <c:v>Depuneri de gheata (polei, lapovita)</c:v>
                </c:pt>
                <c:pt idx="7">
                  <c:v>Arsita puternica, valuri de caldura</c:v>
                </c:pt>
                <c:pt idx="8">
                  <c:v>Seceta</c:v>
                </c:pt>
                <c:pt idx="9">
                  <c:v>Inundatii, nivel inalt al apelor subterane, revarsarea apelor</c:v>
                </c:pt>
              </c:strCache>
            </c:strRef>
          </c:cat>
          <c:val>
            <c:numRef>
              <c:f>'2010-2024'!$G$85:$G$94</c:f>
              <c:numCache>
                <c:formatCode>_(* #,##0_);_(* \(#,##0\);_(* "-"??_);_(@_)</c:formatCode>
                <c:ptCount val="10"/>
                <c:pt idx="0">
                  <c:v>4570.7</c:v>
                </c:pt>
                <c:pt idx="1">
                  <c:v>236622.6</c:v>
                </c:pt>
                <c:pt idx="2">
                  <c:v>835079.1</c:v>
                </c:pt>
                <c:pt idx="3">
                  <c:v>4162865.1</c:v>
                </c:pt>
                <c:pt idx="4">
                  <c:v>190820.1</c:v>
                </c:pt>
                <c:pt idx="5">
                  <c:v>615123.19999999995</c:v>
                </c:pt>
                <c:pt idx="6">
                  <c:v>2559.3000000000002</c:v>
                </c:pt>
                <c:pt idx="7">
                  <c:v>283648.7</c:v>
                </c:pt>
                <c:pt idx="8">
                  <c:v>16768855.4</c:v>
                </c:pt>
                <c:pt idx="9">
                  <c:v>114841.1</c:v>
                </c:pt>
              </c:numCache>
            </c:numRef>
          </c:val>
          <c:extLst>
            <c:ext xmlns:c16="http://schemas.microsoft.com/office/drawing/2014/chart" uri="{C3380CC4-5D6E-409C-BE32-E72D297353CC}">
              <c16:uniqueId val="{00000014-0258-465F-BB9B-86D88F6E8D16}"/>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Seceta!$B$1</c:f>
              <c:strCache>
                <c:ptCount val="1"/>
                <c:pt idx="0">
                  <c:v>N-rul SE cu seceta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Seceta!$A$2:$A$16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Seceta!$B$2:$B$16</c:f>
              <c:numCache>
                <c:formatCode>_(* #,##0_);_(* \(#,##0\);_(* "-"??_);_(@_)</c:formatCode>
                <c:ptCount val="15"/>
                <c:pt idx="0">
                  <c:v>0</c:v>
                </c:pt>
                <c:pt idx="1">
                  <c:v>0</c:v>
                </c:pt>
                <c:pt idx="2">
                  <c:v>1</c:v>
                </c:pt>
                <c:pt idx="3">
                  <c:v>0</c:v>
                </c:pt>
                <c:pt idx="4">
                  <c:v>0</c:v>
                </c:pt>
                <c:pt idx="5">
                  <c:v>1</c:v>
                </c:pt>
                <c:pt idx="6">
                  <c:v>0</c:v>
                </c:pt>
                <c:pt idx="7">
                  <c:v>0</c:v>
                </c:pt>
                <c:pt idx="8">
                  <c:v>0</c:v>
                </c:pt>
                <c:pt idx="9">
                  <c:v>0</c:v>
                </c:pt>
                <c:pt idx="10">
                  <c:v>1</c:v>
                </c:pt>
                <c:pt idx="11">
                  <c:v>0</c:v>
                </c:pt>
                <c:pt idx="12">
                  <c:v>1</c:v>
                </c:pt>
                <c:pt idx="13">
                  <c:v>3</c:v>
                </c:pt>
                <c:pt idx="14">
                  <c:v>5</c:v>
                </c:pt>
              </c:numCache>
            </c:numRef>
          </c:val>
          <c:extLst>
            <c:ext xmlns:c16="http://schemas.microsoft.com/office/drawing/2014/chart" uri="{C3380CC4-5D6E-409C-BE32-E72D297353CC}">
              <c16:uniqueId val="{00000000-39C7-40DA-B532-E6221EC444C0}"/>
            </c:ext>
          </c:extLst>
        </c:ser>
        <c:dLbls>
          <c:showLegendKey val="0"/>
          <c:showVal val="0"/>
          <c:showCatName val="0"/>
          <c:showSerName val="0"/>
          <c:showPercent val="0"/>
          <c:showBubbleSize val="0"/>
        </c:dLbls>
        <c:gapWidth val="150"/>
        <c:axId val="1572974639"/>
        <c:axId val="1592088655"/>
      </c:barChart>
      <c:lineChart>
        <c:grouping val="standard"/>
        <c:varyColors val="0"/>
        <c:ser>
          <c:idx val="1"/>
          <c:order val="1"/>
          <c:tx>
            <c:strRef>
              <c:f>Seceta!$C$1</c:f>
              <c:strCache>
                <c:ptCount val="1"/>
                <c:pt idx="0">
                  <c:v>Paguba mii, lei</c:v>
                </c:pt>
              </c:strCache>
            </c:strRef>
          </c:tx>
          <c:spPr>
            <a:ln w="31750" cap="rnd">
              <a:solidFill>
                <a:schemeClr val="accent2"/>
              </a:solidFill>
              <a:round/>
            </a:ln>
            <a:effectLst/>
          </c:spPr>
          <c:marker>
            <c:symbol val="none"/>
          </c:marker>
          <c:cat>
            <c:numRef>
              <c:f>Seceta!$A$2:$A$16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Seceta!$C$2:$C$16</c:f>
              <c:numCache>
                <c:formatCode>_(* #,##0_);_(* \(#,##0\);_(* "-"??_);_(@_)</c:formatCode>
                <c:ptCount val="15"/>
                <c:pt idx="0">
                  <c:v>0</c:v>
                </c:pt>
                <c:pt idx="1">
                  <c:v>0</c:v>
                </c:pt>
                <c:pt idx="2">
                  <c:v>1252076.8999999999</c:v>
                </c:pt>
                <c:pt idx="3">
                  <c:v>0</c:v>
                </c:pt>
                <c:pt idx="4">
                  <c:v>0</c:v>
                </c:pt>
                <c:pt idx="5">
                  <c:v>258569.4</c:v>
                </c:pt>
                <c:pt idx="6">
                  <c:v>0</c:v>
                </c:pt>
                <c:pt idx="7">
                  <c:v>0</c:v>
                </c:pt>
                <c:pt idx="8">
                  <c:v>0</c:v>
                </c:pt>
                <c:pt idx="9">
                  <c:v>0</c:v>
                </c:pt>
                <c:pt idx="10">
                  <c:v>5986468.4000000004</c:v>
                </c:pt>
                <c:pt idx="11">
                  <c:v>0</c:v>
                </c:pt>
                <c:pt idx="12">
                  <c:v>4937248.9000000004</c:v>
                </c:pt>
                <c:pt idx="13">
                  <c:v>452884.8</c:v>
                </c:pt>
                <c:pt idx="14">
                  <c:v>3805855.3</c:v>
                </c:pt>
              </c:numCache>
            </c:numRef>
          </c:val>
          <c:smooth val="0"/>
          <c:extLst>
            <c:ext xmlns:c16="http://schemas.microsoft.com/office/drawing/2014/chart" uri="{C3380CC4-5D6E-409C-BE32-E72D297353CC}">
              <c16:uniqueId val="{00000001-39C7-40DA-B532-E6221EC444C0}"/>
            </c:ext>
          </c:extLst>
        </c:ser>
        <c:dLbls>
          <c:showLegendKey val="0"/>
          <c:showVal val="0"/>
          <c:showCatName val="0"/>
          <c:showSerName val="0"/>
          <c:showPercent val="0"/>
          <c:showBubbleSize val="0"/>
        </c:dLbls>
        <c:marker val="1"/>
        <c:smooth val="0"/>
        <c:axId val="1614896623"/>
        <c:axId val="1615710639"/>
      </c:lineChart>
      <c:catAx>
        <c:axId val="1572974639"/>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92088655"/>
        <c:crosses val="autoZero"/>
        <c:auto val="1"/>
        <c:lblAlgn val="ctr"/>
        <c:lblOffset val="100"/>
        <c:noMultiLvlLbl val="0"/>
      </c:catAx>
      <c:valAx>
        <c:axId val="1592088655"/>
        <c:scaling>
          <c:orientation val="minMax"/>
          <c:max val="1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72974639"/>
        <c:crosses val="autoZero"/>
        <c:crossBetween val="between"/>
      </c:valAx>
      <c:valAx>
        <c:axId val="1615710639"/>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14896623"/>
        <c:crosses val="max"/>
        <c:crossBetween val="between"/>
      </c:valAx>
      <c:catAx>
        <c:axId val="1614896623"/>
        <c:scaling>
          <c:orientation val="minMax"/>
        </c:scaling>
        <c:delete val="1"/>
        <c:axPos val="b"/>
        <c:numFmt formatCode="General" sourceLinked="1"/>
        <c:majorTickMark val="none"/>
        <c:minorTickMark val="none"/>
        <c:tickLblPos val="nextTo"/>
        <c:crossAx val="1615710639"/>
        <c:crossesAt val="0"/>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'GEO0501'!$A$5</c:f>
              <c:strCache>
                <c:ptCount val="1"/>
                <c:pt idx="0">
                  <c:v>Terenuri cu destinatie agricola</c:v>
                </c:pt>
              </c:strCache>
            </c:strRef>
          </c:tx>
          <c:spPr>
            <a:solidFill>
              <a:schemeClr val="accent1"/>
            </a:solidFill>
            <a:ln>
              <a:noFill/>
            </a:ln>
            <a:effectLst/>
          </c:spPr>
          <c:invertIfNegative val="0"/>
          <c:cat>
            <c:strRef>
              <c:f>'GEO0501'!$B$3:$Y$3</c:f>
              <c:strCach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strCache>
            </c:strRef>
          </c:cat>
          <c:val>
            <c:numRef>
              <c:f>'GEO0501'!$B$5:$Y$5</c:f>
              <c:numCache>
                <c:formatCode>0.0</c:formatCode>
                <c:ptCount val="24"/>
                <c:pt idx="0">
                  <c:v>2016.6</c:v>
                </c:pt>
                <c:pt idx="1">
                  <c:v>1946.7</c:v>
                </c:pt>
                <c:pt idx="2">
                  <c:v>1951.1</c:v>
                </c:pt>
                <c:pt idx="3">
                  <c:v>1950.9</c:v>
                </c:pt>
                <c:pt idx="4">
                  <c:v>1951.8</c:v>
                </c:pt>
                <c:pt idx="5">
                  <c:v>1952.6</c:v>
                </c:pt>
                <c:pt idx="6">
                  <c:v>1974.1</c:v>
                </c:pt>
                <c:pt idx="7">
                  <c:v>1978.9</c:v>
                </c:pt>
                <c:pt idx="8">
                  <c:v>1984.6</c:v>
                </c:pt>
                <c:pt idx="9">
                  <c:v>2007.6</c:v>
                </c:pt>
                <c:pt idx="10">
                  <c:v>2008.7</c:v>
                </c:pt>
                <c:pt idx="11">
                  <c:v>2008.9</c:v>
                </c:pt>
                <c:pt idx="12">
                  <c:v>2014.5</c:v>
                </c:pt>
                <c:pt idx="13">
                  <c:v>2024.2</c:v>
                </c:pt>
                <c:pt idx="14">
                  <c:v>2026.5</c:v>
                </c:pt>
                <c:pt idx="15">
                  <c:v>2028.3</c:v>
                </c:pt>
                <c:pt idx="16">
                  <c:v>2039.8</c:v>
                </c:pt>
                <c:pt idx="17">
                  <c:v>2041.6</c:v>
                </c:pt>
                <c:pt idx="18">
                  <c:v>2073</c:v>
                </c:pt>
                <c:pt idx="19">
                  <c:v>2092</c:v>
                </c:pt>
                <c:pt idx="20">
                  <c:v>2129.6</c:v>
                </c:pt>
                <c:pt idx="21">
                  <c:v>2260.8000000000002</c:v>
                </c:pt>
                <c:pt idx="22">
                  <c:v>2398.6999999999998</c:v>
                </c:pt>
                <c:pt idx="23">
                  <c:v>2390.9</c:v>
                </c:pt>
              </c:numCache>
            </c:numRef>
          </c:val>
          <c:extLst>
            <c:ext xmlns:c16="http://schemas.microsoft.com/office/drawing/2014/chart" uri="{C3380CC4-5D6E-409C-BE32-E72D297353CC}">
              <c16:uniqueId val="{00000000-2DD7-4381-AB9D-B609659635B1}"/>
            </c:ext>
          </c:extLst>
        </c:ser>
        <c:ser>
          <c:idx val="1"/>
          <c:order val="1"/>
          <c:tx>
            <c:strRef>
              <c:f>'GEO0501'!$A$6</c:f>
              <c:strCache>
                <c:ptCount val="1"/>
                <c:pt idx="0">
                  <c:v>Terenuri ale localitatilor</c:v>
                </c:pt>
              </c:strCache>
            </c:strRef>
          </c:tx>
          <c:spPr>
            <a:solidFill>
              <a:schemeClr val="accent2"/>
            </a:solidFill>
            <a:ln>
              <a:noFill/>
            </a:ln>
            <a:effectLst/>
          </c:spPr>
          <c:invertIfNegative val="0"/>
          <c:cat>
            <c:strRef>
              <c:f>'GEO0501'!$B$3:$Y$3</c:f>
              <c:strCach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strCache>
            </c:strRef>
          </c:cat>
          <c:val>
            <c:numRef>
              <c:f>'GEO0501'!$B$6:$Y$6</c:f>
              <c:numCache>
                <c:formatCode>0.0</c:formatCode>
                <c:ptCount val="24"/>
                <c:pt idx="0">
                  <c:v>299.60000000000002</c:v>
                </c:pt>
                <c:pt idx="1">
                  <c:v>309.89999999999998</c:v>
                </c:pt>
                <c:pt idx="2">
                  <c:v>307.8</c:v>
                </c:pt>
                <c:pt idx="3">
                  <c:v>309.3</c:v>
                </c:pt>
                <c:pt idx="4">
                  <c:v>308.60000000000002</c:v>
                </c:pt>
                <c:pt idx="5">
                  <c:v>309.10000000000002</c:v>
                </c:pt>
                <c:pt idx="6">
                  <c:v>319.60000000000002</c:v>
                </c:pt>
                <c:pt idx="7">
                  <c:v>315.7</c:v>
                </c:pt>
                <c:pt idx="8">
                  <c:v>311.39999999999998</c:v>
                </c:pt>
                <c:pt idx="9">
                  <c:v>311.60000000000002</c:v>
                </c:pt>
                <c:pt idx="10">
                  <c:v>312.10000000000002</c:v>
                </c:pt>
                <c:pt idx="11">
                  <c:v>312.2</c:v>
                </c:pt>
                <c:pt idx="12">
                  <c:v>312.8</c:v>
                </c:pt>
                <c:pt idx="13">
                  <c:v>313.10000000000002</c:v>
                </c:pt>
                <c:pt idx="14">
                  <c:v>314.8</c:v>
                </c:pt>
                <c:pt idx="15">
                  <c:v>314.3</c:v>
                </c:pt>
                <c:pt idx="16">
                  <c:v>313.60000000000002</c:v>
                </c:pt>
                <c:pt idx="17">
                  <c:v>314</c:v>
                </c:pt>
                <c:pt idx="18">
                  <c:v>314</c:v>
                </c:pt>
                <c:pt idx="19">
                  <c:v>314.2</c:v>
                </c:pt>
                <c:pt idx="20">
                  <c:v>315.10000000000002</c:v>
                </c:pt>
                <c:pt idx="21">
                  <c:v>316.10000000000002</c:v>
                </c:pt>
                <c:pt idx="22">
                  <c:v>319.10000000000002</c:v>
                </c:pt>
                <c:pt idx="23">
                  <c:v>320.2</c:v>
                </c:pt>
              </c:numCache>
            </c:numRef>
          </c:val>
          <c:extLst>
            <c:ext xmlns:c16="http://schemas.microsoft.com/office/drawing/2014/chart" uri="{C3380CC4-5D6E-409C-BE32-E72D297353CC}">
              <c16:uniqueId val="{00000001-2DD7-4381-AB9D-B609659635B1}"/>
            </c:ext>
          </c:extLst>
        </c:ser>
        <c:ser>
          <c:idx val="2"/>
          <c:order val="2"/>
          <c:tx>
            <c:strRef>
              <c:f>'GEO0501'!$A$7</c:f>
              <c:strCache>
                <c:ptCount val="1"/>
                <c:pt idx="0">
                  <c:v>Fondul de rezerva</c:v>
                </c:pt>
              </c:strCache>
            </c:strRef>
          </c:tx>
          <c:spPr>
            <a:solidFill>
              <a:schemeClr val="accent3"/>
            </a:solidFill>
            <a:ln>
              <a:noFill/>
            </a:ln>
            <a:effectLst/>
          </c:spPr>
          <c:invertIfNegative val="0"/>
          <c:cat>
            <c:strRef>
              <c:f>'GEO0501'!$B$3:$Y$3</c:f>
              <c:strCach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strCache>
            </c:strRef>
          </c:cat>
          <c:val>
            <c:numRef>
              <c:f>'GEO0501'!$B$7:$Y$7</c:f>
              <c:numCache>
                <c:formatCode>0.0</c:formatCode>
                <c:ptCount val="24"/>
                <c:pt idx="0">
                  <c:v>620.6</c:v>
                </c:pt>
                <c:pt idx="1">
                  <c:v>655.8</c:v>
                </c:pt>
                <c:pt idx="2">
                  <c:v>603.79999999999995</c:v>
                </c:pt>
                <c:pt idx="3">
                  <c:v>578.70000000000005</c:v>
                </c:pt>
                <c:pt idx="4">
                  <c:v>553.79999999999995</c:v>
                </c:pt>
                <c:pt idx="5">
                  <c:v>548.4</c:v>
                </c:pt>
                <c:pt idx="6">
                  <c:v>508.7</c:v>
                </c:pt>
                <c:pt idx="7">
                  <c:v>502.1</c:v>
                </c:pt>
                <c:pt idx="8">
                  <c:v>497</c:v>
                </c:pt>
                <c:pt idx="9">
                  <c:v>469.9</c:v>
                </c:pt>
                <c:pt idx="10">
                  <c:v>466.7</c:v>
                </c:pt>
                <c:pt idx="11">
                  <c:v>466.4</c:v>
                </c:pt>
                <c:pt idx="12">
                  <c:v>461.3</c:v>
                </c:pt>
                <c:pt idx="13">
                  <c:v>452.4</c:v>
                </c:pt>
                <c:pt idx="14">
                  <c:v>449</c:v>
                </c:pt>
                <c:pt idx="15">
                  <c:v>446.3</c:v>
                </c:pt>
                <c:pt idx="16">
                  <c:v>436.2</c:v>
                </c:pt>
                <c:pt idx="17">
                  <c:v>432.5</c:v>
                </c:pt>
                <c:pt idx="18">
                  <c:v>399.3</c:v>
                </c:pt>
                <c:pt idx="19">
                  <c:v>379.7</c:v>
                </c:pt>
                <c:pt idx="20">
                  <c:v>338.5</c:v>
                </c:pt>
                <c:pt idx="21">
                  <c:v>205.3</c:v>
                </c:pt>
                <c:pt idx="22">
                  <c:v>62.4</c:v>
                </c:pt>
                <c:pt idx="23">
                  <c:v>67.7</c:v>
                </c:pt>
              </c:numCache>
            </c:numRef>
          </c:val>
          <c:extLst>
            <c:ext xmlns:c16="http://schemas.microsoft.com/office/drawing/2014/chart" uri="{C3380CC4-5D6E-409C-BE32-E72D297353CC}">
              <c16:uniqueId val="{00000002-2DD7-4381-AB9D-B609659635B1}"/>
            </c:ext>
          </c:extLst>
        </c:ser>
        <c:ser>
          <c:idx val="3"/>
          <c:order val="3"/>
          <c:tx>
            <c:strRef>
              <c:f>'GEO0501'!$A$8</c:f>
              <c:strCache>
                <c:ptCount val="1"/>
                <c:pt idx="0">
                  <c:v>Terenuri destinate industriei, transporturilor, comunicatiilor </c:v>
                </c:pt>
              </c:strCache>
            </c:strRef>
          </c:tx>
          <c:spPr>
            <a:solidFill>
              <a:schemeClr val="accent4"/>
            </a:solidFill>
            <a:ln>
              <a:noFill/>
            </a:ln>
            <a:effectLst/>
          </c:spPr>
          <c:invertIfNegative val="0"/>
          <c:cat>
            <c:strRef>
              <c:f>'GEO0501'!$B$3:$Y$3</c:f>
              <c:strCach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strCache>
            </c:strRef>
          </c:cat>
          <c:val>
            <c:numRef>
              <c:f>'GEO0501'!$B$8:$Y$8</c:f>
              <c:numCache>
                <c:formatCode>0.0</c:formatCode>
                <c:ptCount val="24"/>
                <c:pt idx="0">
                  <c:v>58.4</c:v>
                </c:pt>
                <c:pt idx="1">
                  <c:v>58.6</c:v>
                </c:pt>
                <c:pt idx="2">
                  <c:v>59.4</c:v>
                </c:pt>
                <c:pt idx="3">
                  <c:v>58.7</c:v>
                </c:pt>
                <c:pt idx="4">
                  <c:v>58.5</c:v>
                </c:pt>
                <c:pt idx="5">
                  <c:v>58.5</c:v>
                </c:pt>
                <c:pt idx="6">
                  <c:v>58.4</c:v>
                </c:pt>
                <c:pt idx="7">
                  <c:v>58.6</c:v>
                </c:pt>
                <c:pt idx="8">
                  <c:v>58.5</c:v>
                </c:pt>
                <c:pt idx="9">
                  <c:v>58.7</c:v>
                </c:pt>
                <c:pt idx="10">
                  <c:v>58.9</c:v>
                </c:pt>
                <c:pt idx="11">
                  <c:v>58.9</c:v>
                </c:pt>
                <c:pt idx="12">
                  <c:v>59.6</c:v>
                </c:pt>
                <c:pt idx="13">
                  <c:v>59.4</c:v>
                </c:pt>
                <c:pt idx="14">
                  <c:v>58.7</c:v>
                </c:pt>
                <c:pt idx="15">
                  <c:v>58.8</c:v>
                </c:pt>
                <c:pt idx="16">
                  <c:v>58.9</c:v>
                </c:pt>
                <c:pt idx="17">
                  <c:v>59.3</c:v>
                </c:pt>
                <c:pt idx="18">
                  <c:v>59.6</c:v>
                </c:pt>
                <c:pt idx="19">
                  <c:v>59.6</c:v>
                </c:pt>
                <c:pt idx="20">
                  <c:v>59.9</c:v>
                </c:pt>
                <c:pt idx="21">
                  <c:v>60</c:v>
                </c:pt>
                <c:pt idx="22">
                  <c:v>60</c:v>
                </c:pt>
                <c:pt idx="23">
                  <c:v>60.1</c:v>
                </c:pt>
              </c:numCache>
            </c:numRef>
          </c:val>
          <c:extLst>
            <c:ext xmlns:c16="http://schemas.microsoft.com/office/drawing/2014/chart" uri="{C3380CC4-5D6E-409C-BE32-E72D297353CC}">
              <c16:uniqueId val="{00000003-2DD7-4381-AB9D-B609659635B1}"/>
            </c:ext>
          </c:extLst>
        </c:ser>
        <c:ser>
          <c:idx val="4"/>
          <c:order val="4"/>
          <c:tx>
            <c:strRef>
              <c:f>'GEO0501'!$A$9</c:f>
              <c:strCache>
                <c:ptCount val="1"/>
                <c:pt idx="0">
                  <c:v>Terenuri ale fondului silvic si destinate protectiei mediului</c:v>
                </c:pt>
              </c:strCache>
            </c:strRef>
          </c:tx>
          <c:spPr>
            <a:solidFill>
              <a:schemeClr val="accent5"/>
            </a:solidFill>
            <a:ln>
              <a:noFill/>
            </a:ln>
            <a:effectLst/>
          </c:spPr>
          <c:invertIfNegative val="0"/>
          <c:cat>
            <c:strRef>
              <c:f>'GEO0501'!$B$3:$Y$3</c:f>
              <c:strCach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strCache>
            </c:strRef>
          </c:cat>
          <c:val>
            <c:numRef>
              <c:f>'GEO0501'!$B$9:$Y$9</c:f>
              <c:numCache>
                <c:formatCode>0.0</c:formatCode>
                <c:ptCount val="24"/>
                <c:pt idx="0">
                  <c:v>354.6</c:v>
                </c:pt>
                <c:pt idx="1">
                  <c:v>356.2</c:v>
                </c:pt>
                <c:pt idx="2">
                  <c:v>388.3</c:v>
                </c:pt>
                <c:pt idx="3">
                  <c:v>405.8</c:v>
                </c:pt>
                <c:pt idx="4">
                  <c:v>428.5</c:v>
                </c:pt>
                <c:pt idx="5">
                  <c:v>432.3</c:v>
                </c:pt>
                <c:pt idx="6">
                  <c:v>439</c:v>
                </c:pt>
                <c:pt idx="7">
                  <c:v>444.1</c:v>
                </c:pt>
                <c:pt idx="8">
                  <c:v>447.1</c:v>
                </c:pt>
                <c:pt idx="9">
                  <c:v>450</c:v>
                </c:pt>
                <c:pt idx="10">
                  <c:v>450.9</c:v>
                </c:pt>
                <c:pt idx="11">
                  <c:v>450.6</c:v>
                </c:pt>
                <c:pt idx="12">
                  <c:v>450.4</c:v>
                </c:pt>
                <c:pt idx="13">
                  <c:v>450.4</c:v>
                </c:pt>
                <c:pt idx="14">
                  <c:v>450.5</c:v>
                </c:pt>
                <c:pt idx="15">
                  <c:v>451.7</c:v>
                </c:pt>
                <c:pt idx="16">
                  <c:v>451</c:v>
                </c:pt>
                <c:pt idx="17">
                  <c:v>451.9</c:v>
                </c:pt>
                <c:pt idx="18">
                  <c:v>452.1</c:v>
                </c:pt>
                <c:pt idx="19">
                  <c:v>452.3</c:v>
                </c:pt>
                <c:pt idx="20">
                  <c:v>453.9</c:v>
                </c:pt>
                <c:pt idx="21">
                  <c:v>454.7</c:v>
                </c:pt>
                <c:pt idx="22">
                  <c:v>455.9</c:v>
                </c:pt>
                <c:pt idx="23">
                  <c:v>456.3</c:v>
                </c:pt>
              </c:numCache>
            </c:numRef>
          </c:val>
          <c:extLst>
            <c:ext xmlns:c16="http://schemas.microsoft.com/office/drawing/2014/chart" uri="{C3380CC4-5D6E-409C-BE32-E72D297353CC}">
              <c16:uniqueId val="{00000004-2DD7-4381-AB9D-B609659635B1}"/>
            </c:ext>
          </c:extLst>
        </c:ser>
        <c:ser>
          <c:idx val="5"/>
          <c:order val="5"/>
          <c:tx>
            <c:strRef>
              <c:f>'GEO0501'!$A$10</c:f>
              <c:strCache>
                <c:ptCount val="1"/>
                <c:pt idx="0">
                  <c:v>Terenuri ale fondului apelor</c:v>
                </c:pt>
              </c:strCache>
            </c:strRef>
          </c:tx>
          <c:spPr>
            <a:solidFill>
              <a:schemeClr val="accent6"/>
            </a:solidFill>
            <a:ln>
              <a:noFill/>
            </a:ln>
            <a:effectLst/>
          </c:spPr>
          <c:invertIfNegative val="0"/>
          <c:cat>
            <c:strRef>
              <c:f>'GEO0501'!$B$3:$Y$3</c:f>
              <c:strCach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strCache>
            </c:strRef>
          </c:cat>
          <c:val>
            <c:numRef>
              <c:f>'GEO0501'!$B$10:$Y$10</c:f>
              <c:numCache>
                <c:formatCode>0.0</c:formatCode>
                <c:ptCount val="24"/>
                <c:pt idx="0">
                  <c:v>34.4</c:v>
                </c:pt>
                <c:pt idx="1">
                  <c:v>57.1</c:v>
                </c:pt>
                <c:pt idx="2">
                  <c:v>74</c:v>
                </c:pt>
                <c:pt idx="3">
                  <c:v>81.2</c:v>
                </c:pt>
                <c:pt idx="4">
                  <c:v>83.4</c:v>
                </c:pt>
                <c:pt idx="5">
                  <c:v>83.7</c:v>
                </c:pt>
                <c:pt idx="6">
                  <c:v>84.8</c:v>
                </c:pt>
                <c:pt idx="7">
                  <c:v>85.2</c:v>
                </c:pt>
                <c:pt idx="8">
                  <c:v>86</c:v>
                </c:pt>
                <c:pt idx="9">
                  <c:v>86.8</c:v>
                </c:pt>
                <c:pt idx="10">
                  <c:v>87.3</c:v>
                </c:pt>
                <c:pt idx="11">
                  <c:v>87.6</c:v>
                </c:pt>
                <c:pt idx="12">
                  <c:v>86.1</c:v>
                </c:pt>
                <c:pt idx="13">
                  <c:v>85.1</c:v>
                </c:pt>
                <c:pt idx="14">
                  <c:v>85.1</c:v>
                </c:pt>
                <c:pt idx="15">
                  <c:v>85.2</c:v>
                </c:pt>
                <c:pt idx="16">
                  <c:v>85.1</c:v>
                </c:pt>
                <c:pt idx="17">
                  <c:v>85.4</c:v>
                </c:pt>
                <c:pt idx="18">
                  <c:v>86.7</c:v>
                </c:pt>
                <c:pt idx="19">
                  <c:v>86.9</c:v>
                </c:pt>
                <c:pt idx="20">
                  <c:v>87.9</c:v>
                </c:pt>
                <c:pt idx="21">
                  <c:v>88</c:v>
                </c:pt>
                <c:pt idx="22">
                  <c:v>88.8</c:v>
                </c:pt>
                <c:pt idx="23">
                  <c:v>89.7</c:v>
                </c:pt>
              </c:numCache>
            </c:numRef>
          </c:val>
          <c:extLst>
            <c:ext xmlns:c16="http://schemas.microsoft.com/office/drawing/2014/chart" uri="{C3380CC4-5D6E-409C-BE32-E72D297353CC}">
              <c16:uniqueId val="{00000005-2DD7-4381-AB9D-B609659635B1}"/>
            </c:ext>
          </c:extLst>
        </c:ser>
        <c:dLbls>
          <c:showLegendKey val="0"/>
          <c:showVal val="0"/>
          <c:showCatName val="0"/>
          <c:showSerName val="0"/>
          <c:showPercent val="0"/>
          <c:showBubbleSize val="0"/>
        </c:dLbls>
        <c:gapWidth val="150"/>
        <c:overlap val="100"/>
        <c:axId val="1562794032"/>
        <c:axId val="1599632448"/>
      </c:barChart>
      <c:catAx>
        <c:axId val="156279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632448"/>
        <c:crosses val="autoZero"/>
        <c:auto val="1"/>
        <c:lblAlgn val="ctr"/>
        <c:lblOffset val="100"/>
        <c:noMultiLvlLbl val="0"/>
      </c:catAx>
      <c:valAx>
        <c:axId val="1599632448"/>
        <c:scaling>
          <c:orientation val="minMax"/>
          <c:max val="35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2794032"/>
        <c:crosses val="autoZero"/>
        <c:crossBetween val="between"/>
      </c:valAx>
      <c:spPr>
        <a:noFill/>
        <a:ln>
          <a:noFill/>
        </a:ln>
        <a:effectLst/>
      </c:spPr>
    </c:plotArea>
    <c:legend>
      <c:legendPos val="b"/>
      <c:layout>
        <c:manualLayout>
          <c:xMode val="edge"/>
          <c:yMode val="edge"/>
          <c:x val="1.9500021513703928E-4"/>
          <c:y val="0.59018671716668325"/>
          <c:w val="0.93209500451787786"/>
          <c:h val="0.310012313275655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'agr010100'!$A$5</c:f>
              <c:strCache>
                <c:ptCount val="1"/>
                <c:pt idx="0">
                  <c:v>Productia vegetala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'agr010100'!$B$3:$AJ$3</c:f>
              <c:strCach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strCache>
            </c:strRef>
          </c:cat>
          <c:val>
            <c:numRef>
              <c:f>'agr010100'!$B$5:$AJ$5</c:f>
              <c:numCache>
                <c:formatCode>0.0</c:formatCode>
                <c:ptCount val="35"/>
                <c:pt idx="0">
                  <c:v>4</c:v>
                </c:pt>
                <c:pt idx="1">
                  <c:v>7</c:v>
                </c:pt>
                <c:pt idx="2">
                  <c:v>64</c:v>
                </c:pt>
                <c:pt idx="3">
                  <c:v>636</c:v>
                </c:pt>
                <c:pt idx="4">
                  <c:v>1838</c:v>
                </c:pt>
                <c:pt idx="5">
                  <c:v>2687</c:v>
                </c:pt>
                <c:pt idx="6">
                  <c:v>2941</c:v>
                </c:pt>
                <c:pt idx="7">
                  <c:v>3186</c:v>
                </c:pt>
                <c:pt idx="8">
                  <c:v>2875</c:v>
                </c:pt>
                <c:pt idx="9">
                  <c:v>4206</c:v>
                </c:pt>
                <c:pt idx="10">
                  <c:v>5790</c:v>
                </c:pt>
                <c:pt idx="11">
                  <c:v>5727</c:v>
                </c:pt>
                <c:pt idx="12">
                  <c:v>6298</c:v>
                </c:pt>
                <c:pt idx="13">
                  <c:v>7086</c:v>
                </c:pt>
                <c:pt idx="14">
                  <c:v>7900</c:v>
                </c:pt>
                <c:pt idx="15">
                  <c:v>8449</c:v>
                </c:pt>
                <c:pt idx="16">
                  <c:v>9079</c:v>
                </c:pt>
                <c:pt idx="17">
                  <c:v>7941</c:v>
                </c:pt>
                <c:pt idx="18">
                  <c:v>10600</c:v>
                </c:pt>
                <c:pt idx="19">
                  <c:v>7861</c:v>
                </c:pt>
                <c:pt idx="20">
                  <c:v>13616</c:v>
                </c:pt>
                <c:pt idx="21">
                  <c:v>15751</c:v>
                </c:pt>
                <c:pt idx="22">
                  <c:v>11968</c:v>
                </c:pt>
                <c:pt idx="23">
                  <c:v>15480</c:v>
                </c:pt>
                <c:pt idx="24">
                  <c:v>17341</c:v>
                </c:pt>
                <c:pt idx="25">
                  <c:v>18082</c:v>
                </c:pt>
                <c:pt idx="26">
                  <c:v>21098</c:v>
                </c:pt>
                <c:pt idx="27">
                  <c:v>24435</c:v>
                </c:pt>
                <c:pt idx="28">
                  <c:v>22883</c:v>
                </c:pt>
                <c:pt idx="29">
                  <c:v>24670</c:v>
                </c:pt>
                <c:pt idx="30">
                  <c:v>20389</c:v>
                </c:pt>
                <c:pt idx="31">
                  <c:v>37838</c:v>
                </c:pt>
                <c:pt idx="32">
                  <c:v>27733.7</c:v>
                </c:pt>
                <c:pt idx="33">
                  <c:v>28836.7</c:v>
                </c:pt>
                <c:pt idx="34">
                  <c:v>28082.2</c:v>
                </c:pt>
              </c:numCache>
            </c:numRef>
          </c:val>
          <c:extLst>
            <c:ext xmlns:c16="http://schemas.microsoft.com/office/drawing/2014/chart" uri="{C3380CC4-5D6E-409C-BE32-E72D297353CC}">
              <c16:uniqueId val="{00000000-E674-46FA-AB20-3EF1C787A70F}"/>
            </c:ext>
          </c:extLst>
        </c:ser>
        <c:ser>
          <c:idx val="1"/>
          <c:order val="1"/>
          <c:tx>
            <c:strRef>
              <c:f>'agr010100'!$A$6</c:f>
              <c:strCache>
                <c:ptCount val="1"/>
                <c:pt idx="0">
                  <c:v>Productia animaliera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'agr010100'!$B$3:$AJ$3</c:f>
              <c:strCach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strCache>
            </c:strRef>
          </c:cat>
          <c:val>
            <c:numRef>
              <c:f>'agr010100'!$B$6:$AJ$6</c:f>
              <c:numCache>
                <c:formatCode>0.0</c:formatCode>
                <c:ptCount val="35"/>
                <c:pt idx="0">
                  <c:v>3</c:v>
                </c:pt>
                <c:pt idx="1">
                  <c:v>4</c:v>
                </c:pt>
                <c:pt idx="2">
                  <c:v>33</c:v>
                </c:pt>
                <c:pt idx="3">
                  <c:v>284</c:v>
                </c:pt>
                <c:pt idx="4">
                  <c:v>1021</c:v>
                </c:pt>
                <c:pt idx="5">
                  <c:v>1393</c:v>
                </c:pt>
                <c:pt idx="6">
                  <c:v>1552</c:v>
                </c:pt>
                <c:pt idx="7">
                  <c:v>1730</c:v>
                </c:pt>
                <c:pt idx="8">
                  <c:v>1699</c:v>
                </c:pt>
                <c:pt idx="9">
                  <c:v>2004</c:v>
                </c:pt>
                <c:pt idx="10">
                  <c:v>2202</c:v>
                </c:pt>
                <c:pt idx="11">
                  <c:v>2655</c:v>
                </c:pt>
                <c:pt idx="12">
                  <c:v>2870</c:v>
                </c:pt>
                <c:pt idx="13">
                  <c:v>2937</c:v>
                </c:pt>
                <c:pt idx="14">
                  <c:v>3524</c:v>
                </c:pt>
                <c:pt idx="15">
                  <c:v>3851</c:v>
                </c:pt>
                <c:pt idx="16">
                  <c:v>4278</c:v>
                </c:pt>
                <c:pt idx="17">
                  <c:v>4509</c:v>
                </c:pt>
                <c:pt idx="18">
                  <c:v>5519</c:v>
                </c:pt>
                <c:pt idx="19">
                  <c:v>4987</c:v>
                </c:pt>
                <c:pt idx="20">
                  <c:v>5786</c:v>
                </c:pt>
                <c:pt idx="21">
                  <c:v>6347</c:v>
                </c:pt>
                <c:pt idx="22">
                  <c:v>7529</c:v>
                </c:pt>
                <c:pt idx="23">
                  <c:v>7930</c:v>
                </c:pt>
                <c:pt idx="24">
                  <c:v>9417</c:v>
                </c:pt>
                <c:pt idx="25">
                  <c:v>8584</c:v>
                </c:pt>
                <c:pt idx="26">
                  <c:v>8768</c:v>
                </c:pt>
                <c:pt idx="27">
                  <c:v>9191</c:v>
                </c:pt>
                <c:pt idx="28">
                  <c:v>9190</c:v>
                </c:pt>
                <c:pt idx="29">
                  <c:v>9248</c:v>
                </c:pt>
                <c:pt idx="30">
                  <c:v>9135</c:v>
                </c:pt>
                <c:pt idx="31">
                  <c:v>9683</c:v>
                </c:pt>
                <c:pt idx="32">
                  <c:v>12466.9</c:v>
                </c:pt>
                <c:pt idx="33">
                  <c:v>11849.9</c:v>
                </c:pt>
                <c:pt idx="34">
                  <c:v>12140.7</c:v>
                </c:pt>
              </c:numCache>
            </c:numRef>
          </c:val>
          <c:extLst>
            <c:ext xmlns:c16="http://schemas.microsoft.com/office/drawing/2014/chart" uri="{C3380CC4-5D6E-409C-BE32-E72D297353CC}">
              <c16:uniqueId val="{00000001-E674-46FA-AB20-3EF1C787A70F}"/>
            </c:ext>
          </c:extLst>
        </c:ser>
        <c:ser>
          <c:idx val="2"/>
          <c:order val="2"/>
          <c:tx>
            <c:strRef>
              <c:f>'agr010100'!$A$7</c:f>
              <c:strCache>
                <c:ptCount val="1"/>
                <c:pt idx="0">
                  <c:v>Servicii</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'agr010100'!$B$3:$AJ$3</c:f>
              <c:strCach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strCache>
            </c:strRef>
          </c:cat>
          <c:val>
            <c:numRef>
              <c:f>'agr010100'!$B$7:$AJ$7</c:f>
              <c:numCache>
                <c:formatCode>0.0</c:formatCode>
                <c:ptCount val="35"/>
                <c:pt idx="0">
                  <c:v>0</c:v>
                </c:pt>
                <c:pt idx="1">
                  <c:v>0</c:v>
                </c:pt>
                <c:pt idx="2">
                  <c:v>1</c:v>
                </c:pt>
                <c:pt idx="3">
                  <c:v>10</c:v>
                </c:pt>
                <c:pt idx="4">
                  <c:v>120</c:v>
                </c:pt>
                <c:pt idx="5">
                  <c:v>163</c:v>
                </c:pt>
                <c:pt idx="6">
                  <c:v>146</c:v>
                </c:pt>
                <c:pt idx="7">
                  <c:v>184</c:v>
                </c:pt>
                <c:pt idx="8">
                  <c:v>201</c:v>
                </c:pt>
                <c:pt idx="9">
                  <c:v>186</c:v>
                </c:pt>
                <c:pt idx="10">
                  <c:v>276</c:v>
                </c:pt>
                <c:pt idx="11">
                  <c:v>264</c:v>
                </c:pt>
                <c:pt idx="12">
                  <c:v>306</c:v>
                </c:pt>
                <c:pt idx="13">
                  <c:v>331</c:v>
                </c:pt>
                <c:pt idx="14">
                  <c:v>395</c:v>
                </c:pt>
                <c:pt idx="15">
                  <c:v>388</c:v>
                </c:pt>
                <c:pt idx="16">
                  <c:v>377</c:v>
                </c:pt>
                <c:pt idx="17">
                  <c:v>375</c:v>
                </c:pt>
                <c:pt idx="18">
                  <c:v>384</c:v>
                </c:pt>
                <c:pt idx="19">
                  <c:v>452</c:v>
                </c:pt>
                <c:pt idx="20">
                  <c:v>471</c:v>
                </c:pt>
                <c:pt idx="21">
                  <c:v>521</c:v>
                </c:pt>
                <c:pt idx="22">
                  <c:v>425</c:v>
                </c:pt>
                <c:pt idx="23">
                  <c:v>404</c:v>
                </c:pt>
                <c:pt idx="24">
                  <c:v>496</c:v>
                </c:pt>
                <c:pt idx="25">
                  <c:v>527</c:v>
                </c:pt>
                <c:pt idx="26">
                  <c:v>496</c:v>
                </c:pt>
                <c:pt idx="27">
                  <c:v>516</c:v>
                </c:pt>
                <c:pt idx="28">
                  <c:v>564</c:v>
                </c:pt>
                <c:pt idx="29">
                  <c:v>679</c:v>
                </c:pt>
                <c:pt idx="30">
                  <c:v>537</c:v>
                </c:pt>
                <c:pt idx="31">
                  <c:v>913</c:v>
                </c:pt>
                <c:pt idx="32">
                  <c:v>824</c:v>
                </c:pt>
                <c:pt idx="33">
                  <c:v>1113.8</c:v>
                </c:pt>
                <c:pt idx="34">
                  <c:v>1150.0999999999999</c:v>
                </c:pt>
              </c:numCache>
            </c:numRef>
          </c:val>
          <c:extLst>
            <c:ext xmlns:c16="http://schemas.microsoft.com/office/drawing/2014/chart" uri="{C3380CC4-5D6E-409C-BE32-E72D297353CC}">
              <c16:uniqueId val="{00000002-E674-46FA-AB20-3EF1C787A70F}"/>
            </c:ext>
          </c:extLst>
        </c:ser>
        <c:dLbls>
          <c:showLegendKey val="0"/>
          <c:showVal val="0"/>
          <c:showCatName val="0"/>
          <c:showSerName val="0"/>
          <c:showPercent val="0"/>
          <c:showBubbleSize val="0"/>
        </c:dLbls>
        <c:gapWidth val="150"/>
        <c:overlap val="100"/>
        <c:axId val="1561429568"/>
        <c:axId val="1561356912"/>
      </c:barChart>
      <c:catAx>
        <c:axId val="15614295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61356912"/>
        <c:crosses val="autoZero"/>
        <c:auto val="1"/>
        <c:lblAlgn val="ctr"/>
        <c:lblOffset val="100"/>
        <c:noMultiLvlLbl val="0"/>
      </c:catAx>
      <c:valAx>
        <c:axId val="1561356912"/>
        <c:scaling>
          <c:orientation val="minMax"/>
          <c:max val="5000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6142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'Suprafata si prod._cat culturi'!$B$12</c:f>
              <c:strCache>
                <c:ptCount val="1"/>
                <c:pt idx="0">
                  <c:v>Suprafata insamantata,  mii hectare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'Suprafata si prod._cat culturi'!$A$13:$A$20</c:f>
              <c:strCache>
                <c:ptCount val="8"/>
                <c:pt idx="0">
                  <c:v>2016</c:v>
                </c:pt>
                <c:pt idx="1">
                  <c:v>2017</c:v>
                </c:pt>
                <c:pt idx="2">
                  <c:v>2018</c:v>
                </c:pt>
                <c:pt idx="3">
                  <c:v>2019</c:v>
                </c:pt>
                <c:pt idx="4">
                  <c:v>2020</c:v>
                </c:pt>
                <c:pt idx="5">
                  <c:v>2021</c:v>
                </c:pt>
                <c:pt idx="6">
                  <c:v>2022</c:v>
                </c:pt>
                <c:pt idx="7">
                  <c:v>2023</c:v>
                </c:pt>
              </c:strCache>
            </c:strRef>
          </c:cat>
          <c:val>
            <c:numRef>
              <c:f>'Suprafata si prod._cat culturi'!$B$13:$B$20</c:f>
              <c:numCache>
                <c:formatCode>0.0</c:formatCode>
                <c:ptCount val="8"/>
                <c:pt idx="0">
                  <c:v>950.8</c:v>
                </c:pt>
                <c:pt idx="1">
                  <c:v>936.6</c:v>
                </c:pt>
                <c:pt idx="2">
                  <c:v>974.1</c:v>
                </c:pt>
                <c:pt idx="3">
                  <c:v>950.4</c:v>
                </c:pt>
                <c:pt idx="4">
                  <c:v>957.1</c:v>
                </c:pt>
                <c:pt idx="5">
                  <c:v>971.1</c:v>
                </c:pt>
                <c:pt idx="6">
                  <c:v>953</c:v>
                </c:pt>
                <c:pt idx="7">
                  <c:v>969.7</c:v>
                </c:pt>
              </c:numCache>
            </c:numRef>
          </c:val>
          <c:extLst>
            <c:ext xmlns:c16="http://schemas.microsoft.com/office/drawing/2014/chart" uri="{C3380CC4-5D6E-409C-BE32-E72D297353CC}">
              <c16:uniqueId val="{00000000-0FC0-4CBF-82C1-0428C1DD1E78}"/>
            </c:ext>
          </c:extLst>
        </c:ser>
        <c:ser>
          <c:idx val="1"/>
          <c:order val="1"/>
          <c:tx>
            <c:strRef>
              <c:f>'Suprafata si prod._cat culturi'!$C$12</c:f>
              <c:strCache>
                <c:ptCount val="1"/>
                <c:pt idx="0">
                  <c:v>Recolta globala, mii tone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'Suprafata si prod._cat culturi'!$A$13:$A$20</c:f>
              <c:strCache>
                <c:ptCount val="8"/>
                <c:pt idx="0">
                  <c:v>2016</c:v>
                </c:pt>
                <c:pt idx="1">
                  <c:v>2017</c:v>
                </c:pt>
                <c:pt idx="2">
                  <c:v>2018</c:v>
                </c:pt>
                <c:pt idx="3">
                  <c:v>2019</c:v>
                </c:pt>
                <c:pt idx="4">
                  <c:v>2020</c:v>
                </c:pt>
                <c:pt idx="5">
                  <c:v>2021</c:v>
                </c:pt>
                <c:pt idx="6">
                  <c:v>2022</c:v>
                </c:pt>
                <c:pt idx="7">
                  <c:v>2023</c:v>
                </c:pt>
              </c:strCache>
            </c:strRef>
          </c:cat>
          <c:val>
            <c:numRef>
              <c:f>'Suprafata si prod._cat culturi'!$C$13:$C$20</c:f>
              <c:numCache>
                <c:formatCode>0.0</c:formatCode>
                <c:ptCount val="8"/>
                <c:pt idx="0">
                  <c:v>2993.2</c:v>
                </c:pt>
                <c:pt idx="1">
                  <c:v>3354.8</c:v>
                </c:pt>
                <c:pt idx="2">
                  <c:v>3466.7</c:v>
                </c:pt>
                <c:pt idx="3">
                  <c:v>3549.6</c:v>
                </c:pt>
                <c:pt idx="4">
                  <c:v>1505.3</c:v>
                </c:pt>
                <c:pt idx="5">
                  <c:v>4690</c:v>
                </c:pt>
                <c:pt idx="6">
                  <c:v>1784.4</c:v>
                </c:pt>
                <c:pt idx="7">
                  <c:v>3214.8</c:v>
                </c:pt>
              </c:numCache>
            </c:numRef>
          </c:val>
          <c:extLst>
            <c:ext xmlns:c16="http://schemas.microsoft.com/office/drawing/2014/chart" uri="{C3380CC4-5D6E-409C-BE32-E72D297353CC}">
              <c16:uniqueId val="{00000001-0FC0-4CBF-82C1-0428C1DD1E78}"/>
            </c:ext>
          </c:extLst>
        </c:ser>
        <c:dLbls>
          <c:showLegendKey val="0"/>
          <c:showVal val="0"/>
          <c:showCatName val="0"/>
          <c:showSerName val="0"/>
          <c:showPercent val="0"/>
          <c:showBubbleSize val="0"/>
        </c:dLbls>
        <c:gapWidth val="219"/>
        <c:axId val="1777777935"/>
        <c:axId val="1142890031"/>
      </c:barChart>
      <c:lineChart>
        <c:grouping val="standard"/>
        <c:varyColors val="0"/>
        <c:ser>
          <c:idx val="2"/>
          <c:order val="2"/>
          <c:tx>
            <c:strRef>
              <c:f>'Suprafata si prod._cat culturi'!$D$12</c:f>
              <c:strCache>
                <c:ptCount val="1"/>
                <c:pt idx="0">
                  <c:v>Randament kg/ha</c:v>
                </c:pt>
              </c:strCache>
            </c:strRef>
          </c:tx>
          <c:spPr>
            <a:ln w="31750" cap="rnd">
              <a:solidFill>
                <a:schemeClr val="accent3"/>
              </a:solidFill>
              <a:round/>
            </a:ln>
            <a:effectLst/>
          </c:spPr>
          <c:marker>
            <c:symbol val="none"/>
          </c:marker>
          <c:cat>
            <c:strRef>
              <c:f>'Suprafata si prod._cat culturi'!$A$13:$A$20</c:f>
              <c:strCache>
                <c:ptCount val="8"/>
                <c:pt idx="0">
                  <c:v>2016</c:v>
                </c:pt>
                <c:pt idx="1">
                  <c:v>2017</c:v>
                </c:pt>
                <c:pt idx="2">
                  <c:v>2018</c:v>
                </c:pt>
                <c:pt idx="3">
                  <c:v>2019</c:v>
                </c:pt>
                <c:pt idx="4">
                  <c:v>2020</c:v>
                </c:pt>
                <c:pt idx="5">
                  <c:v>2021</c:v>
                </c:pt>
                <c:pt idx="6">
                  <c:v>2022</c:v>
                </c:pt>
                <c:pt idx="7">
                  <c:v>2023</c:v>
                </c:pt>
              </c:strCache>
            </c:strRef>
          </c:cat>
          <c:val>
            <c:numRef>
              <c:f>'Suprafata si prod._cat culturi'!$D$13:$D$20</c:f>
              <c:numCache>
                <c:formatCode>_(* #,##0_);_(* \(#,##0\);_(* "-"??_);_(@_)</c:formatCode>
                <c:ptCount val="8"/>
                <c:pt idx="0">
                  <c:v>3148.0858224652925</c:v>
                </c:pt>
                <c:pt idx="1">
                  <c:v>3581.8919496049543</c:v>
                </c:pt>
                <c:pt idx="2">
                  <c:v>3558.8748588440612</c:v>
                </c:pt>
                <c:pt idx="3">
                  <c:v>3734.848484848485</c:v>
                </c:pt>
                <c:pt idx="4">
                  <c:v>1572.7719151603803</c:v>
                </c:pt>
                <c:pt idx="5">
                  <c:v>4829.5747090927807</c:v>
                </c:pt>
                <c:pt idx="6">
                  <c:v>1872.4029380902414</c:v>
                </c:pt>
                <c:pt idx="7">
                  <c:v>3315.2521398370627</c:v>
                </c:pt>
              </c:numCache>
            </c:numRef>
          </c:val>
          <c:smooth val="0"/>
          <c:extLst>
            <c:ext xmlns:c16="http://schemas.microsoft.com/office/drawing/2014/chart" uri="{C3380CC4-5D6E-409C-BE32-E72D297353CC}">
              <c16:uniqueId val="{00000002-0FC0-4CBF-82C1-0428C1DD1E78}"/>
            </c:ext>
          </c:extLst>
        </c:ser>
        <c:dLbls>
          <c:showLegendKey val="0"/>
          <c:showVal val="0"/>
          <c:showCatName val="0"/>
          <c:showSerName val="0"/>
          <c:showPercent val="0"/>
          <c:showBubbleSize val="0"/>
        </c:dLbls>
        <c:marker val="1"/>
        <c:smooth val="0"/>
        <c:axId val="1265329423"/>
        <c:axId val="1264823567"/>
      </c:lineChart>
      <c:catAx>
        <c:axId val="177777793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142890031"/>
        <c:crosses val="autoZero"/>
        <c:auto val="1"/>
        <c:lblAlgn val="ctr"/>
        <c:lblOffset val="100"/>
        <c:noMultiLvlLbl val="0"/>
      </c:catAx>
      <c:valAx>
        <c:axId val="1142890031"/>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77777935"/>
        <c:crosses val="autoZero"/>
        <c:crossBetween val="between"/>
      </c:valAx>
      <c:valAx>
        <c:axId val="1264823567"/>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65329423"/>
        <c:crosses val="max"/>
        <c:crossBetween val="between"/>
      </c:valAx>
      <c:catAx>
        <c:axId val="1265329423"/>
        <c:scaling>
          <c:orientation val="minMax"/>
        </c:scaling>
        <c:delete val="1"/>
        <c:axPos val="b"/>
        <c:numFmt formatCode="General" sourceLinked="1"/>
        <c:majorTickMark val="none"/>
        <c:minorTickMark val="none"/>
        <c:tickLblPos val="nextTo"/>
        <c:crossAx val="1264823567"/>
        <c:crossesAt val="0"/>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8.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01366B-ABDC-C841-8466-EFD1C1784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151</Pages>
  <Words>56493</Words>
  <Characters>364380</Characters>
  <Application>Microsoft Office Word</Application>
  <DocSecurity>0</DocSecurity>
  <Lines>9343</Lines>
  <Paragraphs>3212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Program Național Sectorial de Reducere a Riscurilor de Dezastre Climatice în Republica Moldova</vt:lpstr>
      <vt:lpstr>Program Național Sectorial de Reducere a Riscurilor de Dezastre Climatice în Republica Moldova</vt:lpstr>
    </vt:vector>
  </TitlesOfParts>
  <Company/>
  <LinksUpToDate>false</LinksUpToDate>
  <CharactersWithSpaces>417661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Național Sectorial de Reducere a Riscurilor de Dezastre Climatice în Republica Moldova</dc:title>
  <dc:subject>INTEGRAREA CONSIDERENTELOR DE MIGRATIE SI STRAMUTARE IN POLITICILE DE REDUCERE A RISCURILOR DE DEZASTRE CLIMATICE</dc:subject>
  <dc:creator>Mihaela Dragan-Lebovics</dc:creator>
  <cp:keywords/>
  <dc:description/>
  <cp:lastModifiedBy>Secția politici în domeniul schimbării climei</cp:lastModifiedBy>
  <cp:revision>2</cp:revision>
  <cp:lastPrinted>2025-05-16T13:07:00Z</cp:lastPrinted>
  <dcterms:created xsi:type="dcterms:W3CDTF">2026-01-22T12:37:00Z</dcterms:created>
  <dcterms:modified xsi:type="dcterms:W3CDTF">2026-01-22T12:37:00Z</dcterms:modified>
</cp:coreProperties>
</file>